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7BA16" w14:textId="77777777" w:rsidR="00A14F3F" w:rsidRDefault="00A14F3F" w:rsidP="00BB0DB9"/>
    <w:p w14:paraId="5FC39D80" w14:textId="77777777" w:rsidR="00A14F3F" w:rsidRDefault="00A14F3F" w:rsidP="00BB0DB9"/>
    <w:p w14:paraId="7543CA16" w14:textId="77777777" w:rsidR="00A14F3F" w:rsidRDefault="00A14F3F" w:rsidP="00BB0DB9"/>
    <w:p w14:paraId="2CB82789" w14:textId="77777777" w:rsidR="00A14F3F" w:rsidRDefault="00A14F3F" w:rsidP="00BB0DB9"/>
    <w:p w14:paraId="159EA7C0" w14:textId="77777777" w:rsidR="00A14F3F" w:rsidRDefault="00A14F3F" w:rsidP="00BB0DB9"/>
    <w:p w14:paraId="57E6D4FD" w14:textId="77777777" w:rsidR="00A14F3F" w:rsidRDefault="00A14F3F" w:rsidP="00BB0DB9"/>
    <w:p w14:paraId="7276026C" w14:textId="77777777" w:rsidR="001E1807" w:rsidRPr="00B23F1A" w:rsidRDefault="001E1807" w:rsidP="001E1807">
      <w:pPr>
        <w:jc w:val="both"/>
        <w:rPr>
          <w:rFonts w:asciiTheme="minorBidi" w:hAnsiTheme="minorBidi"/>
          <w:sz w:val="24"/>
          <w:szCs w:val="24"/>
        </w:rPr>
      </w:pPr>
      <w:r w:rsidRPr="00B23F1A">
        <w:rPr>
          <w:rFonts w:asciiTheme="minorBidi" w:hAnsiTheme="minorBidi"/>
          <w:noProof/>
          <w:sz w:val="24"/>
          <w:szCs w:val="24"/>
        </w:rPr>
        <w:drawing>
          <wp:inline distT="0" distB="0" distL="0" distR="0" wp14:anchorId="414A4CCF" wp14:editId="4514A08A">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3447D9A1" w14:textId="77777777" w:rsidR="001E1807" w:rsidRPr="00B23F1A" w:rsidRDefault="001E1807" w:rsidP="001E1807">
      <w:pPr>
        <w:jc w:val="both"/>
        <w:rPr>
          <w:rFonts w:asciiTheme="minorBidi" w:hAnsiTheme="minorBidi"/>
          <w:sz w:val="24"/>
          <w:szCs w:val="24"/>
        </w:rPr>
      </w:pPr>
    </w:p>
    <w:p w14:paraId="4374BAA6" w14:textId="77777777" w:rsidR="001E1807" w:rsidRPr="00B23F1A" w:rsidRDefault="001E1807" w:rsidP="001E1807">
      <w:pPr>
        <w:jc w:val="both"/>
        <w:rPr>
          <w:rFonts w:asciiTheme="minorBidi" w:hAnsiTheme="minorBidi"/>
          <w:sz w:val="24"/>
          <w:szCs w:val="24"/>
        </w:rPr>
      </w:pPr>
    </w:p>
    <w:p w14:paraId="70293EE1" w14:textId="58A999D9" w:rsidR="001E1807" w:rsidRPr="003B0808" w:rsidRDefault="001E1807" w:rsidP="001E1807">
      <w:pPr>
        <w:ind w:left="1440" w:firstLine="720"/>
        <w:jc w:val="both"/>
        <w:rPr>
          <w:rFonts w:asciiTheme="minorBidi" w:hAnsiTheme="minorBidi"/>
          <w:sz w:val="36"/>
          <w:szCs w:val="36"/>
        </w:rPr>
      </w:pPr>
      <w:r w:rsidRPr="00B23F1A">
        <w:rPr>
          <w:rFonts w:asciiTheme="minorBidi" w:hAnsiTheme="minorBidi"/>
          <w:sz w:val="24"/>
          <w:szCs w:val="24"/>
        </w:rPr>
        <w:t xml:space="preserve">           </w:t>
      </w:r>
      <w:r w:rsidRPr="003B0808">
        <w:rPr>
          <w:rFonts w:asciiTheme="minorBidi" w:hAnsiTheme="minorBidi"/>
          <w:sz w:val="36"/>
          <w:szCs w:val="36"/>
        </w:rPr>
        <w:t xml:space="preserve">Assignment </w:t>
      </w:r>
      <w:r w:rsidR="003B0808" w:rsidRPr="003B0808">
        <w:rPr>
          <w:rFonts w:asciiTheme="minorBidi" w:hAnsiTheme="minorBidi"/>
          <w:sz w:val="36"/>
          <w:szCs w:val="36"/>
        </w:rPr>
        <w:t>1:</w:t>
      </w:r>
      <w:r w:rsidR="003B0808">
        <w:rPr>
          <w:rFonts w:asciiTheme="minorBidi" w:hAnsiTheme="minorBidi"/>
          <w:sz w:val="36"/>
          <w:szCs w:val="36"/>
        </w:rPr>
        <w:t xml:space="preserve"> Report </w:t>
      </w:r>
    </w:p>
    <w:p w14:paraId="795E3000" w14:textId="77777777" w:rsidR="001E1807" w:rsidRPr="00B23F1A" w:rsidRDefault="001E1807" w:rsidP="001E1807">
      <w:pPr>
        <w:jc w:val="both"/>
        <w:rPr>
          <w:rFonts w:asciiTheme="minorBidi" w:hAnsiTheme="minorBidi"/>
          <w:sz w:val="24"/>
          <w:szCs w:val="24"/>
        </w:rPr>
      </w:pPr>
    </w:p>
    <w:p w14:paraId="2D64705B" w14:textId="77777777" w:rsidR="001E1807" w:rsidRPr="00B23F1A" w:rsidRDefault="001E1807" w:rsidP="001E1807">
      <w:pPr>
        <w:jc w:val="both"/>
        <w:rPr>
          <w:rFonts w:asciiTheme="minorBidi" w:hAnsiTheme="minorBidi"/>
          <w:sz w:val="24"/>
          <w:szCs w:val="24"/>
        </w:rPr>
      </w:pPr>
    </w:p>
    <w:p w14:paraId="01370C62" w14:textId="77777777" w:rsidR="001E1807" w:rsidRPr="003B0808" w:rsidRDefault="001E1807" w:rsidP="001E1807">
      <w:pPr>
        <w:jc w:val="both"/>
        <w:rPr>
          <w:rFonts w:ascii="Times New Roman" w:hAnsi="Times New Roman" w:cs="Times New Roman"/>
          <w:sz w:val="40"/>
          <w:szCs w:val="40"/>
        </w:rPr>
      </w:pPr>
    </w:p>
    <w:p w14:paraId="37E2BD5B" w14:textId="752DCB49" w:rsidR="001E1807" w:rsidRPr="003B0808" w:rsidRDefault="001E1807" w:rsidP="001E1807">
      <w:pPr>
        <w:jc w:val="both"/>
        <w:rPr>
          <w:rFonts w:ascii="Times New Roman" w:hAnsi="Times New Roman" w:cs="Times New Roman"/>
          <w:sz w:val="40"/>
          <w:szCs w:val="40"/>
        </w:rPr>
      </w:pPr>
      <w:r w:rsidRPr="003B0808">
        <w:rPr>
          <w:rFonts w:ascii="Times New Roman" w:hAnsi="Times New Roman" w:cs="Times New Roman"/>
          <w:sz w:val="40"/>
          <w:szCs w:val="40"/>
        </w:rPr>
        <w:t>Name</w:t>
      </w:r>
      <w:r w:rsidRPr="003B0808">
        <w:rPr>
          <w:rFonts w:ascii="Times New Roman" w:hAnsi="Times New Roman" w:cs="Times New Roman"/>
          <w:sz w:val="40"/>
          <w:szCs w:val="40"/>
        </w:rPr>
        <w:t xml:space="preserve">: Cecile Abuzour </w:t>
      </w:r>
    </w:p>
    <w:p w14:paraId="0FD10F25" w14:textId="77777777" w:rsidR="007914AD" w:rsidRPr="003B0808" w:rsidRDefault="001E1807" w:rsidP="007914AD">
      <w:pPr>
        <w:jc w:val="both"/>
        <w:rPr>
          <w:rFonts w:ascii="Times New Roman" w:hAnsi="Times New Roman" w:cs="Times New Roman"/>
          <w:sz w:val="40"/>
          <w:szCs w:val="40"/>
        </w:rPr>
      </w:pPr>
      <w:r w:rsidRPr="003B0808">
        <w:rPr>
          <w:rFonts w:ascii="Times New Roman" w:hAnsi="Times New Roman" w:cs="Times New Roman"/>
          <w:sz w:val="40"/>
          <w:szCs w:val="40"/>
        </w:rPr>
        <w:t>Student ID</w:t>
      </w:r>
      <w:r w:rsidRPr="003B0808">
        <w:rPr>
          <w:rFonts w:ascii="Times New Roman" w:hAnsi="Times New Roman" w:cs="Times New Roman"/>
          <w:sz w:val="40"/>
          <w:szCs w:val="40"/>
        </w:rPr>
        <w:t>:</w:t>
      </w:r>
      <w:r w:rsidR="006430AB" w:rsidRPr="003B0808">
        <w:rPr>
          <w:rFonts w:ascii="Times New Roman" w:hAnsi="Times New Roman" w:cs="Times New Roman"/>
          <w:sz w:val="40"/>
          <w:szCs w:val="40"/>
        </w:rPr>
        <w:t xml:space="preserve"> </w:t>
      </w:r>
      <w:hyperlink r:id="rId6" w:history="1">
        <w:r w:rsidR="006430AB" w:rsidRPr="003B0808">
          <w:rPr>
            <w:rStyle w:val="Hyperlink"/>
            <w:rFonts w:ascii="Times New Roman" w:hAnsi="Times New Roman" w:cs="Times New Roman"/>
            <w:color w:val="100E25"/>
            <w:sz w:val="40"/>
            <w:szCs w:val="40"/>
            <w:u w:val="none"/>
            <w:shd w:val="clear" w:color="auto" w:fill="FFFFFF"/>
          </w:rPr>
          <w:t>2218610</w:t>
        </w:r>
      </w:hyperlink>
    </w:p>
    <w:p w14:paraId="72D346EA" w14:textId="61E9D34A" w:rsidR="00E01870" w:rsidRPr="003B0808" w:rsidRDefault="001E1807" w:rsidP="007914AD">
      <w:pPr>
        <w:jc w:val="both"/>
        <w:rPr>
          <w:rFonts w:ascii="Times New Roman" w:hAnsi="Times New Roman" w:cs="Times New Roman"/>
          <w:sz w:val="40"/>
          <w:szCs w:val="40"/>
        </w:rPr>
      </w:pPr>
      <w:r w:rsidRPr="003B0808">
        <w:rPr>
          <w:rFonts w:ascii="Times New Roman" w:hAnsi="Times New Roman" w:cs="Times New Roman"/>
          <w:sz w:val="40"/>
          <w:szCs w:val="40"/>
        </w:rPr>
        <w:t>Module code</w:t>
      </w:r>
      <w:r w:rsidR="00E01870" w:rsidRPr="003B0808">
        <w:rPr>
          <w:rFonts w:ascii="Times New Roman" w:hAnsi="Times New Roman" w:cs="Times New Roman"/>
          <w:sz w:val="40"/>
          <w:szCs w:val="40"/>
        </w:rPr>
        <w:t xml:space="preserve">: </w:t>
      </w:r>
      <w:r w:rsidR="00E01870" w:rsidRPr="003B0808">
        <w:rPr>
          <w:rFonts w:ascii="Times New Roman" w:hAnsi="Times New Roman" w:cs="Times New Roman"/>
          <w:color w:val="1D2125"/>
          <w:sz w:val="40"/>
          <w:szCs w:val="40"/>
        </w:rPr>
        <w:t xml:space="preserve"> LCBB4006</w:t>
      </w:r>
    </w:p>
    <w:p w14:paraId="363B2E8B" w14:textId="6F3A217B" w:rsidR="001E1807" w:rsidRPr="003B0808" w:rsidRDefault="001E1807" w:rsidP="001E1807">
      <w:pPr>
        <w:jc w:val="both"/>
        <w:rPr>
          <w:rFonts w:ascii="Times New Roman" w:hAnsi="Times New Roman" w:cs="Times New Roman"/>
          <w:sz w:val="40"/>
          <w:szCs w:val="40"/>
        </w:rPr>
      </w:pPr>
      <w:r w:rsidRPr="003B0808">
        <w:rPr>
          <w:rFonts w:ascii="Times New Roman" w:hAnsi="Times New Roman" w:cs="Times New Roman"/>
          <w:sz w:val="40"/>
          <w:szCs w:val="40"/>
        </w:rPr>
        <w:t xml:space="preserve">Module </w:t>
      </w:r>
      <w:r w:rsidR="007914AD" w:rsidRPr="003B0808">
        <w:rPr>
          <w:rFonts w:ascii="Times New Roman" w:hAnsi="Times New Roman" w:cs="Times New Roman"/>
          <w:sz w:val="40"/>
          <w:szCs w:val="40"/>
        </w:rPr>
        <w:t xml:space="preserve">name: </w:t>
      </w:r>
      <w:r w:rsidR="007914AD" w:rsidRPr="003B0808">
        <w:rPr>
          <w:rFonts w:ascii="Times New Roman" w:hAnsi="Times New Roman" w:cs="Times New Roman"/>
          <w:color w:val="1D2125"/>
          <w:sz w:val="40"/>
          <w:szCs w:val="40"/>
        </w:rPr>
        <w:t>Academic Skills</w:t>
      </w:r>
    </w:p>
    <w:p w14:paraId="469C0B5F" w14:textId="77777777" w:rsidR="003B0808" w:rsidRPr="003B0808" w:rsidRDefault="001E1807" w:rsidP="003B0808">
      <w:pPr>
        <w:pStyle w:val="Heading1"/>
        <w:shd w:val="clear" w:color="auto" w:fill="FFFFFF"/>
        <w:spacing w:before="0" w:beforeAutospacing="0" w:after="60" w:afterAutospacing="0" w:line="555" w:lineRule="atLeast"/>
        <w:rPr>
          <w:b w:val="0"/>
          <w:bCs w:val="0"/>
          <w:sz w:val="40"/>
          <w:szCs w:val="40"/>
        </w:rPr>
      </w:pPr>
      <w:r w:rsidRPr="003B0808">
        <w:rPr>
          <w:b w:val="0"/>
          <w:bCs w:val="0"/>
          <w:sz w:val="40"/>
          <w:szCs w:val="40"/>
        </w:rPr>
        <w:t>Lecturer</w:t>
      </w:r>
      <w:r w:rsidR="003B0808" w:rsidRPr="003B0808">
        <w:rPr>
          <w:b w:val="0"/>
          <w:bCs w:val="0"/>
          <w:sz w:val="40"/>
          <w:szCs w:val="40"/>
        </w:rPr>
        <w:t xml:space="preserve">: </w:t>
      </w:r>
      <w:r w:rsidR="003B0808" w:rsidRPr="003B0808">
        <w:rPr>
          <w:b w:val="0"/>
          <w:bCs w:val="0"/>
          <w:sz w:val="40"/>
          <w:szCs w:val="40"/>
        </w:rPr>
        <w:t>Mohammad Rahman</w:t>
      </w:r>
    </w:p>
    <w:p w14:paraId="177549D0" w14:textId="6B6D1F9D" w:rsidR="001E1807" w:rsidRPr="001E1807" w:rsidRDefault="001E1807" w:rsidP="001E1807">
      <w:pPr>
        <w:jc w:val="both"/>
        <w:rPr>
          <w:rFonts w:asciiTheme="minorBidi" w:hAnsiTheme="minorBidi"/>
          <w:sz w:val="36"/>
          <w:szCs w:val="36"/>
        </w:rPr>
      </w:pPr>
    </w:p>
    <w:p w14:paraId="099D76B3" w14:textId="77777777" w:rsidR="001E1807" w:rsidRPr="00B23F1A" w:rsidRDefault="001E1807" w:rsidP="001E1807">
      <w:pPr>
        <w:jc w:val="both"/>
        <w:rPr>
          <w:rFonts w:asciiTheme="minorBidi" w:hAnsiTheme="minorBidi"/>
          <w:sz w:val="24"/>
          <w:szCs w:val="24"/>
        </w:rPr>
      </w:pPr>
    </w:p>
    <w:p w14:paraId="78DF6519" w14:textId="77777777" w:rsidR="001E1807" w:rsidRPr="00B23F1A" w:rsidRDefault="001E1807" w:rsidP="001E1807">
      <w:pPr>
        <w:jc w:val="both"/>
        <w:rPr>
          <w:rFonts w:asciiTheme="minorBidi" w:hAnsiTheme="minorBidi"/>
          <w:sz w:val="24"/>
          <w:szCs w:val="24"/>
        </w:rPr>
      </w:pPr>
    </w:p>
    <w:p w14:paraId="2D367981" w14:textId="77777777" w:rsidR="001E1807" w:rsidRPr="00B23F1A" w:rsidRDefault="001E1807" w:rsidP="001E1807">
      <w:pPr>
        <w:jc w:val="both"/>
        <w:rPr>
          <w:rFonts w:asciiTheme="minorBidi" w:hAnsiTheme="minorBidi"/>
          <w:sz w:val="24"/>
          <w:szCs w:val="24"/>
        </w:rPr>
      </w:pPr>
    </w:p>
    <w:p w14:paraId="76C9D048" w14:textId="5102F472" w:rsidR="00EB4285" w:rsidRPr="00B57545" w:rsidRDefault="00EB4285" w:rsidP="00EB4285">
      <w:pPr>
        <w:jc w:val="both"/>
        <w:rPr>
          <w:rFonts w:asciiTheme="majorHAnsi" w:eastAsiaTheme="majorEastAsia" w:hAnsiTheme="majorHAnsi" w:cstheme="majorBidi"/>
          <w:b/>
          <w:bCs/>
          <w:color w:val="2F5496" w:themeColor="accent1" w:themeShade="BF"/>
          <w:sz w:val="48"/>
          <w:szCs w:val="48"/>
        </w:rPr>
      </w:pPr>
      <w:r w:rsidRPr="00B57545">
        <w:rPr>
          <w:rFonts w:asciiTheme="majorHAnsi" w:eastAsiaTheme="majorEastAsia" w:hAnsiTheme="majorHAnsi" w:cstheme="majorBidi"/>
          <w:b/>
          <w:bCs/>
          <w:color w:val="2F5496" w:themeColor="accent1" w:themeShade="BF"/>
          <w:sz w:val="48"/>
          <w:szCs w:val="48"/>
        </w:rPr>
        <w:lastRenderedPageBreak/>
        <w:t>Table of Contents</w:t>
      </w:r>
    </w:p>
    <w:p w14:paraId="37484EAC" w14:textId="77777777" w:rsidR="00EB4285" w:rsidRPr="00B57545" w:rsidRDefault="00EB4285" w:rsidP="00B110D2">
      <w:pPr>
        <w:pStyle w:val="Heading2"/>
        <w:numPr>
          <w:ilvl w:val="0"/>
          <w:numId w:val="4"/>
        </w:numPr>
        <w:rPr>
          <w:sz w:val="48"/>
          <w:szCs w:val="48"/>
        </w:rPr>
      </w:pPr>
      <w:r w:rsidRPr="00B57545">
        <w:rPr>
          <w:sz w:val="48"/>
          <w:szCs w:val="48"/>
        </w:rPr>
        <w:t>Introduction</w:t>
      </w:r>
    </w:p>
    <w:p w14:paraId="456428E3" w14:textId="51399611" w:rsidR="000A2B07" w:rsidRDefault="00B110D2" w:rsidP="00BD175D">
      <w:pPr>
        <w:pStyle w:val="Heading2"/>
        <w:numPr>
          <w:ilvl w:val="0"/>
          <w:numId w:val="4"/>
        </w:numPr>
        <w:rPr>
          <w:rFonts w:asciiTheme="minorBidi" w:hAnsiTheme="minorBidi"/>
          <w:sz w:val="48"/>
          <w:szCs w:val="48"/>
        </w:rPr>
      </w:pPr>
      <w:r>
        <w:rPr>
          <w:rFonts w:asciiTheme="minorBidi" w:hAnsiTheme="minorBidi"/>
          <w:sz w:val="48"/>
          <w:szCs w:val="48"/>
        </w:rPr>
        <w:t xml:space="preserve">      </w:t>
      </w:r>
      <w:r w:rsidR="000A2B07" w:rsidRPr="00B57545">
        <w:rPr>
          <w:rFonts w:asciiTheme="minorBidi" w:hAnsiTheme="minorBidi"/>
          <w:sz w:val="48"/>
          <w:szCs w:val="48"/>
        </w:rPr>
        <w:t xml:space="preserve">Summary of the chapter </w:t>
      </w:r>
      <w:r w:rsidR="00BD175D">
        <w:rPr>
          <w:rFonts w:asciiTheme="minorBidi" w:hAnsiTheme="minorBidi"/>
          <w:sz w:val="48"/>
          <w:szCs w:val="48"/>
        </w:rPr>
        <w:t xml:space="preserve">8 </w:t>
      </w:r>
      <w:r w:rsidR="000A2B07" w:rsidRPr="00B57545">
        <w:rPr>
          <w:rFonts w:asciiTheme="minorBidi" w:hAnsiTheme="minorBidi"/>
          <w:sz w:val="48"/>
          <w:szCs w:val="48"/>
        </w:rPr>
        <w:t>from the book and Evaluation of the skills</w:t>
      </w:r>
    </w:p>
    <w:p w14:paraId="5688402F" w14:textId="77777777" w:rsidR="00BD175D" w:rsidRPr="00BD175D" w:rsidRDefault="00BD175D" w:rsidP="00BD175D"/>
    <w:p w14:paraId="718FEA2F" w14:textId="77777777" w:rsidR="00EB4285" w:rsidRPr="00B57545" w:rsidRDefault="00EB4285" w:rsidP="00B57545">
      <w:pPr>
        <w:pStyle w:val="Heading2"/>
        <w:rPr>
          <w:sz w:val="48"/>
          <w:szCs w:val="48"/>
        </w:rPr>
      </w:pPr>
      <w:r w:rsidRPr="00B57545">
        <w:rPr>
          <w:sz w:val="48"/>
          <w:szCs w:val="48"/>
        </w:rPr>
        <w:t>Understanding Group Dynamics</w:t>
      </w:r>
    </w:p>
    <w:p w14:paraId="7F0A4F2C" w14:textId="3519A223" w:rsidR="00EB4285" w:rsidRPr="00B57545" w:rsidRDefault="00EB4285" w:rsidP="00B57545">
      <w:pPr>
        <w:pStyle w:val="Heading2"/>
        <w:rPr>
          <w:sz w:val="48"/>
          <w:szCs w:val="48"/>
        </w:rPr>
      </w:pPr>
      <w:r w:rsidRPr="00B57545">
        <w:rPr>
          <w:sz w:val="48"/>
          <w:szCs w:val="48"/>
        </w:rPr>
        <w:t>Establishment of a Learning Community</w:t>
      </w:r>
    </w:p>
    <w:p w14:paraId="6D313BFB" w14:textId="77777777" w:rsidR="00EB4285" w:rsidRPr="00B57545" w:rsidRDefault="00EB4285" w:rsidP="00B57545">
      <w:pPr>
        <w:pStyle w:val="Heading2"/>
        <w:rPr>
          <w:sz w:val="48"/>
          <w:szCs w:val="48"/>
        </w:rPr>
      </w:pPr>
      <w:r w:rsidRPr="00B57545">
        <w:rPr>
          <w:sz w:val="48"/>
          <w:szCs w:val="48"/>
        </w:rPr>
        <w:t>Appreciating Diverse Viewpoints</w:t>
      </w:r>
    </w:p>
    <w:p w14:paraId="4332FB4D" w14:textId="77777777" w:rsidR="00EB4285" w:rsidRPr="00B57545" w:rsidRDefault="00EB4285" w:rsidP="00B57545">
      <w:pPr>
        <w:pStyle w:val="Heading2"/>
        <w:rPr>
          <w:sz w:val="48"/>
          <w:szCs w:val="48"/>
        </w:rPr>
      </w:pPr>
      <w:r w:rsidRPr="00B57545">
        <w:rPr>
          <w:sz w:val="48"/>
          <w:szCs w:val="48"/>
        </w:rPr>
        <w:t>Developing Graduate Skills for the Labour Market</w:t>
      </w:r>
    </w:p>
    <w:p w14:paraId="0DA0B96B" w14:textId="25EFAC5B" w:rsidR="00142409" w:rsidRPr="00B57545" w:rsidRDefault="00E44DEA" w:rsidP="00E44DEA">
      <w:pPr>
        <w:pStyle w:val="Heading2"/>
        <w:rPr>
          <w:sz w:val="48"/>
          <w:szCs w:val="48"/>
        </w:rPr>
      </w:pPr>
      <w:r>
        <w:rPr>
          <w:sz w:val="48"/>
          <w:szCs w:val="48"/>
        </w:rPr>
        <w:t>4</w:t>
      </w:r>
      <w:r w:rsidR="00B24AEB">
        <w:rPr>
          <w:sz w:val="48"/>
          <w:szCs w:val="48"/>
        </w:rPr>
        <w:t>.</w:t>
      </w:r>
      <w:r w:rsidR="00EB4285" w:rsidRPr="00B57545">
        <w:rPr>
          <w:sz w:val="48"/>
          <w:szCs w:val="48"/>
        </w:rPr>
        <w:t>Conclusion</w:t>
      </w:r>
    </w:p>
    <w:p w14:paraId="1DE00270" w14:textId="156A313D" w:rsidR="001E1807" w:rsidRPr="00B57545" w:rsidRDefault="00B24AEB" w:rsidP="00B24AEB">
      <w:pPr>
        <w:pStyle w:val="Heading2"/>
        <w:rPr>
          <w:rFonts w:asciiTheme="minorBidi" w:hAnsiTheme="minorBidi"/>
          <w:sz w:val="48"/>
          <w:szCs w:val="48"/>
        </w:rPr>
      </w:pPr>
      <w:r>
        <w:rPr>
          <w:sz w:val="48"/>
          <w:szCs w:val="48"/>
        </w:rPr>
        <w:t>3.</w:t>
      </w:r>
      <w:r w:rsidR="00EB4285" w:rsidRPr="00B57545">
        <w:rPr>
          <w:sz w:val="48"/>
          <w:szCs w:val="48"/>
        </w:rPr>
        <w:t>References</w:t>
      </w:r>
    </w:p>
    <w:p w14:paraId="35CA3B7C" w14:textId="77777777" w:rsidR="001E1807" w:rsidRPr="00B23F1A" w:rsidRDefault="001E1807" w:rsidP="001E1807">
      <w:pPr>
        <w:jc w:val="both"/>
        <w:rPr>
          <w:rFonts w:asciiTheme="minorBidi" w:hAnsiTheme="minorBidi"/>
          <w:sz w:val="24"/>
          <w:szCs w:val="24"/>
        </w:rPr>
      </w:pPr>
    </w:p>
    <w:p w14:paraId="2A58D1C0" w14:textId="77777777" w:rsidR="001E1807" w:rsidRPr="00B23F1A" w:rsidRDefault="001E1807" w:rsidP="001E1807">
      <w:pPr>
        <w:jc w:val="both"/>
        <w:rPr>
          <w:rFonts w:asciiTheme="minorBidi" w:hAnsiTheme="minorBidi"/>
          <w:sz w:val="24"/>
          <w:szCs w:val="24"/>
        </w:rPr>
      </w:pPr>
    </w:p>
    <w:p w14:paraId="2C737417" w14:textId="77777777" w:rsidR="001E1807" w:rsidRPr="00B23F1A" w:rsidRDefault="001E1807" w:rsidP="001E1807">
      <w:pPr>
        <w:jc w:val="both"/>
        <w:rPr>
          <w:rFonts w:asciiTheme="minorBidi" w:hAnsiTheme="minorBidi"/>
          <w:sz w:val="24"/>
          <w:szCs w:val="24"/>
        </w:rPr>
      </w:pPr>
    </w:p>
    <w:p w14:paraId="643958D1" w14:textId="77777777" w:rsidR="001E1807" w:rsidRDefault="001E1807" w:rsidP="001E1807">
      <w:pPr>
        <w:jc w:val="both"/>
        <w:rPr>
          <w:rFonts w:asciiTheme="minorBidi" w:hAnsiTheme="minorBidi"/>
          <w:sz w:val="24"/>
          <w:szCs w:val="24"/>
        </w:rPr>
      </w:pPr>
    </w:p>
    <w:p w14:paraId="41674D62" w14:textId="77777777" w:rsidR="00B57545" w:rsidRDefault="00B57545" w:rsidP="001E1807">
      <w:pPr>
        <w:jc w:val="both"/>
        <w:rPr>
          <w:rFonts w:asciiTheme="minorBidi" w:hAnsiTheme="minorBidi"/>
          <w:sz w:val="24"/>
          <w:szCs w:val="24"/>
        </w:rPr>
      </w:pPr>
    </w:p>
    <w:p w14:paraId="1BCAB654" w14:textId="77777777" w:rsidR="00B57545" w:rsidRDefault="00B57545" w:rsidP="001E1807">
      <w:pPr>
        <w:jc w:val="both"/>
        <w:rPr>
          <w:rFonts w:asciiTheme="minorBidi" w:hAnsiTheme="minorBidi"/>
          <w:sz w:val="24"/>
          <w:szCs w:val="24"/>
        </w:rPr>
      </w:pPr>
    </w:p>
    <w:p w14:paraId="7AADB6B3" w14:textId="77777777" w:rsidR="00B57545" w:rsidRDefault="00B57545" w:rsidP="001E1807">
      <w:pPr>
        <w:jc w:val="both"/>
        <w:rPr>
          <w:rFonts w:asciiTheme="minorBidi" w:hAnsiTheme="minorBidi"/>
          <w:sz w:val="24"/>
          <w:szCs w:val="24"/>
        </w:rPr>
      </w:pPr>
    </w:p>
    <w:p w14:paraId="3AD29683" w14:textId="77777777" w:rsidR="00B57545" w:rsidRDefault="00B57545" w:rsidP="001E1807">
      <w:pPr>
        <w:jc w:val="both"/>
        <w:rPr>
          <w:rFonts w:asciiTheme="minorBidi" w:hAnsiTheme="minorBidi"/>
          <w:sz w:val="24"/>
          <w:szCs w:val="24"/>
        </w:rPr>
      </w:pPr>
    </w:p>
    <w:p w14:paraId="5A6A00D2" w14:textId="77777777" w:rsidR="00B57545" w:rsidRDefault="00B57545" w:rsidP="001E1807">
      <w:pPr>
        <w:jc w:val="both"/>
        <w:rPr>
          <w:rFonts w:asciiTheme="minorBidi" w:hAnsiTheme="minorBidi"/>
          <w:sz w:val="24"/>
          <w:szCs w:val="24"/>
        </w:rPr>
      </w:pPr>
    </w:p>
    <w:p w14:paraId="505A6D96" w14:textId="77777777" w:rsidR="00B57545" w:rsidRDefault="00B57545" w:rsidP="001E1807">
      <w:pPr>
        <w:jc w:val="both"/>
        <w:rPr>
          <w:rFonts w:asciiTheme="minorBidi" w:hAnsiTheme="minorBidi"/>
          <w:sz w:val="24"/>
          <w:szCs w:val="24"/>
        </w:rPr>
      </w:pPr>
    </w:p>
    <w:p w14:paraId="63DF5087" w14:textId="77777777" w:rsidR="00B57545" w:rsidRDefault="00B57545" w:rsidP="001E1807">
      <w:pPr>
        <w:jc w:val="both"/>
        <w:rPr>
          <w:rFonts w:asciiTheme="minorBidi" w:hAnsiTheme="minorBidi"/>
          <w:sz w:val="24"/>
          <w:szCs w:val="24"/>
        </w:rPr>
      </w:pPr>
    </w:p>
    <w:p w14:paraId="5C8D0A5A" w14:textId="77777777" w:rsidR="00B57545" w:rsidRDefault="00B57545" w:rsidP="001E1807">
      <w:pPr>
        <w:jc w:val="both"/>
        <w:rPr>
          <w:rFonts w:asciiTheme="minorBidi" w:hAnsiTheme="minorBidi"/>
          <w:sz w:val="24"/>
          <w:szCs w:val="24"/>
        </w:rPr>
      </w:pPr>
    </w:p>
    <w:p w14:paraId="1F449E0B" w14:textId="77777777" w:rsidR="00B57545" w:rsidRDefault="00B57545" w:rsidP="001E1807">
      <w:pPr>
        <w:jc w:val="both"/>
        <w:rPr>
          <w:rFonts w:asciiTheme="minorBidi" w:hAnsiTheme="minorBidi"/>
          <w:sz w:val="24"/>
          <w:szCs w:val="24"/>
        </w:rPr>
      </w:pPr>
    </w:p>
    <w:p w14:paraId="28DAB875" w14:textId="77777777" w:rsidR="00B57545" w:rsidRDefault="00B57545" w:rsidP="001E1807">
      <w:pPr>
        <w:jc w:val="both"/>
        <w:rPr>
          <w:rFonts w:asciiTheme="minorBidi" w:hAnsiTheme="minorBidi"/>
          <w:sz w:val="24"/>
          <w:szCs w:val="24"/>
        </w:rPr>
      </w:pPr>
    </w:p>
    <w:p w14:paraId="6AC36F18" w14:textId="77777777" w:rsidR="00A14F3F" w:rsidRDefault="00A14F3F" w:rsidP="00BB0DB9"/>
    <w:p w14:paraId="15DC0AD9" w14:textId="767467EA" w:rsidR="00A62A99" w:rsidRDefault="00A62A99" w:rsidP="006167B6">
      <w:pPr>
        <w:pStyle w:val="Heading2"/>
      </w:pPr>
      <w:r>
        <w:t xml:space="preserve">Introduction </w:t>
      </w:r>
    </w:p>
    <w:p w14:paraId="504EC519" w14:textId="77777777" w:rsidR="006167B6" w:rsidRPr="006167B6" w:rsidRDefault="006167B6" w:rsidP="006167B6">
      <w:pPr>
        <w:rPr>
          <w:rFonts w:ascii="Arial" w:hAnsi="Arial" w:cs="Arial"/>
        </w:rPr>
      </w:pPr>
    </w:p>
    <w:p w14:paraId="2472783B" w14:textId="5035D0F1" w:rsidR="00A62A99" w:rsidRDefault="00A62A99" w:rsidP="00BB0DB9">
      <w:pPr>
        <w:rPr>
          <w:rFonts w:ascii="Arial" w:hAnsi="Arial" w:cs="Arial"/>
          <w:kern w:val="0"/>
        </w:rPr>
      </w:pPr>
      <w:r w:rsidRPr="006167B6">
        <w:rPr>
          <w:rFonts w:ascii="Arial" w:hAnsi="Arial" w:cs="Arial"/>
          <w:kern w:val="0"/>
        </w:rPr>
        <w:t xml:space="preserve">Higher education skills are becoming more and more important for career and personal growth as the world of development changes all the </w:t>
      </w:r>
      <w:r w:rsidRPr="006167B6">
        <w:rPr>
          <w:rFonts w:ascii="Arial" w:hAnsi="Arial" w:cs="Arial"/>
          <w:kern w:val="0"/>
        </w:rPr>
        <w:t>time. This</w:t>
      </w:r>
      <w:r w:rsidRPr="006167B6">
        <w:rPr>
          <w:rFonts w:ascii="Arial" w:hAnsi="Arial" w:cs="Arial"/>
          <w:kern w:val="0"/>
        </w:rPr>
        <w:t xml:space="preserve"> report draws upon Stella Cottrell's insights from Chapter 8 of "The Study Skills Handbook," emphasizing the significance of group dynamics, the establishment of learning communities, appreciation of diverse viewpoints, and the development of graduate skills for the </w:t>
      </w:r>
      <w:r w:rsidRPr="006167B6">
        <w:rPr>
          <w:rFonts w:ascii="Arial" w:hAnsi="Arial" w:cs="Arial"/>
          <w:kern w:val="0"/>
        </w:rPr>
        <w:t>labour</w:t>
      </w:r>
      <w:r w:rsidRPr="006167B6">
        <w:rPr>
          <w:rFonts w:ascii="Arial" w:hAnsi="Arial" w:cs="Arial"/>
          <w:kern w:val="0"/>
        </w:rPr>
        <w:t xml:space="preserve"> market. The discussion herein delves into the multifaceted nature of these skills, exploring their relevance and application in various professional and educational contexts. By integrating academic literature and practical examples, this report aims to provide a comprehensive understanding of how these skills contribute to future personal and professional development, underscoring the importance of their cultivation and application in real-world scenarios.</w:t>
      </w:r>
    </w:p>
    <w:p w14:paraId="6084BE5A" w14:textId="77777777" w:rsidR="007F591B" w:rsidRDefault="007F591B" w:rsidP="00BB0DB9">
      <w:pPr>
        <w:rPr>
          <w:rFonts w:ascii="Arial" w:hAnsi="Arial" w:cs="Arial"/>
          <w:kern w:val="0"/>
        </w:rPr>
      </w:pPr>
    </w:p>
    <w:p w14:paraId="67D03B9C" w14:textId="75078276" w:rsidR="007F591B" w:rsidRPr="006167B6" w:rsidRDefault="001B4C51" w:rsidP="001B4C51">
      <w:pPr>
        <w:pStyle w:val="Heading2"/>
        <w:rPr>
          <w:rFonts w:ascii="Arial" w:hAnsi="Arial" w:cs="Arial"/>
          <w:kern w:val="0"/>
          <w:sz w:val="22"/>
          <w:szCs w:val="22"/>
        </w:rPr>
      </w:pPr>
      <w:r w:rsidRPr="00B57545">
        <w:t xml:space="preserve">Summary of the chapter </w:t>
      </w:r>
      <w:r>
        <w:t xml:space="preserve">8 </w:t>
      </w:r>
      <w:r w:rsidRPr="00B57545">
        <w:t>from the book and Evaluation of the skills</w:t>
      </w:r>
    </w:p>
    <w:p w14:paraId="002667D1" w14:textId="77777777" w:rsidR="00647D37" w:rsidRDefault="00647D37" w:rsidP="00BB0DB9">
      <w:pPr>
        <w:rPr>
          <w:rFonts w:ascii="Arial" w:hAnsi="Arial" w:cs="Arial"/>
          <w:b/>
          <w:bCs/>
        </w:rPr>
      </w:pPr>
    </w:p>
    <w:p w14:paraId="5BB2D39D" w14:textId="0DA14D7D" w:rsidR="00BB0DB9" w:rsidRPr="006167B6" w:rsidRDefault="00BB0DB9" w:rsidP="00BB0DB9">
      <w:pPr>
        <w:rPr>
          <w:rFonts w:ascii="Arial" w:hAnsi="Arial" w:cs="Arial"/>
          <w:b/>
          <w:bCs/>
        </w:rPr>
      </w:pPr>
      <w:r w:rsidRPr="006167B6">
        <w:rPr>
          <w:rFonts w:ascii="Arial" w:hAnsi="Arial" w:cs="Arial"/>
          <w:b/>
          <w:bCs/>
        </w:rPr>
        <w:t>The understanding of group dynamics</w:t>
      </w:r>
    </w:p>
    <w:p w14:paraId="09753073" w14:textId="3B9D8538" w:rsidR="00D21776" w:rsidRPr="006167B6" w:rsidRDefault="00BB0DB9" w:rsidP="00BB0DB9">
      <w:pPr>
        <w:rPr>
          <w:rFonts w:ascii="Arial" w:hAnsi="Arial" w:cs="Arial"/>
        </w:rPr>
      </w:pPr>
      <w:r w:rsidRPr="006167B6">
        <w:rPr>
          <w:rFonts w:ascii="Arial" w:hAnsi="Arial" w:cs="Arial"/>
        </w:rPr>
        <w:t xml:space="preserve">Understanding group dynamics is crucial in collaborative </w:t>
      </w:r>
      <w:r w:rsidR="009C5426" w:rsidRPr="006167B6">
        <w:rPr>
          <w:rFonts w:ascii="Arial" w:hAnsi="Arial" w:cs="Arial"/>
        </w:rPr>
        <w:t>endeavours</w:t>
      </w:r>
      <w:r w:rsidRPr="006167B6">
        <w:rPr>
          <w:rFonts w:ascii="Arial" w:hAnsi="Arial" w:cs="Arial"/>
        </w:rPr>
        <w:t>, as illustrated by Griffith and Dunham (2014</w:t>
      </w:r>
      <w:r w:rsidR="009C5426" w:rsidRPr="006167B6">
        <w:rPr>
          <w:rFonts w:ascii="Arial" w:hAnsi="Arial" w:cs="Arial"/>
        </w:rPr>
        <w:t>).</w:t>
      </w:r>
      <w:r w:rsidRPr="006167B6">
        <w:rPr>
          <w:rFonts w:ascii="Arial" w:hAnsi="Arial" w:cs="Arial"/>
        </w:rPr>
        <w:t xml:space="preserve"> They emphasize the significance of role clarity within teams. Ambiguity in roles often leads to frustration and impaired group performance. Conversely, a clear comprehension of each member's role can reduce misunderstandings and enhance team effectiveness. Forsyth (2006</w:t>
      </w:r>
      <w:r w:rsidR="009C5426" w:rsidRPr="006167B6">
        <w:rPr>
          <w:rFonts w:ascii="Arial" w:hAnsi="Arial" w:cs="Arial"/>
        </w:rPr>
        <w:t>) categorizes</w:t>
      </w:r>
      <w:r w:rsidRPr="006167B6">
        <w:rPr>
          <w:rFonts w:ascii="Arial" w:hAnsi="Arial" w:cs="Arial"/>
        </w:rPr>
        <w:t xml:space="preserve"> team roles into task roles, relationship roles, and individual roles. Task roles, focused on goal achievement, involve critical thinking and problem-solving, propelling the group towards productivity. For example, a team leader who takes on the role of a facilitator ensures that the team stays on track and meets its objectives. Relationship roles, as elucidated by Ilgen, Hollenbeck, Johnson, &amp; Jundt (2005</w:t>
      </w:r>
      <w:r w:rsidR="009C5426" w:rsidRPr="006167B6">
        <w:rPr>
          <w:rFonts w:ascii="Arial" w:hAnsi="Arial" w:cs="Arial"/>
        </w:rPr>
        <w:t>),</w:t>
      </w:r>
      <w:r w:rsidRPr="006167B6">
        <w:rPr>
          <w:rFonts w:ascii="Arial" w:hAnsi="Arial" w:cs="Arial"/>
        </w:rPr>
        <w:t xml:space="preserve"> are crucial for group cohesion and involve building trust and member satisfaction. An example of a relationship role is a team member who acts as a mediator during conflicts, helping to maintain harmony within the group. On the other hand, individual roles often disrupt group goals, acting as a hindrance more than a help. Therefore, it is important to manage individual roles effectively within the team context.</w:t>
      </w:r>
      <w:r w:rsidR="009C5426" w:rsidRPr="006167B6">
        <w:rPr>
          <w:rFonts w:ascii="Arial" w:hAnsi="Arial" w:cs="Arial"/>
        </w:rPr>
        <w:t xml:space="preserve"> </w:t>
      </w:r>
      <w:r w:rsidRPr="006167B6">
        <w:rPr>
          <w:rFonts w:ascii="Arial" w:hAnsi="Arial" w:cs="Arial"/>
        </w:rPr>
        <w:t>Griffith and Dunham (2014)</w:t>
      </w:r>
      <w:r w:rsidRPr="006167B6">
        <w:rPr>
          <w:rFonts w:ascii="Arial" w:hAnsi="Arial" w:cs="Arial"/>
        </w:rPr>
        <w:t xml:space="preserve"> </w:t>
      </w:r>
      <w:r w:rsidRPr="006167B6">
        <w:rPr>
          <w:rFonts w:ascii="Arial" w:hAnsi="Arial" w:cs="Arial"/>
        </w:rPr>
        <w:t>also shed light on the importance of role flexibility within teams. Drawing from family systems theory, they suggest that allowing team members to experiment with different roles can prevent stagnation and foster group and personal development. For instance, in a team setting where a member is traditionally assigned the role of a "recorder," they might benefit from and contribute more by taking on different responsibilities, such as being a facilitator or a researcher.</w:t>
      </w:r>
      <w:r w:rsidRPr="006167B6">
        <w:rPr>
          <w:rFonts w:ascii="Arial" w:hAnsi="Arial" w:cs="Arial"/>
        </w:rPr>
        <w:t xml:space="preserve"> </w:t>
      </w:r>
      <w:r w:rsidR="009C5426" w:rsidRPr="006167B6">
        <w:rPr>
          <w:rFonts w:ascii="Arial" w:hAnsi="Arial" w:cs="Arial"/>
        </w:rPr>
        <w:t>Also</w:t>
      </w:r>
      <w:r w:rsidRPr="006167B6">
        <w:rPr>
          <w:rFonts w:ascii="Arial" w:hAnsi="Arial" w:cs="Arial"/>
        </w:rPr>
        <w:t xml:space="preserve">, effective group dynamics involve proficient conflict management and building consensus. Disagreements are common in team environments, and their resolution is pivotal to a team's efficiency. Strategies such as active listening and compromise can transform potential conflicts into opportunities for innovation and team growth. For example, when team members have differing opinions on a project approach, actively listening to each other's </w:t>
      </w:r>
      <w:r w:rsidR="009C5426" w:rsidRPr="006167B6">
        <w:rPr>
          <w:rFonts w:ascii="Arial" w:hAnsi="Arial" w:cs="Arial"/>
        </w:rPr>
        <w:t>perspectives,</w:t>
      </w:r>
      <w:r w:rsidRPr="006167B6">
        <w:rPr>
          <w:rFonts w:ascii="Arial" w:hAnsi="Arial" w:cs="Arial"/>
        </w:rPr>
        <w:t xml:space="preserve"> and finding a middle ground can lead to a more robust and creative </w:t>
      </w:r>
      <w:r w:rsidRPr="006167B6">
        <w:rPr>
          <w:rFonts w:ascii="Arial" w:hAnsi="Arial" w:cs="Arial"/>
        </w:rPr>
        <w:t>solution.</w:t>
      </w:r>
    </w:p>
    <w:p w14:paraId="0B1ED1B8" w14:textId="6EA80F44" w:rsidR="00D21776" w:rsidRPr="00647D37" w:rsidRDefault="00D21776" w:rsidP="00BB0DB9">
      <w:pPr>
        <w:rPr>
          <w:rFonts w:ascii="Arial" w:hAnsi="Arial" w:cs="Arial"/>
          <w:b/>
          <w:bCs/>
        </w:rPr>
      </w:pPr>
      <w:r w:rsidRPr="00647D37">
        <w:rPr>
          <w:rFonts w:ascii="Arial" w:hAnsi="Arial" w:cs="Arial"/>
          <w:b/>
          <w:bCs/>
        </w:rPr>
        <w:t>The establishment of a learning community</w:t>
      </w:r>
    </w:p>
    <w:p w14:paraId="5D476657" w14:textId="0DC3413C" w:rsidR="00D21776" w:rsidRPr="006167B6" w:rsidRDefault="00D21776" w:rsidP="00BB0DB9">
      <w:pPr>
        <w:rPr>
          <w:rFonts w:ascii="Arial" w:hAnsi="Arial" w:cs="Arial"/>
        </w:rPr>
      </w:pPr>
      <w:r w:rsidRPr="006167B6">
        <w:rPr>
          <w:rFonts w:ascii="Arial" w:hAnsi="Arial" w:cs="Arial"/>
        </w:rPr>
        <w:t xml:space="preserve">The establishment of a learning community is a fundamental element in the context of collaborative study. This notion transcends the scope of mere collaborative efforts, as it </w:t>
      </w:r>
      <w:r w:rsidRPr="006167B6">
        <w:rPr>
          <w:rFonts w:ascii="Arial" w:hAnsi="Arial" w:cs="Arial"/>
        </w:rPr>
        <w:lastRenderedPageBreak/>
        <w:t xml:space="preserve">encompasses the establishment of a conducive setting wherein the exchange of knowledge and talents occurs unreservedly, fostering an atmosphere where every participant is esteemed and assisted. Within these communities, individuals acquire knowledge and understanding not only through the presented content or assigned duties, but also through the shared experiences and perspectives of their fellow members (Cortell, 2019). In an academic context, a study group could potentially comprise individuals from diverse academic backgrounds, thereby contributing distinct viewpoints to the discourse and enhancing the educational encounter. The phenomenon known as the cohort effect, in which students who are part of </w:t>
      </w:r>
      <w:r w:rsidRPr="006167B6">
        <w:rPr>
          <w:rFonts w:ascii="Arial" w:hAnsi="Arial" w:cs="Arial"/>
        </w:rPr>
        <w:t>tightly knit</w:t>
      </w:r>
      <w:r w:rsidRPr="006167B6">
        <w:rPr>
          <w:rFonts w:ascii="Arial" w:hAnsi="Arial" w:cs="Arial"/>
        </w:rPr>
        <w:t xml:space="preserve"> groups demonstrate higher academic performance, serves as evidence supporting the efficacy of learning communities. The </w:t>
      </w:r>
      <w:r w:rsidR="00550BE8" w:rsidRPr="006167B6">
        <w:rPr>
          <w:rFonts w:ascii="Arial" w:hAnsi="Arial" w:cs="Arial"/>
        </w:rPr>
        <w:t>phenomena</w:t>
      </w:r>
      <w:r w:rsidRPr="006167B6">
        <w:rPr>
          <w:rFonts w:ascii="Arial" w:hAnsi="Arial" w:cs="Arial"/>
        </w:rPr>
        <w:t xml:space="preserve"> </w:t>
      </w:r>
      <w:r w:rsidR="00550BE8" w:rsidRPr="006167B6">
        <w:rPr>
          <w:rFonts w:ascii="Arial" w:hAnsi="Arial" w:cs="Arial"/>
        </w:rPr>
        <w:t>are</w:t>
      </w:r>
      <w:r w:rsidRPr="006167B6">
        <w:rPr>
          <w:rFonts w:ascii="Arial" w:hAnsi="Arial" w:cs="Arial"/>
        </w:rPr>
        <w:t xml:space="preserve"> commonly observed within academic environments, as cohorts engaged in collaborative studying frequently inspire one another, resulting in enhanced levels of overall academic performance (van Uden et al., 2013). For example, a study group that is engaged in preparation for a competitive examination can utilise the cohort effect by engaging in regular discussions on relevant topics, exchanging resources, and providing mutual encouragement. This collaborative approach fosters a more dynamic and efficient learning environment.</w:t>
      </w:r>
    </w:p>
    <w:p w14:paraId="69448068" w14:textId="5030D7CE" w:rsidR="00550BE8" w:rsidRPr="00647D37" w:rsidRDefault="00550BE8" w:rsidP="00550BE8">
      <w:pPr>
        <w:autoSpaceDE w:val="0"/>
        <w:autoSpaceDN w:val="0"/>
        <w:adjustRightInd w:val="0"/>
        <w:spacing w:after="200" w:line="276" w:lineRule="auto"/>
        <w:rPr>
          <w:rFonts w:ascii="Arial" w:hAnsi="Arial" w:cs="Arial"/>
          <w:b/>
          <w:bCs/>
          <w:kern w:val="0"/>
        </w:rPr>
      </w:pPr>
      <w:r w:rsidRPr="00647D37">
        <w:rPr>
          <w:rFonts w:ascii="Arial" w:hAnsi="Arial" w:cs="Arial"/>
          <w:b/>
          <w:bCs/>
          <w:kern w:val="0"/>
        </w:rPr>
        <w:t>Appreciating Diverse Viewpoints:</w:t>
      </w:r>
    </w:p>
    <w:p w14:paraId="30642F19" w14:textId="0DD0188F" w:rsidR="00735014" w:rsidRPr="006167B6" w:rsidRDefault="00550BE8" w:rsidP="00550BE8">
      <w:pPr>
        <w:rPr>
          <w:rFonts w:ascii="Arial" w:hAnsi="Arial" w:cs="Arial"/>
        </w:rPr>
      </w:pPr>
      <w:r w:rsidRPr="006167B6">
        <w:rPr>
          <w:rFonts w:ascii="Arial" w:hAnsi="Arial" w:cs="Arial"/>
        </w:rPr>
        <w:t xml:space="preserve">In the present-day context of globalisation, the recognition and incorporation of other perspectives have emerged as a crucial need, surpassing the status of a basic skill to assume the status of an indispensable requirement. The contemporary work and study contexts exhibit a growing trend towards multiculturalism and </w:t>
      </w:r>
      <w:r w:rsidRPr="006167B6">
        <w:rPr>
          <w:rFonts w:ascii="Arial" w:hAnsi="Arial" w:cs="Arial"/>
        </w:rPr>
        <w:t>multidisciplinary</w:t>
      </w:r>
      <w:r w:rsidRPr="006167B6">
        <w:rPr>
          <w:rFonts w:ascii="Arial" w:hAnsi="Arial" w:cs="Arial"/>
        </w:rPr>
        <w:t>, wherein persons from many backgrounds and experiences converge. The presence of a wide range of perspectives and backgrounds is crucial in promoting innovation and facilitating the development of comprehensive problem-solving strategies. In the context of a multinational corporation, a team of individuals from diverse national backgrounds can leverage their distinct cultural perspectives to develop marketing strategies that are both comprehensive and impactful on a worldwide level. This practise not only contributes to improved business outcomes but also fosters a workplace environment that values inclusivity and respect, placing a high emphasis on open-mindedness and adaptation. Likewise, within the context of a project aimed at addressing a social concern, the inclusion of team members from diverse socio-economic backgrounds contributes to the team's comprehension and efficacy in addressing the issue at hand.</w:t>
      </w:r>
      <w:r w:rsidRPr="006167B6">
        <w:rPr>
          <w:rFonts w:ascii="Arial" w:hAnsi="Arial" w:cs="Arial"/>
        </w:rPr>
        <w:t xml:space="preserve"> </w:t>
      </w:r>
      <w:r w:rsidRPr="006167B6">
        <w:rPr>
          <w:rFonts w:ascii="Arial" w:hAnsi="Arial" w:cs="Arial"/>
        </w:rPr>
        <w:t xml:space="preserve">The significance of embracing varied ideas is emphasised as a strategy for recognising the advantages of integrating multiple perspectives (Cottrell, Year). This phenomenon is notably apparent within the domain of higher education, as students encounter a multitude of human diversity encompassing novel individuals, concepts, ways of life, and a range of racial, ethnic, religious, and sexual orientations, alongside divergent moral </w:t>
      </w:r>
      <w:r w:rsidRPr="006167B6">
        <w:rPr>
          <w:rFonts w:ascii="Arial" w:hAnsi="Arial" w:cs="Arial"/>
        </w:rPr>
        <w:t>convictions,</w:t>
      </w:r>
      <w:r w:rsidRPr="006167B6">
        <w:rPr>
          <w:rFonts w:ascii="Arial" w:hAnsi="Arial" w:cs="Arial"/>
        </w:rPr>
        <w:t xml:space="preserve"> and principles. The exposure to many perspectives, together with the institutional effort to promote and appreciate this variety inside and beyond the campus, is an essential component of the college experience. Chávez, Guido-DeBrito, and Mallory (2003) have underscored the notion that contemporary higher education encompasses a diverse amalgamation of ethnic, religious, cultural, and ideological perspectives. According to Dalton and Crosby (2013), the presence of various age groups, genders, physical abilities, languages, and values contributes to the enrichment of the melting pot seen in American colleges and universities. As a result, the experience at these institutions offers a deep immersion in the diverse manifestations of human variety.</w:t>
      </w:r>
    </w:p>
    <w:p w14:paraId="4654F8A7" w14:textId="77777777" w:rsidR="007136D5" w:rsidRPr="006167B6" w:rsidRDefault="007136D5" w:rsidP="00550BE8">
      <w:pPr>
        <w:rPr>
          <w:rFonts w:ascii="Arial" w:hAnsi="Arial" w:cs="Arial"/>
        </w:rPr>
      </w:pPr>
    </w:p>
    <w:p w14:paraId="2485537F" w14:textId="79CDEAAB" w:rsidR="007136D5" w:rsidRPr="00647D37" w:rsidRDefault="007136D5" w:rsidP="007136D5">
      <w:pPr>
        <w:rPr>
          <w:rFonts w:ascii="Arial" w:hAnsi="Arial" w:cs="Arial"/>
          <w:b/>
          <w:bCs/>
        </w:rPr>
      </w:pPr>
      <w:r w:rsidRPr="00647D37">
        <w:rPr>
          <w:rFonts w:ascii="Arial" w:hAnsi="Arial" w:cs="Arial"/>
          <w:b/>
          <w:bCs/>
        </w:rPr>
        <w:t>Developing Graduate Skills for the Labour Market:</w:t>
      </w:r>
    </w:p>
    <w:p w14:paraId="134D60C3" w14:textId="6B1AAF8F" w:rsidR="007136D5" w:rsidRPr="006167B6" w:rsidRDefault="007136D5" w:rsidP="007136D5">
      <w:pPr>
        <w:rPr>
          <w:rFonts w:ascii="Arial" w:hAnsi="Arial" w:cs="Arial"/>
        </w:rPr>
      </w:pPr>
      <w:r w:rsidRPr="006167B6">
        <w:rPr>
          <w:rFonts w:ascii="Arial" w:hAnsi="Arial" w:cs="Arial"/>
        </w:rPr>
        <w:lastRenderedPageBreak/>
        <w:t>The skills that are addressed in this chapter exceed the boundaries of academia and are crucial for achieving success in the current professional landscape. There is an increasing trend among employers to prioritise individuals that exhibit proficiency in team collaboration, good communication, and the capacity to navigate varied perspectives. Interpersonal skills hold significant importance in the context of numerous graduate employment opportunities, frequently exerting a</w:t>
      </w:r>
      <w:r w:rsidR="00A62A99" w:rsidRPr="006167B6">
        <w:rPr>
          <w:rFonts w:ascii="Arial" w:hAnsi="Arial" w:cs="Arial"/>
        </w:rPr>
        <w:t xml:space="preserve"> </w:t>
      </w:r>
      <w:r w:rsidRPr="006167B6">
        <w:rPr>
          <w:rFonts w:ascii="Arial" w:hAnsi="Arial" w:cs="Arial"/>
        </w:rPr>
        <w:t xml:space="preserve">determining influence on the outcome of recruiting decisions. In various industries such as engineering, healthcare, and business, it is common for professionals to engage in collaborative teamwork to develop solutions, manage projects, and provide services. Consequently, the capacity to operate harmoniously as a team is of utmost importance for advancing one's career and achieving success. Furthermore, it should be noted that these abilities are not limited to conventional job settings; they hold similar importance in entrepreneurial endeavours, research collectives, and non-profit entities. As an illustration, it is imperative for a founder of a company to engage in efficient collaboration with a team that encompasses individuals from various backgrounds </w:t>
      </w:r>
      <w:r w:rsidR="006F587B" w:rsidRPr="006167B6">
        <w:rPr>
          <w:rFonts w:ascii="Arial" w:hAnsi="Arial" w:cs="Arial"/>
        </w:rPr>
        <w:t>to</w:t>
      </w:r>
      <w:r w:rsidRPr="006167B6">
        <w:rPr>
          <w:rFonts w:ascii="Arial" w:hAnsi="Arial" w:cs="Arial"/>
        </w:rPr>
        <w:t xml:space="preserve"> effectively promote a product or service. Similarly, researchers heavily depend on teamwork to carry out investigations, produce scholarly articles, and distribute their discoveries to the wider academic community.</w:t>
      </w:r>
      <w:r w:rsidR="006F587B" w:rsidRPr="006167B6">
        <w:rPr>
          <w:rFonts w:ascii="Arial" w:hAnsi="Arial" w:cs="Arial"/>
        </w:rPr>
        <w:t xml:space="preserve"> </w:t>
      </w:r>
      <w:r w:rsidRPr="006167B6">
        <w:rPr>
          <w:rFonts w:ascii="Arial" w:hAnsi="Arial" w:cs="Arial"/>
        </w:rPr>
        <w:t xml:space="preserve">Chapter 8 of Cortell's (2019) work emphasises the importance of collaborative endeavours inside academic environments, such as seminars or group tutorials, as a valuable avenue for cultivating essential skills relevant to future employment or engagement in research teams. The </w:t>
      </w:r>
      <w:r w:rsidRPr="006167B6">
        <w:rPr>
          <w:rFonts w:ascii="Arial" w:hAnsi="Arial" w:cs="Arial"/>
        </w:rPr>
        <w:t>qualities</w:t>
      </w:r>
      <w:r w:rsidRPr="006167B6">
        <w:rPr>
          <w:rFonts w:ascii="Arial" w:hAnsi="Arial" w:cs="Arial"/>
        </w:rPr>
        <w:t xml:space="preserve"> encompass active engagement within an educational community, appreciation for a wide range of perspectives, and the utilisation of diverse learning approaches such as social learning, collaborative tasks, and discourse. The chapter also emphasises the 'cohort effect', which refers to the phenomenon where students who are part of </w:t>
      </w:r>
      <w:r w:rsidRPr="006167B6">
        <w:rPr>
          <w:rFonts w:ascii="Arial" w:hAnsi="Arial" w:cs="Arial"/>
        </w:rPr>
        <w:t>tightly knit</w:t>
      </w:r>
      <w:r w:rsidRPr="006167B6">
        <w:rPr>
          <w:rFonts w:ascii="Arial" w:hAnsi="Arial" w:cs="Arial"/>
        </w:rPr>
        <w:t xml:space="preserve"> groups demonstrate higher levels of academic achievement. This is attributed to the mutual support and encouragement they provide to one another, leading to increased course completion rates and the attainment of high academic </w:t>
      </w:r>
      <w:r w:rsidRPr="006167B6">
        <w:rPr>
          <w:rFonts w:ascii="Arial" w:hAnsi="Arial" w:cs="Arial"/>
        </w:rPr>
        <w:t>standards. Moreover</w:t>
      </w:r>
      <w:r w:rsidRPr="006167B6">
        <w:rPr>
          <w:rFonts w:ascii="Arial" w:hAnsi="Arial" w:cs="Arial"/>
        </w:rPr>
        <w:t>, recent studies have unveiled intricacies within the labour market for those with advanced degrees. Research indicates that there is an excess of individuals with graduate degrees in relation to the number of conventional graduate work opportunities, resulting in a frequent occurrence of graduates accepting employment positions that require lesser levels of expertise (James et al., 2013). The phenomenon referred to as the 'graduate cascade' denotes a pattern in which individuals with higher education degrees are progressively occupying positions that were traditionally designated for non-graduates, professions that historically need lower levels of qualifications. Furthermore, while the emphasis placed on graduate skills, there exists empirical evidence indicating a lack of optimal use of those talents within professional environments. Employers frequently prioritise a more comprehensive array of competencies that extend beyond just academic credentials. The aforementioned situation emphasises the necessity for a more profound comprehension of graduate competencies and their use in diverse professional environments, hence emphasising the significance of abilities cultivated beyond formal educational settings (James et al., 2013).Hence, educational establishments and policymakers must modify their strategies in order to better synchronise the capabilities of graduates with the demands of the job market, acknowledging the wider range of talents that graduates possess for employment. The user's text does not contain any information to rewrite academically.</w:t>
      </w:r>
    </w:p>
    <w:p w14:paraId="017327E2" w14:textId="77777777" w:rsidR="00A62A99" w:rsidRPr="006167B6" w:rsidRDefault="00A62A99" w:rsidP="007136D5">
      <w:pPr>
        <w:rPr>
          <w:sz w:val="32"/>
          <w:szCs w:val="32"/>
        </w:rPr>
      </w:pPr>
    </w:p>
    <w:p w14:paraId="54F14C1D" w14:textId="56F581F6" w:rsidR="006167B6" w:rsidRPr="00647D37" w:rsidRDefault="00A62A99" w:rsidP="00647D37">
      <w:pPr>
        <w:pStyle w:val="Heading2"/>
        <w:rPr>
          <w:sz w:val="32"/>
          <w:szCs w:val="32"/>
        </w:rPr>
      </w:pPr>
      <w:r w:rsidRPr="006167B6">
        <w:rPr>
          <w:sz w:val="32"/>
          <w:szCs w:val="32"/>
        </w:rPr>
        <w:t xml:space="preserve">Conclusion: </w:t>
      </w:r>
    </w:p>
    <w:p w14:paraId="55525BB7" w14:textId="70592E39" w:rsidR="00A62A99" w:rsidRPr="006167B6" w:rsidRDefault="00A14F3F" w:rsidP="007136D5">
      <w:pPr>
        <w:rPr>
          <w:rFonts w:ascii="Arial" w:hAnsi="Arial" w:cs="Arial"/>
        </w:rPr>
      </w:pPr>
      <w:r w:rsidRPr="006167B6">
        <w:rPr>
          <w:rFonts w:ascii="Arial" w:hAnsi="Arial" w:cs="Arial"/>
        </w:rPr>
        <w:t xml:space="preserve">This look at the important skills for personal and professional growth, as explained in Cottrell's "The Study Skills Handbook," shows how complex the skills that are needed to do well in today's fast-paced work market and school settings are. The talks about graduate </w:t>
      </w:r>
      <w:r w:rsidRPr="006167B6">
        <w:rPr>
          <w:rFonts w:ascii="Arial" w:hAnsi="Arial" w:cs="Arial"/>
        </w:rPr>
        <w:lastRenderedPageBreak/>
        <w:t xml:space="preserve">skills, learning communities, different points of view, and group interactions show how complicated and linked these skills are. They show how important it is for people to change, adapt, and keep improving these skills </w:t>
      </w:r>
      <w:proofErr w:type="gramStart"/>
      <w:r w:rsidRPr="006167B6">
        <w:rPr>
          <w:rFonts w:ascii="Arial" w:hAnsi="Arial" w:cs="Arial"/>
        </w:rPr>
        <w:t>in order to</w:t>
      </w:r>
      <w:proofErr w:type="gramEnd"/>
      <w:r w:rsidRPr="006167B6">
        <w:rPr>
          <w:rFonts w:ascii="Arial" w:hAnsi="Arial" w:cs="Arial"/>
        </w:rPr>
        <w:t xml:space="preserve"> stay useful and successful in their personal and work lives. This study shows that these skills are not only needed for school, but they are also needed to deal with the challenges and opportunities of today. This means that schools, policymakers, and individuals must make it a priority to learn and use these skills, making sure that people are ready to meet the needs of a society that is becoming more globalised and complicated.</w:t>
      </w:r>
    </w:p>
    <w:p w14:paraId="62109197" w14:textId="77777777" w:rsidR="009C5426" w:rsidRDefault="009C5426" w:rsidP="00BB0DB9"/>
    <w:p w14:paraId="23F0AC71" w14:textId="77777777" w:rsidR="009C5426" w:rsidRDefault="009C5426" w:rsidP="00BB0DB9"/>
    <w:p w14:paraId="56DC077C" w14:textId="77777777" w:rsidR="00647D37" w:rsidRDefault="00647D37" w:rsidP="00647D37"/>
    <w:p w14:paraId="59F48949" w14:textId="77777777" w:rsidR="00647D37" w:rsidRPr="00647D37" w:rsidRDefault="00647D37" w:rsidP="00647D37"/>
    <w:p w14:paraId="6812C0E7" w14:textId="76DB48B9" w:rsidR="009C5426" w:rsidRPr="006167B6" w:rsidRDefault="009C5426" w:rsidP="006167B6">
      <w:pPr>
        <w:pStyle w:val="Heading2"/>
        <w:rPr>
          <w:sz w:val="32"/>
          <w:szCs w:val="32"/>
        </w:rPr>
      </w:pPr>
      <w:r w:rsidRPr="006167B6">
        <w:rPr>
          <w:sz w:val="32"/>
          <w:szCs w:val="32"/>
        </w:rPr>
        <w:t>References</w:t>
      </w:r>
    </w:p>
    <w:p w14:paraId="48E9CA13" w14:textId="77777777" w:rsidR="00B06B6D" w:rsidRPr="00052576" w:rsidRDefault="00B06B6D" w:rsidP="00BB0DB9">
      <w:pPr>
        <w:rPr>
          <w:rFonts w:cstheme="minorHAnsi"/>
        </w:rPr>
      </w:pPr>
      <w:r w:rsidRPr="00052576">
        <w:rPr>
          <w:rFonts w:cstheme="minorHAnsi"/>
          <w:color w:val="555555"/>
          <w:shd w:val="clear" w:color="auto" w:fill="FFFFFF"/>
        </w:rPr>
        <w:t xml:space="preserve">Cottrell, S 2019, The Study Skills Handbook, Bloomsbury Publishing Plc, London. Available from: ProQuest </w:t>
      </w:r>
      <w:proofErr w:type="spellStart"/>
      <w:r w:rsidRPr="00052576">
        <w:rPr>
          <w:rFonts w:cstheme="minorHAnsi"/>
          <w:color w:val="555555"/>
          <w:shd w:val="clear" w:color="auto" w:fill="FFFFFF"/>
        </w:rPr>
        <w:t>Ebook</w:t>
      </w:r>
      <w:proofErr w:type="spellEnd"/>
      <w:r w:rsidRPr="00052576">
        <w:rPr>
          <w:rFonts w:cstheme="minorHAnsi"/>
          <w:color w:val="555555"/>
          <w:shd w:val="clear" w:color="auto" w:fill="FFFFFF"/>
        </w:rPr>
        <w:t xml:space="preserve"> Central. [22 November 2023].</w:t>
      </w:r>
    </w:p>
    <w:p w14:paraId="4BFA0C80" w14:textId="77777777" w:rsidR="00B06B6D" w:rsidRPr="00052576" w:rsidRDefault="00B06B6D" w:rsidP="00BB0DB9">
      <w:pPr>
        <w:rPr>
          <w:rFonts w:cstheme="minorHAnsi"/>
          <w:color w:val="555555"/>
          <w:shd w:val="clear" w:color="auto" w:fill="FFFFFF"/>
        </w:rPr>
      </w:pPr>
      <w:r w:rsidRPr="00052576">
        <w:rPr>
          <w:rFonts w:cstheme="minorHAnsi"/>
          <w:color w:val="555555"/>
          <w:shd w:val="clear" w:color="auto" w:fill="FFFFFF"/>
        </w:rPr>
        <w:t xml:space="preserve">DALTON, J.C. and CROSBY, P.C., 2013. Diversity Multiculturalism and Pluralism: Moving </w:t>
      </w:r>
      <w:proofErr w:type="gramStart"/>
      <w:r w:rsidRPr="00052576">
        <w:rPr>
          <w:rFonts w:cstheme="minorHAnsi"/>
          <w:color w:val="555555"/>
          <w:shd w:val="clear" w:color="auto" w:fill="FFFFFF"/>
        </w:rPr>
        <w:t>From</w:t>
      </w:r>
      <w:proofErr w:type="gramEnd"/>
      <w:r w:rsidRPr="00052576">
        <w:rPr>
          <w:rFonts w:cstheme="minorHAnsi"/>
          <w:color w:val="555555"/>
          <w:shd w:val="clear" w:color="auto" w:fill="FFFFFF"/>
        </w:rPr>
        <w:t xml:space="preserve"> Hospitality and Appreciation to Social Inclusion on Campus and Beyond. </w:t>
      </w:r>
      <w:r w:rsidRPr="00052576">
        <w:rPr>
          <w:rFonts w:cstheme="minorHAnsi"/>
          <w:i/>
          <w:iCs/>
          <w:color w:val="555555"/>
          <w:shd w:val="clear" w:color="auto" w:fill="FFFFFF"/>
        </w:rPr>
        <w:t>Journal of College and Character, </w:t>
      </w:r>
      <w:r w:rsidRPr="00052576">
        <w:rPr>
          <w:rFonts w:cstheme="minorHAnsi"/>
          <w:b/>
          <w:bCs/>
          <w:color w:val="555555"/>
          <w:shd w:val="clear" w:color="auto" w:fill="FFFFFF"/>
        </w:rPr>
        <w:t>14</w:t>
      </w:r>
      <w:r w:rsidRPr="00052576">
        <w:rPr>
          <w:rFonts w:cstheme="minorHAnsi"/>
          <w:color w:val="555555"/>
          <w:shd w:val="clear" w:color="auto" w:fill="FFFFFF"/>
        </w:rPr>
        <w:t>(4), pp. 281-288.</w:t>
      </w:r>
    </w:p>
    <w:p w14:paraId="52BE5CEC" w14:textId="77777777" w:rsidR="00B06B6D" w:rsidRPr="00052576" w:rsidRDefault="00B06B6D" w:rsidP="00BB0DB9">
      <w:pPr>
        <w:rPr>
          <w:rFonts w:cstheme="minorHAnsi"/>
          <w:color w:val="555555"/>
          <w:shd w:val="clear" w:color="auto" w:fill="FFFFFF"/>
        </w:rPr>
      </w:pPr>
      <w:r w:rsidRPr="00052576">
        <w:rPr>
          <w:rFonts w:cstheme="minorHAnsi"/>
          <w:color w:val="555555"/>
          <w:shd w:val="clear" w:color="auto" w:fill="FFFFFF"/>
        </w:rPr>
        <w:t xml:space="preserve">Griffith, BA, &amp; Dunham, EB 2014, Working in </w:t>
      </w:r>
      <w:proofErr w:type="gramStart"/>
      <w:r w:rsidRPr="00052576">
        <w:rPr>
          <w:rFonts w:cstheme="minorHAnsi"/>
          <w:color w:val="555555"/>
          <w:shd w:val="clear" w:color="auto" w:fill="FFFFFF"/>
        </w:rPr>
        <w:t>Teams :</w:t>
      </w:r>
      <w:proofErr w:type="gramEnd"/>
      <w:r w:rsidRPr="00052576">
        <w:rPr>
          <w:rFonts w:cstheme="minorHAnsi"/>
          <w:color w:val="555555"/>
          <w:shd w:val="clear" w:color="auto" w:fill="FFFFFF"/>
        </w:rPr>
        <w:t xml:space="preserve"> Moving from High Potential to High Performance, SAGE Publications, Incorporated, Thousand Oaks. Available from: ProQuest </w:t>
      </w:r>
      <w:proofErr w:type="spellStart"/>
      <w:r w:rsidRPr="00052576">
        <w:rPr>
          <w:rFonts w:cstheme="minorHAnsi"/>
          <w:color w:val="555555"/>
          <w:shd w:val="clear" w:color="auto" w:fill="FFFFFF"/>
        </w:rPr>
        <w:t>Ebook</w:t>
      </w:r>
      <w:proofErr w:type="spellEnd"/>
      <w:r w:rsidRPr="00052576">
        <w:rPr>
          <w:rFonts w:cstheme="minorHAnsi"/>
          <w:color w:val="555555"/>
          <w:shd w:val="clear" w:color="auto" w:fill="FFFFFF"/>
        </w:rPr>
        <w:t xml:space="preserve"> Central. [22 November 2023].</w:t>
      </w:r>
    </w:p>
    <w:p w14:paraId="6BFF9C14" w14:textId="77777777" w:rsidR="00B06B6D" w:rsidRDefault="00B06B6D" w:rsidP="00BB0DB9">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Homan, A.C., Hollenbeck, J.R., Humphrey, S.E., Knippenberg, D.V., Ilgen, D.R. and Van Kleef, G.A., 2008. Facing differences with an open mind: Openness to experience, salience of intragroup differences, and performance of diverse work groups. </w:t>
      </w:r>
      <w:r>
        <w:rPr>
          <w:rFonts w:ascii="Arial" w:hAnsi="Arial" w:cs="Arial"/>
          <w:i/>
          <w:iCs/>
          <w:color w:val="222222"/>
          <w:sz w:val="20"/>
          <w:szCs w:val="20"/>
          <w:shd w:val="clear" w:color="auto" w:fill="FFFFFF"/>
        </w:rPr>
        <w:t>Academy of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(6), pp.1204-1222.</w:t>
      </w:r>
    </w:p>
    <w:p w14:paraId="48139D02" w14:textId="77777777" w:rsidR="00B06B6D" w:rsidRDefault="00B06B6D" w:rsidP="00BB0DB9">
      <w:r>
        <w:rPr>
          <w:rFonts w:ascii="Arial" w:hAnsi="Arial" w:cs="Arial"/>
          <w:color w:val="222222"/>
          <w:sz w:val="20"/>
          <w:szCs w:val="20"/>
          <w:shd w:val="clear" w:color="auto" w:fill="FFFFFF"/>
        </w:rPr>
        <w:t>Humphrey, S.E., Hollenbeck, J.R., Meyer, C.J. and Ilgen, D.R., 2007. Trait configurations in self-managed teams: A conceptual examination of the use of seeding for maximizing and minimizing trait variance in teams. </w:t>
      </w:r>
      <w:r>
        <w:rPr>
          <w:rFonts w:ascii="Arial" w:hAnsi="Arial" w:cs="Arial"/>
          <w:i/>
          <w:iCs/>
          <w:color w:val="222222"/>
          <w:sz w:val="20"/>
          <w:szCs w:val="20"/>
          <w:shd w:val="clear" w:color="auto" w:fill="FFFFFF"/>
        </w:rPr>
        <w:t>Journal of Applied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(3), p.885.</w:t>
      </w:r>
    </w:p>
    <w:p w14:paraId="337B2560" w14:textId="77777777" w:rsidR="00B06B6D" w:rsidRPr="00052576" w:rsidRDefault="00B06B6D" w:rsidP="00BB0DB9">
      <w:pPr>
        <w:rPr>
          <w:rFonts w:cstheme="minorHAnsi"/>
          <w:color w:val="555555"/>
          <w:shd w:val="clear" w:color="auto" w:fill="FFFFFF"/>
        </w:rPr>
      </w:pPr>
      <w:r w:rsidRPr="00052576">
        <w:rPr>
          <w:rFonts w:cstheme="minorHAnsi"/>
          <w:color w:val="222222"/>
          <w:shd w:val="clear" w:color="auto" w:fill="FFFFFF"/>
        </w:rPr>
        <w:t>James, S., Warhurst, C., Tholen, G. and Commander, J., 2013. What we know and what we need to know about graduate skills. </w:t>
      </w:r>
      <w:r w:rsidRPr="00052576">
        <w:rPr>
          <w:rFonts w:cstheme="minorHAnsi"/>
          <w:i/>
          <w:iCs/>
          <w:color w:val="222222"/>
          <w:shd w:val="clear" w:color="auto" w:fill="FFFFFF"/>
        </w:rPr>
        <w:t xml:space="preserve">Work, </w:t>
      </w:r>
      <w:proofErr w:type="gramStart"/>
      <w:r w:rsidRPr="00052576">
        <w:rPr>
          <w:rFonts w:cstheme="minorHAnsi"/>
          <w:i/>
          <w:iCs/>
          <w:color w:val="222222"/>
          <w:shd w:val="clear" w:color="auto" w:fill="FFFFFF"/>
        </w:rPr>
        <w:t>employment</w:t>
      </w:r>
      <w:proofErr w:type="gramEnd"/>
      <w:r w:rsidRPr="00052576">
        <w:rPr>
          <w:rFonts w:cstheme="minorHAnsi"/>
          <w:i/>
          <w:iCs/>
          <w:color w:val="222222"/>
          <w:shd w:val="clear" w:color="auto" w:fill="FFFFFF"/>
        </w:rPr>
        <w:t xml:space="preserve"> and society</w:t>
      </w:r>
      <w:r w:rsidRPr="00052576">
        <w:rPr>
          <w:rFonts w:cstheme="minorHAnsi"/>
          <w:color w:val="222222"/>
          <w:shd w:val="clear" w:color="auto" w:fill="FFFFFF"/>
        </w:rPr>
        <w:t>, </w:t>
      </w:r>
      <w:r w:rsidRPr="00052576">
        <w:rPr>
          <w:rFonts w:cstheme="minorHAnsi"/>
          <w:i/>
          <w:iCs/>
          <w:color w:val="222222"/>
          <w:shd w:val="clear" w:color="auto" w:fill="FFFFFF"/>
        </w:rPr>
        <w:t>27</w:t>
      </w:r>
      <w:r w:rsidRPr="00052576">
        <w:rPr>
          <w:rFonts w:cstheme="minorHAnsi"/>
          <w:color w:val="222222"/>
          <w:shd w:val="clear" w:color="auto" w:fill="FFFFFF"/>
        </w:rPr>
        <w:t>(6), pp.952-963.</w:t>
      </w:r>
    </w:p>
    <w:p w14:paraId="1655B0F0" w14:textId="77777777" w:rsidR="00B06B6D" w:rsidRPr="00052576" w:rsidRDefault="00B06B6D" w:rsidP="00BB0DB9">
      <w:pPr>
        <w:rPr>
          <w:rFonts w:cstheme="minorHAnsi"/>
          <w:color w:val="555555"/>
          <w:shd w:val="clear" w:color="auto" w:fill="FFFFFF"/>
        </w:rPr>
      </w:pPr>
      <w:r w:rsidRPr="00052576">
        <w:rPr>
          <w:rFonts w:cstheme="minorHAnsi"/>
          <w:color w:val="222222"/>
          <w:shd w:val="clear" w:color="auto" w:fill="FFFFFF"/>
        </w:rPr>
        <w:t xml:space="preserve">van Uden, J.M., </w:t>
      </w:r>
      <w:proofErr w:type="spellStart"/>
      <w:r w:rsidRPr="00052576">
        <w:rPr>
          <w:rFonts w:cstheme="minorHAnsi"/>
          <w:color w:val="222222"/>
          <w:shd w:val="clear" w:color="auto" w:fill="FFFFFF"/>
        </w:rPr>
        <w:t>Ritzen</w:t>
      </w:r>
      <w:proofErr w:type="spellEnd"/>
      <w:r w:rsidRPr="00052576">
        <w:rPr>
          <w:rFonts w:cstheme="minorHAnsi"/>
          <w:color w:val="222222"/>
          <w:shd w:val="clear" w:color="auto" w:fill="FFFFFF"/>
        </w:rPr>
        <w:t>, H. and Pieters, J.M., 2013. I think I can engage my students. Teachers' perceptions of student engagement and their beliefs about being a teacher. </w:t>
      </w:r>
      <w:r w:rsidRPr="00052576">
        <w:rPr>
          <w:rFonts w:cstheme="minorHAnsi"/>
          <w:i/>
          <w:iCs/>
          <w:color w:val="222222"/>
          <w:shd w:val="clear" w:color="auto" w:fill="FFFFFF"/>
        </w:rPr>
        <w:t>Teaching and Teacher Education</w:t>
      </w:r>
      <w:r w:rsidRPr="00052576">
        <w:rPr>
          <w:rFonts w:cstheme="minorHAnsi"/>
          <w:color w:val="222222"/>
          <w:shd w:val="clear" w:color="auto" w:fill="FFFFFF"/>
        </w:rPr>
        <w:t>, </w:t>
      </w:r>
      <w:r w:rsidRPr="00052576">
        <w:rPr>
          <w:rFonts w:cstheme="minorHAnsi"/>
          <w:i/>
          <w:iCs/>
          <w:color w:val="222222"/>
          <w:shd w:val="clear" w:color="auto" w:fill="FFFFFF"/>
        </w:rPr>
        <w:t>32</w:t>
      </w:r>
      <w:r w:rsidRPr="00052576">
        <w:rPr>
          <w:rFonts w:cstheme="minorHAnsi"/>
          <w:color w:val="222222"/>
          <w:shd w:val="clear" w:color="auto" w:fill="FFFFFF"/>
        </w:rPr>
        <w:t>, pp.43-54.</w:t>
      </w:r>
    </w:p>
    <w:p w14:paraId="59481415" w14:textId="77777777" w:rsidR="009C5426" w:rsidRDefault="009C5426" w:rsidP="00BB0DB9"/>
    <w:p w14:paraId="0D6335EA" w14:textId="77777777" w:rsidR="009C5426" w:rsidRDefault="009C5426" w:rsidP="00BB0DB9"/>
    <w:p w14:paraId="5EF61373" w14:textId="77777777" w:rsidR="009C5426" w:rsidRDefault="009C5426" w:rsidP="00BB0DB9"/>
    <w:p w14:paraId="56F88DB6" w14:textId="77777777" w:rsidR="009C5426" w:rsidRDefault="009C5426" w:rsidP="00BB0DB9"/>
    <w:p w14:paraId="6D16B8B6" w14:textId="77777777" w:rsidR="009C5426" w:rsidRDefault="009C5426" w:rsidP="00BB0DB9"/>
    <w:p w14:paraId="269F2F31" w14:textId="77777777" w:rsidR="009C5426" w:rsidRDefault="009C5426" w:rsidP="00BB0DB9"/>
    <w:p w14:paraId="5850D1B1" w14:textId="77777777" w:rsidR="009C5426" w:rsidRDefault="009C5426" w:rsidP="00BB0DB9"/>
    <w:p w14:paraId="430D7C7B" w14:textId="77777777" w:rsidR="009C5426" w:rsidRDefault="009C5426" w:rsidP="00BB0DB9"/>
    <w:p w14:paraId="38368B84" w14:textId="77777777" w:rsidR="009C5426" w:rsidRDefault="009C5426" w:rsidP="00BB0DB9"/>
    <w:p w14:paraId="6A1EA043" w14:textId="77777777" w:rsidR="009C5426" w:rsidRDefault="009C5426" w:rsidP="00BB0DB9"/>
    <w:p w14:paraId="286D931B" w14:textId="77777777" w:rsidR="009C5426" w:rsidRPr="00BB0DB9" w:rsidRDefault="009C5426" w:rsidP="00BB0DB9"/>
    <w:sectPr w:rsidR="009C5426" w:rsidRPr="00BB0DB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D422F"/>
    <w:multiLevelType w:val="hybridMultilevel"/>
    <w:tmpl w:val="D7EC1284"/>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3405D3E"/>
    <w:multiLevelType w:val="hybridMultilevel"/>
    <w:tmpl w:val="5C3CF5EC"/>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2F2054"/>
    <w:multiLevelType w:val="hybridMultilevel"/>
    <w:tmpl w:val="FC42F318"/>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7496589">
    <w:abstractNumId w:val="1"/>
  </w:num>
  <w:num w:numId="2" w16cid:durableId="927889681">
    <w:abstractNumId w:val="3"/>
  </w:num>
  <w:num w:numId="3" w16cid:durableId="1967152447">
    <w:abstractNumId w:val="2"/>
  </w:num>
  <w:num w:numId="4" w16cid:durableId="1137452809">
    <w:abstractNumId w:val="0"/>
  </w:num>
  <w:num w:numId="5" w16cid:durableId="1613971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D04"/>
    <w:rsid w:val="00052576"/>
    <w:rsid w:val="000A2B07"/>
    <w:rsid w:val="00142409"/>
    <w:rsid w:val="001B4C51"/>
    <w:rsid w:val="001E1807"/>
    <w:rsid w:val="0023348F"/>
    <w:rsid w:val="003B0808"/>
    <w:rsid w:val="003E0DD8"/>
    <w:rsid w:val="004A0715"/>
    <w:rsid w:val="0054318C"/>
    <w:rsid w:val="00550BE8"/>
    <w:rsid w:val="006167B6"/>
    <w:rsid w:val="006430AB"/>
    <w:rsid w:val="00647D37"/>
    <w:rsid w:val="006E071A"/>
    <w:rsid w:val="006F587B"/>
    <w:rsid w:val="007136D5"/>
    <w:rsid w:val="00735014"/>
    <w:rsid w:val="007914AD"/>
    <w:rsid w:val="007F591B"/>
    <w:rsid w:val="009C3C1F"/>
    <w:rsid w:val="009C5426"/>
    <w:rsid w:val="00A14F3F"/>
    <w:rsid w:val="00A27D04"/>
    <w:rsid w:val="00A62A99"/>
    <w:rsid w:val="00A773E1"/>
    <w:rsid w:val="00B06B6D"/>
    <w:rsid w:val="00B110D2"/>
    <w:rsid w:val="00B24AEB"/>
    <w:rsid w:val="00B57545"/>
    <w:rsid w:val="00BB0DB9"/>
    <w:rsid w:val="00BD175D"/>
    <w:rsid w:val="00D21776"/>
    <w:rsid w:val="00DA2A3C"/>
    <w:rsid w:val="00E01870"/>
    <w:rsid w:val="00E44DEA"/>
    <w:rsid w:val="00EB4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3070"/>
  <w15:chartTrackingRefBased/>
  <w15:docId w15:val="{A9871CA4-67E2-4A26-855D-91552273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18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167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0DB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semiHidden/>
    <w:unhideWhenUsed/>
    <w:rsid w:val="006430AB"/>
    <w:rPr>
      <w:color w:val="0000FF"/>
      <w:u w:val="single"/>
    </w:rPr>
  </w:style>
  <w:style w:type="character" w:customStyle="1" w:styleId="Heading1Char">
    <w:name w:val="Heading 1 Char"/>
    <w:basedOn w:val="DefaultParagraphFont"/>
    <w:link w:val="Heading1"/>
    <w:uiPriority w:val="9"/>
    <w:rsid w:val="00E0187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54318C"/>
    <w:pPr>
      <w:ind w:left="720"/>
      <w:contextualSpacing/>
    </w:pPr>
    <w:rPr>
      <w:rFonts w:eastAsiaTheme="minorEastAsia"/>
      <w:kern w:val="0"/>
      <w:lang w:eastAsia="zh-CN"/>
      <w14:ligatures w14:val="none"/>
    </w:rPr>
  </w:style>
  <w:style w:type="character" w:customStyle="1" w:styleId="Heading2Char">
    <w:name w:val="Heading 2 Char"/>
    <w:basedOn w:val="DefaultParagraphFont"/>
    <w:link w:val="Heading2"/>
    <w:uiPriority w:val="9"/>
    <w:rsid w:val="006167B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84315">
      <w:bodyDiv w:val="1"/>
      <w:marLeft w:val="0"/>
      <w:marRight w:val="0"/>
      <w:marTop w:val="0"/>
      <w:marBottom w:val="0"/>
      <w:divBdr>
        <w:top w:val="none" w:sz="0" w:space="0" w:color="auto"/>
        <w:left w:val="none" w:sz="0" w:space="0" w:color="auto"/>
        <w:bottom w:val="none" w:sz="0" w:space="0" w:color="auto"/>
        <w:right w:val="none" w:sz="0" w:space="0" w:color="auto"/>
      </w:divBdr>
    </w:div>
    <w:div w:id="627048789">
      <w:bodyDiv w:val="1"/>
      <w:marLeft w:val="0"/>
      <w:marRight w:val="0"/>
      <w:marTop w:val="0"/>
      <w:marBottom w:val="0"/>
      <w:divBdr>
        <w:top w:val="none" w:sz="0" w:space="0" w:color="auto"/>
        <w:left w:val="none" w:sz="0" w:space="0" w:color="auto"/>
        <w:bottom w:val="none" w:sz="0" w:space="0" w:color="auto"/>
        <w:right w:val="none" w:sz="0" w:space="0" w:color="auto"/>
      </w:divBdr>
    </w:div>
    <w:div w:id="1277368924">
      <w:bodyDiv w:val="1"/>
      <w:marLeft w:val="0"/>
      <w:marRight w:val="0"/>
      <w:marTop w:val="0"/>
      <w:marBottom w:val="0"/>
      <w:divBdr>
        <w:top w:val="none" w:sz="0" w:space="0" w:color="auto"/>
        <w:left w:val="none" w:sz="0" w:space="0" w:color="auto"/>
        <w:bottom w:val="none" w:sz="0" w:space="0" w:color="auto"/>
        <w:right w:val="none" w:sz="0" w:space="0" w:color="auto"/>
      </w:divBdr>
    </w:div>
    <w:div w:id="135234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2%31%38%36%31%30@%73t%75%64%65nt.u%77%74s%64.%61%63.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7</Pages>
  <Words>2144</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Abuzour</dc:creator>
  <cp:keywords/>
  <dc:description/>
  <cp:lastModifiedBy>cecile Abuzour</cp:lastModifiedBy>
  <cp:revision>28</cp:revision>
  <dcterms:created xsi:type="dcterms:W3CDTF">2023-11-21T22:54:00Z</dcterms:created>
  <dcterms:modified xsi:type="dcterms:W3CDTF">2023-11-22T03:52:00Z</dcterms:modified>
</cp:coreProperties>
</file>