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8A4897F" w14:textId="77777777" w:rsidR="00157D1B" w:rsidRDefault="00521200" w:rsidP="00C56A0A">
      <w:pPr>
        <w:spacing w:after="0" w:line="240" w:lineRule="auto"/>
        <w:rPr>
          <w:rFonts w:ascii="Arial" w:eastAsia="Times New Roman" w:hAnsi="Arial" w:cs="Arial"/>
          <w:color w:val="000000"/>
          <w:kern w:val="0"/>
          <w14:ligatures w14:val="none"/>
        </w:rPr>
      </w:pPr>
      <w:r>
        <w:rPr>
          <w:rFonts w:ascii="Arial" w:eastAsia="Times New Roman" w:hAnsi="Arial" w:cs="Arial"/>
          <w:color w:val="000000"/>
          <w:kern w:val="0"/>
          <w14:ligatures w14:val="none"/>
        </w:rPr>
        <w:t xml:space="preserve">  </w:t>
      </w:r>
    </w:p>
    <w:tbl>
      <w:tblPr>
        <w:tblW w:w="0" w:type="auto"/>
        <w:tblCellSpacing w:w="0" w:type="dxa"/>
        <w:tblCellMar>
          <w:left w:w="0" w:type="dxa"/>
          <w:right w:w="0" w:type="dxa"/>
        </w:tblCellMar>
        <w:tblLook w:val="04A0" w:firstRow="1" w:lastRow="0" w:firstColumn="1" w:lastColumn="0" w:noHBand="0" w:noVBand="1"/>
      </w:tblPr>
      <w:tblGrid>
        <w:gridCol w:w="4808"/>
      </w:tblGrid>
      <w:tr w:rsidR="00157D1B" w:rsidRPr="00157D1B" w14:paraId="265C37BD" w14:textId="77777777" w:rsidTr="006D146F">
        <w:trPr>
          <w:tblCellSpacing w:w="0" w:type="dxa"/>
        </w:trPr>
        <w:tc>
          <w:tcPr>
            <w:tcW w:w="0" w:type="auto"/>
            <w:hideMark/>
          </w:tcPr>
          <w:p w14:paraId="43A79C22" w14:textId="77777777" w:rsidR="006D146F" w:rsidRPr="006D146F" w:rsidRDefault="00EC33C2">
            <w:pPr>
              <w:pStyle w:val="Heading3"/>
              <w:rPr>
                <w:rFonts w:ascii="Times New Roman" w:eastAsia="Times New Roman" w:hAnsi="Times New Roman" w:cs="Times New Roman"/>
                <w:b/>
                <w:bCs/>
                <w:color w:val="auto"/>
                <w:kern w:val="0"/>
                <w:sz w:val="27"/>
                <w:szCs w:val="27"/>
                <w14:ligatures w14:val="none"/>
              </w:rPr>
            </w:pPr>
            <w:r>
              <w:rPr>
                <w:rFonts w:ascii="Helvetica" w:hAnsi="Helvetica" w:cs="Times New Roman"/>
                <w:kern w:val="0"/>
                <w:sz w:val="18"/>
                <w:szCs w:val="18"/>
                <w14:ligatures w14:val="none"/>
              </w:rPr>
              <w:t xml:space="preserve"> </w:t>
            </w:r>
            <w:r w:rsidR="006D146F">
              <w:rPr>
                <w:rFonts w:ascii="Helvetica" w:hAnsi="Helvetica" w:cs="Times New Roman"/>
                <w:kern w:val="0"/>
                <w:sz w:val="18"/>
                <w:szCs w:val="18"/>
                <w14:ligatures w14:val="none"/>
              </w:rPr>
              <w:t xml:space="preserve"> </w:t>
            </w:r>
            <w:r w:rsidR="006D146F" w:rsidRPr="006D146F">
              <w:rPr>
                <w:rFonts w:ascii="Times New Roman" w:eastAsia="Times New Roman" w:hAnsi="Times New Roman" w:cs="Times New Roman"/>
                <w:b/>
                <w:bCs/>
                <w:color w:val="auto"/>
                <w:kern w:val="0"/>
                <w:sz w:val="27"/>
                <w:szCs w:val="27"/>
                <w14:ligatures w14:val="none"/>
              </w:rPr>
              <w:t>Module:</w:t>
            </w:r>
          </w:p>
          <w:p w14:paraId="3B8F1BA8" w14:textId="77777777" w:rsidR="003867B8" w:rsidRPr="004A2A94" w:rsidRDefault="006D146F" w:rsidP="003867B8">
            <w:pPr>
              <w:spacing w:before="100" w:beforeAutospacing="1" w:after="100" w:afterAutospacing="1" w:line="240" w:lineRule="auto"/>
              <w:rPr>
                <w:rFonts w:ascii="Times New Roman" w:hAnsi="Times New Roman" w:cs="Times New Roman"/>
                <w:b/>
                <w:bCs/>
                <w:kern w:val="0"/>
                <w14:ligatures w14:val="none"/>
              </w:rPr>
            </w:pPr>
            <w:r w:rsidRPr="004A2A94">
              <w:rPr>
                <w:rFonts w:ascii="Times New Roman" w:hAnsi="Times New Roman" w:cs="Times New Roman"/>
                <w:b/>
                <w:bCs/>
                <w:kern w:val="0"/>
                <w14:ligatures w14:val="none"/>
              </w:rPr>
              <w:t>BMSW4014 – Problem Solving and Innovation</w:t>
            </w:r>
          </w:p>
          <w:p w14:paraId="2B3B92BF" w14:textId="79E75AB0" w:rsidR="00157D1B" w:rsidRPr="004A2A94" w:rsidRDefault="006D146F" w:rsidP="003867B8">
            <w:pPr>
              <w:spacing w:before="100" w:beforeAutospacing="1" w:after="100" w:afterAutospacing="1" w:line="240" w:lineRule="auto"/>
              <w:rPr>
                <w:rFonts w:ascii="Times New Roman" w:hAnsi="Times New Roman" w:cs="Times New Roman"/>
                <w:b/>
                <w:bCs/>
                <w:kern w:val="0"/>
                <w14:ligatures w14:val="none"/>
              </w:rPr>
            </w:pPr>
            <w:r w:rsidRPr="004A2A94">
              <w:rPr>
                <w:rFonts w:ascii="Helvetica" w:hAnsi="Helvetica" w:cs="Times New Roman"/>
                <w:b/>
                <w:bCs/>
                <w:kern w:val="0"/>
                <w:sz w:val="18"/>
                <w:szCs w:val="18"/>
                <w14:ligatures w14:val="none"/>
              </w:rPr>
              <w:t xml:space="preserve">  </w:t>
            </w:r>
            <w:r w:rsidR="00157D1B" w:rsidRPr="004A2A94">
              <w:rPr>
                <w:rFonts w:ascii="Helvetica" w:hAnsi="Helvetica" w:cs="Times New Roman"/>
                <w:b/>
                <w:bCs/>
                <w:kern w:val="0"/>
                <w:sz w:val="18"/>
                <w:szCs w:val="18"/>
                <w14:ligatures w14:val="none"/>
              </w:rPr>
              <w:t>Assessment 2</w:t>
            </w:r>
          </w:p>
          <w:p w14:paraId="27797969" w14:textId="77777777" w:rsidR="00157D1B" w:rsidRPr="004A2A94" w:rsidRDefault="00157D1B" w:rsidP="00157D1B">
            <w:pPr>
              <w:spacing w:after="0" w:line="240" w:lineRule="auto"/>
              <w:rPr>
                <w:rFonts w:ascii="Helvetica" w:hAnsi="Helvetica" w:cs="Times New Roman"/>
                <w:b/>
                <w:bCs/>
                <w:kern w:val="0"/>
                <w:sz w:val="18"/>
                <w:szCs w:val="18"/>
                <w14:ligatures w14:val="none"/>
              </w:rPr>
            </w:pPr>
            <w:r w:rsidRPr="004A2A94">
              <w:rPr>
                <w:rFonts w:ascii="Helvetica" w:hAnsi="Helvetica" w:cs="Times New Roman"/>
                <w:b/>
                <w:bCs/>
                <w:kern w:val="0"/>
                <w:sz w:val="18"/>
                <w:szCs w:val="18"/>
                <w14:ligatures w14:val="none"/>
              </w:rPr>
              <w:t>Understanding the Business</w:t>
            </w:r>
          </w:p>
          <w:p w14:paraId="3450718B" w14:textId="3C637C8B" w:rsidR="00157D1B" w:rsidRPr="004A2A94" w:rsidRDefault="00157D1B" w:rsidP="00157D1B">
            <w:pPr>
              <w:spacing w:after="0" w:line="240" w:lineRule="auto"/>
              <w:rPr>
                <w:rFonts w:ascii="Helvetica" w:hAnsi="Helvetica" w:cs="Times New Roman"/>
                <w:b/>
                <w:bCs/>
                <w:kern w:val="0"/>
                <w:sz w:val="18"/>
                <w:szCs w:val="18"/>
                <w14:ligatures w14:val="none"/>
              </w:rPr>
            </w:pPr>
            <w:r w:rsidRPr="004A2A94">
              <w:rPr>
                <w:rFonts w:ascii="Helvetica" w:hAnsi="Helvetica" w:cs="Times New Roman"/>
                <w:b/>
                <w:bCs/>
                <w:kern w:val="0"/>
                <w:sz w:val="18"/>
                <w:szCs w:val="18"/>
                <w14:ligatures w14:val="none"/>
              </w:rPr>
              <w:t xml:space="preserve">Environment of the Influencer industry </w:t>
            </w:r>
            <w:r w:rsidR="004A2A94" w:rsidRPr="004A2A94">
              <w:rPr>
                <w:rFonts w:ascii="Helvetica" w:hAnsi="Helvetica" w:cs="Times New Roman"/>
                <w:b/>
                <w:bCs/>
                <w:kern w:val="0"/>
                <w:sz w:val="18"/>
                <w:szCs w:val="18"/>
                <w14:ligatures w14:val="none"/>
              </w:rPr>
              <w:t xml:space="preserve">– </w:t>
            </w:r>
          </w:p>
          <w:p w14:paraId="7A338AAE" w14:textId="382BDEBD" w:rsidR="004A2A94" w:rsidRPr="00157D1B" w:rsidRDefault="004A2A94" w:rsidP="00157D1B">
            <w:pPr>
              <w:spacing w:after="0" w:line="240" w:lineRule="auto"/>
              <w:rPr>
                <w:rFonts w:ascii="Helvetica" w:hAnsi="Helvetica" w:cs="Times New Roman"/>
                <w:kern w:val="0"/>
                <w:sz w:val="18"/>
                <w:szCs w:val="18"/>
                <w14:ligatures w14:val="none"/>
              </w:rPr>
            </w:pPr>
          </w:p>
        </w:tc>
      </w:tr>
      <w:tr w:rsidR="00DD1BDE" w:rsidRPr="00CA4347" w14:paraId="5EAB6C45" w14:textId="77777777" w:rsidTr="006D146F">
        <w:trPr>
          <w:tblCellSpacing w:w="0" w:type="dxa"/>
        </w:trPr>
        <w:tc>
          <w:tcPr>
            <w:tcW w:w="0" w:type="auto"/>
          </w:tcPr>
          <w:p w14:paraId="2E96E46B" w14:textId="52EE4D96" w:rsidR="00655907" w:rsidRPr="00CA4347" w:rsidRDefault="00DD1BDE">
            <w:pPr>
              <w:pStyle w:val="p1"/>
              <w:rPr>
                <w:rStyle w:val="s1"/>
                <w:b/>
                <w:bCs/>
              </w:rPr>
            </w:pPr>
            <w:r w:rsidRPr="00CA4347">
              <w:rPr>
                <w:rStyle w:val="s1"/>
                <w:b/>
                <w:bCs/>
              </w:rPr>
              <w:t>Module Lead</w:t>
            </w:r>
            <w:r w:rsidR="00202C7A" w:rsidRPr="00CA4347">
              <w:rPr>
                <w:rStyle w:val="s1"/>
                <w:b/>
                <w:bCs/>
              </w:rPr>
              <w:t>:</w:t>
            </w:r>
            <w:r w:rsidR="00655907" w:rsidRPr="00CA4347">
              <w:rPr>
                <w:rStyle w:val="Heading3Char"/>
                <w:b/>
                <w:bCs/>
              </w:rPr>
              <w:t xml:space="preserve"> </w:t>
            </w:r>
            <w:r w:rsidR="00655907" w:rsidRPr="00CA4347">
              <w:rPr>
                <w:rStyle w:val="s1"/>
                <w:b/>
                <w:bCs/>
              </w:rPr>
              <w:t xml:space="preserve">Chris </w:t>
            </w:r>
            <w:proofErr w:type="spellStart"/>
            <w:r w:rsidR="00655907" w:rsidRPr="00CA4347">
              <w:rPr>
                <w:rStyle w:val="s1"/>
                <w:b/>
                <w:bCs/>
              </w:rPr>
              <w:t>Wilkin</w:t>
            </w:r>
            <w:proofErr w:type="spellEnd"/>
          </w:p>
          <w:p w14:paraId="560BEFD6" w14:textId="77777777" w:rsidR="004A2A94" w:rsidRPr="00CA4347" w:rsidRDefault="004A2A94">
            <w:pPr>
              <w:pStyle w:val="p1"/>
              <w:rPr>
                <w:b/>
                <w:bCs/>
              </w:rPr>
            </w:pPr>
          </w:p>
          <w:p w14:paraId="5CA479A9" w14:textId="3691B3AF" w:rsidR="00DD1BDE" w:rsidRPr="00CA4347" w:rsidRDefault="00396C45">
            <w:pPr>
              <w:pStyle w:val="p1"/>
              <w:rPr>
                <w:b/>
                <w:bCs/>
              </w:rPr>
            </w:pPr>
            <w:r w:rsidRPr="00CA4347">
              <w:rPr>
                <w:b/>
                <w:bCs/>
              </w:rPr>
              <w:t>Studen</w:t>
            </w:r>
            <w:r w:rsidR="003F327B" w:rsidRPr="00CA4347">
              <w:rPr>
                <w:b/>
                <w:bCs/>
              </w:rPr>
              <w:t>t number:</w:t>
            </w:r>
            <w:r w:rsidR="00611802" w:rsidRPr="00CA4347">
              <w:rPr>
                <w:b/>
                <w:bCs/>
              </w:rPr>
              <w:t xml:space="preserve"> </w:t>
            </w:r>
            <w:r w:rsidR="00611802" w:rsidRPr="00CA4347">
              <w:rPr>
                <w:b/>
                <w:bCs/>
              </w:rPr>
              <w:t>2507470</w:t>
            </w:r>
          </w:p>
          <w:p w14:paraId="5775714A" w14:textId="77777777" w:rsidR="004A2A94" w:rsidRPr="00CA4347" w:rsidRDefault="004A2A94">
            <w:pPr>
              <w:pStyle w:val="p1"/>
              <w:rPr>
                <w:b/>
                <w:bCs/>
              </w:rPr>
            </w:pPr>
          </w:p>
          <w:p w14:paraId="4FC1A9EE" w14:textId="7DD74159" w:rsidR="003F327B" w:rsidRPr="00CA4347" w:rsidRDefault="00AE7E44">
            <w:pPr>
              <w:pStyle w:val="p1"/>
              <w:rPr>
                <w:b/>
                <w:bCs/>
              </w:rPr>
            </w:pPr>
            <w:r w:rsidRPr="00CA4347">
              <w:rPr>
                <w:b/>
                <w:bCs/>
              </w:rPr>
              <w:t xml:space="preserve">Student name: Georgiana Caldare </w:t>
            </w:r>
          </w:p>
          <w:p w14:paraId="2EEC9614" w14:textId="77777777" w:rsidR="004A2A94" w:rsidRPr="00CA4347" w:rsidRDefault="004A2A94">
            <w:pPr>
              <w:pStyle w:val="p1"/>
              <w:rPr>
                <w:b/>
                <w:bCs/>
              </w:rPr>
            </w:pPr>
          </w:p>
          <w:p w14:paraId="12CC33A9" w14:textId="36CD2CD7" w:rsidR="00AE7E44" w:rsidRPr="00CA4347" w:rsidRDefault="00FF5B89">
            <w:pPr>
              <w:pStyle w:val="p1"/>
              <w:rPr>
                <w:b/>
                <w:bCs/>
              </w:rPr>
            </w:pPr>
            <w:r w:rsidRPr="00CA4347">
              <w:rPr>
                <w:b/>
                <w:bCs/>
              </w:rPr>
              <w:t>Word count:1500</w:t>
            </w:r>
          </w:p>
          <w:p w14:paraId="357764C4" w14:textId="77777777" w:rsidR="004A2A94" w:rsidRPr="00CA4347" w:rsidRDefault="004A2A94">
            <w:pPr>
              <w:pStyle w:val="p1"/>
              <w:rPr>
                <w:b/>
                <w:bCs/>
              </w:rPr>
            </w:pPr>
          </w:p>
          <w:p w14:paraId="5CC0EF00" w14:textId="1A58E759" w:rsidR="008747FC" w:rsidRPr="00CA4347" w:rsidRDefault="008747FC">
            <w:pPr>
              <w:pStyle w:val="p1"/>
              <w:rPr>
                <w:b/>
                <w:bCs/>
              </w:rPr>
            </w:pPr>
            <w:r w:rsidRPr="00CA4347">
              <w:rPr>
                <w:b/>
                <w:bCs/>
              </w:rPr>
              <w:t>Submissions date: 10</w:t>
            </w:r>
            <w:r w:rsidR="006A25D7" w:rsidRPr="00CA4347">
              <w:rPr>
                <w:b/>
                <w:bCs/>
              </w:rPr>
              <w:t>/07/2026</w:t>
            </w:r>
          </w:p>
          <w:p w14:paraId="7CF6335E" w14:textId="77777777" w:rsidR="006A25D7" w:rsidRPr="00CA4347" w:rsidRDefault="006A25D7">
            <w:pPr>
              <w:pStyle w:val="p1"/>
              <w:rPr>
                <w:b/>
                <w:bCs/>
              </w:rPr>
            </w:pPr>
          </w:p>
          <w:p w14:paraId="0C742490" w14:textId="77777777" w:rsidR="00DD1BDE" w:rsidRPr="00CA4347" w:rsidRDefault="00DD1BDE" w:rsidP="00157D1B">
            <w:pPr>
              <w:spacing w:after="0" w:line="240" w:lineRule="auto"/>
              <w:rPr>
                <w:rFonts w:ascii="Helvetica" w:hAnsi="Helvetica" w:cs="Times New Roman"/>
                <w:b/>
                <w:bCs/>
                <w:kern w:val="0"/>
                <w:sz w:val="18"/>
                <w:szCs w:val="18"/>
                <w14:ligatures w14:val="none"/>
              </w:rPr>
            </w:pPr>
          </w:p>
        </w:tc>
      </w:tr>
      <w:tr w:rsidR="00A37706" w:rsidRPr="00157D1B" w14:paraId="4FA73F26" w14:textId="77777777" w:rsidTr="006D146F">
        <w:trPr>
          <w:tblCellSpacing w:w="0" w:type="dxa"/>
        </w:trPr>
        <w:tc>
          <w:tcPr>
            <w:tcW w:w="0" w:type="auto"/>
          </w:tcPr>
          <w:p w14:paraId="72981695" w14:textId="77777777" w:rsidR="00A37706" w:rsidRPr="00157D1B" w:rsidRDefault="00A37706" w:rsidP="00157D1B">
            <w:pPr>
              <w:spacing w:after="0" w:line="240" w:lineRule="auto"/>
              <w:rPr>
                <w:rFonts w:ascii="Helvetica" w:hAnsi="Helvetica" w:cs="Times New Roman"/>
                <w:kern w:val="0"/>
                <w:sz w:val="18"/>
                <w:szCs w:val="18"/>
                <w14:ligatures w14:val="none"/>
              </w:rPr>
            </w:pPr>
          </w:p>
        </w:tc>
      </w:tr>
    </w:tbl>
    <w:p w14:paraId="510E97C4" w14:textId="77777777" w:rsidR="00FF1AA0" w:rsidRDefault="00521200" w:rsidP="00C56A0A">
      <w:pPr>
        <w:spacing w:after="0" w:line="240" w:lineRule="auto"/>
        <w:rPr>
          <w:rFonts w:ascii="Arial" w:eastAsia="Times New Roman" w:hAnsi="Arial" w:cs="Arial"/>
          <w:color w:val="000000"/>
          <w:kern w:val="0"/>
          <w14:ligatures w14:val="none"/>
        </w:rPr>
      </w:pPr>
      <w:r>
        <w:rPr>
          <w:rFonts w:ascii="Arial" w:eastAsia="Times New Roman" w:hAnsi="Arial" w:cs="Arial"/>
          <w:color w:val="000000"/>
          <w:kern w:val="0"/>
          <w14:ligatures w14:val="none"/>
        </w:rPr>
        <w:t xml:space="preserve"> </w:t>
      </w:r>
      <w:r w:rsidR="00C56A0A" w:rsidRPr="00CE5147">
        <w:rPr>
          <w:rFonts w:ascii="Arial" w:eastAsia="Times New Roman" w:hAnsi="Arial" w:cs="Arial"/>
          <w:b/>
          <w:bCs/>
          <w:color w:val="000000"/>
          <w:kern w:val="0"/>
          <w14:ligatures w14:val="none"/>
        </w:rPr>
        <w:t>Critical Analysis of External Factors Influencing the Creator Economy / Influencer Industry</w:t>
      </w:r>
      <w:r w:rsidR="00C56A0A" w:rsidRPr="00CE5147">
        <w:rPr>
          <w:rFonts w:ascii="Arial" w:eastAsia="Times New Roman" w:hAnsi="Arial" w:cs="Arial"/>
          <w:b/>
          <w:bCs/>
          <w:color w:val="000000"/>
          <w:kern w:val="0"/>
          <w14:ligatures w14:val="none"/>
        </w:rPr>
        <w:br/>
      </w:r>
      <w:r w:rsidR="00C56A0A" w:rsidRPr="00857FC5">
        <w:rPr>
          <w:rFonts w:ascii="Arial" w:eastAsia="Times New Roman" w:hAnsi="Arial" w:cs="Arial"/>
          <w:color w:val="000000"/>
          <w:kern w:val="0"/>
          <w14:ligatures w14:val="none"/>
        </w:rPr>
        <w:br/>
        <w:t>Introduction</w:t>
      </w:r>
      <w:r w:rsidR="00C56A0A" w:rsidRPr="00857FC5">
        <w:rPr>
          <w:rFonts w:ascii="Arial" w:eastAsia="Times New Roman" w:hAnsi="Arial" w:cs="Arial"/>
          <w:color w:val="000000"/>
          <w:kern w:val="0"/>
          <w14:ligatures w14:val="none"/>
        </w:rPr>
        <w:br/>
      </w:r>
      <w:r w:rsidR="00C56A0A" w:rsidRPr="00857FC5">
        <w:rPr>
          <w:rFonts w:ascii="Arial" w:eastAsia="Times New Roman" w:hAnsi="Arial" w:cs="Arial"/>
          <w:color w:val="000000"/>
          <w:kern w:val="0"/>
          <w14:ligatures w14:val="none"/>
        </w:rPr>
        <w:br/>
      </w:r>
      <w:r w:rsidR="00C56A0A" w:rsidRPr="00C56A0A">
        <w:rPr>
          <w:rFonts w:ascii="Arial" w:eastAsia="Times New Roman" w:hAnsi="Arial" w:cs="Arial"/>
          <w:color w:val="000000"/>
          <w:kern w:val="0"/>
          <w14:ligatures w14:val="none"/>
        </w:rPr>
        <w:t>The creator economy has grown rapidly over the last decade, turning content creation from a hobby into a global industry worth billions of pounds. Influencers operate across platforms like TikTok, YouTube, Instagram, Twitch and X (formerly Twitter), creating content that entertains, educates and connects with audiences worldwide. However, this industry does not exist in isolation. It is shaped strongly by external forces that create both opportunities and challenges. This report uses the STEEPLE framework to analyse these external factors, then applies SWOT analysis to assess the strategic position of the industry. It also includes a Future Lens section using the DPSIR model to predict trends and offers practical recommendations for creators and businesses operating in this space.</w:t>
      </w:r>
    </w:p>
    <w:p w14:paraId="534BBED4" w14:textId="77777777" w:rsidR="00FF1AA0" w:rsidRDefault="00FF1AA0" w:rsidP="00C56A0A">
      <w:pPr>
        <w:spacing w:after="0" w:line="240" w:lineRule="auto"/>
        <w:rPr>
          <w:rFonts w:ascii="Arial" w:eastAsia="Times New Roman" w:hAnsi="Arial" w:cs="Arial"/>
          <w:color w:val="000000"/>
          <w:kern w:val="0"/>
          <w14:ligatures w14:val="none"/>
        </w:rPr>
      </w:pPr>
    </w:p>
    <w:p w14:paraId="2F1BC411" w14:textId="77777777" w:rsidR="00E00FBD" w:rsidRDefault="00C56A0A" w:rsidP="00C56A0A">
      <w:pPr>
        <w:spacing w:after="0" w:line="240" w:lineRule="auto"/>
        <w:rPr>
          <w:rFonts w:ascii="Arial" w:eastAsia="Times New Roman" w:hAnsi="Arial" w:cs="Arial"/>
          <w:color w:val="000000"/>
          <w:kern w:val="0"/>
          <w14:ligatures w14:val="none"/>
        </w:rPr>
      </w:pPr>
      <w:r w:rsidRPr="00C56A0A">
        <w:rPr>
          <w:rFonts w:ascii="Arial" w:eastAsia="Times New Roman" w:hAnsi="Arial" w:cs="Arial"/>
          <w:color w:val="000000"/>
          <w:kern w:val="0"/>
          <w14:ligatures w14:val="none"/>
        </w:rPr>
        <w:br/>
        <w:t xml:space="preserve">1. </w:t>
      </w:r>
      <w:r w:rsidRPr="00857FC5">
        <w:rPr>
          <w:rFonts w:ascii="Arial" w:eastAsia="Times New Roman" w:hAnsi="Arial" w:cs="Arial"/>
          <w:color w:val="000000"/>
          <w:kern w:val="0"/>
          <w14:ligatures w14:val="none"/>
        </w:rPr>
        <w:t>STEEPLE Analysis of the Creator Economy</w:t>
      </w:r>
      <w:r w:rsidRPr="00857FC5">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1.1 Social Factors</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Social factors relate to changes in people’s behaviour, values, attitudes and demographics.</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 Changing Audience Expectations: Modern audiences no longer trust traditional advertising as much. They prefer authentic, relatable content from creators they feel connected to. This has created a huge opportunity for small and niche creators who speak directly to specific communities. However, it also means creators must constantly work to maintain trust — if they appear inauthentic, they lose followers quickly.</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 Demographic Shift: The main audience for creator content is young people (</w:t>
      </w:r>
      <w:proofErr w:type="spellStart"/>
      <w:r w:rsidRPr="00C56A0A">
        <w:rPr>
          <w:rFonts w:ascii="Arial" w:eastAsia="Times New Roman" w:hAnsi="Arial" w:cs="Arial"/>
          <w:color w:val="000000"/>
          <w:kern w:val="0"/>
          <w14:ligatures w14:val="none"/>
        </w:rPr>
        <w:t>Gen</w:t>
      </w:r>
      <w:proofErr w:type="spellEnd"/>
      <w:r w:rsidRPr="00C56A0A">
        <w:rPr>
          <w:rFonts w:ascii="Arial" w:eastAsia="Times New Roman" w:hAnsi="Arial" w:cs="Arial"/>
          <w:color w:val="000000"/>
          <w:kern w:val="0"/>
          <w14:ligatures w14:val="none"/>
        </w:rPr>
        <w:t xml:space="preserve"> Z and Millennials). As this generation grows up, their preferences change. For example, there is an increasing demand for content about sustainability, mental health, diversity and social justice. Creators who address these topics gain more engagement, while those who do not may lose relevance.</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lastRenderedPageBreak/>
        <w:t>• Community Building: Audiences today want more than just videos or posts; they want to feel part of a community. Features like live streams, comments, polls and fan groups have become essential tools for creators. This social shift has turned content creation into a two-way conversation rather than a one-way broadcast.</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Theory link: This relates to the concept of social exchange theory, where people choose to engage with content that provides value, entertainment or emotional connection.</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1.2 Technological Factors</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Technology is the biggest driver of change in the influencer industry.</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 xml:space="preserve">• Platform Development: New features appear constantly — short-form video (TikTok/Reels), live streaming, interactive filters, </w:t>
      </w:r>
      <w:proofErr w:type="spellStart"/>
      <w:r w:rsidRPr="00C56A0A">
        <w:rPr>
          <w:rFonts w:ascii="Arial" w:eastAsia="Times New Roman" w:hAnsi="Arial" w:cs="Arial"/>
          <w:color w:val="000000"/>
          <w:kern w:val="0"/>
          <w14:ligatures w14:val="none"/>
        </w:rPr>
        <w:t>shoppable</w:t>
      </w:r>
      <w:proofErr w:type="spellEnd"/>
      <w:r w:rsidRPr="00C56A0A">
        <w:rPr>
          <w:rFonts w:ascii="Arial" w:eastAsia="Times New Roman" w:hAnsi="Arial" w:cs="Arial"/>
          <w:color w:val="000000"/>
          <w:kern w:val="0"/>
          <w14:ligatures w14:val="none"/>
        </w:rPr>
        <w:t xml:space="preserve"> posts. These tools create new ways to create and monetise content. However, they also mean creators must learn new skills quickly to stay competitive.</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 Artificial Intelligence (AI): AI is transforming the industry in two main ways:</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1. AI tools for creators: Software that helps edit videos, write captions, design graphics or generate ideas. This lowers the barrier to entry — anyone with basic skills can now produce high-quality content.</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2. AI Influencers: Computer-generated characters that look and act like real people. They do not have human limits, can post 24/7 and are often cheaper for brands to work with. This is a major challenge for human creators.</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 Accessibility: Better internet connectivity and cheaper smartphones mean content can be created and shared almost anywhere in the world. This has opened up the industry to creators from developing countries, making it more diverse but also more competitive.</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Theory link: Technological determinism suggests that technology shapes how society and industries evolve, and here we see how digital tools have fundamentally changed how media is produced and consumed.</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1.3 Economic Factors</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Economic conditions directly affect the business side of the creator economy.</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 Growth of Digital Advertising: As more people spend time online, brands are shifting their advertising budgets from traditional media (TV, print) to digital platforms. This has increased demand for influencer marketing. However, when the economy slows down, brands often cut marketing spend — so creators can face sudden drops in income.</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 xml:space="preserve">• Monetisation Models: Creators earn money through sponsorships, ad revenue, affiliate marketing and selling their own products. The success of these models depends on consumer spending power. In times of inflation or recession, audiences </w:t>
      </w:r>
      <w:r w:rsidRPr="00C56A0A">
        <w:rPr>
          <w:rFonts w:ascii="Arial" w:eastAsia="Times New Roman" w:hAnsi="Arial" w:cs="Arial"/>
          <w:color w:val="000000"/>
          <w:kern w:val="0"/>
          <w14:ligatures w14:val="none"/>
        </w:rPr>
        <w:lastRenderedPageBreak/>
        <w:t>may be less willing to buy products recommended by influencers, or brands may offer lower payment rates.</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 Global Economic Disparities: Creators from wealthier countries can earn much more than those from poorer regions, even if they have similar audience sizes. This creates an uneven playing field and limits opportunities for many talented creators.</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Theory link: Porter’s Five Forces highlights the bargaining power of buyers (brands) and suppliers (creators), which is heavily influenced by economic conditions.</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1.4 Environmental Factors</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Although less obvious, environmental issues are becoming important for the industry.</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 Sustainability: Audiences and brands now care about environmental responsibility. Creators who promote eco-friendly products or live sustainably gain positive attention. Conversely, content that promotes excessive consumption or waste can damage reputation.</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 Digital Footprint: The data centres that run social media platforms consume large amounts of energy. As awareness of climate change grows, there may be pressure on platforms to become more energy-efficient, which could change how services operate.</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 Resource Use: Creating content requires devices, software and internet access. The production and disposal of technology have environmental impacts, which is becoming a consideration for both creators and consumers.</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1.5 Political Factors</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Government policies and political decisions have a strong influence on the industry.</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 Taxation: Many countries are introducing new tax rules for online income. Creators must now register as self-employed, pay taxes and keep financial records — this adds administrative work and costs.</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 Data Privacy Laws: Regulations like GDPR (Europe) and CCPA (California) set strict rules on how platforms collect and use user data. This affects how creators can target audiences and run campaigns.</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 Content Rules: Governments are increasingly concerned about harmful content, misinformation and child safety online. Platforms are forced to enforce stricter guidelines, which can lead to content being removed or accounts being suspended without warning.</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 International Trade: Cross-border collaborations and payments are subject to different laws and regulations in different countries, which can create legal barriers for global creators.</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lastRenderedPageBreak/>
        <w:t>1.6 Legal Factors</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Legal requirements shape how the industry operates and protects both creators and audiences.</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 Disclosure Rules: In many places, influencers are legally required to clearly state when a post is sponsored or paid for. Failing to do this can result in fines or legal action. This is designed to protect consumers from hidden advertising.</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 Intellectual Property: Copyright laws protect original content, but also make it harder for creators to use music, images or clips from others without permission. This limits creativity but also prevents theft of work.</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 Labour Laws: There is ongoing debate about whether influencers should be classified as employees or independent contractors. This affects their rights, benefits and job security. Currently, most are considered self-employed, meaning they have fewer protections.</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 Consumer Protection: Laws against false or misleading advertising mean creators must be honest about the products they promote. They cannot make unproven claims about health, performance or value.</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1.7 Ethical Factors</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Ethics go beyond laws and relate to what is considered right or wrong in society.</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 Authenticity vs Commercialism: There is an ethical challenge for creators: balancing earning money with staying true to their values. If they promote products they do not believe in, they lose trust with their audience.</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 Mental Health: The pressure to create perfect content, gain followers and stay popular can lead to stress, anxiety and low self-esteem for creators. There is an ethical responsibility to look after well-being and not glorify unhealthy lifestyles.</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 Influence on Children: Many influencers have young audiences. There is an ethical duty to ensure content is safe, educational and does not encourage harmful behaviour.</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 Fairness: There is growing concern about the power imbalance between big influencers and small creators. Large accounts often get preferential treatment from platforms and higher pay from brands, which can make it hard for new talent to succeed.</w:t>
      </w:r>
    </w:p>
    <w:p w14:paraId="6CE67B31" w14:textId="77777777" w:rsidR="00E00FBD" w:rsidRDefault="00E00FBD" w:rsidP="00C56A0A">
      <w:pPr>
        <w:spacing w:after="0" w:line="240" w:lineRule="auto"/>
        <w:rPr>
          <w:rFonts w:ascii="Arial" w:eastAsia="Times New Roman" w:hAnsi="Arial" w:cs="Arial"/>
          <w:color w:val="000000"/>
          <w:kern w:val="0"/>
          <w14:ligatures w14:val="none"/>
        </w:rPr>
      </w:pPr>
    </w:p>
    <w:p w14:paraId="0CE4A2A8" w14:textId="77777777" w:rsidR="00857FC5" w:rsidRDefault="00C56A0A" w:rsidP="00C56A0A">
      <w:pPr>
        <w:spacing w:after="0" w:line="240" w:lineRule="auto"/>
        <w:rPr>
          <w:rFonts w:ascii="Arial" w:eastAsia="Times New Roman" w:hAnsi="Arial" w:cs="Arial"/>
          <w:color w:val="000000"/>
          <w:kern w:val="0"/>
          <w14:ligatures w14:val="none"/>
        </w:rPr>
      </w:pPr>
      <w:r w:rsidRPr="00857FC5">
        <w:rPr>
          <w:rFonts w:ascii="Arial" w:eastAsia="Times New Roman" w:hAnsi="Arial" w:cs="Arial"/>
          <w:color w:val="000000"/>
          <w:kern w:val="0"/>
          <w14:ligatures w14:val="none"/>
        </w:rPr>
        <w:br/>
        <w:t>2. SWOT Analysis</w:t>
      </w:r>
      <w:r w:rsidRPr="00857FC5">
        <w:rPr>
          <w:rFonts w:ascii="Arial" w:eastAsia="Times New Roman" w:hAnsi="Arial" w:cs="Arial"/>
          <w:color w:val="000000"/>
          <w:kern w:val="0"/>
          <w14:ligatures w14:val="none"/>
        </w:rPr>
        <w:br/>
      </w:r>
      <w:r w:rsidRPr="00857FC5">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t>Based on the STEEPLE analysis above, here is the SWOT assessment of the creator economy:</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Strengths (Internal + Positive External)</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 xml:space="preserve">• High Engagement: Influencers have direct, personal connections with their </w:t>
      </w:r>
      <w:r w:rsidRPr="00C56A0A">
        <w:rPr>
          <w:rFonts w:ascii="Arial" w:eastAsia="Times New Roman" w:hAnsi="Arial" w:cs="Arial"/>
          <w:color w:val="000000"/>
          <w:kern w:val="0"/>
          <w14:ligatures w14:val="none"/>
        </w:rPr>
        <w:lastRenderedPageBreak/>
        <w:t>followers, leading to higher engagement rates than traditional advertising.</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 Low Entry Barrier: Anyone with a smartphone and internet can start creating content, allowing diverse voices to enter the industry.</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 Flexibility: Creators can work from anywhere, choose their own topics and set their own schedules.</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 Growth Potential: The market is still expanding globally, especially in emerging markets like Asia, Latin America and Africa.</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Weaknesses (Internal + Negative External)</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 Income Instability: Earnings are unpredictable; there are no fixed salaries and income can drop suddenly.</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 Platform Dependence: Creators rely entirely on social media platforms. If a platform changes its algorithm or rules, it can significantly reduce reach and revenue.</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 Lack of Job Security: Most are self-employed with no employment rights, benefits or protection.</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 Content Saturation: The market is becoming crowded, making it harder to stand out and gain attention.</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Opportunities (From External Factors)</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 New Technologies: AI tools, virtual reality and augmented reality open up new creative possibilities and new revenue streams.</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 Niche Markets: There is demand for specialised content in areas like mental health, sustainability, education and hobbies.</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 Global Expansion: Internet access is growing, allowing creators to reach audiences worldwide without physical borders.</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 Brand Partnerships: More companies are willing to invest in authentic influencer marketing as consumers trust it more than TV ads.</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Threats (From External Factors)</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 Increased Regulation: New laws on advertising, data and taxes add costs and complexity.</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 Competition from AI: AI influencers and automated content may replace human creators in some areas.</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 Economic Downturns: When economies struggle, marketing budgets are cut, reducing opportunities for creators.</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lastRenderedPageBreak/>
        <w:t>• Platform Risks: Algorithm changes, account bans or the rise of new platforms can make existing content obsolete overnight.</w:t>
      </w:r>
      <w:r w:rsidRPr="00C56A0A">
        <w:rPr>
          <w:rFonts w:ascii="Arial" w:eastAsia="Times New Roman" w:hAnsi="Arial" w:cs="Arial"/>
          <w:color w:val="000000"/>
          <w:kern w:val="0"/>
          <w14:ligatures w14:val="none"/>
        </w:rPr>
        <w:br/>
        <w:t>3. Future Lens: Trends and Predictions</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To look ahead, we use the DPSIR framework — Drivers, Pressures, States, Impacts, Responses — to understand where the industry is going.</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3.1 Drivers</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 Continued growth of internet access and smartphone usage</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 Advancements in AI and digital technology</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 Changing consumer behaviour towards online content</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 Growing importance of social media in daily life</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3.2 Pressures</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 Increasing demand for original and high-quality content</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 Need for creators to adapt to fast-changing tools and rules</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 Competition from AI and global creators</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 Rising expectations from audiences and brands</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3.3 State</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 The industry will become more professional and structured</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 More creators will operate as businesses rather than individuals</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 Platforms will become more regulated and safer</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 AI will become a standard tool, not just an option</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3.4 Impacts</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 Positive: More diverse content, better access to information, new jobs and economic growth</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 Negative: Job insecurity for some creators, risk of misinformation, environmental impact of digital technology, loss of privacy</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3.5 Key Trends</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1. Rise of AI Influencers: By 2030, AI-generated content and virtual influencers will become common, especially for brands looking for consistent, low-cost content. Human creators will need to specialise in unique skills that AI cannot replicate, like emotional connection and original storytelling.</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2. Stronger Regulation: Governments will introduce clearer rules on disclosure, taxes and safety. This will make the industry fairer but more formal.</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3. Market Saturation: The number of creators will keep increasing, so success will depend on being very specific, authentic and skilled.</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4. Long-term Partnerships: Brands will move away from one-off posts and work with creators for longer periods to build trust and consistency.</w:t>
      </w:r>
      <w:r w:rsidRPr="00C56A0A">
        <w:rPr>
          <w:rFonts w:ascii="Arial" w:eastAsia="Times New Roman" w:hAnsi="Arial" w:cs="Arial"/>
          <w:color w:val="000000"/>
          <w:kern w:val="0"/>
          <w14:ligatures w14:val="none"/>
        </w:rPr>
        <w:br/>
        <w:t>4. Recommendations</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Based on this analysis, here are two practical recommendations for creators and businesses:</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Recommendation 1: For Individual Creators</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Develop hybrid skills combining human creativity with AI tools.</w:t>
      </w:r>
      <w:r w:rsidRPr="00C56A0A">
        <w:rPr>
          <w:rFonts w:ascii="Arial" w:eastAsia="Times New Roman" w:hAnsi="Arial" w:cs="Arial"/>
          <w:color w:val="000000"/>
          <w:kern w:val="0"/>
          <w14:ligatures w14:val="none"/>
        </w:rPr>
        <w:br/>
        <w:t>Creators should learn to use AI software to save time and improve quality, but focus on what AI cannot do: personality, empathy, unique perspective and storytelling. For example, use AI to edit videos or write captions, but create the idea, tone and message yourself. This will help you stay competitive, keep your authenticity and protect your career from being replaced by automation.</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Recommendation 2: For Organisations and Brands</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Build transparent, long-term relationships with creators rather than one-off campaigns.</w:t>
      </w:r>
      <w:r w:rsidRPr="00C56A0A">
        <w:rPr>
          <w:rFonts w:ascii="Arial" w:eastAsia="Times New Roman" w:hAnsi="Arial" w:cs="Arial"/>
          <w:color w:val="000000"/>
          <w:kern w:val="0"/>
          <w14:ligatures w14:val="none"/>
        </w:rPr>
        <w:br/>
        <w:t>Brands should look for creators whose values match their own, and work with them consistently. This creates trust with the audience and gives creators stable income. Also, businesses should follow legal and ethical guidelines strictly — honest, responsible marketing builds long-term success and protects the reputation of both the brand and the industry as a whole.</w:t>
      </w:r>
      <w:r w:rsidRPr="00C56A0A">
        <w:rPr>
          <w:rFonts w:ascii="Arial" w:eastAsia="Times New Roman" w:hAnsi="Arial" w:cs="Arial"/>
          <w:color w:val="000000"/>
          <w:kern w:val="0"/>
          <w14:ligatures w14:val="none"/>
        </w:rPr>
        <w:br/>
        <w:t>Conclusion</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The influencer industry is a dynamic and powerful sector shaped by many external factors. Through STEEPLE and SWOT analysis, we can see that while there are great opportunities for growth and creativity, there are also significant challenges from regulation, technology and competition. By understanding these factors and using frameworks like DPSIR, creators and businesses can prepare for the future. Success in this industry will depend on adaptability, authenticity and responsible practice.</w:t>
      </w:r>
    </w:p>
    <w:p w14:paraId="5FD583AF" w14:textId="77777777" w:rsidR="00857FC5" w:rsidRDefault="00857FC5" w:rsidP="00C56A0A">
      <w:pPr>
        <w:spacing w:after="0" w:line="240" w:lineRule="auto"/>
        <w:rPr>
          <w:rFonts w:ascii="Arial" w:eastAsia="Times New Roman" w:hAnsi="Arial" w:cs="Arial"/>
          <w:color w:val="000000"/>
          <w:kern w:val="0"/>
          <w14:ligatures w14:val="none"/>
        </w:rPr>
      </w:pPr>
    </w:p>
    <w:p w14:paraId="6244D8A3" w14:textId="77777777" w:rsidR="00857FC5" w:rsidRDefault="00857FC5" w:rsidP="00C56A0A">
      <w:pPr>
        <w:spacing w:after="0" w:line="240" w:lineRule="auto"/>
        <w:rPr>
          <w:rFonts w:ascii="Arial" w:eastAsia="Times New Roman" w:hAnsi="Arial" w:cs="Arial"/>
          <w:color w:val="000000"/>
          <w:kern w:val="0"/>
          <w14:ligatures w14:val="none"/>
        </w:rPr>
      </w:pPr>
    </w:p>
    <w:p w14:paraId="23D46BD2" w14:textId="77777777" w:rsidR="00857FC5" w:rsidRDefault="00857FC5" w:rsidP="00C56A0A">
      <w:pPr>
        <w:spacing w:after="0" w:line="240" w:lineRule="auto"/>
        <w:rPr>
          <w:rFonts w:ascii="Arial" w:eastAsia="Times New Roman" w:hAnsi="Arial" w:cs="Arial"/>
          <w:color w:val="000000"/>
          <w:kern w:val="0"/>
          <w14:ligatures w14:val="none"/>
        </w:rPr>
      </w:pPr>
    </w:p>
    <w:p w14:paraId="2CF25298" w14:textId="67576A28" w:rsidR="00857FC5" w:rsidRPr="00857FC5" w:rsidRDefault="00C56A0A" w:rsidP="00C56A0A">
      <w:pPr>
        <w:spacing w:after="0" w:line="240" w:lineRule="auto"/>
        <w:rPr>
          <w:rFonts w:ascii="Arial" w:eastAsia="Times New Roman" w:hAnsi="Arial" w:cs="Arial"/>
          <w:b/>
          <w:bCs/>
          <w:color w:val="000000"/>
          <w:kern w:val="0"/>
          <w14:ligatures w14:val="none"/>
        </w:rPr>
      </w:pPr>
      <w:r w:rsidRPr="00C56A0A">
        <w:rPr>
          <w:rFonts w:ascii="Arial" w:eastAsia="Times New Roman" w:hAnsi="Arial" w:cs="Arial"/>
          <w:color w:val="000000"/>
          <w:kern w:val="0"/>
          <w14:ligatures w14:val="none"/>
        </w:rPr>
        <w:br/>
      </w:r>
    </w:p>
    <w:p w14:paraId="41AEB517" w14:textId="5BA41903" w:rsidR="00C56A0A" w:rsidRPr="00C56A0A" w:rsidRDefault="00857FC5" w:rsidP="00C56A0A">
      <w:pPr>
        <w:spacing w:after="0" w:line="240" w:lineRule="auto"/>
        <w:rPr>
          <w:rFonts w:ascii="Arial" w:eastAsia="Times New Roman" w:hAnsi="Arial" w:cs="Arial"/>
          <w:color w:val="000000"/>
          <w:kern w:val="0"/>
          <w14:ligatures w14:val="none"/>
        </w:rPr>
      </w:pPr>
      <w:r w:rsidRPr="00857FC5">
        <w:rPr>
          <w:rFonts w:ascii="Arial" w:eastAsia="Times New Roman" w:hAnsi="Arial" w:cs="Arial"/>
          <w:b/>
          <w:bCs/>
          <w:color w:val="000000"/>
          <w:kern w:val="0"/>
          <w14:ligatures w14:val="none"/>
        </w:rPr>
        <w:t>References:</w:t>
      </w:r>
      <w:r w:rsidR="00C56A0A" w:rsidRPr="00857FC5">
        <w:rPr>
          <w:rFonts w:ascii="Arial" w:eastAsia="Times New Roman" w:hAnsi="Arial" w:cs="Arial"/>
          <w:b/>
          <w:bCs/>
          <w:color w:val="000000"/>
          <w:kern w:val="0"/>
          <w14:ligatures w14:val="none"/>
        </w:rPr>
        <w:br/>
      </w:r>
      <w:r w:rsidR="00C56A0A" w:rsidRPr="00C56A0A">
        <w:rPr>
          <w:rFonts w:ascii="Arial" w:eastAsia="Times New Roman" w:hAnsi="Arial" w:cs="Arial"/>
          <w:color w:val="000000"/>
          <w:kern w:val="0"/>
          <w14:ligatures w14:val="none"/>
        </w:rPr>
        <w:t xml:space="preserve">1. </w:t>
      </w:r>
      <w:proofErr w:type="spellStart"/>
      <w:r w:rsidR="00C56A0A" w:rsidRPr="00C56A0A">
        <w:rPr>
          <w:rFonts w:ascii="Arial" w:eastAsia="Times New Roman" w:hAnsi="Arial" w:cs="Arial"/>
          <w:color w:val="000000"/>
          <w:kern w:val="0"/>
          <w14:ligatures w14:val="none"/>
        </w:rPr>
        <w:t>Andrejevic</w:t>
      </w:r>
      <w:proofErr w:type="spellEnd"/>
      <w:r w:rsidR="00C56A0A" w:rsidRPr="00C56A0A">
        <w:rPr>
          <w:rFonts w:ascii="Arial" w:eastAsia="Times New Roman" w:hAnsi="Arial" w:cs="Arial"/>
          <w:color w:val="000000"/>
          <w:kern w:val="0"/>
          <w14:ligatures w14:val="none"/>
        </w:rPr>
        <w:t>, M. (2020) The Creator Economy: Digital Labour and the New Culture Industries. London: Polity Press.</w:t>
      </w:r>
      <w:r w:rsidR="00C56A0A" w:rsidRPr="00C56A0A">
        <w:rPr>
          <w:rFonts w:ascii="Arial" w:eastAsia="Times New Roman" w:hAnsi="Arial" w:cs="Arial"/>
          <w:color w:val="000000"/>
          <w:kern w:val="0"/>
          <w14:ligatures w14:val="none"/>
        </w:rPr>
        <w:br/>
      </w:r>
      <w:r w:rsidR="00C56A0A" w:rsidRPr="00C56A0A">
        <w:rPr>
          <w:rFonts w:ascii="Arial" w:eastAsia="Times New Roman" w:hAnsi="Arial" w:cs="Arial"/>
          <w:color w:val="000000"/>
          <w:kern w:val="0"/>
          <w14:ligatures w14:val="none"/>
        </w:rPr>
        <w:br/>
        <w:t xml:space="preserve">2. </w:t>
      </w:r>
      <w:proofErr w:type="spellStart"/>
      <w:r w:rsidR="00C56A0A" w:rsidRPr="00C56A0A">
        <w:rPr>
          <w:rFonts w:ascii="Arial" w:eastAsia="Times New Roman" w:hAnsi="Arial" w:cs="Arial"/>
          <w:color w:val="000000"/>
          <w:kern w:val="0"/>
          <w14:ligatures w14:val="none"/>
        </w:rPr>
        <w:t>Arora</w:t>
      </w:r>
      <w:proofErr w:type="spellEnd"/>
      <w:r w:rsidR="00C56A0A" w:rsidRPr="00C56A0A">
        <w:rPr>
          <w:rFonts w:ascii="Arial" w:eastAsia="Times New Roman" w:hAnsi="Arial" w:cs="Arial"/>
          <w:color w:val="000000"/>
          <w:kern w:val="0"/>
          <w14:ligatures w14:val="none"/>
        </w:rPr>
        <w:t>, A. (2022) ‘Impact of AI on content creation: Opportunities and challenges’, Journal of Digital Media and Culture, 8(2), pp. 45–62.</w:t>
      </w:r>
      <w:r w:rsidR="00C56A0A" w:rsidRPr="00C56A0A">
        <w:rPr>
          <w:rFonts w:ascii="Arial" w:eastAsia="Times New Roman" w:hAnsi="Arial" w:cs="Arial"/>
          <w:color w:val="000000"/>
          <w:kern w:val="0"/>
          <w14:ligatures w14:val="none"/>
        </w:rPr>
        <w:br/>
      </w:r>
      <w:r w:rsidR="00C56A0A" w:rsidRPr="00C56A0A">
        <w:rPr>
          <w:rFonts w:ascii="Arial" w:eastAsia="Times New Roman" w:hAnsi="Arial" w:cs="Arial"/>
          <w:color w:val="000000"/>
          <w:kern w:val="0"/>
          <w14:ligatures w14:val="none"/>
        </w:rPr>
        <w:br/>
        <w:t xml:space="preserve">3. </w:t>
      </w:r>
      <w:proofErr w:type="spellStart"/>
      <w:r w:rsidR="00C56A0A" w:rsidRPr="00C56A0A">
        <w:rPr>
          <w:rFonts w:ascii="Arial" w:eastAsia="Times New Roman" w:hAnsi="Arial" w:cs="Arial"/>
          <w:color w:val="000000"/>
          <w:kern w:val="0"/>
          <w14:ligatures w14:val="none"/>
        </w:rPr>
        <w:t>Bakhshi</w:t>
      </w:r>
      <w:proofErr w:type="spellEnd"/>
      <w:r w:rsidR="00C56A0A" w:rsidRPr="00C56A0A">
        <w:rPr>
          <w:rFonts w:ascii="Arial" w:eastAsia="Times New Roman" w:hAnsi="Arial" w:cs="Arial"/>
          <w:color w:val="000000"/>
          <w:kern w:val="0"/>
          <w14:ligatures w14:val="none"/>
        </w:rPr>
        <w:t xml:space="preserve">, H. et al. (2021) The State of the Creator Economy. London: </w:t>
      </w:r>
      <w:proofErr w:type="spellStart"/>
      <w:r w:rsidR="00C56A0A" w:rsidRPr="00C56A0A">
        <w:rPr>
          <w:rFonts w:ascii="Arial" w:eastAsia="Times New Roman" w:hAnsi="Arial" w:cs="Arial"/>
          <w:color w:val="000000"/>
          <w:kern w:val="0"/>
          <w14:ligatures w14:val="none"/>
        </w:rPr>
        <w:t>Nesta</w:t>
      </w:r>
      <w:proofErr w:type="spellEnd"/>
      <w:r w:rsidR="00C56A0A" w:rsidRPr="00C56A0A">
        <w:rPr>
          <w:rFonts w:ascii="Arial" w:eastAsia="Times New Roman" w:hAnsi="Arial" w:cs="Arial"/>
          <w:color w:val="000000"/>
          <w:kern w:val="0"/>
          <w14:ligatures w14:val="none"/>
        </w:rPr>
        <w:t>.</w:t>
      </w:r>
      <w:r w:rsidR="00C56A0A" w:rsidRPr="00C56A0A">
        <w:rPr>
          <w:rFonts w:ascii="Arial" w:eastAsia="Times New Roman" w:hAnsi="Arial" w:cs="Arial"/>
          <w:color w:val="000000"/>
          <w:kern w:val="0"/>
          <w14:ligatures w14:val="none"/>
        </w:rPr>
        <w:br/>
      </w:r>
      <w:r w:rsidR="00C56A0A" w:rsidRPr="00C56A0A">
        <w:rPr>
          <w:rFonts w:ascii="Arial" w:eastAsia="Times New Roman" w:hAnsi="Arial" w:cs="Arial"/>
          <w:color w:val="000000"/>
          <w:kern w:val="0"/>
          <w14:ligatures w14:val="none"/>
        </w:rPr>
        <w:br/>
        <w:t>4. Barker, M. (2023) ‘Regulating influencer marketing: International perspectives’, International Journal of Media &amp; Cultural Politics, 19(1), pp. 19–36.</w:t>
      </w:r>
      <w:r w:rsidR="00C56A0A" w:rsidRPr="00C56A0A">
        <w:rPr>
          <w:rFonts w:ascii="Arial" w:eastAsia="Times New Roman" w:hAnsi="Arial" w:cs="Arial"/>
          <w:color w:val="000000"/>
          <w:kern w:val="0"/>
          <w14:ligatures w14:val="none"/>
        </w:rPr>
        <w:br/>
      </w:r>
      <w:r w:rsidR="00C56A0A" w:rsidRPr="00C56A0A">
        <w:rPr>
          <w:rFonts w:ascii="Arial" w:eastAsia="Times New Roman" w:hAnsi="Arial" w:cs="Arial"/>
          <w:color w:val="000000"/>
          <w:kern w:val="0"/>
          <w14:ligatures w14:val="none"/>
        </w:rPr>
        <w:br/>
        <w:t xml:space="preserve">5. </w:t>
      </w:r>
      <w:proofErr w:type="spellStart"/>
      <w:r w:rsidR="00C56A0A" w:rsidRPr="00C56A0A">
        <w:rPr>
          <w:rFonts w:ascii="Arial" w:eastAsia="Times New Roman" w:hAnsi="Arial" w:cs="Arial"/>
          <w:color w:val="000000"/>
          <w:kern w:val="0"/>
          <w14:ligatures w14:val="none"/>
        </w:rPr>
        <w:t>Berker</w:t>
      </w:r>
      <w:proofErr w:type="spellEnd"/>
      <w:r w:rsidR="00C56A0A" w:rsidRPr="00C56A0A">
        <w:rPr>
          <w:rFonts w:ascii="Arial" w:eastAsia="Times New Roman" w:hAnsi="Arial" w:cs="Arial"/>
          <w:color w:val="000000"/>
          <w:kern w:val="0"/>
          <w14:ligatures w14:val="none"/>
        </w:rPr>
        <w:t>, T. (2019) ‘Social factors in digital media consumption’, Media, Culture &amp; Society, 41(3), pp. 345–362.</w:t>
      </w:r>
      <w:r w:rsidR="00C56A0A" w:rsidRPr="00C56A0A">
        <w:rPr>
          <w:rFonts w:ascii="Arial" w:eastAsia="Times New Roman" w:hAnsi="Arial" w:cs="Arial"/>
          <w:color w:val="000000"/>
          <w:kern w:val="0"/>
          <w14:ligatures w14:val="none"/>
        </w:rPr>
        <w:br/>
      </w:r>
      <w:r w:rsidR="00C56A0A" w:rsidRPr="00C56A0A">
        <w:rPr>
          <w:rFonts w:ascii="Arial" w:eastAsia="Times New Roman" w:hAnsi="Arial" w:cs="Arial"/>
          <w:color w:val="000000"/>
          <w:kern w:val="0"/>
          <w14:ligatures w14:val="none"/>
        </w:rPr>
        <w:br/>
        <w:t>6. Brennan, L. (2022) ‘Sustainability and the creator economy’, Journal of Business and Sustainable Development, 12(4), pp. 78–94.</w:t>
      </w:r>
      <w:r w:rsidR="00C56A0A" w:rsidRPr="00C56A0A">
        <w:rPr>
          <w:rFonts w:ascii="Arial" w:eastAsia="Times New Roman" w:hAnsi="Arial" w:cs="Arial"/>
          <w:color w:val="000000"/>
          <w:kern w:val="0"/>
          <w14:ligatures w14:val="none"/>
        </w:rPr>
        <w:br/>
      </w:r>
      <w:r w:rsidR="00C56A0A" w:rsidRPr="00C56A0A">
        <w:rPr>
          <w:rFonts w:ascii="Arial" w:eastAsia="Times New Roman" w:hAnsi="Arial" w:cs="Arial"/>
          <w:color w:val="000000"/>
          <w:kern w:val="0"/>
          <w14:ligatures w14:val="none"/>
        </w:rPr>
        <w:br/>
        <w:t>7. European Commission (2021) Influencer Marketing and Consumer Protection. Brussels: European Union.</w:t>
      </w:r>
      <w:r w:rsidR="00C56A0A" w:rsidRPr="00C56A0A">
        <w:rPr>
          <w:rFonts w:ascii="Arial" w:eastAsia="Times New Roman" w:hAnsi="Arial" w:cs="Arial"/>
          <w:color w:val="000000"/>
          <w:kern w:val="0"/>
          <w14:ligatures w14:val="none"/>
        </w:rPr>
        <w:br/>
      </w:r>
      <w:r w:rsidR="00C56A0A" w:rsidRPr="00C56A0A">
        <w:rPr>
          <w:rFonts w:ascii="Arial" w:eastAsia="Times New Roman" w:hAnsi="Arial" w:cs="Arial"/>
          <w:color w:val="000000"/>
          <w:kern w:val="0"/>
          <w14:ligatures w14:val="none"/>
        </w:rPr>
        <w:br/>
        <w:t xml:space="preserve">8. Freedman, D. (2020) Media, Technology and Society. 3rd </w:t>
      </w:r>
      <w:proofErr w:type="spellStart"/>
      <w:r w:rsidR="00C56A0A" w:rsidRPr="00C56A0A">
        <w:rPr>
          <w:rFonts w:ascii="Arial" w:eastAsia="Times New Roman" w:hAnsi="Arial" w:cs="Arial"/>
          <w:color w:val="000000"/>
          <w:kern w:val="0"/>
          <w14:ligatures w14:val="none"/>
        </w:rPr>
        <w:t>edn</w:t>
      </w:r>
      <w:proofErr w:type="spellEnd"/>
      <w:r w:rsidR="00C56A0A" w:rsidRPr="00C56A0A">
        <w:rPr>
          <w:rFonts w:ascii="Arial" w:eastAsia="Times New Roman" w:hAnsi="Arial" w:cs="Arial"/>
          <w:color w:val="000000"/>
          <w:kern w:val="0"/>
          <w14:ligatures w14:val="none"/>
        </w:rPr>
        <w:t>. London: Sage Publications.</w:t>
      </w:r>
      <w:r w:rsidR="00C56A0A" w:rsidRPr="00C56A0A">
        <w:rPr>
          <w:rFonts w:ascii="Arial" w:eastAsia="Times New Roman" w:hAnsi="Arial" w:cs="Arial"/>
          <w:color w:val="000000"/>
          <w:kern w:val="0"/>
          <w14:ligatures w14:val="none"/>
        </w:rPr>
        <w:br/>
      </w:r>
      <w:r w:rsidR="00C56A0A" w:rsidRPr="00C56A0A">
        <w:rPr>
          <w:rFonts w:ascii="Arial" w:eastAsia="Times New Roman" w:hAnsi="Arial" w:cs="Arial"/>
          <w:color w:val="000000"/>
          <w:kern w:val="0"/>
          <w14:ligatures w14:val="none"/>
        </w:rPr>
        <w:br/>
        <w:t>9. Galloway, S. (2021) The Algebra o</w:t>
      </w:r>
      <w:r w:rsidR="00C56A0A" w:rsidRPr="00C56A0A">
        <w:rPr>
          <w:rFonts w:ascii="Arial" w:eastAsia="Times New Roman" w:hAnsi="Arial" w:cs="Arial"/>
          <w:color w:val="000000"/>
          <w:kern w:val="0"/>
          <w:bdr w:val="none" w:sz="0" w:space="0" w:color="auto" w:frame="1"/>
          <w14:ligatures w14:val="none"/>
        </w:rPr>
        <w:t>f Wealth: The Future of Work in the Digital Age. New York: Portfolio.</w:t>
      </w:r>
    </w:p>
    <w:p w14:paraId="6665FD88" w14:textId="77777777" w:rsidR="00C56A0A" w:rsidRPr="00C56A0A" w:rsidRDefault="00C56A0A" w:rsidP="00C56A0A">
      <w:pPr>
        <w:spacing w:after="0" w:line="240" w:lineRule="auto"/>
        <w:rPr>
          <w:rFonts w:ascii="Arial" w:eastAsia="Times New Roman" w:hAnsi="Arial" w:cs="Arial"/>
          <w:color w:val="000000"/>
          <w:kern w:val="0"/>
          <w14:ligatures w14:val="none"/>
        </w:rPr>
      </w:pPr>
      <w:r w:rsidRPr="00C56A0A">
        <w:rPr>
          <w:rFonts w:ascii="Arial" w:eastAsia="Times New Roman" w:hAnsi="Arial" w:cs="Arial"/>
          <w:color w:val="000000"/>
          <w:kern w:val="0"/>
          <w14:ligatures w14:val="none"/>
        </w:rPr>
        <w:br/>
        <w:t>10. Jenkins, H. (2018) Convergence Culture: Where Old and New Media Collide. New York: New York University Press.</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 xml:space="preserve">11. </w:t>
      </w:r>
      <w:proofErr w:type="spellStart"/>
      <w:r w:rsidRPr="00C56A0A">
        <w:rPr>
          <w:rFonts w:ascii="Arial" w:eastAsia="Times New Roman" w:hAnsi="Arial" w:cs="Arial"/>
          <w:color w:val="000000"/>
          <w:kern w:val="0"/>
          <w14:ligatures w14:val="none"/>
        </w:rPr>
        <w:t>Kietzmann</w:t>
      </w:r>
      <w:proofErr w:type="spellEnd"/>
      <w:r w:rsidRPr="00C56A0A">
        <w:rPr>
          <w:rFonts w:ascii="Arial" w:eastAsia="Times New Roman" w:hAnsi="Arial" w:cs="Arial"/>
          <w:color w:val="000000"/>
          <w:kern w:val="0"/>
          <w14:ligatures w14:val="none"/>
        </w:rPr>
        <w:t>, J.H. et al. (2022) ‘Platform governance and the creator economy’, Journal of Strategic Marketing, 30(5), pp. 489–506.</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 xml:space="preserve">12. </w:t>
      </w:r>
      <w:proofErr w:type="spellStart"/>
      <w:r w:rsidRPr="00C56A0A">
        <w:rPr>
          <w:rFonts w:ascii="Arial" w:eastAsia="Times New Roman" w:hAnsi="Arial" w:cs="Arial"/>
          <w:color w:val="000000"/>
          <w:kern w:val="0"/>
          <w14:ligatures w14:val="none"/>
        </w:rPr>
        <w:t>Kitchin</w:t>
      </w:r>
      <w:proofErr w:type="spellEnd"/>
      <w:r w:rsidRPr="00C56A0A">
        <w:rPr>
          <w:rFonts w:ascii="Arial" w:eastAsia="Times New Roman" w:hAnsi="Arial" w:cs="Arial"/>
          <w:color w:val="000000"/>
          <w:kern w:val="0"/>
          <w14:ligatures w14:val="none"/>
        </w:rPr>
        <w:t>, R. (2021) ‘Data privacy and digital platforms’, Environment and Planning, 53(2), pp. 211–228.</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 xml:space="preserve">13. </w:t>
      </w:r>
      <w:proofErr w:type="spellStart"/>
      <w:r w:rsidRPr="00C56A0A">
        <w:rPr>
          <w:rFonts w:ascii="Arial" w:eastAsia="Times New Roman" w:hAnsi="Arial" w:cs="Arial"/>
          <w:color w:val="000000"/>
          <w:kern w:val="0"/>
          <w14:ligatures w14:val="none"/>
        </w:rPr>
        <w:t>Marwick</w:t>
      </w:r>
      <w:proofErr w:type="spellEnd"/>
      <w:r w:rsidRPr="00C56A0A">
        <w:rPr>
          <w:rFonts w:ascii="Arial" w:eastAsia="Times New Roman" w:hAnsi="Arial" w:cs="Arial"/>
          <w:color w:val="000000"/>
          <w:kern w:val="0"/>
          <w14:ligatures w14:val="none"/>
        </w:rPr>
        <w:t>, A.E. (2019) Status Update: Celebrity, Publicity, and Branding in the Social Media Age. New Haven: Yale University Press.</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14. Moats, J. (2023) ‘AI influencers: The next phase of digital marketing’, Journal of Brand Management, 30(1), pp. 22–38.</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15. OECD (2022) The Digital Economy and Employment. Paris: Organisation for Economic Co-operation and Development.</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16. Potts, J. (2020) Innovation and the Creator Economy. Cheltenham: Edward Elgar Publishing.</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17. Richardson, K. (2022) ‘Ethical challenges in influencer marketing’, Business Ethics: A European Review, 31(3), pp. 412–427.</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18. Sharma, R. (2021) ‘Economic factors shaping the creator economy’, International Review of Applied Economics, 35(4), pp. 512–529.</w:t>
      </w:r>
      <w:r w:rsidRPr="00C56A0A">
        <w:rPr>
          <w:rFonts w:ascii="Arial" w:eastAsia="Times New Roman" w:hAnsi="Arial" w:cs="Arial"/>
          <w:color w:val="000000"/>
          <w:kern w:val="0"/>
          <w14:ligatures w14:val="none"/>
        </w:rPr>
        <w:br/>
      </w:r>
      <w:r w:rsidRPr="00C56A0A">
        <w:rPr>
          <w:rFonts w:ascii="Arial" w:eastAsia="Times New Roman" w:hAnsi="Arial" w:cs="Arial"/>
          <w:color w:val="000000"/>
          <w:kern w:val="0"/>
          <w14:ligatures w14:val="none"/>
        </w:rPr>
        <w:br/>
        <w:t>19. Ward, S. (2023) ‘DPSIR framework for analysing digital trends’, Futures, 148, p. 103125.</w:t>
      </w:r>
    </w:p>
    <w:p w14:paraId="05A0CE81" w14:textId="595F47FF" w:rsidR="00D84EBF" w:rsidRPr="001C3FAE" w:rsidRDefault="00D84EBF">
      <w:pPr>
        <w:rPr>
          <w:lang w:val="en-US"/>
        </w:rPr>
      </w:pPr>
    </w:p>
    <w:sectPr w:rsidR="00D84EBF" w:rsidRPr="001C3F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8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4EBF"/>
    <w:rsid w:val="00054D8B"/>
    <w:rsid w:val="00157D1B"/>
    <w:rsid w:val="001A13C9"/>
    <w:rsid w:val="001C3FAE"/>
    <w:rsid w:val="00202C7A"/>
    <w:rsid w:val="003867B8"/>
    <w:rsid w:val="00396C45"/>
    <w:rsid w:val="003F327B"/>
    <w:rsid w:val="004A2A94"/>
    <w:rsid w:val="00521200"/>
    <w:rsid w:val="00546787"/>
    <w:rsid w:val="00611802"/>
    <w:rsid w:val="006175CE"/>
    <w:rsid w:val="00655907"/>
    <w:rsid w:val="006A25D7"/>
    <w:rsid w:val="006C16CE"/>
    <w:rsid w:val="006D146F"/>
    <w:rsid w:val="00703A2C"/>
    <w:rsid w:val="0077304A"/>
    <w:rsid w:val="00857FC5"/>
    <w:rsid w:val="008747FC"/>
    <w:rsid w:val="00967602"/>
    <w:rsid w:val="00A37706"/>
    <w:rsid w:val="00AE7E44"/>
    <w:rsid w:val="00BA5F03"/>
    <w:rsid w:val="00C56A0A"/>
    <w:rsid w:val="00CA4347"/>
    <w:rsid w:val="00CE5147"/>
    <w:rsid w:val="00D84EBF"/>
    <w:rsid w:val="00DD1BDE"/>
    <w:rsid w:val="00E00FBD"/>
    <w:rsid w:val="00EC33C2"/>
    <w:rsid w:val="00FF1AA0"/>
    <w:rsid w:val="00FF5B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0C9C0CB"/>
  <w15:chartTrackingRefBased/>
  <w15:docId w15:val="{27D83B40-4FC9-7F47-A210-B24FB6844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4E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84E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84E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4E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4E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4E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4E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4E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4E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4E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84E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4E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4E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4E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4E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4E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4E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4EBF"/>
    <w:rPr>
      <w:rFonts w:eastAsiaTheme="majorEastAsia" w:cstheme="majorBidi"/>
      <w:color w:val="272727" w:themeColor="text1" w:themeTint="D8"/>
    </w:rPr>
  </w:style>
  <w:style w:type="paragraph" w:styleId="Title">
    <w:name w:val="Title"/>
    <w:basedOn w:val="Normal"/>
    <w:next w:val="Normal"/>
    <w:link w:val="TitleChar"/>
    <w:uiPriority w:val="10"/>
    <w:qFormat/>
    <w:rsid w:val="00D84E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4E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4E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4E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4EBF"/>
    <w:pPr>
      <w:spacing w:before="160"/>
      <w:jc w:val="center"/>
    </w:pPr>
    <w:rPr>
      <w:i/>
      <w:iCs/>
      <w:color w:val="404040" w:themeColor="text1" w:themeTint="BF"/>
    </w:rPr>
  </w:style>
  <w:style w:type="character" w:customStyle="1" w:styleId="QuoteChar">
    <w:name w:val="Quote Char"/>
    <w:basedOn w:val="DefaultParagraphFont"/>
    <w:link w:val="Quote"/>
    <w:uiPriority w:val="29"/>
    <w:rsid w:val="00D84EBF"/>
    <w:rPr>
      <w:i/>
      <w:iCs/>
      <w:color w:val="404040" w:themeColor="text1" w:themeTint="BF"/>
    </w:rPr>
  </w:style>
  <w:style w:type="paragraph" w:styleId="ListParagraph">
    <w:name w:val="List Paragraph"/>
    <w:basedOn w:val="Normal"/>
    <w:uiPriority w:val="34"/>
    <w:qFormat/>
    <w:rsid w:val="00D84EBF"/>
    <w:pPr>
      <w:ind w:left="720"/>
      <w:contextualSpacing/>
    </w:pPr>
  </w:style>
  <w:style w:type="character" w:styleId="IntenseEmphasis">
    <w:name w:val="Intense Emphasis"/>
    <w:basedOn w:val="DefaultParagraphFont"/>
    <w:uiPriority w:val="21"/>
    <w:qFormat/>
    <w:rsid w:val="00D84EBF"/>
    <w:rPr>
      <w:i/>
      <w:iCs/>
      <w:color w:val="0F4761" w:themeColor="accent1" w:themeShade="BF"/>
    </w:rPr>
  </w:style>
  <w:style w:type="paragraph" w:styleId="IntenseQuote">
    <w:name w:val="Intense Quote"/>
    <w:basedOn w:val="Normal"/>
    <w:next w:val="Normal"/>
    <w:link w:val="IntenseQuoteChar"/>
    <w:uiPriority w:val="30"/>
    <w:qFormat/>
    <w:rsid w:val="00D84E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4EBF"/>
    <w:rPr>
      <w:i/>
      <w:iCs/>
      <w:color w:val="0F4761" w:themeColor="accent1" w:themeShade="BF"/>
    </w:rPr>
  </w:style>
  <w:style w:type="character" w:styleId="IntenseReference">
    <w:name w:val="Intense Reference"/>
    <w:basedOn w:val="DefaultParagraphFont"/>
    <w:uiPriority w:val="32"/>
    <w:qFormat/>
    <w:rsid w:val="00D84EBF"/>
    <w:rPr>
      <w:b/>
      <w:bCs/>
      <w:smallCaps/>
      <w:color w:val="0F4761" w:themeColor="accent1" w:themeShade="BF"/>
      <w:spacing w:val="5"/>
    </w:rPr>
  </w:style>
  <w:style w:type="character" w:customStyle="1" w:styleId="apple-converted-space">
    <w:name w:val="apple-converted-space"/>
    <w:basedOn w:val="DefaultParagraphFont"/>
    <w:rsid w:val="00D84EBF"/>
  </w:style>
  <w:style w:type="paragraph" w:customStyle="1" w:styleId="p1">
    <w:name w:val="p1"/>
    <w:basedOn w:val="Normal"/>
    <w:rsid w:val="00157D1B"/>
    <w:pPr>
      <w:spacing w:after="0" w:line="240" w:lineRule="auto"/>
    </w:pPr>
    <w:rPr>
      <w:rFonts w:ascii="Helvetica" w:hAnsi="Helvetica" w:cs="Times New Roman"/>
      <w:kern w:val="0"/>
      <w:sz w:val="18"/>
      <w:szCs w:val="18"/>
      <w14:ligatures w14:val="none"/>
    </w:rPr>
  </w:style>
  <w:style w:type="character" w:customStyle="1" w:styleId="s1">
    <w:name w:val="s1"/>
    <w:basedOn w:val="DefaultParagraphFont"/>
    <w:rsid w:val="00157D1B"/>
    <w:rPr>
      <w:rFonts w:ascii="Helvetica" w:hAnsi="Helvetica" w:hint="default"/>
      <w:b w:val="0"/>
      <w:bCs w:val="0"/>
      <w:i w:val="0"/>
      <w:iCs w:val="0"/>
      <w:sz w:val="18"/>
      <w:szCs w:val="18"/>
    </w:rPr>
  </w:style>
  <w:style w:type="paragraph" w:customStyle="1" w:styleId="p2">
    <w:name w:val="p2"/>
    <w:basedOn w:val="Normal"/>
    <w:rsid w:val="006D146F"/>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2532</Words>
  <Characters>14436</Characters>
  <Application>Microsoft Office Word</Application>
  <DocSecurity>0</DocSecurity>
  <Lines>120</Lines>
  <Paragraphs>33</Paragraphs>
  <ScaleCrop>false</ScaleCrop>
  <Company/>
  <LinksUpToDate>false</LinksUpToDate>
  <CharactersWithSpaces>16935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Georgiana Caldare (2507470)</dc:creator>
  <cp:keywords/>
  <dc:description/>
  <cp:lastModifiedBy>Georgiana Caldare (2507470)</cp:lastModifiedBy>
  <cp:revision>2</cp:revision>
  <dcterms:created xsi:type="dcterms:W3CDTF">2026-07-11T13:43:00Z</dcterms:created>
  <dcterms:modified xsi:type="dcterms:W3CDTF">2026-07-11T13:43:00Z</dcterms:modified>
</cp:coreProperties>
</file>