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5CD74" w14:textId="66A40284" w:rsidR="00761599" w:rsidRPr="002A66EA" w:rsidRDefault="00761599" w:rsidP="002A66EA">
      <w:pPr>
        <w:jc w:val="center"/>
        <w:rPr>
          <w:u w:val="single"/>
        </w:rPr>
      </w:pPr>
      <w:r w:rsidRPr="002A66EA">
        <w:rPr>
          <w:u w:val="single"/>
        </w:rPr>
        <w:t>The Amphitheatre of Pompeii</w:t>
      </w:r>
    </w:p>
    <w:p w14:paraId="5DC7C1B7" w14:textId="77777777" w:rsidR="00761599" w:rsidRDefault="00761599" w:rsidP="00761599"/>
    <w:p w14:paraId="1968470D" w14:textId="5B8EB582" w:rsidR="00EE6784" w:rsidRDefault="00761599" w:rsidP="00761599">
      <w:r>
        <w:t xml:space="preserve">The Amphitheatre of Pompeii </w:t>
      </w:r>
      <w:r w:rsidR="00C550B1">
        <w:t>was c</w:t>
      </w:r>
      <w:r>
        <w:t xml:space="preserve">onstructed around 70 BCE, it is widely </w:t>
      </w:r>
      <w:r w:rsidR="002540C5">
        <w:t>thought of</w:t>
      </w:r>
      <w:r>
        <w:t xml:space="preserve"> as the earliest surviving permanent stone amphitheatre in the Roman world. </w:t>
      </w:r>
      <w:r w:rsidR="002540C5">
        <w:t>Differing from</w:t>
      </w:r>
      <w:r>
        <w:t xml:space="preserve"> later imperial structures such as the Colosseum in Rome, the Pompeian amphitheatre </w:t>
      </w:r>
      <w:r w:rsidR="002540C5">
        <w:t>is from</w:t>
      </w:r>
      <w:r>
        <w:t xml:space="preserve"> the late Republican period and reflects both </w:t>
      </w:r>
      <w:r w:rsidR="009C3233">
        <w:t>local tastes and evolving roman traditions</w:t>
      </w:r>
      <w:r w:rsidR="00EE6784">
        <w:t xml:space="preserve">. Because of the eruption of Mount Vesuvius in 79 CE, this amphitheatre is in an impressive state of presentation </w:t>
      </w:r>
      <w:r w:rsidR="00E25D67">
        <w:t>which</w:t>
      </w:r>
      <w:r w:rsidR="001F01F8">
        <w:t xml:space="preserve"> allows archaeologists and historians to </w:t>
      </w:r>
      <w:r w:rsidR="00EC1F67">
        <w:t>gain a more detailed analysis of the function, social significance and architecture of the structure.</w:t>
      </w:r>
    </w:p>
    <w:p w14:paraId="5EF6E2B1" w14:textId="373EA8DC" w:rsidR="00EC1F67" w:rsidRDefault="00FF4DBC" w:rsidP="00761599">
      <w:r>
        <w:t xml:space="preserve">The Pompeii amphitheatre </w:t>
      </w:r>
      <w:r w:rsidR="006E2470">
        <w:t xml:space="preserve">was an entertainment </w:t>
      </w:r>
      <w:proofErr w:type="gramStart"/>
      <w:r w:rsidR="006E2470">
        <w:t>venue,</w:t>
      </w:r>
      <w:proofErr w:type="gramEnd"/>
      <w:r w:rsidR="006E2470">
        <w:t xml:space="preserve"> however it also </w:t>
      </w:r>
      <w:r w:rsidR="008E0EE3">
        <w:t>embodies key aspects of Roman civic ideology</w:t>
      </w:r>
      <w:r w:rsidR="000D6EB6">
        <w:t>, t</w:t>
      </w:r>
      <w:r w:rsidR="004A6299">
        <w:t xml:space="preserve">he remains of the amphitheatre give us insight into the social hierarchy </w:t>
      </w:r>
      <w:r w:rsidR="00140D98">
        <w:t>and identity of the town</w:t>
      </w:r>
      <w:r w:rsidR="00AB3369">
        <w:t>.</w:t>
      </w:r>
      <w:r w:rsidR="00140D98">
        <w:t xml:space="preserve"> </w:t>
      </w:r>
      <w:r w:rsidR="003E77B2">
        <w:t xml:space="preserve">We can analyse </w:t>
      </w:r>
      <w:r w:rsidR="00F25D65">
        <w:t xml:space="preserve">the </w:t>
      </w:r>
      <w:r w:rsidR="00A5149C">
        <w:t xml:space="preserve">architecture, </w:t>
      </w:r>
      <w:r w:rsidR="00D54043">
        <w:t>placement</w:t>
      </w:r>
      <w:r w:rsidR="00445571">
        <w:t xml:space="preserve">, graffiti and </w:t>
      </w:r>
      <w:r w:rsidR="00400AAF">
        <w:t xml:space="preserve">use for gladiatorial games to understand it as a space that intersected </w:t>
      </w:r>
      <w:r w:rsidR="006E0913">
        <w:t xml:space="preserve">political power, </w:t>
      </w:r>
      <w:r w:rsidR="00AF197F">
        <w:t>culture and urban life. Placing the amphitheatre in its historical and archaeological context</w:t>
      </w:r>
      <w:r w:rsidR="00F07C73">
        <w:t xml:space="preserve"> helps provide crucial evidence for better understanding Roman society.</w:t>
      </w:r>
    </w:p>
    <w:p w14:paraId="325AA4D6" w14:textId="09AB3E66" w:rsidR="00761599" w:rsidRDefault="00761599" w:rsidP="00761599">
      <w:r>
        <w:t xml:space="preserve">By the first century BCE, Pompeii </w:t>
      </w:r>
      <w:r w:rsidR="00F07C73">
        <w:t>had become</w:t>
      </w:r>
      <w:r>
        <w:t xml:space="preserve"> a prosperous Campanian town </w:t>
      </w:r>
      <w:r w:rsidR="00E83104">
        <w:t>with</w:t>
      </w:r>
      <w:r>
        <w:t xml:space="preserve"> a mixture of Oscan, Greek, and Roman influences. Following the Social War </w:t>
      </w:r>
      <w:r w:rsidR="00E83104">
        <w:t xml:space="preserve">between </w:t>
      </w:r>
      <w:r>
        <w:t>91</w:t>
      </w:r>
      <w:r w:rsidR="00E83104">
        <w:t xml:space="preserve"> and </w:t>
      </w:r>
      <w:r>
        <w:t xml:space="preserve">88 BCE Pompeii became a Roman colony, and this political transformation </w:t>
      </w:r>
      <w:r w:rsidR="006E2470">
        <w:t>called for</w:t>
      </w:r>
      <w:r>
        <w:t xml:space="preserve"> substantial urban development. The amphitheatre was constructed </w:t>
      </w:r>
      <w:r w:rsidR="006E2470">
        <w:t>soon</w:t>
      </w:r>
      <w:r>
        <w:t xml:space="preserve"> after this change, around 70 BCE, under the patronage of Gaius Quinctius Valgus and Marcus Porcius</w:t>
      </w:r>
      <w:r w:rsidR="006E2470">
        <w:t xml:space="preserve"> who were</w:t>
      </w:r>
      <w:r>
        <w:t xml:space="preserve"> both local magistrates </w:t>
      </w:r>
      <w:r w:rsidR="006E2470">
        <w:t>at the time</w:t>
      </w:r>
      <w:r w:rsidR="00F94859">
        <w:t>.</w:t>
      </w:r>
      <w:r w:rsidR="006E2470">
        <w:t xml:space="preserve"> </w:t>
      </w:r>
      <w:r w:rsidRPr="00F94859">
        <w:t>(Cooley &amp; Cooley 201</w:t>
      </w:r>
      <w:r w:rsidR="007519AD">
        <w:t>3</w:t>
      </w:r>
      <w:r w:rsidR="007519AD">
        <w:rPr>
          <w:rStyle w:val="FootnoteReference"/>
        </w:rPr>
        <w:footnoteReference w:id="1"/>
      </w:r>
      <w:r w:rsidRPr="00F94859">
        <w:t>)</w:t>
      </w:r>
    </w:p>
    <w:p w14:paraId="5A7269DA" w14:textId="23C9E229" w:rsidR="00761599" w:rsidRDefault="00430ED3" w:rsidP="00761599">
      <w:r>
        <w:t xml:space="preserve">The amphitheatre was likely built at this time in order to reinforce </w:t>
      </w:r>
      <w:r w:rsidR="00FD17AC">
        <w:t xml:space="preserve">the Roman identity to the public and demonstrate the benefits of Roman citizenship, </w:t>
      </w:r>
      <w:proofErr w:type="gramStart"/>
      <w:r w:rsidR="00C04CE7">
        <w:t>Public</w:t>
      </w:r>
      <w:proofErr w:type="gramEnd"/>
      <w:r w:rsidR="00C04CE7">
        <w:t xml:space="preserve"> architecture such as the amphitheatre </w:t>
      </w:r>
      <w:r w:rsidR="00120F2A">
        <w:t>was a visible marker</w:t>
      </w:r>
      <w:r w:rsidR="003A6C53">
        <w:t xml:space="preserve"> of political integration and alignment with Roman customs and values.</w:t>
      </w:r>
    </w:p>
    <w:p w14:paraId="25C21D1F" w14:textId="10A62333" w:rsidR="00761599" w:rsidRDefault="00761599" w:rsidP="00761599">
      <w:r>
        <w:t xml:space="preserve">Roman amphitheatres were </w:t>
      </w:r>
      <w:r w:rsidR="003A6C53">
        <w:t>often</w:t>
      </w:r>
      <w:r>
        <w:t xml:space="preserve"> funded by elite benefactors, and Pompeii’s amphitheatre </w:t>
      </w:r>
      <w:r w:rsidR="00DB76D5">
        <w:t>was a clear example</w:t>
      </w:r>
      <w:r>
        <w:t xml:space="preserve"> </w:t>
      </w:r>
      <w:r w:rsidR="000827DE">
        <w:t xml:space="preserve">of </w:t>
      </w:r>
      <w:r>
        <w:t xml:space="preserve">this system. </w:t>
      </w:r>
      <w:r w:rsidR="00AE26D9">
        <w:t>We know from inscriptions</w:t>
      </w:r>
      <w:r>
        <w:t xml:space="preserve"> that Valgus and Porcius provided the building “at their own expense” </w:t>
      </w:r>
      <w:r w:rsidR="00AE26D9">
        <w:t>which would have</w:t>
      </w:r>
      <w:r>
        <w:t xml:space="preserve"> reinforced their status and secured </w:t>
      </w:r>
      <w:r w:rsidR="00AE26D9">
        <w:t>their</w:t>
      </w:r>
      <w:r>
        <w:t xml:space="preserve"> favour. </w:t>
      </w:r>
      <w:r w:rsidR="00AE26D9">
        <w:t>These</w:t>
      </w:r>
      <w:r>
        <w:t xml:space="preserve"> acts </w:t>
      </w:r>
      <w:r w:rsidR="00AE26D9">
        <w:t>would have been</w:t>
      </w:r>
      <w:r>
        <w:t xml:space="preserve"> politically </w:t>
      </w:r>
      <w:proofErr w:type="gramStart"/>
      <w:r>
        <w:t>strategic</w:t>
      </w:r>
      <w:r w:rsidR="00AE26D9">
        <w:t>,</w:t>
      </w:r>
      <w:proofErr w:type="gramEnd"/>
      <w:r>
        <w:t xml:space="preserve"> by providing games and venues for </w:t>
      </w:r>
      <w:r w:rsidR="00AE26D9">
        <w:t>people to enjoy</w:t>
      </w:r>
      <w:r>
        <w:t xml:space="preserve">, </w:t>
      </w:r>
      <w:r w:rsidR="00AE26D9">
        <w:t>the</w:t>
      </w:r>
      <w:r w:rsidR="002A66EA">
        <w:t xml:space="preserve">se </w:t>
      </w:r>
      <w:r>
        <w:t xml:space="preserve">elites </w:t>
      </w:r>
      <w:r w:rsidR="002A66EA">
        <w:t>gained</w:t>
      </w:r>
      <w:r>
        <w:t xml:space="preserve"> loyalty and enhanced their reputation within the community</w:t>
      </w:r>
      <w:r w:rsidR="007519AD">
        <w:t>.</w:t>
      </w:r>
      <w:r>
        <w:t xml:space="preserve"> </w:t>
      </w:r>
      <w:r w:rsidRPr="007519AD">
        <w:t>(Zanker 199</w:t>
      </w:r>
      <w:r w:rsidR="007519AD">
        <w:t>9</w:t>
      </w:r>
      <w:r w:rsidR="007519AD">
        <w:rPr>
          <w:rStyle w:val="FootnoteReference"/>
        </w:rPr>
        <w:footnoteReference w:id="2"/>
      </w:r>
      <w:r w:rsidRPr="007519AD">
        <w:t>)</w:t>
      </w:r>
    </w:p>
    <w:p w14:paraId="22E3F0F3" w14:textId="77777777" w:rsidR="00761599" w:rsidRDefault="00761599" w:rsidP="00761599"/>
    <w:p w14:paraId="603D8F5E" w14:textId="7B6C2376" w:rsidR="00B923A3" w:rsidRDefault="002A66EA" w:rsidP="00761599">
      <w:r>
        <w:lastRenderedPageBreak/>
        <w:t>The</w:t>
      </w:r>
      <w:r w:rsidR="00761599">
        <w:t xml:space="preserve"> relationship between benefactor</w:t>
      </w:r>
      <w:r>
        <w:t>s</w:t>
      </w:r>
      <w:r w:rsidR="00761599">
        <w:t xml:space="preserve"> and </w:t>
      </w:r>
      <w:r>
        <w:t>the population</w:t>
      </w:r>
      <w:r w:rsidR="00761599">
        <w:t xml:space="preserve"> is </w:t>
      </w:r>
      <w:r>
        <w:t>important</w:t>
      </w:r>
      <w:r w:rsidR="00761599">
        <w:t xml:space="preserve"> to understanding the amphitheatre’s </w:t>
      </w:r>
      <w:r>
        <w:t xml:space="preserve">true </w:t>
      </w:r>
      <w:r w:rsidR="00761599">
        <w:t xml:space="preserve">significance. The building was not </w:t>
      </w:r>
      <w:r>
        <w:t>only</w:t>
      </w:r>
      <w:r w:rsidR="00761599">
        <w:t xml:space="preserve"> </w:t>
      </w:r>
      <w:proofErr w:type="gramStart"/>
      <w:r w:rsidR="00761599">
        <w:t>functional</w:t>
      </w:r>
      <w:r>
        <w:t>,</w:t>
      </w:r>
      <w:proofErr w:type="gramEnd"/>
      <w:r>
        <w:t xml:space="preserve"> </w:t>
      </w:r>
      <w:r w:rsidR="00761599">
        <w:t>it was a</w:t>
      </w:r>
      <w:r>
        <w:t>lso a</w:t>
      </w:r>
      <w:r w:rsidR="00761599">
        <w:t xml:space="preserve"> monument to </w:t>
      </w:r>
      <w:r>
        <w:t xml:space="preserve">the </w:t>
      </w:r>
      <w:r w:rsidR="00761599">
        <w:t>elite</w:t>
      </w:r>
      <w:r>
        <w:t>’s</w:t>
      </w:r>
      <w:r w:rsidR="00761599">
        <w:t xml:space="preserve"> generosity and </w:t>
      </w:r>
      <w:r w:rsidR="00B923A3">
        <w:t>an aid to building community.</w:t>
      </w:r>
    </w:p>
    <w:p w14:paraId="3823030F" w14:textId="250CCD8D" w:rsidR="00761599" w:rsidRDefault="00761599" w:rsidP="00761599">
      <w:r>
        <w:t xml:space="preserve">The </w:t>
      </w:r>
      <w:r w:rsidR="00E66403">
        <w:t xml:space="preserve">architecture of the </w:t>
      </w:r>
      <w:r>
        <w:t xml:space="preserve">amphitheatre follows an elliptical </w:t>
      </w:r>
      <w:proofErr w:type="gramStart"/>
      <w:r>
        <w:t>plan,</w:t>
      </w:r>
      <w:proofErr w:type="gramEnd"/>
      <w:r>
        <w:t xml:space="preserve"> </w:t>
      </w:r>
      <w:r w:rsidR="00E66403">
        <w:t>it measures</w:t>
      </w:r>
      <w:r>
        <w:t xml:space="preserve"> approximately 135 metres by 104 metres. Unlike later amphitheatres</w:t>
      </w:r>
      <w:r w:rsidR="00E66403">
        <w:t>, which were</w:t>
      </w:r>
      <w:r>
        <w:t xml:space="preserve"> constructed with complex systems of vaults and arcades, the Pompeii amphitheatre is partially sunken into the ground. Earth embankments support the seating (</w:t>
      </w:r>
      <w:r w:rsidR="00AA4760">
        <w:t xml:space="preserve">also known as the </w:t>
      </w:r>
      <w:proofErr w:type="spellStart"/>
      <w:r>
        <w:t>cavea</w:t>
      </w:r>
      <w:proofErr w:type="spellEnd"/>
      <w:r>
        <w:t xml:space="preserve">), reducing the need for extensive substructures and </w:t>
      </w:r>
      <w:r w:rsidR="00AA4760">
        <w:t>showing</w:t>
      </w:r>
      <w:r>
        <w:t xml:space="preserve"> a</w:t>
      </w:r>
      <w:r w:rsidR="00AA4760">
        <w:t xml:space="preserve"> more</w:t>
      </w:r>
      <w:r>
        <w:t xml:space="preserve"> economical and innovative approach to construction </w:t>
      </w:r>
      <w:r w:rsidR="00AA4760">
        <w:t>for its time</w:t>
      </w:r>
      <w:r w:rsidR="00A337EF">
        <w:t>.</w:t>
      </w:r>
      <w:r w:rsidR="00AA4760">
        <w:t xml:space="preserve"> </w:t>
      </w:r>
      <w:r w:rsidRPr="00A337EF">
        <w:t>(</w:t>
      </w:r>
      <w:r w:rsidR="005F4435">
        <w:t>Bomgardner</w:t>
      </w:r>
      <w:r w:rsidRPr="00A337EF">
        <w:t xml:space="preserve"> 1988</w:t>
      </w:r>
      <w:r w:rsidR="00A337EF">
        <w:rPr>
          <w:rStyle w:val="FootnoteReference"/>
        </w:rPr>
        <w:footnoteReference w:id="3"/>
      </w:r>
      <w:r w:rsidRPr="00A337EF">
        <w:t>)</w:t>
      </w:r>
    </w:p>
    <w:p w14:paraId="55326D3F" w14:textId="773662AD" w:rsidR="00761599" w:rsidRDefault="00761599" w:rsidP="00761599">
      <w:r>
        <w:t>Recent analys</w:t>
      </w:r>
      <w:r w:rsidR="00133AC7">
        <w:t xml:space="preserve">is of the geometric shape </w:t>
      </w:r>
      <w:r>
        <w:t>suggest</w:t>
      </w:r>
      <w:r w:rsidR="00133AC7">
        <w:t>s</w:t>
      </w:r>
      <w:r>
        <w:t xml:space="preserve"> that the ellipse was not an </w:t>
      </w:r>
      <w:r w:rsidR="00133AC7">
        <w:t>exact</w:t>
      </w:r>
      <w:r>
        <w:t xml:space="preserve"> oval but </w:t>
      </w:r>
      <w:r w:rsidR="00133AC7">
        <w:t xml:space="preserve">instead </w:t>
      </w:r>
      <w:r>
        <w:t xml:space="preserve">a carefully planned form </w:t>
      </w:r>
      <w:r w:rsidR="007E2162">
        <w:t>using</w:t>
      </w:r>
      <w:r>
        <w:t xml:space="preserve"> geometric principles </w:t>
      </w:r>
      <w:r w:rsidRPr="005F4435">
        <w:t>(</w:t>
      </w:r>
      <w:proofErr w:type="spellStart"/>
      <w:r w:rsidRPr="005F4435">
        <w:t>Duvernoy</w:t>
      </w:r>
      <w:proofErr w:type="spellEnd"/>
      <w:r w:rsidRPr="005F4435">
        <w:t xml:space="preserve"> &amp; Rosin 2014</w:t>
      </w:r>
      <w:r w:rsidR="005F4435">
        <w:rPr>
          <w:rStyle w:val="FootnoteReference"/>
        </w:rPr>
        <w:footnoteReference w:id="4"/>
      </w:r>
      <w:r w:rsidRPr="005F4435">
        <w:t>).</w:t>
      </w:r>
      <w:r>
        <w:t xml:space="preserve"> This challenges older assumptions that early amphitheatres were architecturally crude and instead highlights the mathematical competence of Roman designers</w:t>
      </w:r>
      <w:r w:rsidR="007E2162">
        <w:t xml:space="preserve"> during</w:t>
      </w:r>
      <w:r>
        <w:t xml:space="preserve"> the Republican period.</w:t>
      </w:r>
    </w:p>
    <w:p w14:paraId="1D2BE613" w14:textId="77777777" w:rsidR="00761599" w:rsidRDefault="00761599" w:rsidP="00761599"/>
    <w:p w14:paraId="5397D0DC" w14:textId="11D18906" w:rsidR="005F4435" w:rsidRDefault="00761599" w:rsidP="00761599">
      <w:r>
        <w:t xml:space="preserve">The seating arrangement reflects Roman social </w:t>
      </w:r>
      <w:r w:rsidR="00185FCC">
        <w:t>hierarchy</w:t>
      </w:r>
      <w:r>
        <w:t xml:space="preserve">. The </w:t>
      </w:r>
      <w:proofErr w:type="spellStart"/>
      <w:r>
        <w:t>cavea</w:t>
      </w:r>
      <w:proofErr w:type="spellEnd"/>
      <w:r>
        <w:t xml:space="preserve"> was divided into tiers </w:t>
      </w:r>
      <w:r w:rsidR="0051057D">
        <w:t xml:space="preserve">that </w:t>
      </w:r>
      <w:r>
        <w:t>correspond</w:t>
      </w:r>
      <w:r w:rsidR="0051057D">
        <w:t>ed</w:t>
      </w:r>
      <w:r>
        <w:t xml:space="preserve"> to status</w:t>
      </w:r>
      <w:r w:rsidR="0051057D">
        <w:t>,</w:t>
      </w:r>
      <w:r>
        <w:t xml:space="preserve"> the </w:t>
      </w:r>
      <w:proofErr w:type="spellStart"/>
      <w:r>
        <w:t>ima</w:t>
      </w:r>
      <w:proofErr w:type="spellEnd"/>
      <w:r>
        <w:t xml:space="preserve"> </w:t>
      </w:r>
      <w:proofErr w:type="spellStart"/>
      <w:r>
        <w:t>cavea</w:t>
      </w:r>
      <w:proofErr w:type="spellEnd"/>
      <w:r>
        <w:t xml:space="preserve"> closest to the arena was reserved for local elites, while higher tiers </w:t>
      </w:r>
      <w:r w:rsidR="00803893">
        <w:t xml:space="preserve">would </w:t>
      </w:r>
      <w:r w:rsidR="004B62A3">
        <w:t>accommodate</w:t>
      </w:r>
      <w:r>
        <w:t xml:space="preserve"> ordinary citizens</w:t>
      </w:r>
      <w:r w:rsidR="004B62A3">
        <w:t xml:space="preserve">, with </w:t>
      </w:r>
      <w:r>
        <w:t>the top</w:t>
      </w:r>
      <w:r w:rsidR="00803893">
        <w:t xml:space="preserve"> </w:t>
      </w:r>
      <w:r w:rsidR="004B62A3">
        <w:t xml:space="preserve">being for </w:t>
      </w:r>
      <w:r>
        <w:t xml:space="preserve">women and </w:t>
      </w:r>
      <w:r w:rsidR="00803893">
        <w:t xml:space="preserve">spectators of </w:t>
      </w:r>
      <w:r>
        <w:t>lower</w:t>
      </w:r>
      <w:r w:rsidR="00803893">
        <w:t xml:space="preserve"> </w:t>
      </w:r>
      <w:r>
        <w:t xml:space="preserve">status. This organisation reinforced social hierarchy through physical proximity to the </w:t>
      </w:r>
      <w:r w:rsidR="004B62A3">
        <w:t>entertainment</w:t>
      </w:r>
      <w:r w:rsidR="005F4435">
        <w:t xml:space="preserve">. </w:t>
      </w:r>
      <w:r w:rsidRPr="005F4435">
        <w:t>(Hopkins &amp; Beard 20</w:t>
      </w:r>
      <w:r w:rsidR="005F4435">
        <w:t>12</w:t>
      </w:r>
      <w:r w:rsidR="005F4435">
        <w:rPr>
          <w:rStyle w:val="FootnoteReference"/>
        </w:rPr>
        <w:footnoteReference w:id="5"/>
      </w:r>
      <w:r w:rsidRPr="005F4435">
        <w:t>)</w:t>
      </w:r>
    </w:p>
    <w:p w14:paraId="33BBE5C8" w14:textId="46231B63" w:rsidR="00761599" w:rsidRDefault="00761599" w:rsidP="00761599">
      <w:r>
        <w:t xml:space="preserve">Access routes were carefully planned to manage </w:t>
      </w:r>
      <w:r w:rsidR="003B4D64">
        <w:t>the</w:t>
      </w:r>
      <w:r>
        <w:t xml:space="preserve"> movement</w:t>
      </w:r>
      <w:r w:rsidR="003B4D64">
        <w:t xml:space="preserve"> of the crowd</w:t>
      </w:r>
      <w:r>
        <w:t xml:space="preserve">, with separate entrances and stairways directing different </w:t>
      </w:r>
      <w:r w:rsidR="00D0142A">
        <w:t xml:space="preserve">social </w:t>
      </w:r>
      <w:r>
        <w:t xml:space="preserve">groups. </w:t>
      </w:r>
      <w:r w:rsidR="00EF0CDD">
        <w:t>Though th</w:t>
      </w:r>
      <w:r w:rsidR="00E31D34">
        <w:t>is amphitheatre was</w:t>
      </w:r>
      <w:r>
        <w:t xml:space="preserve"> simpler than imperial amphitheatres, the Pompeii structure demonstrates an awareness of crowd control and visibility that would be refined </w:t>
      </w:r>
      <w:r w:rsidR="00E31D34">
        <w:t xml:space="preserve">later on </w:t>
      </w:r>
      <w:r>
        <w:t>in Rome.</w:t>
      </w:r>
    </w:p>
    <w:p w14:paraId="7248D948" w14:textId="409691DB" w:rsidR="00761599" w:rsidRDefault="00761599" w:rsidP="00761599">
      <w:r>
        <w:t xml:space="preserve">The arena floor </w:t>
      </w:r>
      <w:r w:rsidR="00014B27">
        <w:t xml:space="preserve">of the Pompeii amphitheatre </w:t>
      </w:r>
      <w:r>
        <w:t xml:space="preserve">was surrounded by a low </w:t>
      </w:r>
      <w:r w:rsidR="00014B27">
        <w:t>podium</w:t>
      </w:r>
      <w:r>
        <w:t xml:space="preserve"> designed to protect </w:t>
      </w:r>
      <w:r w:rsidR="00014B27">
        <w:t xml:space="preserve">the </w:t>
      </w:r>
      <w:r>
        <w:t xml:space="preserve">spectators from </w:t>
      </w:r>
      <w:r w:rsidR="00014B27">
        <w:t>fighters</w:t>
      </w:r>
      <w:r>
        <w:t xml:space="preserve"> and animals. There is limited evidence for complex underground machinery</w:t>
      </w:r>
      <w:r w:rsidR="007E6F4D">
        <w:t xml:space="preserve"> which suggests </w:t>
      </w:r>
      <w:r>
        <w:t>that performances relied more on surface</w:t>
      </w:r>
      <w:r w:rsidR="004E41D4">
        <w:t xml:space="preserve"> </w:t>
      </w:r>
      <w:r>
        <w:t>level staging. However</w:t>
      </w:r>
      <w:r w:rsidR="004E41D4">
        <w:t xml:space="preserve">, </w:t>
      </w:r>
      <w:r>
        <w:t>post</w:t>
      </w:r>
      <w:r w:rsidR="004E41D4">
        <w:t xml:space="preserve"> </w:t>
      </w:r>
      <w:r>
        <w:t>holes and fittings indicate the presence of a velarium</w:t>
      </w:r>
      <w:r w:rsidR="00C41F19">
        <w:t xml:space="preserve"> which was </w:t>
      </w:r>
      <w:r>
        <w:t>a fabric awning used to shield spectators from the sun</w:t>
      </w:r>
      <w:r w:rsidR="005F4435">
        <w:t>.</w:t>
      </w:r>
      <w:r>
        <w:t xml:space="preserve"> </w:t>
      </w:r>
      <w:r w:rsidRPr="005F4435">
        <w:t>(Beacham 1991</w:t>
      </w:r>
      <w:r w:rsidR="005F4435">
        <w:rPr>
          <w:rStyle w:val="FootnoteReference"/>
        </w:rPr>
        <w:footnoteReference w:id="6"/>
      </w:r>
      <w:r w:rsidRPr="005F4435">
        <w:t>)</w:t>
      </w:r>
    </w:p>
    <w:p w14:paraId="6FC48AAD" w14:textId="2DE4644F" w:rsidR="00761599" w:rsidRDefault="00D1789E" w:rsidP="00761599">
      <w:r>
        <w:t xml:space="preserve">Despite lacking elaborate structuring, the Pompeii amphitheatre’s architecture isn’t seen as inferior, rather </w:t>
      </w:r>
      <w:r w:rsidR="00670362">
        <w:t xml:space="preserve">being tailored to </w:t>
      </w:r>
      <w:r w:rsidR="00DE4C36">
        <w:t xml:space="preserve">the needs of Pompeii instead of trying to live up to the </w:t>
      </w:r>
      <w:r w:rsidR="00312BEC">
        <w:t>grandness of the imperial amphitheatres.</w:t>
      </w:r>
    </w:p>
    <w:p w14:paraId="0EF547E1" w14:textId="117A4CCF" w:rsidR="00761599" w:rsidRDefault="00761599" w:rsidP="00761599">
      <w:r>
        <w:t xml:space="preserve">The amphitheatre is located at the </w:t>
      </w:r>
      <w:r w:rsidR="00312BEC">
        <w:t>S</w:t>
      </w:r>
      <w:r>
        <w:t>outh</w:t>
      </w:r>
      <w:r w:rsidR="00312BEC">
        <w:t xml:space="preserve"> E</w:t>
      </w:r>
      <w:r>
        <w:t xml:space="preserve">astern edge of the city, adjacent to the city walls. This placement contrasts with later Roman amphitheatres, which were often </w:t>
      </w:r>
      <w:r w:rsidR="00312BEC">
        <w:t>located in the centre of their surroundings</w:t>
      </w:r>
      <w:r>
        <w:t>. Several explanations have been propose</w:t>
      </w:r>
      <w:r w:rsidR="003A1474">
        <w:t>d, from</w:t>
      </w:r>
      <w:r>
        <w:t xml:space="preserve"> land availability</w:t>
      </w:r>
      <w:r w:rsidR="003A1474">
        <w:t xml:space="preserve"> and </w:t>
      </w:r>
      <w:r>
        <w:t>crowd management</w:t>
      </w:r>
      <w:r w:rsidR="003A1474">
        <w:t xml:space="preserve"> to </w:t>
      </w:r>
      <w:r>
        <w:t>isolat</w:t>
      </w:r>
      <w:r w:rsidR="003A1474">
        <w:t>ing</w:t>
      </w:r>
      <w:r>
        <w:t xml:space="preserve"> noisy or potentially dangerous events from residential areas</w:t>
      </w:r>
      <w:r w:rsidR="005F4435">
        <w:t>.</w:t>
      </w:r>
      <w:r>
        <w:t xml:space="preserve"> </w:t>
      </w:r>
      <w:r w:rsidRPr="005F4435">
        <w:t xml:space="preserve">(Laurence </w:t>
      </w:r>
      <w:r w:rsidR="005F4435">
        <w:t>2004</w:t>
      </w:r>
      <w:r w:rsidR="005F4435">
        <w:rPr>
          <w:rStyle w:val="FootnoteReference"/>
        </w:rPr>
        <w:footnoteReference w:id="7"/>
      </w:r>
      <w:r w:rsidRPr="005F4435">
        <w:t>)</w:t>
      </w:r>
    </w:p>
    <w:p w14:paraId="059CF53C" w14:textId="5B6B8B04" w:rsidR="00761599" w:rsidRDefault="003A1474" w:rsidP="00761599">
      <w:r>
        <w:t>T</w:t>
      </w:r>
      <w:r w:rsidR="00761599">
        <w:t>he amphitheatre’s proximity to the</w:t>
      </w:r>
      <w:r>
        <w:t xml:space="preserve"> exercise grounds</w:t>
      </w:r>
      <w:r w:rsidR="00761599">
        <w:t xml:space="preserve"> </w:t>
      </w:r>
      <w:r>
        <w:t>(</w:t>
      </w:r>
      <w:proofErr w:type="spellStart"/>
      <w:r w:rsidR="00761599">
        <w:t>palestra</w:t>
      </w:r>
      <w:proofErr w:type="spellEnd"/>
      <w:r>
        <w:t>)</w:t>
      </w:r>
      <w:r w:rsidR="00761599">
        <w:t xml:space="preserve"> </w:t>
      </w:r>
      <w:r>
        <w:t xml:space="preserve">also </w:t>
      </w:r>
      <w:r w:rsidR="00761599">
        <w:t>created a broader leisure zone</w:t>
      </w:r>
      <w:r w:rsidR="00AD664A">
        <w:t xml:space="preserve"> which reinforced</w:t>
      </w:r>
      <w:r w:rsidR="006B28AD">
        <w:t xml:space="preserve"> </w:t>
      </w:r>
      <w:r w:rsidR="00761599">
        <w:t>the association between physical training, spectacle</w:t>
      </w:r>
      <w:r w:rsidR="006B28AD">
        <w:t xml:space="preserve"> </w:t>
      </w:r>
      <w:r w:rsidR="00761599">
        <w:t>and masculine identity.</w:t>
      </w:r>
      <w:r w:rsidR="005F4435">
        <w:t xml:space="preserve"> </w:t>
      </w:r>
      <w:r w:rsidR="00761599">
        <w:t>Despite its location, the amphitheatre was deeply integrated into Pompeian daily life. Painted advertisements (</w:t>
      </w:r>
      <w:proofErr w:type="spellStart"/>
      <w:r w:rsidR="00761599">
        <w:t>programmata</w:t>
      </w:r>
      <w:proofErr w:type="spellEnd"/>
      <w:r w:rsidR="00761599">
        <w:t xml:space="preserve">) for upcoming games were displayed </w:t>
      </w:r>
      <w:r w:rsidR="00223FED">
        <w:t>around</w:t>
      </w:r>
      <w:r w:rsidR="00761599">
        <w:t xml:space="preserve"> the city, taverns and shops nearby </w:t>
      </w:r>
      <w:r w:rsidR="00223FED">
        <w:t>also benefitting</w:t>
      </w:r>
      <w:r w:rsidR="00761599">
        <w:t xml:space="preserve"> economically from event crowds. The structure functioned as both a destination and a focal point for communal experience.</w:t>
      </w:r>
    </w:p>
    <w:p w14:paraId="2A609D68" w14:textId="25FC3DEE" w:rsidR="00761599" w:rsidRDefault="00761599" w:rsidP="00761599">
      <w:r>
        <w:t>The primary events held in the amphitheatre were gladiatorial combats, which</w:t>
      </w:r>
      <w:r w:rsidR="00223FED">
        <w:t xml:space="preserve"> meant</w:t>
      </w:r>
      <w:r>
        <w:t xml:space="preserve"> trained fighters faced one another according to </w:t>
      </w:r>
      <w:r w:rsidR="00DF6420">
        <w:t xml:space="preserve">various game </w:t>
      </w:r>
      <w:r>
        <w:t xml:space="preserve">rules. These contests were supplemented by </w:t>
      </w:r>
      <w:r w:rsidR="00DF6420">
        <w:t>animal hunts (</w:t>
      </w:r>
      <w:proofErr w:type="spellStart"/>
      <w:r>
        <w:t>venationes</w:t>
      </w:r>
      <w:proofErr w:type="spellEnd"/>
      <w:r w:rsidR="00DF6420">
        <w:t xml:space="preserve">), </w:t>
      </w:r>
      <w:r>
        <w:t xml:space="preserve">athletic displays, and possibly </w:t>
      </w:r>
      <w:r w:rsidR="00DF6420">
        <w:t xml:space="preserve">even </w:t>
      </w:r>
      <w:r>
        <w:t xml:space="preserve">executions. Contrary to </w:t>
      </w:r>
      <w:r w:rsidR="00DF6420">
        <w:t xml:space="preserve">many </w:t>
      </w:r>
      <w:r>
        <w:t>modern assumptions not all fights ended in death</w:t>
      </w:r>
      <w:r w:rsidR="00DF6420">
        <w:t>,</w:t>
      </w:r>
      <w:r>
        <w:t xml:space="preserve"> referees and sponsors often played a role in determining outcomes</w:t>
      </w:r>
      <w:r w:rsidR="007C4A7B">
        <w:t>.</w:t>
      </w:r>
      <w:r>
        <w:t xml:space="preserve"> </w:t>
      </w:r>
      <w:r w:rsidRPr="007C4A7B">
        <w:t>(Futrell 200</w:t>
      </w:r>
      <w:r w:rsidR="007C4A7B">
        <w:t>9</w:t>
      </w:r>
      <w:r w:rsidR="007C4A7B">
        <w:rPr>
          <w:rStyle w:val="FootnoteReference"/>
        </w:rPr>
        <w:footnoteReference w:id="8"/>
      </w:r>
      <w:r w:rsidRPr="007C4A7B">
        <w:t>)</w:t>
      </w:r>
    </w:p>
    <w:p w14:paraId="69DF7B9F" w14:textId="6AB99C36" w:rsidR="00761599" w:rsidRDefault="00263DF4" w:rsidP="00761599">
      <w:r>
        <w:t>The g</w:t>
      </w:r>
      <w:r w:rsidR="00761599">
        <w:t>ames w</w:t>
      </w:r>
      <w:r>
        <w:t>ould have been</w:t>
      </w:r>
      <w:r w:rsidR="00761599">
        <w:t xml:space="preserve"> expensive to stage and required </w:t>
      </w:r>
      <w:r w:rsidR="004D09C1">
        <w:t>a lot of</w:t>
      </w:r>
      <w:r w:rsidR="00761599">
        <w:t xml:space="preserve"> logistical planning, including the </w:t>
      </w:r>
      <w:r w:rsidR="00C769E4">
        <w:t>gathering</w:t>
      </w:r>
      <w:r w:rsidR="00761599">
        <w:t xml:space="preserve"> of animals, training of gladiators, and organisation of </w:t>
      </w:r>
      <w:r w:rsidR="00C769E4">
        <w:t>staff</w:t>
      </w:r>
      <w:r w:rsidR="00761599">
        <w:t xml:space="preserve">. Their regular occurrence </w:t>
      </w:r>
      <w:proofErr w:type="gramStart"/>
      <w:r w:rsidR="00C769E4">
        <w:t>are</w:t>
      </w:r>
      <w:proofErr w:type="gramEnd"/>
      <w:r w:rsidR="00C769E4">
        <w:t xml:space="preserve"> an indicator of</w:t>
      </w:r>
      <w:r w:rsidR="00761599">
        <w:t xml:space="preserve"> the economic capacity and cultural priorities of Pompeii.</w:t>
      </w:r>
    </w:p>
    <w:p w14:paraId="3F510CE5" w14:textId="7E7C7D23" w:rsidR="00761599" w:rsidRDefault="00964FD3" w:rsidP="00761599">
      <w:r>
        <w:t>The amphitheatre games and performances</w:t>
      </w:r>
      <w:r w:rsidR="00761599">
        <w:t xml:space="preserve"> served as a means of reinforcing Roman values such as courage, endurance, and discipline. At the same time, they provided opportunities for social</w:t>
      </w:r>
      <w:r w:rsidR="008B4F6D">
        <w:t xml:space="preserve"> </w:t>
      </w:r>
      <w:r w:rsidR="00761599">
        <w:t xml:space="preserve">negotiation. </w:t>
      </w:r>
      <w:r w:rsidR="008B4F6D">
        <w:t>Spectators</w:t>
      </w:r>
      <w:r w:rsidR="00761599">
        <w:t xml:space="preserve"> could express approval or disapproval vocally, </w:t>
      </w:r>
      <w:r w:rsidR="008B4F6D">
        <w:t>putting</w:t>
      </w:r>
      <w:r w:rsidR="00761599">
        <w:t xml:space="preserve"> pressure on organisers and </w:t>
      </w:r>
      <w:r w:rsidR="008B4F6D">
        <w:t>fighters</w:t>
      </w:r>
      <w:r w:rsidR="00761599">
        <w:t>. T</w:t>
      </w:r>
      <w:r w:rsidR="00295852">
        <w:t>his is how t</w:t>
      </w:r>
      <w:r w:rsidR="00761599">
        <w:t xml:space="preserve">he amphitheatre functioned as a space </w:t>
      </w:r>
      <w:r w:rsidR="00295852">
        <w:t>for</w:t>
      </w:r>
      <w:r w:rsidR="00761599">
        <w:t xml:space="preserve"> interaction between </w:t>
      </w:r>
      <w:r w:rsidR="00295852">
        <w:t xml:space="preserve">the </w:t>
      </w:r>
      <w:r w:rsidR="00761599">
        <w:t>elites and the wider population.</w:t>
      </w:r>
    </w:p>
    <w:p w14:paraId="7B4D985E" w14:textId="03C70C18" w:rsidR="00761599" w:rsidRDefault="00761599" w:rsidP="00761599">
      <w:r>
        <w:t>A</w:t>
      </w:r>
      <w:r w:rsidR="007F5F11">
        <w:t xml:space="preserve">n </w:t>
      </w:r>
      <w:r>
        <w:t xml:space="preserve">example of the amphitheatre’s political significance is the riot of 59 CE, recorded by Tacitus, in which violence erupted between Pompeians and visitors from </w:t>
      </w:r>
      <w:proofErr w:type="spellStart"/>
      <w:r>
        <w:t>Nuceria</w:t>
      </w:r>
      <w:proofErr w:type="spellEnd"/>
      <w:r>
        <w:t>. Th</w:t>
      </w:r>
      <w:r w:rsidR="006E2397">
        <w:t xml:space="preserve">is </w:t>
      </w:r>
      <w:r>
        <w:t xml:space="preserve">incident led Emperor Nero to ban </w:t>
      </w:r>
      <w:r w:rsidR="006E2397">
        <w:t xml:space="preserve">the </w:t>
      </w:r>
      <w:r>
        <w:t xml:space="preserve">games at Pompeii for ten years, </w:t>
      </w:r>
      <w:r w:rsidR="006E2397">
        <w:t>showing</w:t>
      </w:r>
      <w:r>
        <w:t xml:space="preserve"> the potential volatility of mass entertainment</w:t>
      </w:r>
      <w:r w:rsidR="007C4A7B">
        <w:t>. (</w:t>
      </w:r>
      <w:r w:rsidRPr="007C4A7B">
        <w:t>Tacitus, Annals)</w:t>
      </w:r>
    </w:p>
    <w:p w14:paraId="55F94790" w14:textId="34B2BE22" w:rsidR="00761599" w:rsidRDefault="00761599" w:rsidP="00761599">
      <w:r>
        <w:t xml:space="preserve">Pompeii is </w:t>
      </w:r>
      <w:r w:rsidR="004A0E56">
        <w:t xml:space="preserve">often </w:t>
      </w:r>
      <w:r>
        <w:t>famous for its graffiti,</w:t>
      </w:r>
      <w:r w:rsidR="004A0E56">
        <w:t xml:space="preserve"> </w:t>
      </w:r>
      <w:r>
        <w:t xml:space="preserve">the amphitheatre </w:t>
      </w:r>
      <w:r w:rsidR="004A0E56">
        <w:t>being</w:t>
      </w:r>
      <w:r>
        <w:t xml:space="preserve"> closely associated with inscriptions </w:t>
      </w:r>
      <w:r w:rsidR="004A0E56">
        <w:t>mentioning</w:t>
      </w:r>
      <w:r>
        <w:t xml:space="preserve"> t</w:t>
      </w:r>
      <w:r w:rsidR="004A0E56">
        <w:t>he</w:t>
      </w:r>
      <w:r>
        <w:t xml:space="preserve"> games and gladiators. These </w:t>
      </w:r>
      <w:r w:rsidR="00252924">
        <w:t xml:space="preserve">could </w:t>
      </w:r>
      <w:r>
        <w:t>include advertisements for upcoming events, praises of fighters</w:t>
      </w:r>
      <w:r w:rsidR="00252924">
        <w:t xml:space="preserve"> a</w:t>
      </w:r>
      <w:r>
        <w:t xml:space="preserve">nd records of victories and defeats. </w:t>
      </w:r>
      <w:r w:rsidR="00252924">
        <w:t>Differing from</w:t>
      </w:r>
      <w:r>
        <w:t xml:space="preserve"> official inscriptions, graffiti </w:t>
      </w:r>
      <w:r w:rsidR="00252924">
        <w:t>was often</w:t>
      </w:r>
      <w:r>
        <w:t xml:space="preserve"> informal and personal, </w:t>
      </w:r>
      <w:r w:rsidR="00252924">
        <w:t>giving</w:t>
      </w:r>
      <w:r>
        <w:t xml:space="preserve"> insight into popular attitudes</w:t>
      </w:r>
      <w:r w:rsidR="007C4A7B">
        <w:t>.</w:t>
      </w:r>
      <w:r>
        <w:t xml:space="preserve"> </w:t>
      </w:r>
      <w:r w:rsidRPr="007C4A7B">
        <w:t>(Milnor 2014</w:t>
      </w:r>
      <w:r w:rsidR="005D122E">
        <w:rPr>
          <w:rStyle w:val="FootnoteReference"/>
        </w:rPr>
        <w:footnoteReference w:id="9"/>
      </w:r>
      <w:r w:rsidR="005D122E">
        <w:t>)</w:t>
      </w:r>
    </w:p>
    <w:p w14:paraId="2E437842" w14:textId="51665D45" w:rsidR="00761599" w:rsidRDefault="00761599" w:rsidP="00761599">
      <w:r>
        <w:t xml:space="preserve">Graffiti associated with the amphitheatre </w:t>
      </w:r>
      <w:r w:rsidR="008344A4">
        <w:t>shows</w:t>
      </w:r>
      <w:r>
        <w:t xml:space="preserve"> </w:t>
      </w:r>
      <w:r w:rsidR="008344A4">
        <w:t>heavy</w:t>
      </w:r>
      <w:r>
        <w:t xml:space="preserve"> emotional investment in </w:t>
      </w:r>
      <w:r w:rsidR="009615ED">
        <w:t>the games</w:t>
      </w:r>
      <w:r>
        <w:t xml:space="preserve">. Gladiators are </w:t>
      </w:r>
      <w:r w:rsidR="009615ED">
        <w:t xml:space="preserve">shown to be </w:t>
      </w:r>
      <w:r>
        <w:t xml:space="preserve">praised as heroes, their popularity </w:t>
      </w:r>
      <w:r w:rsidR="009615ED">
        <w:t>somewhat</w:t>
      </w:r>
      <w:r>
        <w:t xml:space="preserve"> mirror</w:t>
      </w:r>
      <w:r w:rsidR="009615ED">
        <w:t>ing</w:t>
      </w:r>
      <w:r>
        <w:t xml:space="preserve"> that of modern athletes. </w:t>
      </w:r>
      <w:r w:rsidR="000970DC">
        <w:t>These</w:t>
      </w:r>
      <w:r>
        <w:t xml:space="preserve"> inscriptions demonstrate that spectators did not </w:t>
      </w:r>
      <w:r w:rsidR="000970DC">
        <w:t xml:space="preserve">only </w:t>
      </w:r>
      <w:r>
        <w:t xml:space="preserve">passively consume </w:t>
      </w:r>
      <w:r w:rsidR="000970DC">
        <w:t xml:space="preserve">the </w:t>
      </w:r>
      <w:r>
        <w:t>entertainment but actively engaged with it, commemorating events and individuals in writing.</w:t>
      </w:r>
    </w:p>
    <w:p w14:paraId="166B0307" w14:textId="2CC11EED" w:rsidR="00761599" w:rsidRDefault="00564290" w:rsidP="00761599">
      <w:r>
        <w:t>More r</w:t>
      </w:r>
      <w:r w:rsidR="00761599">
        <w:t xml:space="preserve">ecent discoveries of charcoal drawings, </w:t>
      </w:r>
      <w:r>
        <w:t xml:space="preserve">said to </w:t>
      </w:r>
      <w:r w:rsidR="00761599">
        <w:t>possibly</w:t>
      </w:r>
      <w:r>
        <w:t xml:space="preserve"> be</w:t>
      </w:r>
      <w:r w:rsidR="00761599">
        <w:t xml:space="preserve"> made by children, further suggest that gladiatorial imagery </w:t>
      </w:r>
      <w:r>
        <w:t>was spread through</w:t>
      </w:r>
      <w:r w:rsidR="00761599">
        <w:t xml:space="preserve"> everyday life and imagination </w:t>
      </w:r>
      <w:r w:rsidR="00761599" w:rsidRPr="005D122E">
        <w:t>(Benefiel 2022</w:t>
      </w:r>
      <w:r w:rsidR="001517BF">
        <w:rPr>
          <w:rStyle w:val="FootnoteReference"/>
        </w:rPr>
        <w:footnoteReference w:id="10"/>
      </w:r>
      <w:r w:rsidR="001517BF">
        <w:t>)</w:t>
      </w:r>
      <w:r w:rsidR="00761599" w:rsidRPr="005D122E">
        <w:t xml:space="preserve">. </w:t>
      </w:r>
      <w:r w:rsidR="00761599">
        <w:t>These materials provide a</w:t>
      </w:r>
      <w:r w:rsidR="00B402BD">
        <w:t xml:space="preserve">nother </w:t>
      </w:r>
      <w:r w:rsidR="00761599">
        <w:t>perspective on Roman culture, complementing</w:t>
      </w:r>
      <w:r w:rsidR="00B402BD">
        <w:t xml:space="preserve"> the</w:t>
      </w:r>
      <w:r w:rsidR="00761599">
        <w:t xml:space="preserve"> elite literary sources.</w:t>
      </w:r>
    </w:p>
    <w:p w14:paraId="225FD6A5" w14:textId="794C942F" w:rsidR="00761599" w:rsidRDefault="00761599" w:rsidP="00761599">
      <w:r>
        <w:t>The eruption of Vesuvius in 79 CE buried the amphitheatre under volcanic debris, preserving its structure and</w:t>
      </w:r>
      <w:r w:rsidR="00B402BD">
        <w:t xml:space="preserve"> much</w:t>
      </w:r>
      <w:r>
        <w:t xml:space="preserve"> associated material culture. Unlike </w:t>
      </w:r>
      <w:r w:rsidR="00B402BD">
        <w:t xml:space="preserve">most </w:t>
      </w:r>
      <w:r>
        <w:t xml:space="preserve">buildings reused over centuries, the Pompeii amphitheatre </w:t>
      </w:r>
      <w:r w:rsidR="00B402BD">
        <w:t>gives us</w:t>
      </w:r>
      <w:r>
        <w:t xml:space="preserve"> a snapshot of a Roman entertainment venue frozen in time.</w:t>
      </w:r>
    </w:p>
    <w:p w14:paraId="732DFF58" w14:textId="0420E290" w:rsidR="00761599" w:rsidRDefault="00761599" w:rsidP="00761599">
      <w:r>
        <w:t>Modern archaeological methods</w:t>
      </w:r>
      <w:r w:rsidR="00B402BD">
        <w:t xml:space="preserve"> such as</w:t>
      </w:r>
      <w:r>
        <w:t xml:space="preserve"> digital modelling and material analysis</w:t>
      </w:r>
      <w:r w:rsidR="00B402BD">
        <w:t xml:space="preserve"> </w:t>
      </w:r>
      <w:r>
        <w:t xml:space="preserve">have </w:t>
      </w:r>
      <w:r w:rsidR="00B402BD">
        <w:t>given us more</w:t>
      </w:r>
      <w:r>
        <w:t xml:space="preserve"> understanding of </w:t>
      </w:r>
      <w:r w:rsidR="00B402BD">
        <w:t xml:space="preserve">the </w:t>
      </w:r>
      <w:r>
        <w:t>construction techniques and spatial design</w:t>
      </w:r>
      <w:r w:rsidR="00B402BD">
        <w:t xml:space="preserve"> used</w:t>
      </w:r>
      <w:r>
        <w:t xml:space="preserve">. The </w:t>
      </w:r>
      <w:r w:rsidR="00B402BD">
        <w:t>Pompeii amphitheatre is</w:t>
      </w:r>
      <w:r>
        <w:t xml:space="preserve"> a key reference point in debates about the origins and evolution of</w:t>
      </w:r>
      <w:r w:rsidR="00B402BD">
        <w:t xml:space="preserve"> Roman </w:t>
      </w:r>
      <w:r>
        <w:t>amphitheatre architecture.</w:t>
      </w:r>
    </w:p>
    <w:p w14:paraId="1E5AC101" w14:textId="138867E2" w:rsidR="00761599" w:rsidRDefault="00761599" w:rsidP="00761599">
      <w:r>
        <w:t xml:space="preserve">The Amphitheatre of Pompeii </w:t>
      </w:r>
      <w:r w:rsidR="00B402BD">
        <w:t>is an example of</w:t>
      </w:r>
      <w:r>
        <w:t xml:space="preserve"> how architecture, </w:t>
      </w:r>
      <w:r w:rsidR="00B402BD">
        <w:t>entertainment</w:t>
      </w:r>
      <w:r>
        <w:t xml:space="preserve">, and society were deeply </w:t>
      </w:r>
      <w:r w:rsidR="00B402BD">
        <w:t>connected</w:t>
      </w:r>
      <w:r>
        <w:t xml:space="preserve"> in the Roman world. Architecturally, it represents a transitional form between </w:t>
      </w:r>
      <w:r w:rsidR="00B402BD">
        <w:t xml:space="preserve">the </w:t>
      </w:r>
      <w:r>
        <w:t xml:space="preserve">temporary wooden arenas and </w:t>
      </w:r>
      <w:r w:rsidR="00C213F3">
        <w:t>eventual</w:t>
      </w:r>
      <w:r>
        <w:t xml:space="preserve"> stone amphitheatres. Socially, it </w:t>
      </w:r>
      <w:r w:rsidR="00C213F3">
        <w:t>was used</w:t>
      </w:r>
      <w:r>
        <w:t xml:space="preserve"> as a space where hierarchy was reinforced </w:t>
      </w:r>
      <w:r w:rsidR="00C213F3">
        <w:t>but</w:t>
      </w:r>
      <w:r>
        <w:t xml:space="preserve"> also negotiated through participation.</w:t>
      </w:r>
    </w:p>
    <w:p w14:paraId="409D02A7" w14:textId="4347FD92" w:rsidR="00761599" w:rsidRDefault="00393F84" w:rsidP="00761599">
      <w:r>
        <w:t>T</w:t>
      </w:r>
      <w:r w:rsidR="00761599">
        <w:t xml:space="preserve">he amphitheatre demonstrates that provincial cities were not </w:t>
      </w:r>
      <w:r w:rsidR="00C213F3">
        <w:t>only</w:t>
      </w:r>
      <w:r w:rsidR="00761599">
        <w:t xml:space="preserve"> passive </w:t>
      </w:r>
      <w:r w:rsidR="00C213F3">
        <w:t>parts</w:t>
      </w:r>
      <w:r w:rsidR="00761599">
        <w:t xml:space="preserve"> of Roman culture but </w:t>
      </w:r>
      <w:r w:rsidR="00C213F3">
        <w:t xml:space="preserve">also </w:t>
      </w:r>
      <w:r w:rsidR="00761599">
        <w:t xml:space="preserve">active contributors to its development. Pompeii’s amphitheatre </w:t>
      </w:r>
      <w:r w:rsidR="00C213F3">
        <w:t xml:space="preserve">also </w:t>
      </w:r>
      <w:r w:rsidR="00761599">
        <w:t xml:space="preserve">predates Rome’s permanent amphitheatres, </w:t>
      </w:r>
      <w:r>
        <w:t>which suggests</w:t>
      </w:r>
      <w:r w:rsidR="00761599">
        <w:t xml:space="preserve"> that innovation often occurred outside the capital.</w:t>
      </w:r>
    </w:p>
    <w:p w14:paraId="627B8EF7" w14:textId="1230F2A2" w:rsidR="00761599" w:rsidRDefault="00761599" w:rsidP="00761599">
      <w:r>
        <w:t>When compared with later imperial amphitheatres</w:t>
      </w:r>
      <w:r w:rsidR="00E54C6E">
        <w:t xml:space="preserve"> (such as </w:t>
      </w:r>
      <w:r>
        <w:t>the Flavian Amphitheatre</w:t>
      </w:r>
      <w:r w:rsidR="00E54C6E">
        <w:t>/</w:t>
      </w:r>
      <w:r>
        <w:t xml:space="preserve">Colosseum) in Rome, the Pompeii amphitheatre </w:t>
      </w:r>
      <w:r w:rsidR="009F3F85">
        <w:t>shows</w:t>
      </w:r>
      <w:r>
        <w:t xml:space="preserve"> the evolution of Roman </w:t>
      </w:r>
      <w:r w:rsidR="009F3F85">
        <w:t>entertainment</w:t>
      </w:r>
      <w:r>
        <w:t xml:space="preserve"> architecture. Unlike the Colosseum, which relied on </w:t>
      </w:r>
      <w:r w:rsidR="009F3F85">
        <w:t>complicated</w:t>
      </w:r>
      <w:r>
        <w:t xml:space="preserve"> vaulting systems</w:t>
      </w:r>
      <w:r w:rsidR="00D41EF5">
        <w:t xml:space="preserve"> and </w:t>
      </w:r>
      <w:r>
        <w:t xml:space="preserve">monumental </w:t>
      </w:r>
      <w:r w:rsidR="00D41EF5">
        <w:t>and complex building methods</w:t>
      </w:r>
      <w:r>
        <w:t xml:space="preserve">, the Pompeii amphitheatre </w:t>
      </w:r>
      <w:r w:rsidR="00D41EF5">
        <w:t>uses</w:t>
      </w:r>
      <w:r>
        <w:t xml:space="preserve"> a simpler structural strategy rooted in landscape integration and earth embankments. This contrast demonstrates that early amphitheatre design prioritised functionality and cost</w:t>
      </w:r>
      <w:r w:rsidR="00D41EF5">
        <w:t xml:space="preserve"> </w:t>
      </w:r>
      <w:r>
        <w:t xml:space="preserve">efficiency over visual </w:t>
      </w:r>
      <w:r w:rsidR="00D41EF5">
        <w:t>impressiveness</w:t>
      </w:r>
      <w:r w:rsidR="001517BF">
        <w:t>.</w:t>
      </w:r>
      <w:r>
        <w:t xml:space="preserve"> </w:t>
      </w:r>
      <w:r w:rsidRPr="001517BF">
        <w:t>(</w:t>
      </w:r>
      <w:proofErr w:type="spellStart"/>
      <w:r w:rsidRPr="001517BF">
        <w:t>Golvin</w:t>
      </w:r>
      <w:proofErr w:type="spellEnd"/>
      <w:r w:rsidRPr="001517BF">
        <w:t xml:space="preserve"> 1988</w:t>
      </w:r>
      <w:r w:rsidR="001517BF">
        <w:rPr>
          <w:rStyle w:val="FootnoteReference"/>
        </w:rPr>
        <w:footnoteReference w:id="11"/>
      </w:r>
      <w:r w:rsidRPr="001517BF">
        <w:t>)</w:t>
      </w:r>
    </w:p>
    <w:p w14:paraId="649523C8" w14:textId="30FF3BEE" w:rsidR="00761599" w:rsidRDefault="00761599" w:rsidP="00761599">
      <w:r>
        <w:t>The Pompeii amphitheatre shows that Roman architectural innovation was not linear or centred exclusively on Rome</w:t>
      </w:r>
      <w:r w:rsidR="00D41EF5">
        <w:t xml:space="preserve">, instead </w:t>
      </w:r>
      <w:r>
        <w:t>develop</w:t>
      </w:r>
      <w:r w:rsidR="00D41EF5">
        <w:t>ing</w:t>
      </w:r>
      <w:r>
        <w:t xml:space="preserve"> through experimentation across Italy. The fact that Pompeii possessed a permanent stone amphitheatre decades before Rome itself </w:t>
      </w:r>
      <w:r w:rsidR="00D41EF5">
        <w:t>emphasises</w:t>
      </w:r>
      <w:r>
        <w:t xml:space="preserve"> the importance of regional initiative in shaping </w:t>
      </w:r>
      <w:r w:rsidR="00D41EF5">
        <w:t xml:space="preserve">the known </w:t>
      </w:r>
      <w:r>
        <w:t>Roman architectural forms.</w:t>
      </w:r>
    </w:p>
    <w:p w14:paraId="0A7D2728" w14:textId="2A9BD490" w:rsidR="00761599" w:rsidRDefault="00761599" w:rsidP="00761599">
      <w:r>
        <w:t xml:space="preserve">From a theoretical perspective, the amphitheatre can be understood as a space where collective identity was actively produced and reinforced. Drawing on spatial theory, particularly the idea that architecture structures social interaction, the amphitheatre shaped how Pompeians experienced community. </w:t>
      </w:r>
      <w:r w:rsidR="00D41EF5">
        <w:t>G</w:t>
      </w:r>
      <w:r>
        <w:t xml:space="preserve">athering thousands of spectators in a single enclosed space </w:t>
      </w:r>
      <w:r w:rsidR="00D41EF5">
        <w:t>gave them</w:t>
      </w:r>
      <w:r>
        <w:t xml:space="preserve"> a shared emotional experience, whether </w:t>
      </w:r>
      <w:r w:rsidR="00D41EF5">
        <w:t xml:space="preserve">that was </w:t>
      </w:r>
      <w:r>
        <w:t>excitement, tension or aggression.</w:t>
      </w:r>
    </w:p>
    <w:p w14:paraId="798B8D0A" w14:textId="3D470AF9" w:rsidR="00761599" w:rsidRDefault="00761599" w:rsidP="00761599">
      <w:r>
        <w:t xml:space="preserve">This collective identity was not </w:t>
      </w:r>
      <w:r w:rsidR="001448FF">
        <w:t>just a single thing</w:t>
      </w:r>
      <w:r>
        <w:t xml:space="preserve">. Seating arrangements physically </w:t>
      </w:r>
      <w:r w:rsidR="001448FF">
        <w:t>reinforced the</w:t>
      </w:r>
      <w:r>
        <w:t xml:space="preserve"> distinctions of class, gender</w:t>
      </w:r>
      <w:r w:rsidR="001448FF">
        <w:t xml:space="preserve"> </w:t>
      </w:r>
      <w:r>
        <w:t xml:space="preserve">and status, </w:t>
      </w:r>
      <w:r w:rsidR="001448FF">
        <w:t>making sure</w:t>
      </w:r>
      <w:r>
        <w:t xml:space="preserve"> that social hierarchies were both visible and </w:t>
      </w:r>
      <w:r w:rsidR="00FE6E78">
        <w:t>normalised</w:t>
      </w:r>
      <w:r>
        <w:t xml:space="preserve">. </w:t>
      </w:r>
      <w:r w:rsidR="00FE6E78">
        <w:t xml:space="preserve">Still, </w:t>
      </w:r>
      <w:r>
        <w:t xml:space="preserve">moments </w:t>
      </w:r>
      <w:r w:rsidR="00FE6E78">
        <w:t>in which the</w:t>
      </w:r>
      <w:r>
        <w:t xml:space="preserve"> crowd reaction to gladiators or officials </w:t>
      </w:r>
      <w:r w:rsidR="00FE6E78">
        <w:t>show</w:t>
      </w:r>
      <w:r>
        <w:t xml:space="preserve"> that the audience could temporarily act as a unified body. The </w:t>
      </w:r>
      <w:r w:rsidR="00FE6E78">
        <w:t xml:space="preserve">aforementioned 59 CE </w:t>
      </w:r>
      <w:r>
        <w:t xml:space="preserve">riot </w:t>
      </w:r>
      <w:r w:rsidR="00FE6E78">
        <w:t xml:space="preserve">is a </w:t>
      </w:r>
      <w:r>
        <w:t>demonstrat</w:t>
      </w:r>
      <w:r w:rsidR="00FE6E78">
        <w:t>ion of</w:t>
      </w:r>
      <w:r>
        <w:t xml:space="preserve"> how these collective emotions could escalate into violence, </w:t>
      </w:r>
      <w:r w:rsidR="00D54DE0">
        <w:t>emphasising</w:t>
      </w:r>
      <w:r>
        <w:t xml:space="preserve"> the amphitheatre as a politically charged space </w:t>
      </w:r>
      <w:r w:rsidR="00D54DE0">
        <w:t>instead of</w:t>
      </w:r>
      <w:r>
        <w:t xml:space="preserve"> than a neutral entertainment venue</w:t>
      </w:r>
      <w:r w:rsidR="001517BF">
        <w:t>.</w:t>
      </w:r>
      <w:r>
        <w:t xml:space="preserve"> </w:t>
      </w:r>
      <w:r w:rsidRPr="001517BF">
        <w:t>(Tacitus, Annals</w:t>
      </w:r>
      <w:r w:rsidR="001517BF">
        <w:rPr>
          <w:rStyle w:val="FootnoteReference"/>
        </w:rPr>
        <w:footnoteReference w:id="12"/>
      </w:r>
      <w:r w:rsidR="001517BF">
        <w:t>)</w:t>
      </w:r>
    </w:p>
    <w:p w14:paraId="609220B1" w14:textId="34E791BA" w:rsidR="001517BF" w:rsidRPr="001517BF" w:rsidRDefault="00761599" w:rsidP="00761599">
      <w:pPr>
        <w:rPr>
          <w:b/>
          <w:bCs/>
        </w:rPr>
      </w:pPr>
      <w:r>
        <w:t xml:space="preserve">Modern interpretations </w:t>
      </w:r>
      <w:r w:rsidR="00D54DE0">
        <w:t xml:space="preserve">and showings </w:t>
      </w:r>
      <w:r>
        <w:t xml:space="preserve">of Roman </w:t>
      </w:r>
      <w:r w:rsidR="00D54DE0">
        <w:t>entertainment</w:t>
      </w:r>
      <w:r>
        <w:t xml:space="preserve"> often focus on violence, </w:t>
      </w:r>
      <w:r w:rsidR="000B5F3F">
        <w:t>often</w:t>
      </w:r>
      <w:r>
        <w:t xml:space="preserve"> portraying amphitheatres as symbols of moral </w:t>
      </w:r>
      <w:r w:rsidR="00D54DE0">
        <w:t>chaos</w:t>
      </w:r>
      <w:r>
        <w:t xml:space="preserve">. While violence was undeniably </w:t>
      </w:r>
      <w:r w:rsidR="000B5F3F">
        <w:t>a large part of it</w:t>
      </w:r>
      <w:r>
        <w:t xml:space="preserve">, it is important to </w:t>
      </w:r>
      <w:r w:rsidR="000B5F3F">
        <w:t>give</w:t>
      </w:r>
      <w:r>
        <w:t xml:space="preserve"> gladiatorial games </w:t>
      </w:r>
      <w:r w:rsidR="000B5F3F">
        <w:t>the context of</w:t>
      </w:r>
      <w:r>
        <w:t xml:space="preserve"> Roman ethic</w:t>
      </w:r>
      <w:r w:rsidR="000B5F3F">
        <w:t>s</w:t>
      </w:r>
      <w:r>
        <w:t>. Gladiators embodied</w:t>
      </w:r>
      <w:r w:rsidR="000B5F3F">
        <w:t xml:space="preserve"> the Roman</w:t>
      </w:r>
      <w:r>
        <w:t xml:space="preserve"> ideals of discipline, endurance, and controlled suffering,</w:t>
      </w:r>
      <w:r w:rsidR="00511B96">
        <w:t xml:space="preserve"> these</w:t>
      </w:r>
      <w:r>
        <w:t xml:space="preserve"> qualities </w:t>
      </w:r>
      <w:r w:rsidR="00511B96">
        <w:t xml:space="preserve">were </w:t>
      </w:r>
      <w:r>
        <w:t xml:space="preserve">admired </w:t>
      </w:r>
      <w:r w:rsidR="00511B96">
        <w:t xml:space="preserve">in the </w:t>
      </w:r>
      <w:r>
        <w:t>military culture</w:t>
      </w:r>
      <w:r w:rsidR="00511B96">
        <w:t xml:space="preserve"> of the Romans</w:t>
      </w:r>
      <w:r>
        <w:t xml:space="preserve">. The amphitheatre functioned as a stage </w:t>
      </w:r>
      <w:r w:rsidR="00511B96">
        <w:t>for</w:t>
      </w:r>
      <w:r>
        <w:t xml:space="preserve"> these values </w:t>
      </w:r>
      <w:r w:rsidR="00511B96">
        <w:t>to be</w:t>
      </w:r>
      <w:r>
        <w:t xml:space="preserve"> dramatized and accessible to the urban population</w:t>
      </w:r>
      <w:r w:rsidR="001517BF">
        <w:t>.</w:t>
      </w:r>
      <w:r>
        <w:t xml:space="preserve"> </w:t>
      </w:r>
      <w:r w:rsidRPr="001517BF">
        <w:t>(Futrell 2006</w:t>
      </w:r>
      <w:r w:rsidR="001517BF">
        <w:rPr>
          <w:rStyle w:val="FootnoteReference"/>
        </w:rPr>
        <w:footnoteReference w:id="13"/>
      </w:r>
      <w:r w:rsidRPr="001517BF">
        <w:t>)</w:t>
      </w:r>
    </w:p>
    <w:p w14:paraId="08245C57" w14:textId="083D2508" w:rsidR="00761599" w:rsidRDefault="00761599" w:rsidP="00761599">
      <w:r>
        <w:t xml:space="preserve">In Pompeii, graffiti </w:t>
      </w:r>
      <w:r w:rsidR="00511B96">
        <w:t>mentioning</w:t>
      </w:r>
      <w:r>
        <w:t xml:space="preserve"> gladiators </w:t>
      </w:r>
      <w:r w:rsidR="00511B96">
        <w:t>seemed to suggest</w:t>
      </w:r>
      <w:r>
        <w:t xml:space="preserve"> admiration </w:t>
      </w:r>
      <w:r w:rsidR="00511B96">
        <w:t>not</w:t>
      </w:r>
      <w:r>
        <w:t xml:space="preserve"> re</w:t>
      </w:r>
      <w:r w:rsidR="00511B96">
        <w:t>p</w:t>
      </w:r>
      <w:r>
        <w:t xml:space="preserve">ulsion, indicating that spectators </w:t>
      </w:r>
      <w:r w:rsidR="00511B96">
        <w:t>understood</w:t>
      </w:r>
      <w:r>
        <w:t xml:space="preserve"> the games through culturally specific lenses. This </w:t>
      </w:r>
      <w:r w:rsidR="00511B96">
        <w:t>differs from</w:t>
      </w:r>
      <w:r>
        <w:t xml:space="preserve"> modern moral judgments and </w:t>
      </w:r>
      <w:r w:rsidR="006B367A">
        <w:t>requires more thought</w:t>
      </w:r>
      <w:r>
        <w:t xml:space="preserve"> to</w:t>
      </w:r>
      <w:r w:rsidR="006B367A">
        <w:t>wards</w:t>
      </w:r>
      <w:r>
        <w:t xml:space="preserve"> analys</w:t>
      </w:r>
      <w:r w:rsidR="006B367A">
        <w:t>ing</w:t>
      </w:r>
      <w:r>
        <w:t xml:space="preserve"> the amphitheatre within its historical context. The architecture itself </w:t>
      </w:r>
      <w:r w:rsidR="00B61BEE">
        <w:t>was a part of shaping</w:t>
      </w:r>
      <w:r>
        <w:t xml:space="preserve"> this moral framing by</w:t>
      </w:r>
      <w:r w:rsidR="00B61BEE">
        <w:t xml:space="preserve"> its ways of</w:t>
      </w:r>
      <w:r>
        <w:t xml:space="preserve"> emphasising order, symmetry, and regulation, visually containing </w:t>
      </w:r>
      <w:r w:rsidR="00B61BEE">
        <w:t xml:space="preserve">the </w:t>
      </w:r>
      <w:r>
        <w:t>violence within a</w:t>
      </w:r>
      <w:r w:rsidR="00B61BEE">
        <w:t xml:space="preserve"> planned and</w:t>
      </w:r>
      <w:r>
        <w:t xml:space="preserve"> structured environment.</w:t>
      </w:r>
    </w:p>
    <w:p w14:paraId="7550D693" w14:textId="036152E8" w:rsidR="00761599" w:rsidRDefault="004B4D4B" w:rsidP="00761599">
      <w:r>
        <w:t>T</w:t>
      </w:r>
      <w:r w:rsidR="00761599">
        <w:t xml:space="preserve">he Pompeii amphitheatre plays a significant role in modern interpretations of Roman culture. </w:t>
      </w:r>
      <w:r w:rsidR="00C03B68">
        <w:t>Being</w:t>
      </w:r>
      <w:r w:rsidR="00761599">
        <w:t xml:space="preserve"> one of the </w:t>
      </w:r>
      <w:proofErr w:type="gramStart"/>
      <w:r w:rsidR="00761599">
        <w:t>best</w:t>
      </w:r>
      <w:r w:rsidR="00C03B68">
        <w:t xml:space="preserve"> </w:t>
      </w:r>
      <w:r w:rsidR="00761599">
        <w:t>preserved</w:t>
      </w:r>
      <w:proofErr w:type="gramEnd"/>
      <w:r w:rsidR="00761599">
        <w:t xml:space="preserve"> examples</w:t>
      </w:r>
      <w:r w:rsidR="00C03B68">
        <w:t xml:space="preserve"> </w:t>
      </w:r>
      <w:r w:rsidR="00761599">
        <w:t xml:space="preserve">it heavily influences how amphitheatres are reconstructed in scholarship, museums, and media. There is </w:t>
      </w:r>
      <w:r w:rsidR="00C03B68">
        <w:t xml:space="preserve">however </w:t>
      </w:r>
      <w:r w:rsidR="00761599">
        <w:t xml:space="preserve">a risk that Pompeii’s </w:t>
      </w:r>
      <w:r w:rsidR="00A2677E">
        <w:t>amazing</w:t>
      </w:r>
      <w:r w:rsidR="00761599">
        <w:t xml:space="preserve"> preservation </w:t>
      </w:r>
      <w:r w:rsidR="00A2677E">
        <w:t xml:space="preserve">can </w:t>
      </w:r>
      <w:r w:rsidR="00761599">
        <w:t>lead to overgeneralisatio</w:t>
      </w:r>
      <w:r w:rsidR="00A2677E">
        <w:t xml:space="preserve">n, however </w:t>
      </w:r>
      <w:r w:rsidR="00761599">
        <w:t xml:space="preserve">its value as a case study is </w:t>
      </w:r>
      <w:r w:rsidR="0026561A">
        <w:t>still important</w:t>
      </w:r>
      <w:r w:rsidR="00761599">
        <w:t>.</w:t>
      </w:r>
    </w:p>
    <w:p w14:paraId="21DC523A" w14:textId="396EBF99" w:rsidR="00761599" w:rsidRDefault="00761599" w:rsidP="00761599">
      <w:r>
        <w:t xml:space="preserve">Contemporary archaeological research focuses on interdisciplinary approaches, </w:t>
      </w:r>
      <w:r w:rsidR="00E874CB">
        <w:t>these combine</w:t>
      </w:r>
      <w:r>
        <w:t xml:space="preserve"> architectural analysis, epigraphy, digital modelling, and social theory. The Pompeii amphitheatre serve</w:t>
      </w:r>
      <w:r w:rsidR="00E874CB">
        <w:t>s</w:t>
      </w:r>
      <w:r>
        <w:t xml:space="preserve"> as a testing ground for these methods, ensuring its ongoing relevance in classical scholarship.</w:t>
      </w:r>
    </w:p>
    <w:p w14:paraId="78C7A7FB" w14:textId="1CE4336B" w:rsidR="00761599" w:rsidRDefault="00761599" w:rsidP="00761599">
      <w:r>
        <w:t xml:space="preserve">The Amphitheatre of Pompeii stands as a powerful </w:t>
      </w:r>
      <w:r w:rsidR="00582EE4">
        <w:t>example</w:t>
      </w:r>
      <w:r>
        <w:t xml:space="preserve"> </w:t>
      </w:r>
      <w:r w:rsidR="00582EE4">
        <w:t>of</w:t>
      </w:r>
      <w:r>
        <w:t xml:space="preserve"> Roman civic life in the late Republic and early Empire. Through its architecture, spectacles, and associated inscriptions, it </w:t>
      </w:r>
      <w:proofErr w:type="gramStart"/>
      <w:r w:rsidR="00582EE4">
        <w:t>show</w:t>
      </w:r>
      <w:proofErr w:type="gramEnd"/>
      <w:r w:rsidR="00582EE4">
        <w:t xml:space="preserve"> us</w:t>
      </w:r>
      <w:r>
        <w:t xml:space="preserve"> how entertainment functioned </w:t>
      </w:r>
      <w:r w:rsidR="00582EE4">
        <w:t xml:space="preserve">to </w:t>
      </w:r>
      <w:r>
        <w:t xml:space="preserve">express identity, power and community. </w:t>
      </w:r>
      <w:r w:rsidR="00582EE4">
        <w:t>Rather than</w:t>
      </w:r>
      <w:r>
        <w:t xml:space="preserve"> being a </w:t>
      </w:r>
      <w:r w:rsidR="00582EE4">
        <w:t>side</w:t>
      </w:r>
      <w:r>
        <w:t xml:space="preserve"> structure, the amphitheatre was central to </w:t>
      </w:r>
      <w:r w:rsidR="00582EE4">
        <w:t xml:space="preserve">the </w:t>
      </w:r>
      <w:r>
        <w:t>Pompeian social experience.</w:t>
      </w:r>
      <w:r w:rsidR="00582EE4">
        <w:t xml:space="preserve"> </w:t>
      </w:r>
      <w:r>
        <w:t>By analysing the amphitheatre in its historical, architectural and social contexts,</w:t>
      </w:r>
      <w:r w:rsidR="00582EE4">
        <w:t xml:space="preserve"> the Pompeii amphitheatre shows </w:t>
      </w:r>
      <w:r>
        <w:t xml:space="preserve">its importance not only as an archaeological monument but as a key source for understanding Roman urban culture. Its </w:t>
      </w:r>
      <w:r w:rsidR="008D72E3">
        <w:t xml:space="preserve">study continues to improve </w:t>
      </w:r>
      <w:r>
        <w:t>our knowledge of how Romans built, gathered</w:t>
      </w:r>
      <w:r w:rsidR="008D72E3">
        <w:t xml:space="preserve"> </w:t>
      </w:r>
      <w:r>
        <w:t xml:space="preserve">and defined themselves through public </w:t>
      </w:r>
      <w:r w:rsidR="008D72E3">
        <w:t>entertainment</w:t>
      </w:r>
      <w:r>
        <w:t>.</w:t>
      </w:r>
    </w:p>
    <w:p w14:paraId="3E13F519" w14:textId="77777777" w:rsidR="00DE3D87" w:rsidRDefault="00DE3D87" w:rsidP="00761599">
      <w:pPr>
        <w:rPr>
          <w:u w:val="single"/>
        </w:rPr>
      </w:pPr>
    </w:p>
    <w:p w14:paraId="2C0E9C00" w14:textId="77777777" w:rsidR="00DE3D87" w:rsidRDefault="00DE3D87" w:rsidP="00761599">
      <w:pPr>
        <w:rPr>
          <w:u w:val="single"/>
        </w:rPr>
      </w:pPr>
    </w:p>
    <w:p w14:paraId="1BBAFA64" w14:textId="77777777" w:rsidR="00DE3D87" w:rsidRDefault="00DE3D87" w:rsidP="00761599">
      <w:pPr>
        <w:rPr>
          <w:u w:val="single"/>
        </w:rPr>
      </w:pPr>
    </w:p>
    <w:p w14:paraId="6A68C168" w14:textId="77777777" w:rsidR="00DE3D87" w:rsidRDefault="00DE3D87" w:rsidP="00761599">
      <w:pPr>
        <w:rPr>
          <w:u w:val="single"/>
        </w:rPr>
      </w:pPr>
    </w:p>
    <w:p w14:paraId="47FC2C7B" w14:textId="77777777" w:rsidR="001517BF" w:rsidRDefault="001517BF" w:rsidP="00761599">
      <w:pPr>
        <w:rPr>
          <w:u w:val="single"/>
        </w:rPr>
      </w:pPr>
    </w:p>
    <w:p w14:paraId="1D0AD87D" w14:textId="77777777" w:rsidR="001517BF" w:rsidRDefault="001517BF" w:rsidP="00761599">
      <w:pPr>
        <w:rPr>
          <w:u w:val="single"/>
        </w:rPr>
      </w:pPr>
    </w:p>
    <w:p w14:paraId="170342FA" w14:textId="77777777" w:rsidR="001517BF" w:rsidRDefault="001517BF" w:rsidP="00761599">
      <w:pPr>
        <w:rPr>
          <w:u w:val="single"/>
        </w:rPr>
      </w:pPr>
    </w:p>
    <w:p w14:paraId="25F5E7DC" w14:textId="77777777" w:rsidR="001517BF" w:rsidRDefault="001517BF" w:rsidP="00761599">
      <w:pPr>
        <w:rPr>
          <w:u w:val="single"/>
        </w:rPr>
      </w:pPr>
    </w:p>
    <w:p w14:paraId="7958A32F" w14:textId="77777777" w:rsidR="001517BF" w:rsidRDefault="001517BF" w:rsidP="00761599">
      <w:pPr>
        <w:rPr>
          <w:u w:val="single"/>
        </w:rPr>
      </w:pPr>
    </w:p>
    <w:p w14:paraId="3C278F9D" w14:textId="77777777" w:rsidR="001517BF" w:rsidRDefault="001517BF" w:rsidP="00761599">
      <w:pPr>
        <w:rPr>
          <w:u w:val="single"/>
        </w:rPr>
      </w:pPr>
    </w:p>
    <w:p w14:paraId="7D30B697" w14:textId="77777777" w:rsidR="001517BF" w:rsidRDefault="001517BF" w:rsidP="00761599">
      <w:pPr>
        <w:rPr>
          <w:u w:val="single"/>
        </w:rPr>
      </w:pPr>
    </w:p>
    <w:p w14:paraId="491C7B4E" w14:textId="77777777" w:rsidR="001517BF" w:rsidRDefault="001517BF" w:rsidP="00761599">
      <w:pPr>
        <w:rPr>
          <w:u w:val="single"/>
        </w:rPr>
      </w:pPr>
    </w:p>
    <w:p w14:paraId="4DBBC174" w14:textId="77777777" w:rsidR="001517BF" w:rsidRDefault="001517BF" w:rsidP="00761599">
      <w:pPr>
        <w:rPr>
          <w:u w:val="single"/>
        </w:rPr>
      </w:pPr>
    </w:p>
    <w:p w14:paraId="71701A88" w14:textId="64B34DC7" w:rsidR="00DE3D87" w:rsidRPr="00DE3D87" w:rsidRDefault="00DE3D87" w:rsidP="00761599">
      <w:pPr>
        <w:rPr>
          <w:u w:val="single"/>
        </w:rPr>
      </w:pPr>
      <w:r w:rsidRPr="00DE3D87">
        <w:rPr>
          <w:u w:val="single"/>
        </w:rPr>
        <w:t>Bibliography</w:t>
      </w:r>
    </w:p>
    <w:p w14:paraId="1D6FAA02" w14:textId="77777777" w:rsidR="00336825" w:rsidRPr="00336825" w:rsidRDefault="001D4BF7" w:rsidP="00336825">
      <w:pPr>
        <w:pStyle w:val="Bibliography"/>
        <w:rPr>
          <w:rFonts w:ascii="Calibri" w:hAnsi="Calibri" w:cs="Calibri"/>
        </w:rPr>
      </w:pPr>
      <w:r>
        <w:fldChar w:fldCharType="begin"/>
      </w:r>
      <w:r w:rsidR="00336825">
        <w:instrText xml:space="preserve"> ADDIN ZOTERO_BIBL {"uncited":[],"omitted":[],"custom":[]} CSL_BIBLIOGRAPHY </w:instrText>
      </w:r>
      <w:r>
        <w:fldChar w:fldCharType="separate"/>
      </w:r>
      <w:proofErr w:type="spellStart"/>
      <w:r w:rsidR="00336825" w:rsidRPr="00336825">
        <w:rPr>
          <w:rFonts w:ascii="Calibri" w:hAnsi="Calibri" w:cs="Calibri"/>
        </w:rPr>
        <w:t>Bartera</w:t>
      </w:r>
      <w:proofErr w:type="spellEnd"/>
      <w:r w:rsidR="00336825" w:rsidRPr="00336825">
        <w:rPr>
          <w:rFonts w:ascii="Calibri" w:hAnsi="Calibri" w:cs="Calibri"/>
        </w:rPr>
        <w:t xml:space="preserve">, Salvador, and Kelly E. Shannon-Henderson, </w:t>
      </w:r>
      <w:r w:rsidR="00336825" w:rsidRPr="00336825">
        <w:rPr>
          <w:rFonts w:ascii="Calibri" w:hAnsi="Calibri" w:cs="Calibri"/>
          <w:i/>
          <w:iCs/>
        </w:rPr>
        <w:t>The Oxford Critical Guide to Tacitus</w:t>
      </w:r>
      <w:r w:rsidR="00336825" w:rsidRPr="00336825">
        <w:rPr>
          <w:rFonts w:ascii="Calibri" w:hAnsi="Calibri" w:cs="Calibri"/>
        </w:rPr>
        <w:t xml:space="preserve"> (Oxford University Press, 2025)</w:t>
      </w:r>
    </w:p>
    <w:p w14:paraId="5FD9CA5E" w14:textId="77777777" w:rsidR="00336825" w:rsidRPr="00336825" w:rsidRDefault="00336825" w:rsidP="00336825">
      <w:pPr>
        <w:pStyle w:val="Bibliography"/>
        <w:rPr>
          <w:rFonts w:ascii="Calibri" w:hAnsi="Calibri" w:cs="Calibri"/>
        </w:rPr>
      </w:pPr>
      <w:r w:rsidRPr="00336825">
        <w:rPr>
          <w:rFonts w:ascii="Calibri" w:hAnsi="Calibri" w:cs="Calibri"/>
        </w:rPr>
        <w:t xml:space="preserve">Beacham, Richard C., </w:t>
      </w:r>
      <w:r w:rsidRPr="00336825">
        <w:rPr>
          <w:rFonts w:ascii="Calibri" w:hAnsi="Calibri" w:cs="Calibri"/>
          <w:i/>
          <w:iCs/>
        </w:rPr>
        <w:t>The Roman Theatre and Its Audience</w:t>
      </w:r>
      <w:r w:rsidRPr="00336825">
        <w:rPr>
          <w:rFonts w:ascii="Calibri" w:hAnsi="Calibri" w:cs="Calibri"/>
        </w:rPr>
        <w:t xml:space="preserve"> (Harvard University Press, 1991)</w:t>
      </w:r>
    </w:p>
    <w:p w14:paraId="41356877" w14:textId="77777777" w:rsidR="00336825" w:rsidRPr="00336825" w:rsidRDefault="00336825" w:rsidP="00336825">
      <w:pPr>
        <w:pStyle w:val="Bibliography"/>
        <w:rPr>
          <w:rFonts w:ascii="Calibri" w:hAnsi="Calibri" w:cs="Calibri"/>
        </w:rPr>
      </w:pPr>
      <w:r w:rsidRPr="00336825">
        <w:rPr>
          <w:rFonts w:ascii="Calibri" w:hAnsi="Calibri" w:cs="Calibri"/>
        </w:rPr>
        <w:t xml:space="preserve">Bomgardner, David L., ‘A New Era for Amphitheatre Studies - JEAN-CLAUDE GOLVIN, L’AMPHITHÉÂTRE ROMAIN. ESSAI SUR LA THÉORISATION DE SA FORME ET DE SES FONCTIONS (Publications Du Centre Pierre Paris (UA 991) No.18, Paris1988). 2 Vols., Vol. 1 Texte, Pp. 459, 65 Tableaux; Vol. 2, Planches, Pp. 9, LXXI Planches. ISSN 0339-1736. FF900.’, </w:t>
      </w:r>
      <w:r w:rsidRPr="00336825">
        <w:rPr>
          <w:rFonts w:ascii="Calibri" w:hAnsi="Calibri" w:cs="Calibri"/>
          <w:i/>
          <w:iCs/>
        </w:rPr>
        <w:t>Journal of Roman Archaeology</w:t>
      </w:r>
      <w:r w:rsidRPr="00336825">
        <w:rPr>
          <w:rFonts w:ascii="Calibri" w:hAnsi="Calibri" w:cs="Calibri"/>
        </w:rPr>
        <w:t>, 6 (1993), pp. 375–90, doi:10.1017/S1047759400011727</w:t>
      </w:r>
    </w:p>
    <w:p w14:paraId="38F581C9" w14:textId="77777777" w:rsidR="00336825" w:rsidRPr="00336825" w:rsidRDefault="00336825" w:rsidP="00336825">
      <w:pPr>
        <w:pStyle w:val="Bibliography"/>
        <w:rPr>
          <w:rFonts w:ascii="Calibri" w:hAnsi="Calibri" w:cs="Calibri"/>
        </w:rPr>
      </w:pPr>
      <w:r w:rsidRPr="00336825">
        <w:rPr>
          <w:rFonts w:ascii="Calibri" w:hAnsi="Calibri" w:cs="Calibri"/>
        </w:rPr>
        <w:t xml:space="preserve">Cooley, Alison E., and M. G. L. Cooley, </w:t>
      </w:r>
      <w:r w:rsidRPr="00336825">
        <w:rPr>
          <w:rFonts w:ascii="Calibri" w:hAnsi="Calibri" w:cs="Calibri"/>
          <w:i/>
          <w:iCs/>
        </w:rPr>
        <w:t>Pompeii and Herculaneum: A Sourcebook</w:t>
      </w:r>
      <w:r w:rsidRPr="00336825">
        <w:rPr>
          <w:rFonts w:ascii="Calibri" w:hAnsi="Calibri" w:cs="Calibri"/>
        </w:rPr>
        <w:t xml:space="preserve">, 2nd </w:t>
      </w:r>
      <w:proofErr w:type="spellStart"/>
      <w:r w:rsidRPr="00336825">
        <w:rPr>
          <w:rFonts w:ascii="Calibri" w:hAnsi="Calibri" w:cs="Calibri"/>
        </w:rPr>
        <w:t>edn</w:t>
      </w:r>
      <w:proofErr w:type="spellEnd"/>
      <w:r w:rsidRPr="00336825">
        <w:rPr>
          <w:rFonts w:ascii="Calibri" w:hAnsi="Calibri" w:cs="Calibri"/>
        </w:rPr>
        <w:t xml:space="preserve"> (Routledge, 2013), doi:10.4324/9781315885759</w:t>
      </w:r>
    </w:p>
    <w:p w14:paraId="3D80CCB8" w14:textId="77777777" w:rsidR="00336825" w:rsidRPr="00336825" w:rsidRDefault="00336825" w:rsidP="00336825">
      <w:pPr>
        <w:pStyle w:val="Bibliography"/>
        <w:rPr>
          <w:rFonts w:ascii="Calibri" w:hAnsi="Calibri" w:cs="Calibri"/>
        </w:rPr>
      </w:pPr>
      <w:proofErr w:type="spellStart"/>
      <w:r w:rsidRPr="00336825">
        <w:rPr>
          <w:rFonts w:ascii="Calibri" w:hAnsi="Calibri" w:cs="Calibri"/>
        </w:rPr>
        <w:t>Duvernoy</w:t>
      </w:r>
      <w:proofErr w:type="spellEnd"/>
      <w:r w:rsidRPr="00336825">
        <w:rPr>
          <w:rFonts w:ascii="Calibri" w:hAnsi="Calibri" w:cs="Calibri"/>
        </w:rPr>
        <w:t xml:space="preserve">, Sylvie, ‘Architecture and Mathematics in Roman Amphitheatres’, in </w:t>
      </w:r>
      <w:r w:rsidRPr="00336825">
        <w:rPr>
          <w:rFonts w:ascii="Calibri" w:hAnsi="Calibri" w:cs="Calibri"/>
          <w:i/>
          <w:iCs/>
        </w:rPr>
        <w:t>Architecture and Mathematics from Antiquity to the Future: Volume I: Antiquity to the 1500s</w:t>
      </w:r>
      <w:r w:rsidRPr="00336825">
        <w:rPr>
          <w:rFonts w:ascii="Calibri" w:hAnsi="Calibri" w:cs="Calibri"/>
        </w:rPr>
        <w:t>, ed. by Kim Williams and Michael J. Ostwald (Springer International Publishing, 2015), pp. 189–99, doi:10.1007/978-3-319-00137-1_13</w:t>
      </w:r>
    </w:p>
    <w:p w14:paraId="113A7A60" w14:textId="77777777" w:rsidR="00336825" w:rsidRPr="00336825" w:rsidRDefault="00336825" w:rsidP="00336825">
      <w:pPr>
        <w:pStyle w:val="Bibliography"/>
        <w:rPr>
          <w:rFonts w:ascii="Calibri" w:hAnsi="Calibri" w:cs="Calibri"/>
        </w:rPr>
      </w:pPr>
      <w:r w:rsidRPr="00336825">
        <w:rPr>
          <w:rFonts w:ascii="Calibri" w:hAnsi="Calibri" w:cs="Calibri"/>
        </w:rPr>
        <w:t xml:space="preserve">Futrell, Alison, </w:t>
      </w:r>
      <w:r w:rsidRPr="00336825">
        <w:rPr>
          <w:rFonts w:ascii="Calibri" w:hAnsi="Calibri" w:cs="Calibri"/>
          <w:i/>
          <w:iCs/>
        </w:rPr>
        <w:t>The Roman Games: Historical Sources in Translation</w:t>
      </w:r>
      <w:r w:rsidRPr="00336825">
        <w:rPr>
          <w:rFonts w:ascii="Calibri" w:hAnsi="Calibri" w:cs="Calibri"/>
        </w:rPr>
        <w:t xml:space="preserve"> (John Wiley &amp; Sons, 2009)</w:t>
      </w:r>
    </w:p>
    <w:p w14:paraId="0B756BF3" w14:textId="77777777" w:rsidR="00336825" w:rsidRPr="00336825" w:rsidRDefault="00336825" w:rsidP="00336825">
      <w:pPr>
        <w:pStyle w:val="Bibliography"/>
        <w:rPr>
          <w:rFonts w:ascii="Calibri" w:hAnsi="Calibri" w:cs="Calibri"/>
        </w:rPr>
      </w:pPr>
      <w:r w:rsidRPr="00336825">
        <w:rPr>
          <w:rFonts w:ascii="Calibri" w:hAnsi="Calibri" w:cs="Calibri"/>
        </w:rPr>
        <w:t xml:space="preserve">Hopkins, Keith, and Mary Beard, </w:t>
      </w:r>
      <w:r w:rsidRPr="00336825">
        <w:rPr>
          <w:rFonts w:ascii="Calibri" w:hAnsi="Calibri" w:cs="Calibri"/>
          <w:i/>
          <w:iCs/>
        </w:rPr>
        <w:t>The Colosseum</w:t>
      </w:r>
      <w:r w:rsidRPr="00336825">
        <w:rPr>
          <w:rFonts w:ascii="Calibri" w:hAnsi="Calibri" w:cs="Calibri"/>
        </w:rPr>
        <w:t xml:space="preserve"> (Harvard University Press, 2012)</w:t>
      </w:r>
    </w:p>
    <w:p w14:paraId="32BB1029" w14:textId="77777777" w:rsidR="00336825" w:rsidRPr="00336825" w:rsidRDefault="00336825" w:rsidP="00336825">
      <w:pPr>
        <w:pStyle w:val="Bibliography"/>
        <w:rPr>
          <w:rFonts w:ascii="Calibri" w:hAnsi="Calibri" w:cs="Calibri"/>
        </w:rPr>
      </w:pPr>
      <w:r w:rsidRPr="00336825">
        <w:rPr>
          <w:rFonts w:ascii="Calibri" w:hAnsi="Calibri" w:cs="Calibri"/>
        </w:rPr>
        <w:t xml:space="preserve">Laurence, Ray, ‘HEALTH AND THE LIFE COURSE AT HERCULANEUM AND POMPEII’, in </w:t>
      </w:r>
      <w:r w:rsidRPr="00336825">
        <w:rPr>
          <w:rFonts w:ascii="Calibri" w:hAnsi="Calibri" w:cs="Calibri"/>
          <w:i/>
          <w:iCs/>
        </w:rPr>
        <w:t>Health in Antiquity</w:t>
      </w:r>
      <w:r w:rsidRPr="00336825">
        <w:rPr>
          <w:rFonts w:ascii="Calibri" w:hAnsi="Calibri" w:cs="Calibri"/>
        </w:rPr>
        <w:t xml:space="preserve"> (Routledge, 2004)</w:t>
      </w:r>
    </w:p>
    <w:p w14:paraId="4D67C84A" w14:textId="77777777" w:rsidR="00336825" w:rsidRPr="00336825" w:rsidRDefault="00336825" w:rsidP="00336825">
      <w:pPr>
        <w:pStyle w:val="Bibliography"/>
        <w:rPr>
          <w:rFonts w:ascii="Calibri" w:hAnsi="Calibri" w:cs="Calibri"/>
        </w:rPr>
      </w:pPr>
      <w:r w:rsidRPr="00336825">
        <w:rPr>
          <w:rFonts w:ascii="Calibri" w:hAnsi="Calibri" w:cs="Calibri"/>
        </w:rPr>
        <w:t xml:space="preserve">Milnor, Kristina, </w:t>
      </w:r>
      <w:r w:rsidRPr="00336825">
        <w:rPr>
          <w:rFonts w:ascii="Calibri" w:hAnsi="Calibri" w:cs="Calibri"/>
          <w:i/>
          <w:iCs/>
        </w:rPr>
        <w:t>Graffiti and the Literary Landscape in Roman Pompeii</w:t>
      </w:r>
      <w:r w:rsidRPr="00336825">
        <w:rPr>
          <w:rFonts w:ascii="Calibri" w:hAnsi="Calibri" w:cs="Calibri"/>
        </w:rPr>
        <w:t xml:space="preserve"> (OUP Oxford, 2014)</w:t>
      </w:r>
    </w:p>
    <w:p w14:paraId="217B9F18" w14:textId="77777777" w:rsidR="00336825" w:rsidRPr="00336825" w:rsidRDefault="00336825" w:rsidP="00336825">
      <w:pPr>
        <w:pStyle w:val="Bibliography"/>
        <w:rPr>
          <w:rFonts w:ascii="Calibri" w:hAnsi="Calibri" w:cs="Calibri"/>
        </w:rPr>
      </w:pPr>
      <w:r w:rsidRPr="00336825">
        <w:rPr>
          <w:rFonts w:ascii="Calibri" w:hAnsi="Calibri" w:cs="Calibri"/>
        </w:rPr>
        <w:t>‘Reading the Writing on Pompeii’s Walls’, Smithsonian Magazine, n.d. &lt;https://www.smithsonianmag.com/history/reading-the-writing-on-pompeiis-walls-1969367/&gt; [accessed 1 February 2026]</w:t>
      </w:r>
    </w:p>
    <w:p w14:paraId="1E9317E3" w14:textId="77777777" w:rsidR="00336825" w:rsidRDefault="00336825" w:rsidP="00336825">
      <w:pPr>
        <w:pStyle w:val="Bibliography"/>
        <w:rPr>
          <w:rFonts w:ascii="Calibri" w:hAnsi="Calibri" w:cs="Calibri"/>
        </w:rPr>
      </w:pPr>
      <w:r w:rsidRPr="00336825">
        <w:rPr>
          <w:rFonts w:ascii="Calibri" w:hAnsi="Calibri" w:cs="Calibri"/>
        </w:rPr>
        <w:t xml:space="preserve">Zanker, Paul, </w:t>
      </w:r>
      <w:r w:rsidRPr="00336825">
        <w:rPr>
          <w:rFonts w:ascii="Calibri" w:hAnsi="Calibri" w:cs="Calibri"/>
          <w:i/>
          <w:iCs/>
        </w:rPr>
        <w:t>Pompeii: Public and Private Life</w:t>
      </w:r>
      <w:r w:rsidRPr="00336825">
        <w:rPr>
          <w:rFonts w:ascii="Calibri" w:hAnsi="Calibri" w:cs="Calibri"/>
        </w:rPr>
        <w:t xml:space="preserve"> (Harvard University Press, 1999)</w:t>
      </w:r>
    </w:p>
    <w:p w14:paraId="09C9CDFE" w14:textId="77777777" w:rsidR="00E84D35" w:rsidRDefault="00E84D35" w:rsidP="00E84D35">
      <w:r>
        <w:t xml:space="preserve">‘2.1 Evidence | </w:t>
      </w:r>
      <w:proofErr w:type="spellStart"/>
      <w:r>
        <w:t>Amarantus</w:t>
      </w:r>
      <w:proofErr w:type="spellEnd"/>
      <w:r>
        <w:t>’, n.d. &lt;https://www.cambridgeamarantus.com/topics/topic-ii/21/21-evidence&gt; [accessed 22 January 2026]</w:t>
      </w:r>
    </w:p>
    <w:p w14:paraId="1DF044D8" w14:textId="77777777" w:rsidR="00E84D35" w:rsidRDefault="00E84D35" w:rsidP="00E84D35">
      <w:r>
        <w:t>Anderson, Sonja, ‘The Children of Pompeii Saw Gladiators Fight to the Death—and They Drew Graffiti About It’, Smithsonian Magazine, n.d. &lt;https://www.smithsonianmag.com/smart-news/the-children-of-pompeii-saw-gladiators-fight-to-the-death-and-they-drew-graffiti-about-it-180984432/&gt; [accessed 22 January 2026]</w:t>
      </w:r>
    </w:p>
    <w:p w14:paraId="258DD575" w14:textId="77777777" w:rsidR="00E84D35" w:rsidRDefault="00E84D35" w:rsidP="00E84D35">
      <w:proofErr w:type="spellStart"/>
      <w:r>
        <w:t>Duvernoy</w:t>
      </w:r>
      <w:proofErr w:type="spellEnd"/>
      <w:r>
        <w:t>, Sylvie, and Paul L. Rosin, ‘The Compass, the Ruler and the Computer: An Analysis of the Design of the Amphitheatre of Pompeii’, in Architecture and Mathematics from Antiquity to the Future: Volume II: The 1500s to the Future, ed. by Kim Williams and Michael J. Ostwald (Springer International Publishing, 2015), pp. 525–40, doi:10.1007/978-3-319-00143-2_36</w:t>
      </w:r>
    </w:p>
    <w:p w14:paraId="4D42ABD1" w14:textId="77777777" w:rsidR="00E84D35" w:rsidRDefault="00E84D35" w:rsidP="00E84D35">
      <w:r>
        <w:t>Milnor, Kristina, ‘Landscape and Literature in the Roman City’, in Graffiti and the Literary Landscape in Roman Pompeii, ed. by Kristina Milnor (Oxford University Press, 2014), p. 0, doi:10.1093/</w:t>
      </w:r>
      <w:proofErr w:type="spellStart"/>
      <w:proofErr w:type="gramStart"/>
      <w:r>
        <w:t>acprof:oso</w:t>
      </w:r>
      <w:proofErr w:type="spellEnd"/>
      <w:proofErr w:type="gramEnd"/>
      <w:r>
        <w:t>/9780199684618.003.0002</w:t>
      </w:r>
    </w:p>
    <w:p w14:paraId="11C64141" w14:textId="77777777" w:rsidR="00E84D35" w:rsidRDefault="00E84D35" w:rsidP="00E84D35">
      <w:r>
        <w:t xml:space="preserve">‘Pompeii </w:t>
      </w:r>
      <w:proofErr w:type="spellStart"/>
      <w:r>
        <w:t>Amphitheater</w:t>
      </w:r>
      <w:proofErr w:type="spellEnd"/>
      <w:r>
        <w:t>’, n.d. &lt;https://penelope.uchicago.edu/encyclopaedia_romana/gladiators/pompeii.html&gt; [accessed 5 January 2026]</w:t>
      </w:r>
    </w:p>
    <w:p w14:paraId="7DC2034C" w14:textId="77777777" w:rsidR="00E84D35" w:rsidRDefault="00E84D35" w:rsidP="00E84D35">
      <w:r>
        <w:t>‘Pompeiiinpictures.Com/Pompeiiinpictures/R2/2 06 00 P</w:t>
      </w:r>
      <w:proofErr w:type="gramStart"/>
      <w:r>
        <w:t>7.Htm</w:t>
      </w:r>
      <w:proofErr w:type="gramEnd"/>
      <w:r>
        <w:t>’, n.d. &lt;https://pompeiiinpictures.com/pompeiiinpictures/R2/2%2006%2000%20p7.htm&gt; [accessed 5 January 2026]</w:t>
      </w:r>
    </w:p>
    <w:p w14:paraId="733AC291" w14:textId="17056CA7" w:rsidR="000F15E3" w:rsidRPr="000F15E3" w:rsidRDefault="00E84D35" w:rsidP="00E84D35">
      <w:r>
        <w:t>Sheldon, Natasha, ‘The World’s Oldest Arena: The Amphitheatre of Pompeii’, History and Archaeology Online, 11 March 2018 &lt;https://historyandarchaeologyonline.com/the-worlds-oldest-arena-the-amphitheatre-of-pompeii/&gt; [accessed 5 January 2026]</w:t>
      </w:r>
    </w:p>
    <w:p w14:paraId="728CC6C6" w14:textId="31B96073" w:rsidR="00761599" w:rsidRDefault="001D4BF7" w:rsidP="00761599">
      <w:r>
        <w:fldChar w:fldCharType="end"/>
      </w:r>
    </w:p>
    <w:sectPr w:rsidR="007615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6E73A" w14:textId="77777777" w:rsidR="007519AD" w:rsidRDefault="007519AD" w:rsidP="007519AD">
      <w:pPr>
        <w:spacing w:after="0" w:line="240" w:lineRule="auto"/>
      </w:pPr>
      <w:r>
        <w:separator/>
      </w:r>
    </w:p>
  </w:endnote>
  <w:endnote w:type="continuationSeparator" w:id="0">
    <w:p w14:paraId="1EDF9853" w14:textId="77777777" w:rsidR="007519AD" w:rsidRDefault="007519AD" w:rsidP="007519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1D2F8" w14:textId="77777777" w:rsidR="007519AD" w:rsidRDefault="007519AD" w:rsidP="007519AD">
      <w:pPr>
        <w:spacing w:after="0" w:line="240" w:lineRule="auto"/>
      </w:pPr>
      <w:r>
        <w:separator/>
      </w:r>
    </w:p>
  </w:footnote>
  <w:footnote w:type="continuationSeparator" w:id="0">
    <w:p w14:paraId="649EC231" w14:textId="77777777" w:rsidR="007519AD" w:rsidRDefault="007519AD" w:rsidP="007519AD">
      <w:pPr>
        <w:spacing w:after="0" w:line="240" w:lineRule="auto"/>
      </w:pPr>
      <w:r>
        <w:continuationSeparator/>
      </w:r>
    </w:p>
  </w:footnote>
  <w:footnote w:id="1">
    <w:p w14:paraId="3609CC26" w14:textId="1A93F50E" w:rsidR="007519AD" w:rsidRDefault="007519AD">
      <w:pPr>
        <w:pStyle w:val="FootnoteText"/>
      </w:pPr>
      <w:r>
        <w:rPr>
          <w:rStyle w:val="FootnoteReference"/>
        </w:rPr>
        <w:footnoteRef/>
      </w:r>
      <w:r>
        <w:t xml:space="preserve"> </w:t>
      </w:r>
      <w:r>
        <w:fldChar w:fldCharType="begin"/>
      </w:r>
      <w:r>
        <w:instrText xml:space="preserve"> ADDIN ZOTERO_ITEM CSL_CITATION {"citationID":"DZFa6O1R","properties":{"formattedCitation":"Alison E. Cooley and M. G. L. Cooley, {\\i{}Pompeii and Herculaneum: A Sourcebook}, 2nd edn (Routledge, 2013), doi:10.4324/9781315885759.","plainCitation":"Alison E. Cooley and M. G. L. Cooley, Pompeii and Herculaneum: A Sourcebook, 2nd edn (Routledge, 2013), doi:10.4324/9781315885759.","noteIndex":1},"citationItems":[{"id":311,"uris":["http://zotero.org/users/local/DUM6qIJ6/items/52NS9DNW"],"itemData":{"id":311,"type":"book","abstract":"The original edition of Pompeii: A Sourcebook was a crucial resource for students of the site. Now updated to include material from Herculaneum, the neighbouring town also buried in the eruption of Vesuvius, Pompeii and Herculaneum: A Sourcebook allows readers to form a richer and more diverse picture of urban life on the Bay of Naples. \n \nFocusing upon inscriptions and ancient texts, it translates and sets into context a representative sample of the huge range of source material uncovered in these towns. From the labels on wine jars to scribbled insults, and from advertisements for gladiatorial contests to love poetry, the individual chapters explore the early history of Pompeii and Herculaneum, their destruction, leisure pursuits, politics, commerce, religion, the family and society. Information about Pompeii and Herculaneum from authors based in Rome is included, but the great majority of sources come from the cities themselves, written by their ordinary inhabitants – men and women, citizens and slaves. \n \nEncorporating the latest research and finds from the two cities and enhanced with more photographs, maps, and plans, Pompeii and Herculaneum: A Sourcebook offers an invaluable resource for anyone studying or visiting the sites.","edition":"2","event-place":"London","ISBN":"978-1-315-88575-9","note":"DOI: 10.4324/9781315885759","number-of-pages":"356","publisher":"Routledge","publisher-place":"London","title":"Pompeii and Herculaneum: A Sourcebook","title-short":"Pompeii and Herculaneum","author":[{"family":"Cooley","given":"Alison E."},{"family":"Cooley","given":"M. G. L."}],"issued":{"date-parts":[["2013",10,1]]}}}],"schema":"https://github.com/citation-style-language/schema/raw/master/csl-citation.json"} </w:instrText>
      </w:r>
      <w:r>
        <w:fldChar w:fldCharType="separate"/>
      </w:r>
      <w:r w:rsidRPr="007519AD">
        <w:rPr>
          <w:rFonts w:ascii="Calibri" w:hAnsi="Calibri" w:cs="Calibri"/>
          <w:kern w:val="0"/>
        </w:rPr>
        <w:t xml:space="preserve">Alison E. Cooley and M. G. L. Cooley, </w:t>
      </w:r>
      <w:r w:rsidRPr="007519AD">
        <w:rPr>
          <w:rFonts w:ascii="Calibri" w:hAnsi="Calibri" w:cs="Calibri"/>
          <w:i/>
          <w:iCs/>
          <w:kern w:val="0"/>
        </w:rPr>
        <w:t>Pompeii and Herculaneum: A Sourcebook</w:t>
      </w:r>
      <w:r w:rsidRPr="007519AD">
        <w:rPr>
          <w:rFonts w:ascii="Calibri" w:hAnsi="Calibri" w:cs="Calibri"/>
          <w:kern w:val="0"/>
        </w:rPr>
        <w:t xml:space="preserve">, 2nd </w:t>
      </w:r>
      <w:proofErr w:type="spellStart"/>
      <w:r w:rsidRPr="007519AD">
        <w:rPr>
          <w:rFonts w:ascii="Calibri" w:hAnsi="Calibri" w:cs="Calibri"/>
          <w:kern w:val="0"/>
        </w:rPr>
        <w:t>edn</w:t>
      </w:r>
      <w:proofErr w:type="spellEnd"/>
      <w:r w:rsidRPr="007519AD">
        <w:rPr>
          <w:rFonts w:ascii="Calibri" w:hAnsi="Calibri" w:cs="Calibri"/>
          <w:kern w:val="0"/>
        </w:rPr>
        <w:t xml:space="preserve"> (Routledge, 2013), doi:10.4324/9781315885759.</w:t>
      </w:r>
      <w:r>
        <w:fldChar w:fldCharType="end"/>
      </w:r>
    </w:p>
  </w:footnote>
  <w:footnote w:id="2">
    <w:p w14:paraId="3F55DFBE" w14:textId="24BEA44F" w:rsidR="007519AD" w:rsidRDefault="007519AD">
      <w:pPr>
        <w:pStyle w:val="FootnoteText"/>
      </w:pPr>
      <w:r>
        <w:rPr>
          <w:rStyle w:val="FootnoteReference"/>
        </w:rPr>
        <w:footnoteRef/>
      </w:r>
      <w:r>
        <w:t xml:space="preserve"> </w:t>
      </w:r>
      <w:r>
        <w:fldChar w:fldCharType="begin"/>
      </w:r>
      <w:r>
        <w:instrText xml:space="preserve"> ADDIN ZOTERO_ITEM CSL_CITATION {"citationID":"aPusmyRU","properties":{"formattedCitation":"Paul Zanker, {\\i{}Pompeii: Public and Private Life} (Harvard University Press, 1999).","plainCitation":"Paul Zanker, Pompeii: Public and Private Life (Harvard University Press, 1999).","noteIndex":2},"citationItems":[{"id":323,"uris":["http://zotero.org/users/local/DUM6qIJ6/items/EWAZXBT4"],"itemData":{"id":323,"type":"book","abstract":"Pompeii's tragedy is our windfall: an ancient city fully preserved, its urban design and domestic styles speaking across the ages. This richly illustrated book conducts us through the captured wonders of Pompeii, evoking at every turn the life of the city as it was 2,000 years ago.When Vesuvius erupted in 79 A.D. its lava preserved not only the Pompeii of that time but a palimpsest of the city's history, visible traces of the different societies of Pompeii's past. Paul Zanker, a noted authority on Roman art and architecture, disentangles these tantalizing traces to show us the urban images that marked Pompeii's development from country town to Roman imperial city. Exploring Pompeii's public buildings, its streets and gathering places, we witness the impact of religious changes, the renovation of theaters and expansion of athletic facilities, and the influence of elite families on the city's appearance. Through these stages, Zanker adeptly conjures a sense of the political and social meanings in urban planning and public architecture.The private houses of Pompeii prove equally eloquent, their layout, decor, and architectural detail speaking volumes about the life, taste, and desires of their owners. At home or in public, at work or at ease, these Pompeians and their world come alive in Zanker's masterly rendering. A provocative and original reading of material culture, his work is an incomparable introduction to urban life in antiquity.","ISBN":"978-0-674-25761-0","language":"en","note":"Google-Books-ID: l2n9DwAAQBAJ","number-of-pages":"292","publisher":"Harvard University Press","source":"Google Books","title":"Pompeii: Public and Private Life","title-short":"Pompeii","author":[{"family":"Zanker","given":"Paul"}],"issued":{"date-parts":[["1999",1,15]]}}}],"schema":"https://github.com/citation-style-language/schema/raw/master/csl-citation.json"} </w:instrText>
      </w:r>
      <w:r>
        <w:fldChar w:fldCharType="separate"/>
      </w:r>
      <w:r w:rsidRPr="007519AD">
        <w:rPr>
          <w:rFonts w:ascii="Calibri" w:hAnsi="Calibri" w:cs="Calibri"/>
          <w:kern w:val="0"/>
        </w:rPr>
        <w:t xml:space="preserve">Paul Zanker, </w:t>
      </w:r>
      <w:r w:rsidRPr="007519AD">
        <w:rPr>
          <w:rFonts w:ascii="Calibri" w:hAnsi="Calibri" w:cs="Calibri"/>
          <w:i/>
          <w:iCs/>
          <w:kern w:val="0"/>
        </w:rPr>
        <w:t>Pompeii: Public and Private Life</w:t>
      </w:r>
      <w:r w:rsidRPr="007519AD">
        <w:rPr>
          <w:rFonts w:ascii="Calibri" w:hAnsi="Calibri" w:cs="Calibri"/>
          <w:kern w:val="0"/>
        </w:rPr>
        <w:t xml:space="preserve"> (Harvard University Press, 1999).</w:t>
      </w:r>
      <w:r>
        <w:fldChar w:fldCharType="end"/>
      </w:r>
    </w:p>
  </w:footnote>
  <w:footnote w:id="3">
    <w:p w14:paraId="0C18A1B2" w14:textId="13603614" w:rsidR="00A337EF" w:rsidRDefault="00A337EF">
      <w:pPr>
        <w:pStyle w:val="FootnoteText"/>
      </w:pPr>
      <w:r>
        <w:rPr>
          <w:rStyle w:val="FootnoteReference"/>
        </w:rPr>
        <w:footnoteRef/>
      </w:r>
      <w:r>
        <w:t xml:space="preserve"> </w:t>
      </w:r>
      <w:r>
        <w:fldChar w:fldCharType="begin"/>
      </w:r>
      <w:r>
        <w:instrText xml:space="preserve"> ADDIN ZOTERO_ITEM CSL_CITATION {"citationID":"Dpw1qeZ5","properties":{"formattedCitation":"David L. Bomgardner, \\uc0\\u8216{}A New Era for Amphitheatre Studies - JEAN-CLAUDE GOLVIN, L\\uc0\\u8217{}AMPHITH\\uc0\\u201{}\\uc0\\u194{}TRE ROMAIN. ESSAI SUR LA TH\\uc0\\u201{}ORISATION DE SA FORME ET DE SES FONCTIONS (Publications Du Centre Pierre Paris (UA 991) No.18, Paris1988). 2 Vols., Vol. 1 Texte, Pp. 459, 65 Tableaux; Vol. 2, Planches, Pp. 9, LXXI Planches. ISSN 0339-1736. FF900.\\uc0\\u8217{}, {\\i{}Journal of Roman Archaeology}, 6 (1993), pp. 375\\uc0\\u8211{}90, doi:10.1017/S1047759400011727.","plainCitation":"David L. Bomgardner, ‘A New Era for Amphitheatre Studies - JEAN-CLAUDE GOLVIN, L’AMPHITHÉÂTRE ROMAIN. ESSAI SUR LA THÉORISATION DE SA FORME ET DE SES FONCTIONS (Publications Du Centre Pierre Paris (UA 991) No.18, Paris1988). 2 Vols., Vol. 1 Texte, Pp. 459, 65 Tableaux; Vol. 2, Planches, Pp. 9, LXXI Planches. ISSN 0339-1736. FF900.’, Journal of Roman Archaeology, 6 (1993), pp. 375–90, doi:10.1017/S1047759400011727.","noteIndex":3},"citationItems":[{"id":315,"uris":["http://zotero.org/users/local/DUM6qIJ6/items/XMYR5DYA"],"itemData":{"id":315,"type":"article-journal","abstract":"//static.cambridge.org/content/id/urn%3Acambridge.org%3Aid%3Aarticle%3AS1047759400011727/resource/name/firstPage-S1047759400011727a.jpg","container-title":"Journal of Roman Archaeology","DOI":"10.1017/S1047759400011727","ISSN":"1047-7594, 2331-5709","language":"en","page":"375-390","source":"Cambridge University Press","title":"A new era for amphitheatre studies - JEAN-CLAUDE GOLVIN, L'AMPHITHÉÂTRE ROMAIN. ESSAI SUR LA THÉORISATION DE SA FORME ET DE SES FONCTIONS (Publications du Centre Pierre Paris (UA 991) no.18, Paris1988). 2 vols., vol. 1 texte, pp. 459, 65 tableaux; vol. 2, planches, pp. 9, LXXI planches. ISSN 0339-1736. FF900.","volume":"6","author":[{"family":"Bomgardner","given":"David L."}],"issued":{"date-parts":[["1993",1]]}}}],"schema":"https://github.com/citation-style-language/schema/raw/master/csl-citation.json"} </w:instrText>
      </w:r>
      <w:r>
        <w:fldChar w:fldCharType="separate"/>
      </w:r>
      <w:r w:rsidRPr="00A337EF">
        <w:rPr>
          <w:rFonts w:ascii="Calibri" w:hAnsi="Calibri" w:cs="Calibri"/>
          <w:kern w:val="0"/>
        </w:rPr>
        <w:t xml:space="preserve">David L. Bomgardner, ‘A New Era for Amphitheatre Studies - JEAN-CLAUDE GOLVIN, L’AMPHITHÉÂTRE ROMAIN. ESSAI SUR LA THÉORISATION DE SA FORME ET DE SES FONCTIONS (Publications Du Centre Pierre Paris (UA 991) No.18, Paris1988). 2 Vols., Vol. 1 Texte, Pp. 459, 65 Tableaux; Vol. 2, Planches, Pp. 9, LXXI Planches. ISSN 0339-1736. FF900.’, </w:t>
      </w:r>
      <w:r w:rsidRPr="00A337EF">
        <w:rPr>
          <w:rFonts w:ascii="Calibri" w:hAnsi="Calibri" w:cs="Calibri"/>
          <w:i/>
          <w:iCs/>
          <w:kern w:val="0"/>
        </w:rPr>
        <w:t>Journal of Roman Archaeology</w:t>
      </w:r>
      <w:r w:rsidRPr="00A337EF">
        <w:rPr>
          <w:rFonts w:ascii="Calibri" w:hAnsi="Calibri" w:cs="Calibri"/>
          <w:kern w:val="0"/>
        </w:rPr>
        <w:t>, 6 (1993), pp. 375–90, doi:10.1017/S1047759400011727.</w:t>
      </w:r>
      <w:r>
        <w:fldChar w:fldCharType="end"/>
      </w:r>
    </w:p>
  </w:footnote>
  <w:footnote w:id="4">
    <w:p w14:paraId="7C74797C" w14:textId="30639C9F" w:rsidR="005F4435" w:rsidRDefault="005F4435">
      <w:pPr>
        <w:pStyle w:val="FootnoteText"/>
      </w:pPr>
      <w:r>
        <w:rPr>
          <w:rStyle w:val="FootnoteReference"/>
        </w:rPr>
        <w:footnoteRef/>
      </w:r>
      <w:r>
        <w:t xml:space="preserve"> </w:t>
      </w:r>
      <w:r>
        <w:fldChar w:fldCharType="begin"/>
      </w:r>
      <w:r>
        <w:instrText xml:space="preserve"> ADDIN ZOTERO_ITEM CSL_CITATION {"citationID":"kofwOT5g","properties":{"formattedCitation":"Sylvie Duvernoy, \\uc0\\u8216{}Architecture and Mathematics in Roman Amphitheatres\\uc0\\u8217{}, in {\\i{}Architecture and Mathematics from Antiquity to the Future: Volume I: Antiquity to the 1500s}, ed. by Kim Williams and Michael J. Ostwald (Springer International Publishing, 2015), pp. 189\\uc0\\u8211{}99, doi:10.1007/978-3-319-00137-1_13.","plainCitation":"Sylvie Duvernoy, ‘Architecture and Mathematics in Roman Amphitheatres’, in Architecture and Mathematics from Antiquity to the Future: Volume I: Antiquity to the 1500s, ed. by Kim Williams and Michael J. Ostwald (Springer International Publishing, 2015), pp. 189–99, doi:10.1007/978-3-319-00137-1_13.","noteIndex":4},"citationItems":[{"id":312,"uris":["http://zotero.org/users/local/DUM6qIJ6/items/4IAALKW6"],"itemData":{"id":312,"type":"chapter","abstract":"In order to understand how the new typological pattern for amphitheaters was first drawn, and how it was transformed into a variety of archetypal models during its historical evolution, measured surveys were made of the amphitheaters of Pompeii, Roselle, and Veleia. The analysis of their curves evidences three different geometric diagrams deriving from three different answers to the same query. The design of amphitheaters involves two of the classic problems of ancient mathematics: the quadrature of the circle and the trisection of the angle. The curve of the outer perimeter has to be approximated by an irregular polygon in order to determine the position of the vertices from which the stairs would come down the steps of the cavea, dividing it into wedge-shapes of more or less identical size. Aesthetic demands and arithmetic necessities had to converge toward coherent and scientific geometric patterns. One of these would later be called “the perfect oval” by the architects of the Renaissance.","container-title":"Architecture and Mathematics from Antiquity to the Future: Volume I: Antiquity to the 1500s","event-place":"Cham","ISBN":"978-3-319-00137-1","language":"en","note":"DOI: 10.1007/978-3-319-00137-1_13","page":"189-199","publisher":"Springer International Publishing","publisher-place":"Cham","source":"Springer Link","title":"Architecture and Mathematics in Roman Amphitheatres","URL":"https://doi.org/10.1007/978-3-319-00137-1_13","author":[{"family":"Duvernoy","given":"Sylvie"}],"editor":[{"family":"Williams","given":"Kim"},{"family":"Ostwald","given":"Michael J."}],"accessed":{"date-parts":[["2026",2,1]]},"issued":{"date-parts":[["2015"]]}}}],"schema":"https://github.com/citation-style-language/schema/raw/master/csl-citation.json"} </w:instrText>
      </w:r>
      <w:r>
        <w:fldChar w:fldCharType="separate"/>
      </w:r>
      <w:r w:rsidRPr="005F4435">
        <w:rPr>
          <w:rFonts w:ascii="Calibri" w:hAnsi="Calibri" w:cs="Calibri"/>
          <w:kern w:val="0"/>
        </w:rPr>
        <w:t xml:space="preserve">Sylvie Duvernoy, ‘Architecture and Mathematics in Roman Amphitheatres’, in </w:t>
      </w:r>
      <w:r w:rsidRPr="005F4435">
        <w:rPr>
          <w:rFonts w:ascii="Calibri" w:hAnsi="Calibri" w:cs="Calibri"/>
          <w:i/>
          <w:iCs/>
          <w:kern w:val="0"/>
        </w:rPr>
        <w:t>Architecture and Mathematics from Antiquity to the Future: Volume I: Antiquity to the 1500s</w:t>
      </w:r>
      <w:r w:rsidRPr="005F4435">
        <w:rPr>
          <w:rFonts w:ascii="Calibri" w:hAnsi="Calibri" w:cs="Calibri"/>
          <w:kern w:val="0"/>
        </w:rPr>
        <w:t>, ed. by Kim Williams and Michael J. Ostwald (Springer International Publishing, 2015), pp. 189–99, doi:10.1007/978-3-319-00137-1_13.</w:t>
      </w:r>
      <w:r>
        <w:fldChar w:fldCharType="end"/>
      </w:r>
    </w:p>
  </w:footnote>
  <w:footnote w:id="5">
    <w:p w14:paraId="46FD73E4" w14:textId="01163935" w:rsidR="005F4435" w:rsidRDefault="005F4435">
      <w:pPr>
        <w:pStyle w:val="FootnoteText"/>
      </w:pPr>
      <w:r>
        <w:rPr>
          <w:rStyle w:val="FootnoteReference"/>
        </w:rPr>
        <w:footnoteRef/>
      </w:r>
      <w:r>
        <w:t xml:space="preserve"> </w:t>
      </w:r>
      <w:r>
        <w:fldChar w:fldCharType="begin"/>
      </w:r>
      <w:r>
        <w:instrText xml:space="preserve"> ADDIN ZOTERO_ITEM CSL_CITATION {"citationID":"RJ2xnRyD","properties":{"formattedCitation":"Keith Hopkins and Mary Beard, {\\i{}The Colosseum} (Harvard University Press, 2012).","plainCitation":"Keith Hopkins and Mary Beard, The Colosseum (Harvard University Press, 2012).","noteIndex":5},"citationItems":[{"id":316,"uris":["http://zotero.org/users/local/DUM6qIJ6/items/5573P92U"],"itemData":{"id":316,"type":"book","abstract":"Byron and Hitler were equally entranced by Rome’s most famous monument, the Colosseum. Mid-Victorians admired the hundreds of varieties of flowers in its crannies and occasionally shuddered at its reputation for contagion, danger, and sexual temptation. Today it is the highlight of a tour of Italy for more than three million visitors a year, a concert arena for the likes of Paul McCartney, and a national symbol of opposition to the death penalty. Its ancient history is chock full of romantic but erroneous myths. There is no evidence that any gladiator ever said “Hail Caesar, those about to die...” and we know of not one single Christian martyr who met his finish here.Yet the reality is much stranger than the legend as the authors, two prominent classical historians, explain in this absorbing account. We learn the details of how the arena was built and at what cost; we are introduced to the emperors who sometimes fought in gladiatorial games staged at the Colosseum; and we take measure of the audience who reveled in, or opposed, these games. The authors also trace the strange afterlife of the monument—as fortress, shrine of martyrs, church, and glue factory. Why are we so fascinated with this arena of death?","ISBN":"978-0-674-06359-4","language":"en","note":"Google-Books-ID: lVsoTdnxzKsC","number-of-pages":"225","publisher":"Harvard University Press","source":"Google Books","title":"The Colosseum","author":[{"family":"Hopkins","given":"Keith"},{"family":"Beard","given":"Mary"}],"issued":{"date-parts":[["2012",6,1]]}}}],"schema":"https://github.com/citation-style-language/schema/raw/master/csl-citation.json"} </w:instrText>
      </w:r>
      <w:r>
        <w:fldChar w:fldCharType="separate"/>
      </w:r>
      <w:r w:rsidRPr="005F4435">
        <w:rPr>
          <w:rFonts w:ascii="Calibri" w:hAnsi="Calibri" w:cs="Calibri"/>
          <w:kern w:val="0"/>
        </w:rPr>
        <w:t xml:space="preserve">Keith Hopkins and Mary Beard, </w:t>
      </w:r>
      <w:r w:rsidRPr="005F4435">
        <w:rPr>
          <w:rFonts w:ascii="Calibri" w:hAnsi="Calibri" w:cs="Calibri"/>
          <w:i/>
          <w:iCs/>
          <w:kern w:val="0"/>
        </w:rPr>
        <w:t>The Colosseum</w:t>
      </w:r>
      <w:r w:rsidRPr="005F4435">
        <w:rPr>
          <w:rFonts w:ascii="Calibri" w:hAnsi="Calibri" w:cs="Calibri"/>
          <w:kern w:val="0"/>
        </w:rPr>
        <w:t xml:space="preserve"> (Harvard University Press, 2012).</w:t>
      </w:r>
      <w:r>
        <w:fldChar w:fldCharType="end"/>
      </w:r>
    </w:p>
  </w:footnote>
  <w:footnote w:id="6">
    <w:p w14:paraId="6B66540D" w14:textId="44BB66C3" w:rsidR="005F4435" w:rsidRDefault="005F4435">
      <w:pPr>
        <w:pStyle w:val="FootnoteText"/>
      </w:pPr>
      <w:r>
        <w:rPr>
          <w:rStyle w:val="FootnoteReference"/>
        </w:rPr>
        <w:footnoteRef/>
      </w:r>
      <w:r>
        <w:t xml:space="preserve"> </w:t>
      </w:r>
      <w:r>
        <w:fldChar w:fldCharType="begin"/>
      </w:r>
      <w:r>
        <w:instrText xml:space="preserve"> ADDIN ZOTERO_ITEM CSL_CITATION {"citationID":"jGeU4ZFo","properties":{"formattedCitation":"Richard C. Beacham, {\\i{}The Roman Theatre and Its Audience} (Harvard University Press, 1991).","plainCitation":"Richard C. Beacham, The Roman Theatre and Its Audience (Harvard University Press, 1991).","noteIndex":6},"citationItems":[{"id":309,"uris":["http://zotero.org/users/local/DUM6qIJ6/items/ZCXT62ZQ"],"itemData":{"id":309,"type":"book","abstract":"Drawing on recent archaeological investigations, new scholarship, and the author's own original research and staging experience, this book offers a new and fascinating picture of theatrical performance in the ancient world. Richard Beacham traces the history of the Roman theatre, from its origins in the fourth century B.C. to the demise of formal theatrical activity at the end of antiquity. He characterizes the comedy of Plautus and Terence and the audience to which the Roman playwrights were appealing; describes staging, scenery, costuming, and performance style; and details a variety of theatrical forms, including comedy, tragedy, mime, pantomime, and spectacles.","ISBN":"978-0-674-77914-3","language":"en","note":"Google-Books-ID: 5YAYYbGXuzoC","number-of-pages":"290","publisher":"Harvard University Press","source":"Google Books","title":"The Roman Theatre and Its Audience","author":[{"family":"Beacham","given":"Richard C."}],"issued":{"date-parts":[["1991"]]}}}],"schema":"https://github.com/citation-style-language/schema/raw/master/csl-citation.json"} </w:instrText>
      </w:r>
      <w:r>
        <w:fldChar w:fldCharType="separate"/>
      </w:r>
      <w:r w:rsidRPr="005F4435">
        <w:rPr>
          <w:rFonts w:ascii="Calibri" w:hAnsi="Calibri" w:cs="Calibri"/>
          <w:kern w:val="0"/>
        </w:rPr>
        <w:t xml:space="preserve">Richard C. Beacham, </w:t>
      </w:r>
      <w:r w:rsidRPr="005F4435">
        <w:rPr>
          <w:rFonts w:ascii="Calibri" w:hAnsi="Calibri" w:cs="Calibri"/>
          <w:i/>
          <w:iCs/>
          <w:kern w:val="0"/>
        </w:rPr>
        <w:t>The Roman Theatre and Its Audience</w:t>
      </w:r>
      <w:r w:rsidRPr="005F4435">
        <w:rPr>
          <w:rFonts w:ascii="Calibri" w:hAnsi="Calibri" w:cs="Calibri"/>
          <w:kern w:val="0"/>
        </w:rPr>
        <w:t xml:space="preserve"> (Harvard University Press, 1991).</w:t>
      </w:r>
      <w:r>
        <w:fldChar w:fldCharType="end"/>
      </w:r>
    </w:p>
  </w:footnote>
  <w:footnote w:id="7">
    <w:p w14:paraId="347258C5" w14:textId="36B7C4BD" w:rsidR="005F4435" w:rsidRDefault="005F4435">
      <w:pPr>
        <w:pStyle w:val="FootnoteText"/>
      </w:pPr>
      <w:r>
        <w:rPr>
          <w:rStyle w:val="FootnoteReference"/>
        </w:rPr>
        <w:footnoteRef/>
      </w:r>
      <w:r>
        <w:t xml:space="preserve"> </w:t>
      </w:r>
      <w:r>
        <w:fldChar w:fldCharType="begin"/>
      </w:r>
      <w:r>
        <w:instrText xml:space="preserve"> ADDIN ZOTERO_ITEM CSL_CITATION {"citationID":"GHo1XTmw","properties":{"formattedCitation":"Ray Laurence, \\uc0\\u8216{}HEALTH AND THE LIFE COURSE AT HERCULANEUM AND POMPEII\\uc0\\u8217{}, in {\\i{}Health in Antiquity} (Routledge, 2004).","plainCitation":"Ray Laurence, ‘HEALTH AND THE LIFE COURSE AT HERCULANEUM AND POMPEII’, in Health in Antiquity (Routledge, 2004).","noteIndex":7},"citationItems":[{"id":266,"uris":["http://zotero.org/users/local/DUM6qIJ6/items/HKHLZGY3"],"itemData":{"id":266,"type":"chapter","abstract":"Nowhere has the impact been greater than in the study of human\nremains. The find of 139 skeletons in Herculaneum in the early 1980s\nresulted not only in the first identification of human remains at that site,\nbut also spilled over to Pompeii, leading to a fresh interest in the human\nbones there. The result of these developments has been a dramatic increase\nin the range of the skeletal data and the type of analyses conducted. An\nobvious point needs to be stressed: the skeletal remains from the Vesuvian\nsites represent a living population, unlike those found in cemeteries. Allwere alive on 23 August AD 79, and all were dead by 25 August. This\nchapter will be concerned with presenting the results of the analysis of\nhuman skeletal remains. In doing so, it depends on the published reports\nof the scientists, but goes beyond these by attempting to relate their findings to the interests of Roman social history and, specifically, to aspects\nof health.","container-title":"Health in Antiquity","note":"number-of-pages: 14","publisher":"Routledge","title":"HEALTH AND THE LIFE COURSE AT HERCULANEUM AND POMPEII","author":[{"family":"Laurence","given":"Ray"}],"issued":{"date-parts":[["2004"]]}}}],"schema":"https://github.com/citation-style-language/schema/raw/master/csl-citation.json"} </w:instrText>
      </w:r>
      <w:r>
        <w:fldChar w:fldCharType="separate"/>
      </w:r>
      <w:r w:rsidRPr="005F4435">
        <w:rPr>
          <w:rFonts w:ascii="Calibri" w:hAnsi="Calibri" w:cs="Calibri"/>
          <w:kern w:val="0"/>
        </w:rPr>
        <w:t xml:space="preserve">Ray Laurence, ‘HEALTH AND THE LIFE COURSE AT HERCULANEUM AND POMPEII’, in </w:t>
      </w:r>
      <w:r w:rsidRPr="005F4435">
        <w:rPr>
          <w:rFonts w:ascii="Calibri" w:hAnsi="Calibri" w:cs="Calibri"/>
          <w:i/>
          <w:iCs/>
          <w:kern w:val="0"/>
        </w:rPr>
        <w:t>Health in Antiquity</w:t>
      </w:r>
      <w:r w:rsidRPr="005F4435">
        <w:rPr>
          <w:rFonts w:ascii="Calibri" w:hAnsi="Calibri" w:cs="Calibri"/>
          <w:kern w:val="0"/>
        </w:rPr>
        <w:t xml:space="preserve"> (Routledge, 2004).</w:t>
      </w:r>
      <w:r>
        <w:fldChar w:fldCharType="end"/>
      </w:r>
    </w:p>
  </w:footnote>
  <w:footnote w:id="8">
    <w:p w14:paraId="45C0E93F" w14:textId="7B1298F6" w:rsidR="007C4A7B" w:rsidRDefault="007C4A7B">
      <w:pPr>
        <w:pStyle w:val="FootnoteText"/>
      </w:pPr>
      <w:r>
        <w:rPr>
          <w:rStyle w:val="FootnoteReference"/>
        </w:rPr>
        <w:footnoteRef/>
      </w:r>
      <w:r>
        <w:t xml:space="preserve"> </w:t>
      </w:r>
      <w:r>
        <w:fldChar w:fldCharType="begin"/>
      </w:r>
      <w:r>
        <w:instrText xml:space="preserve"> ADDIN ZOTERO_ITEM CSL_CITATION {"citationID":"gksSQj4Q","properties":{"formattedCitation":"Alison Futrell, {\\i{}The Roman Games: Historical Sources in Translation} (John Wiley &amp; Sons, 2009).","plainCitation":"Alison Futrell, The Roman Games: Historical Sources in Translation (John Wiley &amp; Sons, 2009).","noteIndex":8},"citationItems":[{"id":313,"uris":["http://zotero.org/users/local/DUM6qIJ6/items/65G7DL56"],"itemData":{"id":313,"type":"book","abstract":"This sourcebook presents a wealth of material relating to every aspect of Roman spectacles, especially gladiatorial combat and chariot racing.  Draws on the words of eye-witnesses and participants, as well as depictions of the games in mosaics and other works of art. Offers snapshots of \"a day at the games\" and \"the life of a gladiator\". Includes numerous illustrations. Covers chariot-races, water pageants, naval battles and wild animal fights, as well as gladiatorial combat. Combines political, social, religious and archaeological perspectives. Facilitates an in-depth understanding of this important feature of ancient life.","ISBN":"978-1-4051-5315-7","language":"en","note":"Google-Books-ID: dkE24t_drk0C","number-of-pages":"273","publisher":"John Wiley &amp; Sons","source":"Google Books","title":"The Roman Games: Historical Sources in Translation","title-short":"The Roman Games","author":[{"family":"Futrell","given":"Alison"}],"issued":{"date-parts":[["2009",2,9]]}}}],"schema":"https://github.com/citation-style-language/schema/raw/master/csl-citation.json"} </w:instrText>
      </w:r>
      <w:r>
        <w:fldChar w:fldCharType="separate"/>
      </w:r>
      <w:r w:rsidRPr="007C4A7B">
        <w:rPr>
          <w:rFonts w:ascii="Calibri" w:hAnsi="Calibri" w:cs="Calibri"/>
          <w:kern w:val="0"/>
        </w:rPr>
        <w:t xml:space="preserve">Alison Futrell, </w:t>
      </w:r>
      <w:r w:rsidRPr="007C4A7B">
        <w:rPr>
          <w:rFonts w:ascii="Calibri" w:hAnsi="Calibri" w:cs="Calibri"/>
          <w:i/>
          <w:iCs/>
          <w:kern w:val="0"/>
        </w:rPr>
        <w:t>The Roman Games: Historical Sources in Translation</w:t>
      </w:r>
      <w:r w:rsidRPr="007C4A7B">
        <w:rPr>
          <w:rFonts w:ascii="Calibri" w:hAnsi="Calibri" w:cs="Calibri"/>
          <w:kern w:val="0"/>
        </w:rPr>
        <w:t xml:space="preserve"> (John Wiley &amp; Sons, 2009).</w:t>
      </w:r>
      <w:r>
        <w:fldChar w:fldCharType="end"/>
      </w:r>
    </w:p>
  </w:footnote>
  <w:footnote w:id="9">
    <w:p w14:paraId="1C3270E7" w14:textId="563B1C1F" w:rsidR="005D122E" w:rsidRDefault="005D122E">
      <w:pPr>
        <w:pStyle w:val="FootnoteText"/>
      </w:pPr>
      <w:r>
        <w:rPr>
          <w:rStyle w:val="FootnoteReference"/>
        </w:rPr>
        <w:footnoteRef/>
      </w:r>
      <w:r>
        <w:t xml:space="preserve"> </w:t>
      </w:r>
      <w:r>
        <w:fldChar w:fldCharType="begin"/>
      </w:r>
      <w:r>
        <w:instrText xml:space="preserve"> ADDIN ZOTERO_ITEM CSL_CITATION {"citationID":"tYtJXuGU","properties":{"formattedCitation":"Kristina Milnor, {\\i{}Graffiti and the Literary Landscape in Roman Pompeii} (OUP Oxford, 2014).","plainCitation":"Kristina Milnor, Graffiti and the Literary Landscape in Roman Pompeii (OUP Oxford, 2014).","noteIndex":9},"citationItems":[{"id":319,"uris":["http://zotero.org/users/local/DUM6qIJ6/items/7MANIDV5"],"itemData":{"id":319,"type":"book","abstract":"In this volume, Milnor considers how the fragments of textual graffiti which survive on the walls of the Roman city of Pompeii reflect and refract the literary world from which they emerged. Focusing in particular on the writings which either refer to or quote canonical authors directly, Milnor uncovers the influence— in diction, style, or structure—of elite Latin literature as the Pompeian graffiti show significant connections with familiar authors such as Ovid, Propertius, and Virgil. While previous scholarship has described these fragments as popular distortions of well-known texts, Milnor argues that they are important cultural products in their own right, since they are able to give us insight into how ordinary Romans responded to and sometimes rewrote works of canonical literature. Additionally, since graffiti are at once textual and material artefacts, they give us the opportunity to see how such writings gave meaning to, and were given meaning by, the ancient urban environment. Ultimately, the volume looks in detail at the role and nature of 'popular' literature in the early Roman Empire and the place of poetry in the Pompeian cityscape.","ISBN":"978-0-19-150933-9","language":"en","note":"Google-Books-ID: q8XRAgAAQBAJ","number-of-pages":"338","publisher":"OUP Oxford","source":"Google Books","title":"Graffiti and the Literary Landscape in Roman Pompeii","author":[{"family":"Milnor","given":"Kristina"}],"issued":{"date-parts":[["2014",1,30]]}}}],"schema":"https://github.com/citation-style-language/schema/raw/master/csl-citation.json"} </w:instrText>
      </w:r>
      <w:r>
        <w:fldChar w:fldCharType="separate"/>
      </w:r>
      <w:r w:rsidRPr="005D122E">
        <w:rPr>
          <w:rFonts w:ascii="Calibri" w:hAnsi="Calibri" w:cs="Calibri"/>
          <w:kern w:val="0"/>
        </w:rPr>
        <w:t xml:space="preserve">Kristina Milnor, </w:t>
      </w:r>
      <w:r w:rsidRPr="005D122E">
        <w:rPr>
          <w:rFonts w:ascii="Calibri" w:hAnsi="Calibri" w:cs="Calibri"/>
          <w:i/>
          <w:iCs/>
          <w:kern w:val="0"/>
        </w:rPr>
        <w:t>Graffiti and the Literary Landscape in Roman Pompeii</w:t>
      </w:r>
      <w:r w:rsidRPr="005D122E">
        <w:rPr>
          <w:rFonts w:ascii="Calibri" w:hAnsi="Calibri" w:cs="Calibri"/>
          <w:kern w:val="0"/>
        </w:rPr>
        <w:t xml:space="preserve"> (OUP Oxford, 2014).</w:t>
      </w:r>
      <w:r>
        <w:fldChar w:fldCharType="end"/>
      </w:r>
    </w:p>
  </w:footnote>
  <w:footnote w:id="10">
    <w:p w14:paraId="5407A008" w14:textId="50ECF007" w:rsidR="001517BF" w:rsidRDefault="001517BF">
      <w:pPr>
        <w:pStyle w:val="FootnoteText"/>
      </w:pPr>
      <w:r>
        <w:rPr>
          <w:rStyle w:val="FootnoteReference"/>
        </w:rPr>
        <w:footnoteRef/>
      </w:r>
      <w:r>
        <w:t xml:space="preserve"> </w:t>
      </w:r>
      <w:r>
        <w:fldChar w:fldCharType="begin"/>
      </w:r>
      <w:r>
        <w:instrText xml:space="preserve"> ADDIN ZOTERO_ITEM CSL_CITATION {"citationID":"UvMecbZn","properties":{"formattedCitation":"\\uc0\\u8216{}Reading the Writing on Pompeii\\uc0\\u8217{}s Walls\\uc0\\u8217{}, Smithsonian Magazine, n.d. &lt;https://www.smithsonianmag.com/history/reading-the-writing-on-pompeiis-walls-1969367/&gt; [accessed 1 February 2026].","plainCitation":"‘Reading the Writing on Pompeii’s Walls’, Smithsonian Magazine, n.d. &lt;https://www.smithsonianmag.com/history/reading-the-writing-on-pompeiis-walls-1969367/&gt; [accessed 1 February 2026].","noteIndex":10},"citationItems":[{"id":327,"uris":["http://zotero.org/users/local/DUM6qIJ6/items/3MVLQMTH"],"itemData":{"id":327,"type":"webpage","abstract":"To better understand the ancient Roman world, one archaeologist looks at the graffiti, love notes and poetry alike, left behind by Pompeians","container-title":"Smithsonian Magazine","language":"en","note":"section: History, Archaeology, , Articles","title":"Reading the Writing on Pompeii’s Walls","URL":"https://www.smithsonianmag.com/history/reading-the-writing-on-pompeiis-walls-1969367/","accessed":{"date-parts":[["2026",2,1]]}}}],"schema":"https://github.com/citation-style-language/schema/raw/master/csl-citation.json"} </w:instrText>
      </w:r>
      <w:r>
        <w:fldChar w:fldCharType="separate"/>
      </w:r>
      <w:r w:rsidRPr="001517BF">
        <w:rPr>
          <w:rFonts w:ascii="Calibri" w:hAnsi="Calibri" w:cs="Calibri"/>
          <w:kern w:val="0"/>
        </w:rPr>
        <w:t>‘Reading the Writing on Pompeii’s Walls’, Smithsonian Magazine, n.d. &lt;https://www.smithsonianmag.com/history/reading-the-writing-on-pompeiis-walls-1969367/&gt; [accessed 1 February 2026].</w:t>
      </w:r>
      <w:r>
        <w:fldChar w:fldCharType="end"/>
      </w:r>
    </w:p>
  </w:footnote>
  <w:footnote w:id="11">
    <w:p w14:paraId="7AD8EAC5" w14:textId="66FD1F72" w:rsidR="001517BF" w:rsidRDefault="001517BF">
      <w:pPr>
        <w:pStyle w:val="FootnoteText"/>
      </w:pPr>
      <w:r>
        <w:rPr>
          <w:rStyle w:val="FootnoteReference"/>
        </w:rPr>
        <w:footnoteRef/>
      </w:r>
      <w:r>
        <w:t xml:space="preserve"> </w:t>
      </w:r>
      <w:r>
        <w:fldChar w:fldCharType="begin"/>
      </w:r>
      <w:r>
        <w:instrText xml:space="preserve"> ADDIN ZOTERO_ITEM CSL_CITATION {"citationID":"YWI96Epk","properties":{"formattedCitation":"Bomgardner, \\uc0\\u8216{}A New Era for Amphitheatre Studies - JEAN-CLAUDE GOLVIN, L\\uc0\\u8217{}AMPHITH\\uc0\\u201{}\\uc0\\u194{}TRE ROMAIN. ESSAI SUR LA TH\\uc0\\u201{}ORISATION DE SA FORME ET DE SES FONCTIONS (Publications Du Centre Pierre Paris (UA 991) No.18, Paris1988). 2 Vols., Vol. 1 Texte, Pp. 459, 65 Tableaux; Vol. 2, Planches, Pp. 9, LXXI Planches. ISSN 0339-1736. FF900.\\uc0\\u8217{}","plainCitation":"Bomgardner, ‘A New Era for Amphitheatre Studies - JEAN-CLAUDE GOLVIN, L’AMPHITHÉÂTRE ROMAIN. ESSAI SUR LA THÉORISATION DE SA FORME ET DE SES FONCTIONS (Publications Du Centre Pierre Paris (UA 991) No.18, Paris1988). 2 Vols., Vol. 1 Texte, Pp. 459, 65 Tableaux; Vol. 2, Planches, Pp. 9, LXXI Planches. ISSN 0339-1736. FF900.’","noteIndex":11},"citationItems":[{"id":315,"uris":["http://zotero.org/users/local/DUM6qIJ6/items/XMYR5DYA"],"itemData":{"id":315,"type":"article-journal","abstract":"//static.cambridge.org/content/id/urn%3Acambridge.org%3Aid%3Aarticle%3AS1047759400011727/resource/name/firstPage-S1047759400011727a.jpg","container-title":"Journal of Roman Archaeology","DOI":"10.1017/S1047759400011727","ISSN":"1047-7594, 2331-5709","language":"en","page":"375-390","source":"Cambridge University Press","title":"A new era for amphitheatre studies - JEAN-CLAUDE GOLVIN, L'AMPHITHÉÂTRE ROMAIN. ESSAI SUR LA THÉORISATION DE SA FORME ET DE SES FONCTIONS (Publications du Centre Pierre Paris (UA 991) no.18, Paris1988). 2 vols., vol. 1 texte, pp. 459, 65 tableaux; vol. 2, planches, pp. 9, LXXI planches. ISSN 0339-1736. FF900.","volume":"6","author":[{"family":"Bomgardner","given":"David L."}],"issued":{"date-parts":[["1993",1]]}}}],"schema":"https://github.com/citation-style-language/schema/raw/master/csl-citation.json"} </w:instrText>
      </w:r>
      <w:r>
        <w:fldChar w:fldCharType="separate"/>
      </w:r>
      <w:r w:rsidRPr="001517BF">
        <w:rPr>
          <w:rFonts w:ascii="Calibri" w:hAnsi="Calibri" w:cs="Calibri"/>
          <w:kern w:val="0"/>
        </w:rPr>
        <w:t>Bomgardner, ‘A New Era for Amphitheatre Studies - JEAN-CLAUDE GOLVIN, L’AMPHITHÉÂTRE ROMAIN. ESSAI SUR LA THÉORISATION DE SA FORME ET DE SES FONCTIONS (Publications Du Centre Pierre Paris (UA 991) No.18, Paris1988). 2 Vols., Vol. 1 Texte, Pp. 459, 65 Tableaux; Vol. 2, Planches, Pp. 9, LXXI Planches. ISSN 0339-1736. FF900.’</w:t>
      </w:r>
      <w:r>
        <w:fldChar w:fldCharType="end"/>
      </w:r>
    </w:p>
  </w:footnote>
  <w:footnote w:id="12">
    <w:p w14:paraId="697CBB23" w14:textId="5A2706DD" w:rsidR="001517BF" w:rsidRDefault="001517BF">
      <w:pPr>
        <w:pStyle w:val="FootnoteText"/>
      </w:pPr>
      <w:r>
        <w:rPr>
          <w:rStyle w:val="FootnoteReference"/>
        </w:rPr>
        <w:footnoteRef/>
      </w:r>
      <w:r>
        <w:t xml:space="preserve"> </w:t>
      </w:r>
      <w:r>
        <w:fldChar w:fldCharType="begin"/>
      </w:r>
      <w:r>
        <w:instrText xml:space="preserve"> ADDIN ZOTERO_ITEM CSL_CITATION {"citationID":"CDv5wFN7","properties":{"formattedCitation":"Salvador Bartera and Kelly E. Shannon-Henderson, {\\i{}The Oxford Critical Guide to Tacitus} (Oxford University Press, 2025).","plainCitation":"Salvador Bartera and Kelly E. Shannon-Henderson, The Oxford Critical Guide to Tacitus (Oxford University Press, 2025).","noteIndex":12},"citationItems":[{"id":321,"uris":["http://zotero.org/users/local/DUM6qIJ6/items/JEVTWU73"],"itemData":{"id":321,"type":"book","abstract":"The Oxford Critical Guide to Tacitus presents eighteen chapters surveying individual works and books by Tacitus. The chapters treat a range of interpretive issues, including Tacitus' language and style; historical issues; literary devices; and narrative patterns. Differing from other introductions to Tacitus that adopt a thematic approach to his oeuvre as a whole, this volume approaches each as a unit, from start to finish, addressing important interpretive issues relevant to specific texts, giving readers a deeper appreciation of their nuances and features. Presupposing no prior knowledge of the works or knowledge of Latin, these features make the volume an essential resource for those studying Tacitus in translation and the original language, for those in classical studies and in other disciplines, and for teachers and students, both those at the undergraduate level and those at the graduate level.","ISBN":"978-0-19-264635-4","language":"en","note":"Google-Books-ID: 9JJkEQAAQBAJ","number-of-pages":"280","publisher":"Oxford University Press","source":"Google Books","title":"The Oxford Critical Guide to Tacitus","author":[{"family":"Bartera","given":"Salvador"},{"family":"Shannon-Henderson","given":"Kelly E."}],"issued":{"date-parts":[["2025",6,5]]}}}],"schema":"https://github.com/citation-style-language/schema/raw/master/csl-citation.json"} </w:instrText>
      </w:r>
      <w:r>
        <w:fldChar w:fldCharType="separate"/>
      </w:r>
      <w:r w:rsidRPr="001517BF">
        <w:rPr>
          <w:rFonts w:ascii="Calibri" w:hAnsi="Calibri" w:cs="Calibri"/>
          <w:kern w:val="0"/>
        </w:rPr>
        <w:t xml:space="preserve">Salvador </w:t>
      </w:r>
      <w:proofErr w:type="spellStart"/>
      <w:r w:rsidRPr="001517BF">
        <w:rPr>
          <w:rFonts w:ascii="Calibri" w:hAnsi="Calibri" w:cs="Calibri"/>
          <w:kern w:val="0"/>
        </w:rPr>
        <w:t>Bartera</w:t>
      </w:r>
      <w:proofErr w:type="spellEnd"/>
      <w:r w:rsidRPr="001517BF">
        <w:rPr>
          <w:rFonts w:ascii="Calibri" w:hAnsi="Calibri" w:cs="Calibri"/>
          <w:kern w:val="0"/>
        </w:rPr>
        <w:t xml:space="preserve"> and Kelly E. Shannon-Henderson, </w:t>
      </w:r>
      <w:r w:rsidRPr="001517BF">
        <w:rPr>
          <w:rFonts w:ascii="Calibri" w:hAnsi="Calibri" w:cs="Calibri"/>
          <w:i/>
          <w:iCs/>
          <w:kern w:val="0"/>
        </w:rPr>
        <w:t>The Oxford Critical Guide to Tacitus</w:t>
      </w:r>
      <w:r w:rsidRPr="001517BF">
        <w:rPr>
          <w:rFonts w:ascii="Calibri" w:hAnsi="Calibri" w:cs="Calibri"/>
          <w:kern w:val="0"/>
        </w:rPr>
        <w:t xml:space="preserve"> (Oxford University Press, 2025).</w:t>
      </w:r>
      <w:r>
        <w:fldChar w:fldCharType="end"/>
      </w:r>
    </w:p>
  </w:footnote>
  <w:footnote w:id="13">
    <w:p w14:paraId="32CE5A1F" w14:textId="79F2585E" w:rsidR="001517BF" w:rsidRDefault="001517BF">
      <w:pPr>
        <w:pStyle w:val="FootnoteText"/>
      </w:pPr>
      <w:r>
        <w:rPr>
          <w:rStyle w:val="FootnoteReference"/>
        </w:rPr>
        <w:footnoteRef/>
      </w:r>
      <w:r>
        <w:t xml:space="preserve"> </w:t>
      </w:r>
      <w:r>
        <w:fldChar w:fldCharType="begin"/>
      </w:r>
      <w:r>
        <w:instrText xml:space="preserve"> ADDIN ZOTERO_ITEM CSL_CITATION {"citationID":"iL8ldAT0","properties":{"formattedCitation":"Futrell, {\\i{}The Roman Games}.","plainCitation":"Futrell, The Roman Games.","noteIndex":13},"citationItems":[{"id":313,"uris":["http://zotero.org/users/local/DUM6qIJ6/items/65G7DL56"],"itemData":{"id":313,"type":"book","abstract":"This sourcebook presents a wealth of material relating to every aspect of Roman spectacles, especially gladiatorial combat and chariot racing.  Draws on the words of eye-witnesses and participants, as well as depictions of the games in mosaics and other works of art. Offers snapshots of \"a day at the games\" and \"the life of a gladiator\". Includes numerous illustrations. Covers chariot-races, water pageants, naval battles and wild animal fights, as well as gladiatorial combat. Combines political, social, religious and archaeological perspectives. Facilitates an in-depth understanding of this important feature of ancient life.","ISBN":"978-1-4051-5315-7","language":"en","note":"Google-Books-ID: dkE24t_drk0C","number-of-pages":"273","publisher":"John Wiley &amp; Sons","source":"Google Books","title":"The Roman Games: Historical Sources in Translation","title-short":"The Roman Games","author":[{"family":"Futrell","given":"Alison"}],"issued":{"date-parts":[["2009",2,9]]}}}],"schema":"https://github.com/citation-style-language/schema/raw/master/csl-citation.json"} </w:instrText>
      </w:r>
      <w:r>
        <w:fldChar w:fldCharType="separate"/>
      </w:r>
      <w:r w:rsidRPr="001517BF">
        <w:rPr>
          <w:rFonts w:ascii="Calibri" w:hAnsi="Calibri" w:cs="Calibri"/>
          <w:kern w:val="0"/>
        </w:rPr>
        <w:t xml:space="preserve">Futrell, </w:t>
      </w:r>
      <w:r w:rsidRPr="001517BF">
        <w:rPr>
          <w:rFonts w:ascii="Calibri" w:hAnsi="Calibri" w:cs="Calibri"/>
          <w:i/>
          <w:iCs/>
          <w:kern w:val="0"/>
        </w:rPr>
        <w:t>The Roman Games</w:t>
      </w:r>
      <w:r w:rsidRPr="001517BF">
        <w:rPr>
          <w:rFonts w:ascii="Calibri" w:hAnsi="Calibri" w:cs="Calibri"/>
          <w:kern w:val="0"/>
        </w:rPr>
        <w:t>.</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599"/>
    <w:rsid w:val="00014B27"/>
    <w:rsid w:val="000827DE"/>
    <w:rsid w:val="000970DC"/>
    <w:rsid w:val="000B5F3F"/>
    <w:rsid w:val="000D6EB6"/>
    <w:rsid w:val="000F15E3"/>
    <w:rsid w:val="00120F2A"/>
    <w:rsid w:val="00133AC7"/>
    <w:rsid w:val="00140D98"/>
    <w:rsid w:val="001448FF"/>
    <w:rsid w:val="001517BF"/>
    <w:rsid w:val="00185FCC"/>
    <w:rsid w:val="001D4BF7"/>
    <w:rsid w:val="001F01F8"/>
    <w:rsid w:val="00223FED"/>
    <w:rsid w:val="00252924"/>
    <w:rsid w:val="002540C5"/>
    <w:rsid w:val="00254DD4"/>
    <w:rsid w:val="00263DF4"/>
    <w:rsid w:val="0026561A"/>
    <w:rsid w:val="00295852"/>
    <w:rsid w:val="002A66EA"/>
    <w:rsid w:val="00312BEC"/>
    <w:rsid w:val="00336825"/>
    <w:rsid w:val="0037511F"/>
    <w:rsid w:val="00393F84"/>
    <w:rsid w:val="003A1474"/>
    <w:rsid w:val="003A6C53"/>
    <w:rsid w:val="003B4D64"/>
    <w:rsid w:val="003E77B2"/>
    <w:rsid w:val="00400AAF"/>
    <w:rsid w:val="00430ED3"/>
    <w:rsid w:val="00445571"/>
    <w:rsid w:val="004A0E56"/>
    <w:rsid w:val="004A6299"/>
    <w:rsid w:val="004B4D4B"/>
    <w:rsid w:val="004B62A3"/>
    <w:rsid w:val="004D09C1"/>
    <w:rsid w:val="004E41D4"/>
    <w:rsid w:val="0051057D"/>
    <w:rsid w:val="00511B96"/>
    <w:rsid w:val="00564290"/>
    <w:rsid w:val="00582EE4"/>
    <w:rsid w:val="005D122E"/>
    <w:rsid w:val="005F4435"/>
    <w:rsid w:val="00670362"/>
    <w:rsid w:val="006B28AD"/>
    <w:rsid w:val="006B367A"/>
    <w:rsid w:val="006E0913"/>
    <w:rsid w:val="006E2397"/>
    <w:rsid w:val="006E2470"/>
    <w:rsid w:val="007519AD"/>
    <w:rsid w:val="00761599"/>
    <w:rsid w:val="00783D4A"/>
    <w:rsid w:val="007C4A7B"/>
    <w:rsid w:val="007E2162"/>
    <w:rsid w:val="007E6F4D"/>
    <w:rsid w:val="007F5F11"/>
    <w:rsid w:val="00803893"/>
    <w:rsid w:val="008344A4"/>
    <w:rsid w:val="008B4F6D"/>
    <w:rsid w:val="008D72E3"/>
    <w:rsid w:val="008E0EE3"/>
    <w:rsid w:val="009615ED"/>
    <w:rsid w:val="00964FD3"/>
    <w:rsid w:val="0098565A"/>
    <w:rsid w:val="009C3233"/>
    <w:rsid w:val="009F3F85"/>
    <w:rsid w:val="00A2677E"/>
    <w:rsid w:val="00A337EF"/>
    <w:rsid w:val="00A5149C"/>
    <w:rsid w:val="00AA4760"/>
    <w:rsid w:val="00AB3369"/>
    <w:rsid w:val="00AD664A"/>
    <w:rsid w:val="00AE26D9"/>
    <w:rsid w:val="00AF197F"/>
    <w:rsid w:val="00B402BD"/>
    <w:rsid w:val="00B61BEE"/>
    <w:rsid w:val="00B923A3"/>
    <w:rsid w:val="00C03B68"/>
    <w:rsid w:val="00C04CE7"/>
    <w:rsid w:val="00C213F3"/>
    <w:rsid w:val="00C41F19"/>
    <w:rsid w:val="00C550B1"/>
    <w:rsid w:val="00C769E4"/>
    <w:rsid w:val="00D0142A"/>
    <w:rsid w:val="00D1789E"/>
    <w:rsid w:val="00D41EF5"/>
    <w:rsid w:val="00D54043"/>
    <w:rsid w:val="00D54DE0"/>
    <w:rsid w:val="00DB76D5"/>
    <w:rsid w:val="00DE3D87"/>
    <w:rsid w:val="00DE4C36"/>
    <w:rsid w:val="00DF6420"/>
    <w:rsid w:val="00E25D67"/>
    <w:rsid w:val="00E31D34"/>
    <w:rsid w:val="00E54C6E"/>
    <w:rsid w:val="00E66403"/>
    <w:rsid w:val="00E83104"/>
    <w:rsid w:val="00E84D35"/>
    <w:rsid w:val="00E874CB"/>
    <w:rsid w:val="00E879C1"/>
    <w:rsid w:val="00EC0F12"/>
    <w:rsid w:val="00EC1F67"/>
    <w:rsid w:val="00EE6784"/>
    <w:rsid w:val="00EF0CDD"/>
    <w:rsid w:val="00F07C73"/>
    <w:rsid w:val="00F25D65"/>
    <w:rsid w:val="00F83A1E"/>
    <w:rsid w:val="00F94859"/>
    <w:rsid w:val="00FD17AC"/>
    <w:rsid w:val="00FE6E78"/>
    <w:rsid w:val="00FF4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6FA52"/>
  <w15:chartTrackingRefBased/>
  <w15:docId w15:val="{83AE0504-04CC-4A51-AB2A-F6B2CEAC3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5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615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15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15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15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15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5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5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5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5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615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615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15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15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15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5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5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599"/>
    <w:rPr>
      <w:rFonts w:eastAsiaTheme="majorEastAsia" w:cstheme="majorBidi"/>
      <w:color w:val="272727" w:themeColor="text1" w:themeTint="D8"/>
    </w:rPr>
  </w:style>
  <w:style w:type="paragraph" w:styleId="Title">
    <w:name w:val="Title"/>
    <w:basedOn w:val="Normal"/>
    <w:next w:val="Normal"/>
    <w:link w:val="TitleChar"/>
    <w:uiPriority w:val="10"/>
    <w:qFormat/>
    <w:rsid w:val="007615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5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5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5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599"/>
    <w:pPr>
      <w:spacing w:before="160"/>
      <w:jc w:val="center"/>
    </w:pPr>
    <w:rPr>
      <w:i/>
      <w:iCs/>
      <w:color w:val="404040" w:themeColor="text1" w:themeTint="BF"/>
    </w:rPr>
  </w:style>
  <w:style w:type="character" w:customStyle="1" w:styleId="QuoteChar">
    <w:name w:val="Quote Char"/>
    <w:basedOn w:val="DefaultParagraphFont"/>
    <w:link w:val="Quote"/>
    <w:uiPriority w:val="29"/>
    <w:rsid w:val="00761599"/>
    <w:rPr>
      <w:i/>
      <w:iCs/>
      <w:color w:val="404040" w:themeColor="text1" w:themeTint="BF"/>
    </w:rPr>
  </w:style>
  <w:style w:type="paragraph" w:styleId="ListParagraph">
    <w:name w:val="List Paragraph"/>
    <w:basedOn w:val="Normal"/>
    <w:uiPriority w:val="34"/>
    <w:qFormat/>
    <w:rsid w:val="00761599"/>
    <w:pPr>
      <w:ind w:left="720"/>
      <w:contextualSpacing/>
    </w:pPr>
  </w:style>
  <w:style w:type="character" w:styleId="IntenseEmphasis">
    <w:name w:val="Intense Emphasis"/>
    <w:basedOn w:val="DefaultParagraphFont"/>
    <w:uiPriority w:val="21"/>
    <w:qFormat/>
    <w:rsid w:val="00761599"/>
    <w:rPr>
      <w:i/>
      <w:iCs/>
      <w:color w:val="2F5496" w:themeColor="accent1" w:themeShade="BF"/>
    </w:rPr>
  </w:style>
  <w:style w:type="paragraph" w:styleId="IntenseQuote">
    <w:name w:val="Intense Quote"/>
    <w:basedOn w:val="Normal"/>
    <w:next w:val="Normal"/>
    <w:link w:val="IntenseQuoteChar"/>
    <w:uiPriority w:val="30"/>
    <w:qFormat/>
    <w:rsid w:val="007615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1599"/>
    <w:rPr>
      <w:i/>
      <w:iCs/>
      <w:color w:val="2F5496" w:themeColor="accent1" w:themeShade="BF"/>
    </w:rPr>
  </w:style>
  <w:style w:type="character" w:styleId="IntenseReference">
    <w:name w:val="Intense Reference"/>
    <w:basedOn w:val="DefaultParagraphFont"/>
    <w:uiPriority w:val="32"/>
    <w:qFormat/>
    <w:rsid w:val="00761599"/>
    <w:rPr>
      <w:b/>
      <w:bCs/>
      <w:smallCaps/>
      <w:color w:val="2F5496" w:themeColor="accent1" w:themeShade="BF"/>
      <w:spacing w:val="5"/>
    </w:rPr>
  </w:style>
  <w:style w:type="paragraph" w:styleId="FootnoteText">
    <w:name w:val="footnote text"/>
    <w:basedOn w:val="Normal"/>
    <w:link w:val="FootnoteTextChar"/>
    <w:uiPriority w:val="99"/>
    <w:semiHidden/>
    <w:unhideWhenUsed/>
    <w:rsid w:val="007519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19AD"/>
    <w:rPr>
      <w:sz w:val="20"/>
      <w:szCs w:val="20"/>
    </w:rPr>
  </w:style>
  <w:style w:type="character" w:styleId="FootnoteReference">
    <w:name w:val="footnote reference"/>
    <w:basedOn w:val="DefaultParagraphFont"/>
    <w:uiPriority w:val="99"/>
    <w:semiHidden/>
    <w:unhideWhenUsed/>
    <w:rsid w:val="007519AD"/>
    <w:rPr>
      <w:vertAlign w:val="superscript"/>
    </w:rPr>
  </w:style>
  <w:style w:type="paragraph" w:styleId="Bibliography">
    <w:name w:val="Bibliography"/>
    <w:basedOn w:val="Normal"/>
    <w:next w:val="Normal"/>
    <w:uiPriority w:val="37"/>
    <w:unhideWhenUsed/>
    <w:rsid w:val="001517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8</Pages>
  <Words>2585</Words>
  <Characters>14740</Characters>
  <Application>Microsoft Office Word</Application>
  <DocSecurity>0</DocSecurity>
  <Lines>122</Lines>
  <Paragraphs>34</Paragraphs>
  <ScaleCrop>false</ScaleCrop>
  <Company/>
  <LinksUpToDate>false</LinksUpToDate>
  <CharactersWithSpaces>17291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124</cp:revision>
  <dcterms:created xsi:type="dcterms:W3CDTF">2026-01-22T03:47:00Z</dcterms:created>
  <dcterms:modified xsi:type="dcterms:W3CDTF">2026-02-01T07:58:00Z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41e4cbbd-66c9-41ee-a377-494fd3319a39</vt:lpwstr>
  </property>
  <property fmtid="{D5CDD505-2E9C-101B-9397-08002B2CF9AE}" pid="3" name="ZOTERO_PREF_1">
    <vt:lpwstr>&lt;data data-version="3" zotero-version="7.0.30"&gt;&lt;session id="WkJCuRfG"/&gt;&lt;style id="http://www.zotero.org/styles/mhra-notes" hasBibliography="1" bibliographyStyleHasBeenSet="1"/&gt;&lt;prefs&gt;&lt;pref name="fieldType" value="Field"/&gt;&lt;pref name="automaticJournalAbbrev</vt:lpwstr>
  </property>
  <property fmtid="{D5CDD505-2E9C-101B-9397-08002B2CF9AE}" pid="4" name="ZOTERO_PREF_2">
    <vt:lpwstr>iations" value="true"/&gt;&lt;pref name="noteType" value="1"/&gt;&lt;/prefs&gt;&lt;/data&gt;</vt:lpwstr>
  </property>
</Properties>
</file>