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5AEB0" w14:textId="77777777" w:rsidR="004058DF" w:rsidRPr="007229A4" w:rsidRDefault="004058DF" w:rsidP="007229A4">
      <w:pPr>
        <w:spacing w:line="360" w:lineRule="auto"/>
        <w:contextualSpacing/>
        <w:jc w:val="center"/>
        <w:rPr>
          <w:rFonts w:ascii="Arial" w:eastAsia="Times New Roman" w:hAnsi="Arial" w:cs="Arial"/>
          <w:sz w:val="24"/>
          <w:szCs w:val="24"/>
        </w:rPr>
      </w:pPr>
    </w:p>
    <w:p w14:paraId="0CDB82D0" w14:textId="77777777" w:rsidR="004058DF" w:rsidRDefault="004058DF" w:rsidP="007229A4">
      <w:pPr>
        <w:spacing w:line="360" w:lineRule="auto"/>
        <w:contextualSpacing/>
        <w:jc w:val="center"/>
        <w:rPr>
          <w:rFonts w:ascii="Arial" w:eastAsia="Times New Roman" w:hAnsi="Arial" w:cs="Arial"/>
          <w:sz w:val="24"/>
          <w:szCs w:val="24"/>
        </w:rPr>
      </w:pPr>
    </w:p>
    <w:p w14:paraId="5C36161D" w14:textId="77777777" w:rsidR="008647C0" w:rsidRPr="007229A4" w:rsidRDefault="008647C0" w:rsidP="007229A4">
      <w:pPr>
        <w:spacing w:line="360" w:lineRule="auto"/>
        <w:contextualSpacing/>
        <w:jc w:val="center"/>
        <w:rPr>
          <w:rFonts w:ascii="Arial" w:eastAsia="Times New Roman" w:hAnsi="Arial" w:cs="Arial"/>
          <w:sz w:val="24"/>
          <w:szCs w:val="24"/>
        </w:rPr>
      </w:pPr>
    </w:p>
    <w:p w14:paraId="21FB4B5A" w14:textId="77777777" w:rsidR="004058DF" w:rsidRDefault="004058DF" w:rsidP="007229A4">
      <w:pPr>
        <w:spacing w:line="360" w:lineRule="auto"/>
        <w:contextualSpacing/>
        <w:jc w:val="center"/>
        <w:rPr>
          <w:rFonts w:ascii="Arial" w:eastAsia="Times New Roman" w:hAnsi="Arial" w:cs="Arial"/>
          <w:sz w:val="24"/>
          <w:szCs w:val="24"/>
        </w:rPr>
      </w:pPr>
    </w:p>
    <w:p w14:paraId="408675FD" w14:textId="20A299C5" w:rsidR="008647C0" w:rsidRPr="00233B98" w:rsidRDefault="00233B98" w:rsidP="007229A4">
      <w:pPr>
        <w:spacing w:line="360" w:lineRule="auto"/>
        <w:contextualSpacing/>
        <w:jc w:val="center"/>
        <w:rPr>
          <w:rFonts w:ascii="Arial" w:eastAsia="Times New Roman" w:hAnsi="Arial" w:cs="Arial"/>
          <w:sz w:val="28"/>
          <w:szCs w:val="28"/>
        </w:rPr>
      </w:pPr>
      <w:r w:rsidRPr="00233B98">
        <w:rPr>
          <w:rFonts w:ascii="Arial" w:eastAsia="Times New Roman" w:hAnsi="Arial" w:cs="Arial"/>
          <w:sz w:val="28"/>
          <w:szCs w:val="28"/>
        </w:rPr>
        <w:t>Marriott Hotel</w:t>
      </w:r>
    </w:p>
    <w:p w14:paraId="016950E4" w14:textId="77777777" w:rsidR="00FA7FB5" w:rsidRPr="007229A4" w:rsidRDefault="00FA7FB5" w:rsidP="007229A4">
      <w:pPr>
        <w:spacing w:line="360" w:lineRule="auto"/>
        <w:contextualSpacing/>
        <w:jc w:val="center"/>
        <w:rPr>
          <w:rFonts w:ascii="Arial" w:eastAsia="Times New Roman" w:hAnsi="Arial" w:cs="Arial"/>
          <w:sz w:val="24"/>
          <w:szCs w:val="24"/>
        </w:rPr>
      </w:pPr>
      <w:r w:rsidRPr="007229A4">
        <w:rPr>
          <w:rFonts w:ascii="Arial" w:eastAsia="Times New Roman" w:hAnsi="Arial" w:cs="Arial"/>
          <w:sz w:val="24"/>
          <w:szCs w:val="24"/>
        </w:rPr>
        <w:t>EMBRACING SUSTAINABILITY: CIRCULAR ECONOMY IMPLEMENTATION IN CSR</w:t>
      </w:r>
    </w:p>
    <w:p w14:paraId="4050F679" w14:textId="77777777" w:rsidR="008647C0" w:rsidRDefault="008647C0" w:rsidP="007229A4">
      <w:pPr>
        <w:spacing w:line="360" w:lineRule="auto"/>
        <w:contextualSpacing/>
        <w:jc w:val="center"/>
        <w:rPr>
          <w:rFonts w:ascii="Arial" w:eastAsia="Times New Roman" w:hAnsi="Arial" w:cs="Arial"/>
          <w:sz w:val="24"/>
          <w:szCs w:val="24"/>
        </w:rPr>
      </w:pPr>
    </w:p>
    <w:p w14:paraId="7D0C49E9" w14:textId="77777777" w:rsidR="008647C0" w:rsidRDefault="008647C0" w:rsidP="007229A4">
      <w:pPr>
        <w:spacing w:line="360" w:lineRule="auto"/>
        <w:contextualSpacing/>
        <w:jc w:val="center"/>
        <w:rPr>
          <w:rFonts w:ascii="Arial" w:eastAsia="Times New Roman" w:hAnsi="Arial" w:cs="Arial"/>
          <w:sz w:val="24"/>
          <w:szCs w:val="24"/>
        </w:rPr>
      </w:pPr>
    </w:p>
    <w:p w14:paraId="5B7C5FA9" w14:textId="77777777" w:rsidR="008647C0" w:rsidRDefault="008647C0" w:rsidP="007229A4">
      <w:pPr>
        <w:spacing w:line="360" w:lineRule="auto"/>
        <w:contextualSpacing/>
        <w:jc w:val="center"/>
        <w:rPr>
          <w:rFonts w:ascii="Arial" w:eastAsia="Times New Roman" w:hAnsi="Arial" w:cs="Arial"/>
          <w:sz w:val="24"/>
          <w:szCs w:val="24"/>
        </w:rPr>
      </w:pPr>
    </w:p>
    <w:p w14:paraId="4D6EC583" w14:textId="77777777" w:rsidR="008647C0" w:rsidRDefault="008647C0" w:rsidP="007229A4">
      <w:pPr>
        <w:spacing w:line="360" w:lineRule="auto"/>
        <w:contextualSpacing/>
        <w:jc w:val="center"/>
        <w:rPr>
          <w:rFonts w:ascii="Arial" w:eastAsia="Times New Roman" w:hAnsi="Arial" w:cs="Arial"/>
          <w:sz w:val="24"/>
          <w:szCs w:val="24"/>
        </w:rPr>
      </w:pPr>
    </w:p>
    <w:p w14:paraId="2D9C1ABE" w14:textId="6CF1BC34" w:rsidR="001F2C18" w:rsidRPr="007229A4" w:rsidRDefault="00233B98" w:rsidP="007229A4">
      <w:pPr>
        <w:spacing w:line="360" w:lineRule="auto"/>
        <w:contextualSpacing/>
        <w:jc w:val="center"/>
        <w:rPr>
          <w:rFonts w:ascii="Arial" w:eastAsia="Times New Roman" w:hAnsi="Arial" w:cs="Arial"/>
          <w:sz w:val="24"/>
          <w:szCs w:val="24"/>
        </w:rPr>
      </w:pPr>
      <w:r>
        <w:rPr>
          <w:rFonts w:ascii="Arial" w:eastAsia="Times New Roman" w:hAnsi="Arial" w:cs="Arial"/>
          <w:sz w:val="24"/>
          <w:szCs w:val="24"/>
        </w:rPr>
        <w:t>Robert Lavric - 2121182</w:t>
      </w:r>
    </w:p>
    <w:p w14:paraId="58BAB0EE" w14:textId="77777777" w:rsidR="001F2C18" w:rsidRPr="007229A4" w:rsidRDefault="001F2C18" w:rsidP="007229A4">
      <w:pPr>
        <w:spacing w:line="360" w:lineRule="auto"/>
        <w:contextualSpacing/>
        <w:jc w:val="center"/>
        <w:rPr>
          <w:rFonts w:ascii="Arial" w:eastAsia="Times New Roman" w:hAnsi="Arial" w:cs="Arial"/>
          <w:sz w:val="24"/>
          <w:szCs w:val="24"/>
        </w:rPr>
      </w:pPr>
    </w:p>
    <w:p w14:paraId="0D22865C" w14:textId="77777777" w:rsidR="001F2C18" w:rsidRPr="007229A4" w:rsidRDefault="001F2C18" w:rsidP="007229A4">
      <w:pPr>
        <w:spacing w:line="360" w:lineRule="auto"/>
        <w:contextualSpacing/>
        <w:jc w:val="center"/>
        <w:rPr>
          <w:rFonts w:ascii="Arial" w:eastAsia="Times New Roman" w:hAnsi="Arial" w:cs="Arial"/>
          <w:sz w:val="24"/>
          <w:szCs w:val="24"/>
        </w:rPr>
      </w:pPr>
    </w:p>
    <w:p w14:paraId="0089407B" w14:textId="77777777" w:rsidR="001F2C18" w:rsidRPr="007229A4" w:rsidRDefault="001F2C18" w:rsidP="007229A4">
      <w:pPr>
        <w:spacing w:line="360" w:lineRule="auto"/>
        <w:contextualSpacing/>
        <w:jc w:val="center"/>
        <w:rPr>
          <w:rFonts w:ascii="Arial" w:eastAsia="Times New Roman" w:hAnsi="Arial" w:cs="Arial"/>
          <w:sz w:val="24"/>
          <w:szCs w:val="24"/>
        </w:rPr>
      </w:pPr>
    </w:p>
    <w:p w14:paraId="2C7B65FB" w14:textId="77777777" w:rsidR="001F2C18" w:rsidRPr="007229A4" w:rsidRDefault="001F2C18" w:rsidP="007229A4">
      <w:pPr>
        <w:spacing w:line="360" w:lineRule="auto"/>
        <w:contextualSpacing/>
        <w:jc w:val="center"/>
        <w:rPr>
          <w:rFonts w:ascii="Arial" w:eastAsia="Times New Roman" w:hAnsi="Arial" w:cs="Arial"/>
          <w:sz w:val="24"/>
          <w:szCs w:val="24"/>
        </w:rPr>
      </w:pPr>
    </w:p>
    <w:p w14:paraId="59617EE8" w14:textId="77777777" w:rsidR="00233B98" w:rsidRDefault="00233B98" w:rsidP="007229A4">
      <w:pPr>
        <w:spacing w:line="360" w:lineRule="auto"/>
        <w:contextualSpacing/>
        <w:jc w:val="center"/>
        <w:rPr>
          <w:rFonts w:ascii="Arial" w:eastAsia="Times New Roman" w:hAnsi="Arial" w:cs="Arial"/>
          <w:sz w:val="24"/>
          <w:szCs w:val="24"/>
        </w:rPr>
      </w:pPr>
      <w:r>
        <w:rPr>
          <w:rFonts w:ascii="Arial" w:eastAsia="Times New Roman" w:hAnsi="Arial" w:cs="Arial"/>
          <w:sz w:val="24"/>
          <w:szCs w:val="24"/>
        </w:rPr>
        <w:t>Sustainable Hospitality &amp; Tourism Management</w:t>
      </w:r>
    </w:p>
    <w:p w14:paraId="3871573F" w14:textId="584954F8" w:rsidR="001F2C18" w:rsidRPr="007229A4" w:rsidRDefault="00233B98" w:rsidP="00233B98">
      <w:pPr>
        <w:spacing w:line="360" w:lineRule="auto"/>
        <w:contextualSpacing/>
        <w:jc w:val="center"/>
        <w:rPr>
          <w:rFonts w:ascii="Arial" w:eastAsia="Times New Roman" w:hAnsi="Arial" w:cs="Arial"/>
          <w:sz w:val="24"/>
          <w:szCs w:val="24"/>
        </w:rPr>
      </w:pPr>
      <w:r>
        <w:rPr>
          <w:rFonts w:ascii="Arial" w:eastAsia="Times New Roman" w:hAnsi="Arial" w:cs="Arial"/>
          <w:sz w:val="24"/>
          <w:szCs w:val="24"/>
        </w:rPr>
        <w:t>Lecturer: Kathryn Roberts</w:t>
      </w:r>
    </w:p>
    <w:p w14:paraId="6F2CCC3F" w14:textId="2873D181" w:rsidR="004058DF" w:rsidRPr="007229A4" w:rsidRDefault="001F2C18" w:rsidP="007229A4">
      <w:pPr>
        <w:spacing w:line="360" w:lineRule="auto"/>
        <w:contextualSpacing/>
        <w:jc w:val="center"/>
        <w:rPr>
          <w:rFonts w:ascii="Arial" w:eastAsia="Times New Roman" w:hAnsi="Arial" w:cs="Arial"/>
          <w:sz w:val="24"/>
          <w:szCs w:val="24"/>
        </w:rPr>
      </w:pPr>
      <w:r w:rsidRPr="007229A4">
        <w:rPr>
          <w:rFonts w:ascii="Arial" w:eastAsia="Times New Roman" w:hAnsi="Arial" w:cs="Arial"/>
          <w:sz w:val="24"/>
          <w:szCs w:val="24"/>
        </w:rPr>
        <w:t>Date</w:t>
      </w:r>
      <w:r w:rsidR="00233B98">
        <w:rPr>
          <w:rFonts w:ascii="Arial" w:eastAsia="Times New Roman" w:hAnsi="Arial" w:cs="Arial"/>
          <w:sz w:val="24"/>
          <w:szCs w:val="24"/>
        </w:rPr>
        <w:t>: 30/01/2024</w:t>
      </w:r>
    </w:p>
    <w:p w14:paraId="24A48E37" w14:textId="77777777" w:rsidR="00D81FD6" w:rsidRPr="007229A4" w:rsidRDefault="00D81FD6" w:rsidP="007229A4">
      <w:pPr>
        <w:spacing w:line="360" w:lineRule="auto"/>
        <w:contextualSpacing/>
        <w:rPr>
          <w:rFonts w:ascii="Arial" w:eastAsia="Times New Roman" w:hAnsi="Arial" w:cs="Arial"/>
          <w:color w:val="0E101A"/>
          <w:sz w:val="24"/>
          <w:szCs w:val="24"/>
        </w:rPr>
      </w:pPr>
      <w:r w:rsidRPr="007229A4">
        <w:rPr>
          <w:rFonts w:ascii="Arial" w:eastAsia="Times New Roman" w:hAnsi="Arial" w:cs="Arial"/>
          <w:color w:val="0E101A"/>
          <w:sz w:val="24"/>
          <w:szCs w:val="24"/>
        </w:rPr>
        <w:br w:type="page"/>
      </w:r>
    </w:p>
    <w:p w14:paraId="57F09B16"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lastRenderedPageBreak/>
        <w:t>Embracing Sustainability: Circular Economy Implementation in CSR</w:t>
      </w:r>
    </w:p>
    <w:p w14:paraId="447A834B"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Introduction</w:t>
      </w:r>
    </w:p>
    <w:p w14:paraId="2B0BA818"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In this modern landscape, the tourism and hospitality sector </w:t>
      </w:r>
      <w:proofErr w:type="gramStart"/>
      <w:r w:rsidRPr="007229A4">
        <w:rPr>
          <w:rFonts w:ascii="Arial" w:eastAsia="Times New Roman" w:hAnsi="Arial" w:cs="Arial"/>
          <w:color w:val="0E101A"/>
          <w:sz w:val="24"/>
          <w:szCs w:val="24"/>
        </w:rPr>
        <w:t>faces</w:t>
      </w:r>
      <w:proofErr w:type="gramEnd"/>
      <w:r w:rsidRPr="007229A4">
        <w:rPr>
          <w:rFonts w:ascii="Arial" w:eastAsia="Times New Roman" w:hAnsi="Arial" w:cs="Arial"/>
          <w:color w:val="0E101A"/>
          <w:sz w:val="24"/>
          <w:szCs w:val="24"/>
        </w:rPr>
        <w:t xml:space="preserve"> a mounting challenge regarding balancing the economic benefits of travel with the preservation of our planet and its diverse ecosystems. Farkas, </w:t>
      </w:r>
      <w:proofErr w:type="spellStart"/>
      <w:r w:rsidRPr="007229A4">
        <w:rPr>
          <w:rFonts w:ascii="Arial" w:eastAsia="Times New Roman" w:hAnsi="Arial" w:cs="Arial"/>
          <w:color w:val="0E101A"/>
          <w:sz w:val="24"/>
          <w:szCs w:val="24"/>
        </w:rPr>
        <w:t>Raffay</w:t>
      </w:r>
      <w:proofErr w:type="spellEnd"/>
      <w:r w:rsidRPr="007229A4">
        <w:rPr>
          <w:rFonts w:ascii="Arial" w:eastAsia="Times New Roman" w:hAnsi="Arial" w:cs="Arial"/>
          <w:color w:val="0E101A"/>
          <w:sz w:val="24"/>
          <w:szCs w:val="24"/>
        </w:rPr>
        <w:t xml:space="preserve"> and </w:t>
      </w:r>
      <w:proofErr w:type="spellStart"/>
      <w:r w:rsidRPr="007229A4">
        <w:rPr>
          <w:rFonts w:ascii="Arial" w:eastAsia="Times New Roman" w:hAnsi="Arial" w:cs="Arial"/>
          <w:color w:val="0E101A"/>
          <w:sz w:val="24"/>
          <w:szCs w:val="24"/>
        </w:rPr>
        <w:t>Dávid</w:t>
      </w:r>
      <w:proofErr w:type="spellEnd"/>
      <w:r w:rsidRPr="007229A4">
        <w:rPr>
          <w:rFonts w:ascii="Arial" w:eastAsia="Times New Roman" w:hAnsi="Arial" w:cs="Arial"/>
          <w:color w:val="0E101A"/>
          <w:sz w:val="24"/>
          <w:szCs w:val="24"/>
        </w:rPr>
        <w:t xml:space="preserve"> (2022) cite that this barrier underlines the importance of the concept of sustainability, demanding a fundamental shift in how individuals operate and travel. Sustainability goes beyond simple green practices. According to </w:t>
      </w:r>
      <w:proofErr w:type="spellStart"/>
      <w:r w:rsidRPr="007229A4">
        <w:rPr>
          <w:rFonts w:ascii="Arial" w:eastAsia="Times New Roman" w:hAnsi="Arial" w:cs="Arial"/>
          <w:color w:val="0E101A"/>
          <w:sz w:val="24"/>
          <w:szCs w:val="24"/>
        </w:rPr>
        <w:t>Mtapuri</w:t>
      </w:r>
      <w:proofErr w:type="spellEnd"/>
      <w:r w:rsidRPr="007229A4">
        <w:rPr>
          <w:rFonts w:ascii="Arial" w:eastAsia="Times New Roman" w:hAnsi="Arial" w:cs="Arial"/>
          <w:color w:val="0E101A"/>
          <w:sz w:val="24"/>
          <w:szCs w:val="24"/>
        </w:rPr>
        <w:t xml:space="preserve">, Camilleri, and </w:t>
      </w:r>
      <w:proofErr w:type="spellStart"/>
      <w:r w:rsidRPr="007229A4">
        <w:rPr>
          <w:rFonts w:ascii="Arial" w:eastAsia="Times New Roman" w:hAnsi="Arial" w:cs="Arial"/>
          <w:color w:val="0E101A"/>
          <w:sz w:val="24"/>
          <w:szCs w:val="24"/>
        </w:rPr>
        <w:t>Dłużewska</w:t>
      </w:r>
      <w:proofErr w:type="spellEnd"/>
      <w:r w:rsidRPr="007229A4">
        <w:rPr>
          <w:rFonts w:ascii="Arial" w:eastAsia="Times New Roman" w:hAnsi="Arial" w:cs="Arial"/>
          <w:color w:val="0E101A"/>
          <w:sz w:val="24"/>
          <w:szCs w:val="24"/>
        </w:rPr>
        <w:t xml:space="preserve"> (2021), it necessitates a holistic approach that minimizes environmental impact while fostering social and economic well-being. Precisely, it embodies the principle of meeting present needs without compromising the ability of future generations to meet their own needs. In the context of tourism and hospitality, sustainability is crucial for ensuring the long-term viability of destinations and businesses. Similarly, the circular economy, a subset of the broader sustainability, has emerged as a promising paradigm for transforming tourism and hospitality. It envisions an economic system that mimics nature's closed-loop cycles. The circular economy is characterized by keeping resources for as long as possible through continuous reuse, repair, and regeneration (</w:t>
      </w:r>
      <w:proofErr w:type="spellStart"/>
      <w:r w:rsidRPr="007229A4">
        <w:rPr>
          <w:rFonts w:ascii="Arial" w:eastAsia="Times New Roman" w:hAnsi="Arial" w:cs="Arial"/>
          <w:color w:val="0E101A"/>
          <w:sz w:val="24"/>
          <w:szCs w:val="24"/>
        </w:rPr>
        <w:t>Morseletto</w:t>
      </w:r>
      <w:proofErr w:type="spellEnd"/>
      <w:r w:rsidRPr="007229A4">
        <w:rPr>
          <w:rFonts w:ascii="Arial" w:eastAsia="Times New Roman" w:hAnsi="Arial" w:cs="Arial"/>
          <w:color w:val="0E101A"/>
          <w:sz w:val="24"/>
          <w:szCs w:val="24"/>
        </w:rPr>
        <w:t>, 2020). In this cycle, waste is minimized, and materials are reintroduced into the system, creating a virtuous cycle that conserves resources and reduces environmental burden. In this regard, the following paragraphs of this essay explore the concept of sustainability, mainly focusing on circular economy practices within the Corporate Social Responsibility (CSR) policies of the Marriott Hotel. It analyzes Marriott's CSR policy, exploring the integration of circular economy principles and providing industry examples to illustrate sustainable good practices.</w:t>
      </w:r>
    </w:p>
    <w:p w14:paraId="793C5E02"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Understanding Circular Economy and Its Relevance to CSR</w:t>
      </w:r>
    </w:p>
    <w:p w14:paraId="1BEF62E6"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As noted above, the circular economy is a transformative model that disrupts the traditional "take-make-dispose" linear framework by maximizing resource utilization through reuse, repair, and recycling to close the loop on materials and minimize waste </w:t>
      </w:r>
      <w:proofErr w:type="gramStart"/>
      <w:r w:rsidRPr="007229A4">
        <w:rPr>
          <w:rFonts w:ascii="Arial" w:eastAsia="Times New Roman" w:hAnsi="Arial" w:cs="Arial"/>
          <w:color w:val="0E101A"/>
          <w:sz w:val="24"/>
          <w:szCs w:val="24"/>
        </w:rPr>
        <w:t>effectively(</w:t>
      </w:r>
      <w:proofErr w:type="gramEnd"/>
      <w:r w:rsidRPr="007229A4">
        <w:rPr>
          <w:rFonts w:ascii="Arial" w:eastAsia="Times New Roman" w:hAnsi="Arial" w:cs="Arial"/>
          <w:color w:val="0E101A"/>
          <w:sz w:val="24"/>
          <w:szCs w:val="24"/>
        </w:rPr>
        <w:t xml:space="preserve">Rashid and Malik, 2023). This implies that its main objective is to decouple economic growth from resource depletion, thereby promoting sustainability and reducing the environmental impact of industrial processes. In the context of Corporate Social Responsibility (CSR), circular economy aligns seamlessly with responsible business </w:t>
      </w:r>
      <w:r w:rsidRPr="007229A4">
        <w:rPr>
          <w:rFonts w:ascii="Arial" w:eastAsia="Times New Roman" w:hAnsi="Arial" w:cs="Arial"/>
          <w:color w:val="0E101A"/>
          <w:sz w:val="24"/>
          <w:szCs w:val="24"/>
        </w:rPr>
        <w:lastRenderedPageBreak/>
        <w:t>practices that prioritize environmental and social impacts. Suárez-</w:t>
      </w:r>
      <w:proofErr w:type="spellStart"/>
      <w:r w:rsidRPr="007229A4">
        <w:rPr>
          <w:rFonts w:ascii="Arial" w:eastAsia="Times New Roman" w:hAnsi="Arial" w:cs="Arial"/>
          <w:color w:val="0E101A"/>
          <w:sz w:val="24"/>
          <w:szCs w:val="24"/>
        </w:rPr>
        <w:t>Eiroa</w:t>
      </w:r>
      <w:proofErr w:type="spellEnd"/>
      <w:r w:rsidRPr="007229A4">
        <w:rPr>
          <w:rFonts w:ascii="Arial" w:eastAsia="Times New Roman" w:hAnsi="Arial" w:cs="Arial"/>
          <w:color w:val="0E101A"/>
          <w:sz w:val="24"/>
          <w:szCs w:val="24"/>
        </w:rPr>
        <w:t xml:space="preserve"> et al. (2019) cite that circular economy within CSR emphasizes the importance of businesses adopting practices that consider profit and actively contribute to mitigating environmental degradation and fostering positive social outcomes. As a result, numerous hotel and tourism giants such as Marriot, Premier Inn, and ACOR have implanted this concept. For instance, Marriott International Hotel, a leading hospitality giant, embraces this synergy by integrating circular economy practices into its comprehensive CSR policy. The hotel's commitment to circular economy practices exemplifies its dedication to minimizing its ecological footprint and adhering to sustainable principles. Marriott seeks to extend the lifespan of materials, reduce waste generation, and contribute to a more sustainable and resilient future by embracing circular economy concepts (Jones and Wynn, 2019). This exemplifies how businesses can translate environmental and social responsibility into tangible actions.</w:t>
      </w:r>
    </w:p>
    <w:p w14:paraId="49B1C1E2"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Additionally, Marriott demonstrates the practical application of CSR principles within the hospitality industry by minimizing resource depletion, closing the loop on materials, and supporting local communities. Research by Legrand, Sloan, and Chen (2016) indicates that the company's initiatives in waste reduction, responsible sourcing, and energy efficiency underscore its commitment to circular economy practices within the CSR framework. This is justified by its implementation of recycling programs, reduction of single-use plastics, and sourcing of sustainable materials for hotel amenities as part of its efforts to integrate circularity into its operations. These initiatives help Marriott to address environmental concerns and demonstrate a commitment to social responsibility by fostering community engagement and enhancing stakeholder value.</w:t>
      </w:r>
    </w:p>
    <w:p w14:paraId="4367DB03"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Overall, Marriott's circular economy commitment is relevant to CSR for its environmental stewardship and positive societal impact. The hotel chain recognizes sustainability as a strategic business imperative and an ethical responsibility to the communities it operates in. In essence, Marriott's dedication to circular economy practices within its CSR framework represents a proactive approach to addressing contemporary challenges. The approach aligns profit with purpose, contributing to a more sustainable and responsible global business landscape (</w:t>
      </w:r>
      <w:proofErr w:type="spellStart"/>
      <w:r w:rsidRPr="007229A4">
        <w:rPr>
          <w:rFonts w:ascii="Arial" w:eastAsia="Times New Roman" w:hAnsi="Arial" w:cs="Arial"/>
          <w:color w:val="0E101A"/>
          <w:sz w:val="24"/>
          <w:szCs w:val="24"/>
        </w:rPr>
        <w:t>Bhagtani</w:t>
      </w:r>
      <w:proofErr w:type="spellEnd"/>
      <w:r w:rsidRPr="007229A4">
        <w:rPr>
          <w:rFonts w:ascii="Arial" w:eastAsia="Times New Roman" w:hAnsi="Arial" w:cs="Arial"/>
          <w:color w:val="0E101A"/>
          <w:sz w:val="24"/>
          <w:szCs w:val="24"/>
        </w:rPr>
        <w:t xml:space="preserve">, 2022). Therefore, the hospitality industry can pave the way for a more sustainable future by building upon Marriott's </w:t>
      </w:r>
      <w:r w:rsidRPr="007229A4">
        <w:rPr>
          <w:rFonts w:ascii="Arial" w:eastAsia="Times New Roman" w:hAnsi="Arial" w:cs="Arial"/>
          <w:color w:val="0E101A"/>
          <w:sz w:val="24"/>
          <w:szCs w:val="24"/>
        </w:rPr>
        <w:lastRenderedPageBreak/>
        <w:t xml:space="preserve">pioneering efforts </w:t>
      </w:r>
      <w:proofErr w:type="gramStart"/>
      <w:r w:rsidRPr="007229A4">
        <w:rPr>
          <w:rFonts w:ascii="Arial" w:eastAsia="Times New Roman" w:hAnsi="Arial" w:cs="Arial"/>
          <w:color w:val="0E101A"/>
          <w:sz w:val="24"/>
          <w:szCs w:val="24"/>
        </w:rPr>
        <w:t>where</w:t>
      </w:r>
      <w:proofErr w:type="gramEnd"/>
      <w:r w:rsidRPr="007229A4">
        <w:rPr>
          <w:rFonts w:ascii="Arial" w:eastAsia="Times New Roman" w:hAnsi="Arial" w:cs="Arial"/>
          <w:color w:val="0E101A"/>
          <w:sz w:val="24"/>
          <w:szCs w:val="24"/>
        </w:rPr>
        <w:t xml:space="preserve"> economic growth flourishes in harmony with environmental and social well-being.</w:t>
      </w:r>
    </w:p>
    <w:p w14:paraId="0249C8C0"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Marriott Hotel's CSR Policy</w:t>
      </w:r>
    </w:p>
    <w:p w14:paraId="63A72C3D"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Implemented in 2012, Marriott Hotel's Corporate Social Responsibility (CSR) policy reflects a comprehensive commitment to sustainable practices, social responsibility, and ethical business conduct. This policy is often referred to as the "Serve 360: Doing Good in Every Direction" policy (Marriott International, 2022). It is a comprehensive initiative that outlines ambitious goals and is anchored in various key pillars encompassing Nurture Our World, Sustain Responsible Operations, Empower Through Opportunity, and Welcome All and Advance Human Rights. These pillars aim to foster environmental stewardship, community engagement, and employee well-being.</w:t>
      </w:r>
    </w:p>
    <w:p w14:paraId="1F590CBC" w14:textId="77777777" w:rsidR="004058DF" w:rsidRPr="007229A4" w:rsidRDefault="004058DF" w:rsidP="007229A4">
      <w:pPr>
        <w:spacing w:after="0" w:line="360" w:lineRule="auto"/>
        <w:contextualSpacing/>
        <w:rPr>
          <w:rFonts w:ascii="Arial" w:eastAsia="Times New Roman" w:hAnsi="Arial" w:cs="Arial"/>
          <w:color w:val="0E101A"/>
          <w:sz w:val="24"/>
          <w:szCs w:val="24"/>
        </w:rPr>
      </w:pPr>
      <w:r w:rsidRPr="007229A4">
        <w:rPr>
          <w:rFonts w:ascii="Arial" w:eastAsia="Times New Roman" w:hAnsi="Arial" w:cs="Arial"/>
          <w:i/>
          <w:iCs/>
          <w:color w:val="0E101A"/>
          <w:sz w:val="24"/>
          <w:szCs w:val="24"/>
        </w:rPr>
        <w:t>Nurturing Our World</w:t>
      </w:r>
    </w:p>
    <w:p w14:paraId="364A5A58"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In this pillar, Marriott focuses on environmental stewardship. It aims to reduce its carbon footprint, conserve water, and minimize waste by investing in renewable energy sources like solar and wind power, implementing water-saving measures, and composting food waste. With these practices in place, the company has achieved significant progress. Additionally, Marriott focuses on waste reduction and responsible sourcing, emphasizing the importance of minimizing single-use plastics and incorporating sustainable materials in its operations (Marriott International Serve360, 2023). This pillar cites that Marriott targets a 45% reduction in landfill waste and a 50% reduction in food waste by 2025. The commitment to achieving zero waste to landfill by 2025 is a clear demonstration of Marriott's proactive stance toward environmental sustainability.</w:t>
      </w:r>
    </w:p>
    <w:p w14:paraId="5D78B7D6" w14:textId="77777777" w:rsidR="004058DF" w:rsidRPr="007229A4" w:rsidRDefault="004058DF" w:rsidP="007229A4">
      <w:pPr>
        <w:spacing w:after="0" w:line="360" w:lineRule="auto"/>
        <w:contextualSpacing/>
        <w:rPr>
          <w:rFonts w:ascii="Arial" w:eastAsia="Times New Roman" w:hAnsi="Arial" w:cs="Arial"/>
          <w:i/>
          <w:color w:val="0E101A"/>
          <w:sz w:val="24"/>
          <w:szCs w:val="24"/>
        </w:rPr>
      </w:pPr>
      <w:r w:rsidRPr="007229A4">
        <w:rPr>
          <w:rFonts w:ascii="Arial" w:eastAsia="Times New Roman" w:hAnsi="Arial" w:cs="Arial"/>
          <w:i/>
          <w:color w:val="0E101A"/>
          <w:sz w:val="24"/>
          <w:szCs w:val="24"/>
        </w:rPr>
        <w:t>Sustaining Responsible Operations</w:t>
      </w:r>
    </w:p>
    <w:p w14:paraId="7B316CB9"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The company recognizes its operational impact and strives to source responsibly, manage chemicals effectively, and ensure ethical </w:t>
      </w:r>
      <w:proofErr w:type="spellStart"/>
      <w:r w:rsidRPr="007229A4">
        <w:rPr>
          <w:rFonts w:ascii="Arial" w:eastAsia="Times New Roman" w:hAnsi="Arial" w:cs="Arial"/>
          <w:color w:val="0E101A"/>
          <w:sz w:val="24"/>
          <w:szCs w:val="24"/>
        </w:rPr>
        <w:t>labour</w:t>
      </w:r>
      <w:proofErr w:type="spellEnd"/>
      <w:r w:rsidRPr="007229A4">
        <w:rPr>
          <w:rFonts w:ascii="Arial" w:eastAsia="Times New Roman" w:hAnsi="Arial" w:cs="Arial"/>
          <w:color w:val="0E101A"/>
          <w:sz w:val="24"/>
          <w:szCs w:val="24"/>
        </w:rPr>
        <w:t xml:space="preserve"> practices throughout its supply chain. To achieve this, it has prioritized local procurement to support communities and reduce transportation emissions. Furthermore, Marriott collaborates with suppliers to set ambitious sustainability goals and implement responsible chemical management practices.</w:t>
      </w:r>
    </w:p>
    <w:p w14:paraId="3224E932" w14:textId="77777777" w:rsidR="004058DF" w:rsidRPr="007229A4" w:rsidRDefault="004058DF" w:rsidP="00540FB6">
      <w:pPr>
        <w:spacing w:after="0" w:line="360" w:lineRule="auto"/>
        <w:contextualSpacing/>
        <w:jc w:val="both"/>
        <w:rPr>
          <w:rFonts w:ascii="Arial" w:eastAsia="Times New Roman" w:hAnsi="Arial" w:cs="Arial"/>
          <w:color w:val="0E101A"/>
          <w:sz w:val="24"/>
          <w:szCs w:val="24"/>
        </w:rPr>
      </w:pPr>
      <w:r w:rsidRPr="007229A4">
        <w:rPr>
          <w:rFonts w:ascii="Arial" w:eastAsia="Times New Roman" w:hAnsi="Arial" w:cs="Arial"/>
          <w:i/>
          <w:iCs/>
          <w:color w:val="0E101A"/>
          <w:sz w:val="24"/>
          <w:szCs w:val="24"/>
        </w:rPr>
        <w:t>Empowering Through Opportunity</w:t>
      </w:r>
    </w:p>
    <w:p w14:paraId="4D1303E5"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lastRenderedPageBreak/>
        <w:t>Marriott is committed to fostering diverse and inclusive workplaces by investing in employee training and development and supporting local communities. The company offers various programs to upskill employees and advance their careers. Additionally, this pillar has health and safety programs that contribute to a positive workplace culture and campaigns for partnering with local organizations to address community needs like education and workforce development. This commitment to promoting employee well-being is aligned with ethical standards and enhances organizational resilience by fostering a motivated and loyal workforce.</w:t>
      </w:r>
    </w:p>
    <w:p w14:paraId="6D895522" w14:textId="77777777" w:rsidR="004058DF" w:rsidRPr="007229A4" w:rsidRDefault="004058DF" w:rsidP="007229A4">
      <w:pPr>
        <w:spacing w:after="0" w:line="360" w:lineRule="auto"/>
        <w:contextualSpacing/>
        <w:rPr>
          <w:rFonts w:ascii="Arial" w:eastAsia="Times New Roman" w:hAnsi="Arial" w:cs="Arial"/>
          <w:color w:val="0E101A"/>
          <w:sz w:val="24"/>
          <w:szCs w:val="24"/>
        </w:rPr>
      </w:pPr>
      <w:r w:rsidRPr="007229A4">
        <w:rPr>
          <w:rFonts w:ascii="Arial" w:eastAsia="Times New Roman" w:hAnsi="Arial" w:cs="Arial"/>
          <w:i/>
          <w:iCs/>
          <w:color w:val="0E101A"/>
          <w:sz w:val="24"/>
          <w:szCs w:val="24"/>
        </w:rPr>
        <w:t>Welcoming All and Advancing Human Rights</w:t>
      </w:r>
    </w:p>
    <w:p w14:paraId="4893FD9A"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Marriott embraces diversity and inclusion by promoting a welcoming environment for all guests and employees, regardless of their background. The company also advocates for human rights globally, working to combat human trafficking and forced </w:t>
      </w:r>
      <w:proofErr w:type="spellStart"/>
      <w:r w:rsidRPr="007229A4">
        <w:rPr>
          <w:rFonts w:ascii="Arial" w:eastAsia="Times New Roman" w:hAnsi="Arial" w:cs="Arial"/>
          <w:color w:val="0E101A"/>
          <w:sz w:val="24"/>
          <w:szCs w:val="24"/>
        </w:rPr>
        <w:t>labour</w:t>
      </w:r>
      <w:proofErr w:type="spellEnd"/>
      <w:r w:rsidRPr="007229A4">
        <w:rPr>
          <w:rFonts w:ascii="Arial" w:eastAsia="Times New Roman" w:hAnsi="Arial" w:cs="Arial"/>
          <w:color w:val="0E101A"/>
          <w:sz w:val="24"/>
          <w:szCs w:val="24"/>
        </w:rPr>
        <w:t xml:space="preserve"> within its operations and beyond. As such, it integrates community engagement, global diversity, and inclusion efforts with sustainability goals, emphasizing the interconnectedness of social and environmental issues (Ahmad, Ahmad</w:t>
      </w:r>
      <w:r w:rsidR="000E051A" w:rsidRPr="007229A4">
        <w:rPr>
          <w:rFonts w:ascii="Arial" w:eastAsia="Times New Roman" w:hAnsi="Arial" w:cs="Arial"/>
          <w:color w:val="0E101A"/>
          <w:sz w:val="24"/>
          <w:szCs w:val="24"/>
        </w:rPr>
        <w:t>,</w:t>
      </w:r>
      <w:r w:rsidRPr="007229A4">
        <w:rPr>
          <w:rFonts w:ascii="Arial" w:eastAsia="Times New Roman" w:hAnsi="Arial" w:cs="Arial"/>
          <w:color w:val="0E101A"/>
          <w:sz w:val="24"/>
          <w:szCs w:val="24"/>
        </w:rPr>
        <w:t xml:space="preserve"> and Siddique, 2023). Marriott's commitment to human rights and ethical sourcing further reinforces its dedication to responsible business practices beyond its immediate operational scope.</w:t>
      </w:r>
    </w:p>
    <w:p w14:paraId="7074C759" w14:textId="77777777" w:rsidR="004058DF" w:rsidRPr="007229A4" w:rsidRDefault="004058DF" w:rsidP="00540FB6">
      <w:pPr>
        <w:spacing w:after="0" w:line="360" w:lineRule="auto"/>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CSR is a crucial focus for Marriot since it exhibits alignment with the expectations and values of modern consumers. As societal awareness regarding environmental and social issues grows, consumers increasingly seek businesses that share their values. </w:t>
      </w:r>
      <w:proofErr w:type="spellStart"/>
      <w:r w:rsidRPr="007229A4">
        <w:rPr>
          <w:rFonts w:ascii="Arial" w:eastAsia="Times New Roman" w:hAnsi="Arial" w:cs="Arial"/>
          <w:color w:val="0E101A"/>
          <w:sz w:val="24"/>
          <w:szCs w:val="24"/>
        </w:rPr>
        <w:t>Ertuna</w:t>
      </w:r>
      <w:proofErr w:type="spellEnd"/>
      <w:r w:rsidRPr="007229A4">
        <w:rPr>
          <w:rFonts w:ascii="Arial" w:eastAsia="Times New Roman" w:hAnsi="Arial" w:cs="Arial"/>
          <w:color w:val="0E101A"/>
          <w:sz w:val="24"/>
          <w:szCs w:val="24"/>
        </w:rPr>
        <w:t>, Gu, and Yu (2022) cite that Marriott's CSR policy positions the brand as a responsible and ethical choice, appealing to a growing segment of conscious consumers. In addition, the hotel's commitment to CSR is pivotal for risk management and long-term sustainability. Marriott mitigates potential risks associated with regulatory changes and stakeholder dissatisfaction by addressing environmental and social issues proactively. This forward-thinking approach enhances the resilience and longevity of the brand in a dynamic and evolving business landscape.</w:t>
      </w:r>
    </w:p>
    <w:p w14:paraId="4B108955"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Companies Embodying the Circular Economy</w:t>
      </w:r>
    </w:p>
    <w:p w14:paraId="54716036"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Just as exhibited by Marriot International Hotel, other companies in the hospitality and tourism industry have successfully embodied circular economy principles in their CSR policies. For instance, AccorHotels partners with local communities to source </w:t>
      </w:r>
      <w:r w:rsidRPr="007229A4">
        <w:rPr>
          <w:rFonts w:ascii="Arial" w:eastAsia="Times New Roman" w:hAnsi="Arial" w:cs="Arial"/>
          <w:color w:val="0E101A"/>
          <w:sz w:val="24"/>
          <w:szCs w:val="24"/>
        </w:rPr>
        <w:lastRenderedPageBreak/>
        <w:t xml:space="preserve">organic ingredients and upcycle waste materials for hotel amenities. </w:t>
      </w:r>
      <w:proofErr w:type="spellStart"/>
      <w:r w:rsidRPr="007229A4">
        <w:rPr>
          <w:rFonts w:ascii="Arial" w:eastAsia="Times New Roman" w:hAnsi="Arial" w:cs="Arial"/>
          <w:color w:val="0E101A"/>
          <w:sz w:val="24"/>
          <w:szCs w:val="24"/>
        </w:rPr>
        <w:t>Avasiloaei</w:t>
      </w:r>
      <w:proofErr w:type="spellEnd"/>
      <w:r w:rsidRPr="007229A4">
        <w:rPr>
          <w:rFonts w:ascii="Arial" w:eastAsia="Times New Roman" w:hAnsi="Arial" w:cs="Arial"/>
          <w:color w:val="0E101A"/>
          <w:sz w:val="24"/>
          <w:szCs w:val="24"/>
        </w:rPr>
        <w:t xml:space="preserve"> (2022) reports that the company focuses on sourcing products sustainably, reducing waste, promoting responsible consumption, and is committed to eliminating all single-use plastic items from its hotels by 2024. Hilton has also integrated circular economy practices into its CSR policies. The company emphasizes energy efficiency and waste reduction in its operations. Hilton's </w:t>
      </w:r>
      <w:proofErr w:type="spellStart"/>
      <w:r w:rsidRPr="007229A4">
        <w:rPr>
          <w:rFonts w:ascii="Arial" w:eastAsia="Times New Roman" w:hAnsi="Arial" w:cs="Arial"/>
          <w:color w:val="0E101A"/>
          <w:sz w:val="24"/>
          <w:szCs w:val="24"/>
        </w:rPr>
        <w:t>LightStay</w:t>
      </w:r>
      <w:proofErr w:type="spellEnd"/>
      <w:r w:rsidRPr="007229A4">
        <w:rPr>
          <w:rFonts w:ascii="Arial" w:eastAsia="Times New Roman" w:hAnsi="Arial" w:cs="Arial"/>
          <w:color w:val="0E101A"/>
          <w:sz w:val="24"/>
          <w:szCs w:val="24"/>
        </w:rPr>
        <w:t xml:space="preserve"> program monitors and analyzes the environmental impact of each hotel, encouraging resource conservation and sustainability (</w:t>
      </w:r>
      <w:proofErr w:type="spellStart"/>
      <w:r w:rsidRPr="007229A4">
        <w:rPr>
          <w:rFonts w:ascii="Arial" w:eastAsia="Times New Roman" w:hAnsi="Arial" w:cs="Arial"/>
          <w:color w:val="0E101A"/>
          <w:sz w:val="24"/>
          <w:szCs w:val="24"/>
        </w:rPr>
        <w:t>Zientara</w:t>
      </w:r>
      <w:proofErr w:type="spellEnd"/>
      <w:r w:rsidRPr="007229A4">
        <w:rPr>
          <w:rFonts w:ascii="Arial" w:eastAsia="Times New Roman" w:hAnsi="Arial" w:cs="Arial"/>
          <w:color w:val="0E101A"/>
          <w:sz w:val="24"/>
          <w:szCs w:val="24"/>
        </w:rPr>
        <w:t xml:space="preserve"> et al., 2020). Hilton is also committed to reducing its carbon emissions and water consumption. Another example is </w:t>
      </w:r>
      <w:proofErr w:type="spellStart"/>
      <w:r w:rsidRPr="007229A4">
        <w:rPr>
          <w:rFonts w:ascii="Arial" w:eastAsia="Times New Roman" w:hAnsi="Arial" w:cs="Arial"/>
          <w:color w:val="0E101A"/>
          <w:sz w:val="24"/>
          <w:szCs w:val="24"/>
        </w:rPr>
        <w:t>Soneva</w:t>
      </w:r>
      <w:proofErr w:type="spellEnd"/>
      <w:r w:rsidRPr="007229A4">
        <w:rPr>
          <w:rFonts w:ascii="Arial" w:eastAsia="Times New Roman" w:hAnsi="Arial" w:cs="Arial"/>
          <w:color w:val="0E101A"/>
          <w:sz w:val="24"/>
          <w:szCs w:val="24"/>
        </w:rPr>
        <w:t xml:space="preserve"> Resorts in the Maldives, which has implemented a closed-loop water and compost all-organic waste system to achieve near zero-waste operations. Patagonia encourages customers to repair and resell used gear through its Worn Wear program, extending product lifecycles and reducing waste.</w:t>
      </w:r>
    </w:p>
    <w:p w14:paraId="1C84EBC2"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Benefits of Sustainability</w:t>
      </w:r>
    </w:p>
    <w:p w14:paraId="325539C9"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Based on the arguments above, it is evident that sustainability breeds various advantages within the hotel industry, fostering environmental conservation and enhancing stakeholder relationships. </w:t>
      </w:r>
      <w:proofErr w:type="spellStart"/>
      <w:r w:rsidRPr="007229A4">
        <w:rPr>
          <w:rFonts w:ascii="Arial" w:eastAsia="Times New Roman" w:hAnsi="Arial" w:cs="Arial"/>
          <w:color w:val="0E101A"/>
          <w:sz w:val="24"/>
          <w:szCs w:val="24"/>
        </w:rPr>
        <w:t>Lăzăroiu</w:t>
      </w:r>
      <w:proofErr w:type="spellEnd"/>
      <w:r w:rsidRPr="007229A4">
        <w:rPr>
          <w:rFonts w:ascii="Arial" w:eastAsia="Times New Roman" w:hAnsi="Arial" w:cs="Arial"/>
          <w:color w:val="0E101A"/>
          <w:sz w:val="24"/>
          <w:szCs w:val="24"/>
        </w:rPr>
        <w:t xml:space="preserve"> et al. (2020) report that utilizing sustainable practices such as energy-efficient technologies, waste reduction, and responsible sourcing reduces a company's ecological footprint. For instance, Marriott has implemented energy-saving initiatives like LED lighting, smart climate control systems, and water conservation measures, which reduce its energy consumption, contributing to a lower carbon footprint. Marriott's commitment to renewable energy sources like solar and wind power has led to a 19% reduction in greenhouse gas emissions (Abdou, Hassan and </w:t>
      </w:r>
      <w:proofErr w:type="spellStart"/>
      <w:r w:rsidRPr="007229A4">
        <w:rPr>
          <w:rFonts w:ascii="Arial" w:eastAsia="Times New Roman" w:hAnsi="Arial" w:cs="Arial"/>
          <w:color w:val="0E101A"/>
          <w:sz w:val="24"/>
          <w:szCs w:val="24"/>
        </w:rPr>
        <w:t>Dief</w:t>
      </w:r>
      <w:proofErr w:type="spellEnd"/>
      <w:r w:rsidRPr="007229A4">
        <w:rPr>
          <w:rFonts w:ascii="Arial" w:eastAsia="Times New Roman" w:hAnsi="Arial" w:cs="Arial"/>
          <w:color w:val="0E101A"/>
          <w:sz w:val="24"/>
          <w:szCs w:val="24"/>
        </w:rPr>
        <w:t>, 2020). The implementation of water-saving measures like low-flow fixtures and greywater systems has resulted in a 10% decrease in water usage per guest night since 2009 (Marriott International, 2021). Marriott's food waste reduction program, including composting and partnerships with food banks, has diverted over 400,000 tons of food waste from landfills since 2012 (Silverstein, 2023).</w:t>
      </w:r>
    </w:p>
    <w:p w14:paraId="0A96925D" w14:textId="77777777" w:rsidR="000E051A"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Moreover, sustainability initiatives breed cost savings for hotels. While the initial investment in eco-friendly technologies may be substantial, the long-term operational efficiency gains and reduced resource consumption result in lower utility costs. Marriott's commitment to sustainability is a moral obligation and a strategic move to enhance </w:t>
      </w:r>
      <w:r w:rsidRPr="007229A4">
        <w:rPr>
          <w:rFonts w:ascii="Arial" w:eastAsia="Times New Roman" w:hAnsi="Arial" w:cs="Arial"/>
          <w:color w:val="0E101A"/>
          <w:sz w:val="24"/>
          <w:szCs w:val="24"/>
        </w:rPr>
        <w:lastRenderedPageBreak/>
        <w:t xml:space="preserve">operational efficiency by mitigating resource-related risks and ensuring long-term economic viability (Jones and Wynn, 2022). The company has saved millions of dollars on energy and water bills, directly impacting its bottom line. </w:t>
      </w:r>
    </w:p>
    <w:p w14:paraId="4D79B20E" w14:textId="77777777" w:rsidR="004058DF" w:rsidRPr="007229A4"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Another significant benefit derived from sustainability practices is community engagement. Marriott has various initiatives that extend beyond the hotel premises. These initiatives entail involving local communities in sustainable projects, aligning with local sustainability goals, and supporting community initiatives. Through this move, the organization has fostered positive relationships and contributed to the socio-economic development of the areas in which Marriott operates. This makes it seamless for Marriott to strengthen its social license to operate, enhancing its reputation as a responsible corporate citizen (Kim, Li, and So, 2022). Furthermore, the integration of sustainability into Marriott's corporate culture boosts employee morale and engagement. Employees are increasingly drawn to organizations with a commitment to ethical and sustainable practices. Marriott's emphasis on sustainability, as evident in its CSR policy, creates a sense of purpose among its </w:t>
      </w:r>
      <w:proofErr w:type="gramStart"/>
      <w:r w:rsidRPr="007229A4">
        <w:rPr>
          <w:rFonts w:ascii="Arial" w:eastAsia="Times New Roman" w:hAnsi="Arial" w:cs="Arial"/>
          <w:color w:val="0E101A"/>
          <w:sz w:val="24"/>
          <w:szCs w:val="24"/>
        </w:rPr>
        <w:t>workforce</w:t>
      </w:r>
      <w:proofErr w:type="gramEnd"/>
      <w:r w:rsidRPr="007229A4">
        <w:rPr>
          <w:rFonts w:ascii="Arial" w:eastAsia="Times New Roman" w:hAnsi="Arial" w:cs="Arial"/>
          <w:color w:val="0E101A"/>
          <w:sz w:val="24"/>
          <w:szCs w:val="24"/>
        </w:rPr>
        <w:t>. These actions lead to improved job satisfaction, retention, and overall organizational resilience.</w:t>
      </w:r>
    </w:p>
    <w:p w14:paraId="50B0ACBC" w14:textId="77777777" w:rsidR="004058DF" w:rsidRPr="007229A4" w:rsidRDefault="004058DF" w:rsidP="007229A4">
      <w:pPr>
        <w:spacing w:after="0" w:line="360" w:lineRule="auto"/>
        <w:contextualSpacing/>
        <w:jc w:val="center"/>
        <w:rPr>
          <w:rFonts w:ascii="Arial" w:eastAsia="Times New Roman" w:hAnsi="Arial" w:cs="Arial"/>
          <w:color w:val="0E101A"/>
          <w:sz w:val="24"/>
          <w:szCs w:val="24"/>
        </w:rPr>
      </w:pPr>
      <w:r w:rsidRPr="007229A4">
        <w:rPr>
          <w:rFonts w:ascii="Arial" w:eastAsia="Times New Roman" w:hAnsi="Arial" w:cs="Arial"/>
          <w:color w:val="0E101A"/>
          <w:sz w:val="24"/>
          <w:szCs w:val="24"/>
        </w:rPr>
        <w:t>Conclusion</w:t>
      </w:r>
    </w:p>
    <w:p w14:paraId="24DF867C" w14:textId="77777777" w:rsidR="000B0C69" w:rsidRPr="00070581" w:rsidRDefault="004058DF" w:rsidP="00540FB6">
      <w:pPr>
        <w:spacing w:after="0" w:line="360" w:lineRule="auto"/>
        <w:ind w:firstLine="720"/>
        <w:contextualSpacing/>
        <w:jc w:val="both"/>
        <w:rPr>
          <w:rFonts w:ascii="Arial" w:eastAsia="Times New Roman" w:hAnsi="Arial" w:cs="Arial"/>
          <w:color w:val="0E101A"/>
          <w:sz w:val="24"/>
          <w:szCs w:val="24"/>
        </w:rPr>
      </w:pPr>
      <w:r w:rsidRPr="007229A4">
        <w:rPr>
          <w:rFonts w:ascii="Arial" w:eastAsia="Times New Roman" w:hAnsi="Arial" w:cs="Arial"/>
          <w:color w:val="0E101A"/>
          <w:sz w:val="24"/>
          <w:szCs w:val="24"/>
        </w:rPr>
        <w:t xml:space="preserve">Marriott's dedication to circular economy practices within its CSR framework represents a proactive approach to addressing contemporary challenges. This aligns profit with purpose and contributes to a more sustainable and responsible global business landscape. Also, the hotel's CSR policy is a comprehensive and strategically significant framework that underlines the brand's commitment to sustainable and responsible business practices. Leading companies in the hospitality and tourism sector are increasingly recognizing the importance of circular economy principles in their CSR policies. These companies contribute to environmental conservation, enhance their brand reputation, and foster positive relationships with local communities by embracing sustainable practices. This underlines the importance of sustainability. In conclusion, the benefits of sustainability within the hotel industry, as exemplified by the Marriott Hotel, extend beyond environmental stewardship. From cost savings to community engagement and employee satisfaction, among other benefits, sustainability is a comprehensive approach that aligns with ethical principles and contributes to the long-term success and </w:t>
      </w:r>
      <w:r w:rsidRPr="007229A4">
        <w:rPr>
          <w:rFonts w:ascii="Arial" w:eastAsia="Times New Roman" w:hAnsi="Arial" w:cs="Arial"/>
          <w:color w:val="0E101A"/>
          <w:sz w:val="24"/>
          <w:szCs w:val="24"/>
        </w:rPr>
        <w:lastRenderedPageBreak/>
        <w:t>resilience of hotels in an ever-evolving global landscape. Thus, the adoption of circular economy practices in the hotel sector holds the potential to transform the way businesses operate, promoting sustainability as a core element of success in the modern era.</w:t>
      </w:r>
    </w:p>
    <w:p w14:paraId="2E3702E3" w14:textId="77777777" w:rsidR="00070581" w:rsidRDefault="00070581">
      <w:pPr>
        <w:rPr>
          <w:rFonts w:ascii="Arial" w:hAnsi="Arial" w:cs="Arial"/>
          <w:sz w:val="24"/>
          <w:szCs w:val="24"/>
        </w:rPr>
      </w:pPr>
      <w:r>
        <w:rPr>
          <w:rFonts w:ascii="Arial" w:hAnsi="Arial" w:cs="Arial"/>
          <w:sz w:val="24"/>
          <w:szCs w:val="24"/>
        </w:rPr>
        <w:br w:type="page"/>
      </w:r>
    </w:p>
    <w:p w14:paraId="0F768F04" w14:textId="77777777" w:rsidR="00223224" w:rsidRPr="007229A4" w:rsidRDefault="00E960D8" w:rsidP="007229A4">
      <w:pPr>
        <w:spacing w:line="360" w:lineRule="auto"/>
        <w:contextualSpacing/>
        <w:jc w:val="center"/>
        <w:rPr>
          <w:rFonts w:ascii="Arial" w:hAnsi="Arial" w:cs="Arial"/>
          <w:sz w:val="24"/>
          <w:szCs w:val="24"/>
        </w:rPr>
      </w:pPr>
      <w:r w:rsidRPr="007229A4">
        <w:rPr>
          <w:rFonts w:ascii="Arial" w:hAnsi="Arial" w:cs="Arial"/>
          <w:sz w:val="24"/>
          <w:szCs w:val="24"/>
        </w:rPr>
        <w:lastRenderedPageBreak/>
        <w:t>References</w:t>
      </w:r>
    </w:p>
    <w:p w14:paraId="52594A0B"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Abdou, A.H., Hassan, T.H. and </w:t>
      </w:r>
      <w:proofErr w:type="spellStart"/>
      <w:r w:rsidRPr="007229A4">
        <w:rPr>
          <w:rFonts w:ascii="Arial" w:eastAsia="Times New Roman" w:hAnsi="Arial" w:cs="Arial"/>
          <w:sz w:val="24"/>
          <w:szCs w:val="24"/>
        </w:rPr>
        <w:t>Dief</w:t>
      </w:r>
      <w:proofErr w:type="spellEnd"/>
      <w:r w:rsidRPr="007229A4">
        <w:rPr>
          <w:rFonts w:ascii="Arial" w:eastAsia="Times New Roman" w:hAnsi="Arial" w:cs="Arial"/>
          <w:sz w:val="24"/>
          <w:szCs w:val="24"/>
        </w:rPr>
        <w:t xml:space="preserve">, M.M.E. (2020) 'A description of green hotel practices and their role in achieving sustainable development,' </w:t>
      </w:r>
      <w:r w:rsidRPr="007229A4">
        <w:rPr>
          <w:rFonts w:ascii="Arial" w:eastAsia="Times New Roman" w:hAnsi="Arial" w:cs="Arial"/>
          <w:i/>
          <w:iCs/>
          <w:sz w:val="24"/>
          <w:szCs w:val="24"/>
        </w:rPr>
        <w:t>Sustainability</w:t>
      </w:r>
      <w:r w:rsidRPr="007229A4">
        <w:rPr>
          <w:rFonts w:ascii="Arial" w:eastAsia="Times New Roman" w:hAnsi="Arial" w:cs="Arial"/>
          <w:sz w:val="24"/>
          <w:szCs w:val="24"/>
        </w:rPr>
        <w:t xml:space="preserve">, 12(22), p. 9624. </w:t>
      </w:r>
      <w:hyperlink r:id="rId7" w:history="1">
        <w:r w:rsidRPr="007229A4">
          <w:rPr>
            <w:rStyle w:val="Hyperlink"/>
            <w:rFonts w:ascii="Arial" w:eastAsia="Times New Roman" w:hAnsi="Arial" w:cs="Arial"/>
            <w:sz w:val="24"/>
            <w:szCs w:val="24"/>
          </w:rPr>
          <w:t>https://doi.org/10.3390/su12229624</w:t>
        </w:r>
      </w:hyperlink>
      <w:r w:rsidRPr="007229A4">
        <w:rPr>
          <w:rFonts w:ascii="Arial" w:eastAsia="Times New Roman" w:hAnsi="Arial" w:cs="Arial"/>
          <w:sz w:val="24"/>
          <w:szCs w:val="24"/>
        </w:rPr>
        <w:t xml:space="preserve">. </w:t>
      </w:r>
    </w:p>
    <w:p w14:paraId="467A6DAC"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Ahmad, N., Ahmad, A. and Siddique, I. (2023) 'Beyond self</w:t>
      </w:r>
      <w:r w:rsidRPr="007229A4">
        <w:rPr>
          <w:rFonts w:ascii="Cambria Math" w:eastAsia="Times New Roman" w:hAnsi="Cambria Math" w:cs="Cambria Math"/>
          <w:sz w:val="24"/>
          <w:szCs w:val="24"/>
        </w:rPr>
        <w:t>‐</w:t>
      </w:r>
      <w:r w:rsidRPr="007229A4">
        <w:rPr>
          <w:rFonts w:ascii="Arial" w:eastAsia="Times New Roman" w:hAnsi="Arial" w:cs="Arial"/>
          <w:sz w:val="24"/>
          <w:szCs w:val="24"/>
        </w:rPr>
        <w:t xml:space="preserve">interest: how altruistic values and human emotions drive brand advocacy in hospitality consumers through corporate social responsibility,' </w:t>
      </w:r>
      <w:r w:rsidRPr="007229A4">
        <w:rPr>
          <w:rFonts w:ascii="Arial" w:eastAsia="Times New Roman" w:hAnsi="Arial" w:cs="Arial"/>
          <w:i/>
          <w:iCs/>
          <w:sz w:val="24"/>
          <w:szCs w:val="24"/>
        </w:rPr>
        <w:t>Corporate Social Responsibility and Environmental Management</w:t>
      </w:r>
      <w:r w:rsidRPr="007229A4">
        <w:rPr>
          <w:rFonts w:ascii="Arial" w:eastAsia="Times New Roman" w:hAnsi="Arial" w:cs="Arial"/>
          <w:sz w:val="24"/>
          <w:szCs w:val="24"/>
        </w:rPr>
        <w:t xml:space="preserve"> [Preprint]. </w:t>
      </w:r>
      <w:hyperlink r:id="rId8" w:history="1">
        <w:r w:rsidRPr="007229A4">
          <w:rPr>
            <w:rStyle w:val="Hyperlink"/>
            <w:rFonts w:ascii="Arial" w:eastAsia="Times New Roman" w:hAnsi="Arial" w:cs="Arial"/>
            <w:sz w:val="24"/>
            <w:szCs w:val="24"/>
          </w:rPr>
          <w:t>https://doi.org/10.1002/csr.2701</w:t>
        </w:r>
      </w:hyperlink>
      <w:r w:rsidRPr="007229A4">
        <w:rPr>
          <w:rFonts w:ascii="Arial" w:eastAsia="Times New Roman" w:hAnsi="Arial" w:cs="Arial"/>
          <w:sz w:val="24"/>
          <w:szCs w:val="24"/>
        </w:rPr>
        <w:t>.</w:t>
      </w:r>
    </w:p>
    <w:p w14:paraId="61CE4BFB"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Avasiloaei</w:t>
      </w:r>
      <w:proofErr w:type="spellEnd"/>
      <w:r w:rsidRPr="007229A4">
        <w:rPr>
          <w:rFonts w:ascii="Arial" w:eastAsia="Times New Roman" w:hAnsi="Arial" w:cs="Arial"/>
          <w:sz w:val="24"/>
          <w:szCs w:val="24"/>
        </w:rPr>
        <w:t xml:space="preserve">, D.M. (2022) 'Reinventing the Business Model in the Tourism Industry based on Sustainable Circular Economy and Innovation,' </w:t>
      </w:r>
      <w:r w:rsidRPr="007229A4">
        <w:rPr>
          <w:rFonts w:ascii="Arial" w:eastAsia="Times New Roman" w:hAnsi="Arial" w:cs="Arial"/>
          <w:i/>
          <w:iCs/>
          <w:sz w:val="24"/>
          <w:szCs w:val="24"/>
        </w:rPr>
        <w:t>Proceedings of the ENTRENOVA – Enterprise Research Innovation Conference</w:t>
      </w:r>
      <w:r w:rsidRPr="007229A4">
        <w:rPr>
          <w:rFonts w:ascii="Arial" w:eastAsia="Times New Roman" w:hAnsi="Arial" w:cs="Arial"/>
          <w:sz w:val="24"/>
          <w:szCs w:val="24"/>
        </w:rPr>
        <w:t xml:space="preserve">, 8(1), pp. 435–448. </w:t>
      </w:r>
      <w:hyperlink r:id="rId9" w:history="1">
        <w:r w:rsidRPr="007229A4">
          <w:rPr>
            <w:rStyle w:val="Hyperlink"/>
            <w:rFonts w:ascii="Arial" w:eastAsia="Times New Roman" w:hAnsi="Arial" w:cs="Arial"/>
            <w:sz w:val="24"/>
            <w:szCs w:val="24"/>
          </w:rPr>
          <w:t>https://doi.org/10.54820/entrenova-2022-0036</w:t>
        </w:r>
      </w:hyperlink>
      <w:r w:rsidRPr="007229A4">
        <w:rPr>
          <w:rFonts w:ascii="Arial" w:eastAsia="Times New Roman" w:hAnsi="Arial" w:cs="Arial"/>
          <w:sz w:val="24"/>
          <w:szCs w:val="24"/>
        </w:rPr>
        <w:t>.</w:t>
      </w:r>
    </w:p>
    <w:p w14:paraId="4245B69F"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Bhagtani</w:t>
      </w:r>
      <w:proofErr w:type="spellEnd"/>
      <w:r w:rsidRPr="007229A4">
        <w:rPr>
          <w:rFonts w:ascii="Arial" w:eastAsia="Times New Roman" w:hAnsi="Arial" w:cs="Arial"/>
          <w:sz w:val="24"/>
          <w:szCs w:val="24"/>
        </w:rPr>
        <w:t xml:space="preserve">, N. (2022) 'Hotel general managers’ quality of life and its impact on </w:t>
      </w:r>
      <w:proofErr w:type="spellStart"/>
      <w:r w:rsidRPr="007229A4">
        <w:rPr>
          <w:rFonts w:ascii="Arial" w:eastAsia="Times New Roman" w:hAnsi="Arial" w:cs="Arial"/>
          <w:sz w:val="24"/>
          <w:szCs w:val="24"/>
        </w:rPr>
        <w:t>organisational</w:t>
      </w:r>
      <w:proofErr w:type="spellEnd"/>
      <w:r w:rsidRPr="007229A4">
        <w:rPr>
          <w:rFonts w:ascii="Arial" w:eastAsia="Times New Roman" w:hAnsi="Arial" w:cs="Arial"/>
          <w:sz w:val="24"/>
          <w:szCs w:val="24"/>
        </w:rPr>
        <w:t xml:space="preserve"> sustainability and corporate social responsibility initiatives,' </w:t>
      </w:r>
      <w:r w:rsidRPr="007229A4">
        <w:rPr>
          <w:rFonts w:ascii="Arial" w:eastAsia="Times New Roman" w:hAnsi="Arial" w:cs="Arial"/>
          <w:i/>
          <w:iCs/>
          <w:sz w:val="24"/>
          <w:szCs w:val="24"/>
        </w:rPr>
        <w:t>Worldwide Hospitality and Tourism Themes</w:t>
      </w:r>
      <w:r w:rsidRPr="007229A4">
        <w:rPr>
          <w:rFonts w:ascii="Arial" w:eastAsia="Times New Roman" w:hAnsi="Arial" w:cs="Arial"/>
          <w:sz w:val="24"/>
          <w:szCs w:val="24"/>
        </w:rPr>
        <w:t xml:space="preserve">, 14(3), pp. 286–299. </w:t>
      </w:r>
      <w:hyperlink r:id="rId10" w:history="1">
        <w:r w:rsidRPr="007229A4">
          <w:rPr>
            <w:rStyle w:val="Hyperlink"/>
            <w:rFonts w:ascii="Arial" w:eastAsia="Times New Roman" w:hAnsi="Arial" w:cs="Arial"/>
            <w:sz w:val="24"/>
            <w:szCs w:val="24"/>
          </w:rPr>
          <w:t>https://doi.org/10.1108/whatt-02-2022-0022</w:t>
        </w:r>
      </w:hyperlink>
      <w:r w:rsidRPr="007229A4">
        <w:rPr>
          <w:rFonts w:ascii="Arial" w:eastAsia="Times New Roman" w:hAnsi="Arial" w:cs="Arial"/>
          <w:sz w:val="24"/>
          <w:szCs w:val="24"/>
        </w:rPr>
        <w:t>.</w:t>
      </w:r>
    </w:p>
    <w:p w14:paraId="077BD4D2"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Ertuna</w:t>
      </w:r>
      <w:proofErr w:type="spellEnd"/>
      <w:r w:rsidRPr="007229A4">
        <w:rPr>
          <w:rFonts w:ascii="Arial" w:eastAsia="Times New Roman" w:hAnsi="Arial" w:cs="Arial"/>
          <w:sz w:val="24"/>
          <w:szCs w:val="24"/>
        </w:rPr>
        <w:t xml:space="preserve">, B., Gu, H. and Yu, L. (2022) '“A thread connects all beads”: Aligning global CSR strategy by hotel MNCs,' </w:t>
      </w:r>
      <w:r w:rsidRPr="007229A4">
        <w:rPr>
          <w:rFonts w:ascii="Arial" w:eastAsia="Times New Roman" w:hAnsi="Arial" w:cs="Arial"/>
          <w:i/>
          <w:iCs/>
          <w:sz w:val="24"/>
          <w:szCs w:val="24"/>
        </w:rPr>
        <w:t>Tourism Management</w:t>
      </w:r>
      <w:r w:rsidRPr="007229A4">
        <w:rPr>
          <w:rFonts w:ascii="Arial" w:eastAsia="Times New Roman" w:hAnsi="Arial" w:cs="Arial"/>
          <w:sz w:val="24"/>
          <w:szCs w:val="24"/>
        </w:rPr>
        <w:t xml:space="preserve">, 91, p. 104520. </w:t>
      </w:r>
      <w:hyperlink r:id="rId11" w:history="1">
        <w:r w:rsidRPr="007229A4">
          <w:rPr>
            <w:rStyle w:val="Hyperlink"/>
            <w:rFonts w:ascii="Arial" w:eastAsia="Times New Roman" w:hAnsi="Arial" w:cs="Arial"/>
            <w:sz w:val="24"/>
            <w:szCs w:val="24"/>
          </w:rPr>
          <w:t>https://doi.org/10.1016/j.tourman.2022.104520</w:t>
        </w:r>
      </w:hyperlink>
      <w:r w:rsidRPr="007229A4">
        <w:rPr>
          <w:rFonts w:ascii="Arial" w:eastAsia="Times New Roman" w:hAnsi="Arial" w:cs="Arial"/>
          <w:sz w:val="24"/>
          <w:szCs w:val="24"/>
        </w:rPr>
        <w:t xml:space="preserve">. </w:t>
      </w:r>
    </w:p>
    <w:p w14:paraId="34A034B6"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Farkas, J., </w:t>
      </w:r>
      <w:proofErr w:type="spellStart"/>
      <w:r w:rsidRPr="007229A4">
        <w:rPr>
          <w:rFonts w:ascii="Arial" w:eastAsia="Times New Roman" w:hAnsi="Arial" w:cs="Arial"/>
          <w:sz w:val="24"/>
          <w:szCs w:val="24"/>
        </w:rPr>
        <w:t>Raffay</w:t>
      </w:r>
      <w:proofErr w:type="spellEnd"/>
      <w:r w:rsidRPr="007229A4">
        <w:rPr>
          <w:rFonts w:ascii="Arial" w:eastAsia="Times New Roman" w:hAnsi="Arial" w:cs="Arial"/>
          <w:sz w:val="24"/>
          <w:szCs w:val="24"/>
        </w:rPr>
        <w:t xml:space="preserve">, Z. and </w:t>
      </w:r>
      <w:proofErr w:type="spellStart"/>
      <w:r w:rsidRPr="007229A4">
        <w:rPr>
          <w:rFonts w:ascii="Arial" w:eastAsia="Times New Roman" w:hAnsi="Arial" w:cs="Arial"/>
          <w:sz w:val="24"/>
          <w:szCs w:val="24"/>
        </w:rPr>
        <w:t>Dávid</w:t>
      </w:r>
      <w:proofErr w:type="spellEnd"/>
      <w:r w:rsidRPr="007229A4">
        <w:rPr>
          <w:rFonts w:ascii="Arial" w:eastAsia="Times New Roman" w:hAnsi="Arial" w:cs="Arial"/>
          <w:sz w:val="24"/>
          <w:szCs w:val="24"/>
        </w:rPr>
        <w:t xml:space="preserve">, L.D. (2022) 'Fundamental accessibility and technical accessibility in Travels—The encounter of two worlds which leads to a paradigm shift,' </w:t>
      </w:r>
      <w:r w:rsidRPr="007229A4">
        <w:rPr>
          <w:rFonts w:ascii="Arial" w:eastAsia="Times New Roman" w:hAnsi="Arial" w:cs="Arial"/>
          <w:i/>
          <w:iCs/>
          <w:sz w:val="24"/>
          <w:szCs w:val="24"/>
        </w:rPr>
        <w:t>Sustainability</w:t>
      </w:r>
      <w:r w:rsidRPr="007229A4">
        <w:rPr>
          <w:rFonts w:ascii="Arial" w:eastAsia="Times New Roman" w:hAnsi="Arial" w:cs="Arial"/>
          <w:sz w:val="24"/>
          <w:szCs w:val="24"/>
        </w:rPr>
        <w:t xml:space="preserve">, 14(7), p. 3765. </w:t>
      </w:r>
      <w:hyperlink r:id="rId12" w:history="1">
        <w:r w:rsidRPr="007229A4">
          <w:rPr>
            <w:rStyle w:val="Hyperlink"/>
            <w:rFonts w:ascii="Arial" w:eastAsia="Times New Roman" w:hAnsi="Arial" w:cs="Arial"/>
            <w:sz w:val="24"/>
            <w:szCs w:val="24"/>
          </w:rPr>
          <w:t>https://doi.org/10.3390/su14073765</w:t>
        </w:r>
      </w:hyperlink>
      <w:r w:rsidRPr="007229A4">
        <w:rPr>
          <w:rFonts w:ascii="Arial" w:eastAsia="Times New Roman" w:hAnsi="Arial" w:cs="Arial"/>
          <w:sz w:val="24"/>
          <w:szCs w:val="24"/>
        </w:rPr>
        <w:t>.</w:t>
      </w:r>
    </w:p>
    <w:p w14:paraId="0112FB58"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Jones, P. and Wynn, M.G. (2019) 'The circular economy, natural capital and resilience in tourism and hospitality,' </w:t>
      </w:r>
      <w:r w:rsidRPr="007229A4">
        <w:rPr>
          <w:rFonts w:ascii="Arial" w:eastAsia="Times New Roman" w:hAnsi="Arial" w:cs="Arial"/>
          <w:i/>
          <w:iCs/>
          <w:sz w:val="24"/>
          <w:szCs w:val="24"/>
        </w:rPr>
        <w:t>International Journal of Contemporary Hospitality Management</w:t>
      </w:r>
      <w:r w:rsidRPr="007229A4">
        <w:rPr>
          <w:rFonts w:ascii="Arial" w:eastAsia="Times New Roman" w:hAnsi="Arial" w:cs="Arial"/>
          <w:sz w:val="24"/>
          <w:szCs w:val="24"/>
        </w:rPr>
        <w:t xml:space="preserve">, 31(6), pp. 2544–2563. </w:t>
      </w:r>
      <w:hyperlink r:id="rId13" w:history="1">
        <w:r w:rsidRPr="007229A4">
          <w:rPr>
            <w:rStyle w:val="Hyperlink"/>
            <w:rFonts w:ascii="Arial" w:eastAsia="Times New Roman" w:hAnsi="Arial" w:cs="Arial"/>
            <w:sz w:val="24"/>
            <w:szCs w:val="24"/>
          </w:rPr>
          <w:t>https://doi.org/10.1108/ijchm-05-2018-0370</w:t>
        </w:r>
      </w:hyperlink>
      <w:r w:rsidRPr="007229A4">
        <w:rPr>
          <w:rFonts w:ascii="Arial" w:eastAsia="Times New Roman" w:hAnsi="Arial" w:cs="Arial"/>
          <w:sz w:val="24"/>
          <w:szCs w:val="24"/>
        </w:rPr>
        <w:t>.</w:t>
      </w:r>
    </w:p>
    <w:p w14:paraId="50410E8C"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Jones, P.G. and Wynn, M.G. (2022) 'The circular economy and natural capital in the tourism and hospitality industry,' </w:t>
      </w:r>
      <w:r w:rsidRPr="007229A4">
        <w:rPr>
          <w:rFonts w:ascii="Arial" w:eastAsia="Times New Roman" w:hAnsi="Arial" w:cs="Arial"/>
          <w:i/>
          <w:iCs/>
          <w:sz w:val="24"/>
          <w:szCs w:val="24"/>
        </w:rPr>
        <w:t>Circular Economy</w:t>
      </w:r>
      <w:r w:rsidRPr="007229A4">
        <w:rPr>
          <w:rFonts w:ascii="Arial" w:eastAsia="Times New Roman" w:hAnsi="Arial" w:cs="Arial"/>
          <w:sz w:val="24"/>
          <w:szCs w:val="24"/>
        </w:rPr>
        <w:t xml:space="preserve"> [Preprint]. </w:t>
      </w:r>
      <w:hyperlink r:id="rId14" w:history="1">
        <w:r w:rsidRPr="007229A4">
          <w:rPr>
            <w:rStyle w:val="Hyperlink"/>
            <w:rFonts w:ascii="Arial" w:eastAsia="Times New Roman" w:hAnsi="Arial" w:cs="Arial"/>
            <w:sz w:val="24"/>
            <w:szCs w:val="24"/>
          </w:rPr>
          <w:t>https://doi.org/10.55845/irvu6231</w:t>
        </w:r>
      </w:hyperlink>
      <w:r w:rsidRPr="007229A4">
        <w:rPr>
          <w:rFonts w:ascii="Arial" w:eastAsia="Times New Roman" w:hAnsi="Arial" w:cs="Arial"/>
          <w:sz w:val="24"/>
          <w:szCs w:val="24"/>
        </w:rPr>
        <w:t>.</w:t>
      </w:r>
    </w:p>
    <w:p w14:paraId="6AD7F7CF"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Kim, H., Li, J. and So, K.K.F. (2022) 'Enhancing consumer confidence and response efficacy in tourism: Typology and effectiveness of the hotel industry’s responses to </w:t>
      </w:r>
      <w:r w:rsidRPr="007229A4">
        <w:rPr>
          <w:rFonts w:ascii="Arial" w:eastAsia="Times New Roman" w:hAnsi="Arial" w:cs="Arial"/>
          <w:sz w:val="24"/>
          <w:szCs w:val="24"/>
        </w:rPr>
        <w:lastRenderedPageBreak/>
        <w:t xml:space="preserve">COVID-19,' </w:t>
      </w:r>
      <w:r w:rsidRPr="007229A4">
        <w:rPr>
          <w:rFonts w:ascii="Arial" w:eastAsia="Times New Roman" w:hAnsi="Arial" w:cs="Arial"/>
          <w:i/>
          <w:iCs/>
          <w:sz w:val="24"/>
          <w:szCs w:val="24"/>
        </w:rPr>
        <w:t>Journal of Travel Research</w:t>
      </w:r>
      <w:r w:rsidRPr="007229A4">
        <w:rPr>
          <w:rFonts w:ascii="Arial" w:eastAsia="Times New Roman" w:hAnsi="Arial" w:cs="Arial"/>
          <w:sz w:val="24"/>
          <w:szCs w:val="24"/>
        </w:rPr>
        <w:t xml:space="preserve">, 62(4), pp. 907–925. </w:t>
      </w:r>
      <w:hyperlink r:id="rId15" w:history="1">
        <w:r w:rsidRPr="007229A4">
          <w:rPr>
            <w:rStyle w:val="Hyperlink"/>
            <w:rFonts w:ascii="Arial" w:eastAsia="Times New Roman" w:hAnsi="Arial" w:cs="Arial"/>
            <w:sz w:val="24"/>
            <w:szCs w:val="24"/>
          </w:rPr>
          <w:t>https://doi.org/10.1177/00472875221095211</w:t>
        </w:r>
      </w:hyperlink>
      <w:r w:rsidRPr="007229A4">
        <w:rPr>
          <w:rFonts w:ascii="Arial" w:eastAsia="Times New Roman" w:hAnsi="Arial" w:cs="Arial"/>
          <w:sz w:val="24"/>
          <w:szCs w:val="24"/>
        </w:rPr>
        <w:t>.</w:t>
      </w:r>
    </w:p>
    <w:p w14:paraId="7A4ABB87"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Lăzăroiu</w:t>
      </w:r>
      <w:proofErr w:type="spellEnd"/>
      <w:r w:rsidRPr="007229A4">
        <w:rPr>
          <w:rFonts w:ascii="Arial" w:eastAsia="Times New Roman" w:hAnsi="Arial" w:cs="Arial"/>
          <w:sz w:val="24"/>
          <w:szCs w:val="24"/>
        </w:rPr>
        <w:t xml:space="preserve">, G. </w:t>
      </w:r>
      <w:r w:rsidRPr="007229A4">
        <w:rPr>
          <w:rFonts w:ascii="Arial" w:eastAsia="Times New Roman" w:hAnsi="Arial" w:cs="Arial"/>
          <w:i/>
          <w:iCs/>
          <w:sz w:val="24"/>
          <w:szCs w:val="24"/>
        </w:rPr>
        <w:t>et al.</w:t>
      </w:r>
      <w:r w:rsidRPr="007229A4">
        <w:rPr>
          <w:rFonts w:ascii="Arial" w:eastAsia="Times New Roman" w:hAnsi="Arial" w:cs="Arial"/>
          <w:sz w:val="24"/>
          <w:szCs w:val="24"/>
        </w:rPr>
        <w:t xml:space="preserve"> (2020) 'Environmentally Responsible Behavior and Sustainability Policy </w:t>
      </w:r>
      <w:r w:rsidR="0040092D">
        <w:rPr>
          <w:rFonts w:ascii="Arial" w:eastAsia="Times New Roman" w:hAnsi="Arial" w:cs="Arial"/>
          <w:sz w:val="24"/>
          <w:szCs w:val="24"/>
        </w:rPr>
        <w:t>A</w:t>
      </w:r>
      <w:r w:rsidRPr="007229A4">
        <w:rPr>
          <w:rFonts w:ascii="Arial" w:eastAsia="Times New Roman" w:hAnsi="Arial" w:cs="Arial"/>
          <w:sz w:val="24"/>
          <w:szCs w:val="24"/>
        </w:rPr>
        <w:t xml:space="preserve">doption in </w:t>
      </w:r>
      <w:r w:rsidR="0040092D">
        <w:rPr>
          <w:rFonts w:ascii="Arial" w:eastAsia="Times New Roman" w:hAnsi="Arial" w:cs="Arial"/>
          <w:sz w:val="24"/>
          <w:szCs w:val="24"/>
        </w:rPr>
        <w:t>Green Public P</w:t>
      </w:r>
      <w:r w:rsidRPr="007229A4">
        <w:rPr>
          <w:rFonts w:ascii="Arial" w:eastAsia="Times New Roman" w:hAnsi="Arial" w:cs="Arial"/>
          <w:sz w:val="24"/>
          <w:szCs w:val="24"/>
        </w:rPr>
        <w:t xml:space="preserve">rocurement,' </w:t>
      </w:r>
      <w:r w:rsidRPr="007229A4">
        <w:rPr>
          <w:rFonts w:ascii="Arial" w:eastAsia="Times New Roman" w:hAnsi="Arial" w:cs="Arial"/>
          <w:i/>
          <w:iCs/>
          <w:sz w:val="24"/>
          <w:szCs w:val="24"/>
        </w:rPr>
        <w:t>Sustainability</w:t>
      </w:r>
      <w:r w:rsidRPr="007229A4">
        <w:rPr>
          <w:rFonts w:ascii="Arial" w:eastAsia="Times New Roman" w:hAnsi="Arial" w:cs="Arial"/>
          <w:sz w:val="24"/>
          <w:szCs w:val="24"/>
        </w:rPr>
        <w:t xml:space="preserve">, 12(5), p. 2110. </w:t>
      </w:r>
      <w:hyperlink r:id="rId16" w:history="1">
        <w:r w:rsidRPr="007229A4">
          <w:rPr>
            <w:rStyle w:val="Hyperlink"/>
            <w:rFonts w:ascii="Arial" w:eastAsia="Times New Roman" w:hAnsi="Arial" w:cs="Arial"/>
            <w:sz w:val="24"/>
            <w:szCs w:val="24"/>
          </w:rPr>
          <w:t>https://doi.org/10.3390/su12052110</w:t>
        </w:r>
      </w:hyperlink>
      <w:r w:rsidRPr="007229A4">
        <w:rPr>
          <w:rFonts w:ascii="Arial" w:eastAsia="Times New Roman" w:hAnsi="Arial" w:cs="Arial"/>
          <w:sz w:val="24"/>
          <w:szCs w:val="24"/>
        </w:rPr>
        <w:t xml:space="preserve">. </w:t>
      </w:r>
    </w:p>
    <w:p w14:paraId="20092980"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Legrand, W., Sloan, P. and Chen, J. (2016) </w:t>
      </w:r>
      <w:r w:rsidRPr="007229A4">
        <w:rPr>
          <w:rFonts w:ascii="Arial" w:eastAsia="Times New Roman" w:hAnsi="Arial" w:cs="Arial"/>
          <w:i/>
          <w:iCs/>
          <w:sz w:val="24"/>
          <w:szCs w:val="24"/>
        </w:rPr>
        <w:t>Sustainability in the Hospitality Industry: Principles of sustainable operations</w:t>
      </w:r>
      <w:r w:rsidRPr="007229A4">
        <w:rPr>
          <w:rFonts w:ascii="Arial" w:eastAsia="Times New Roman" w:hAnsi="Arial" w:cs="Arial"/>
          <w:sz w:val="24"/>
          <w:szCs w:val="24"/>
        </w:rPr>
        <w:t xml:space="preserve">. </w:t>
      </w:r>
      <w:hyperlink r:id="rId17" w:history="1">
        <w:r w:rsidRPr="007229A4">
          <w:rPr>
            <w:rStyle w:val="Hyperlink"/>
            <w:rFonts w:ascii="Arial" w:eastAsia="Times New Roman" w:hAnsi="Arial" w:cs="Arial"/>
            <w:sz w:val="24"/>
            <w:szCs w:val="24"/>
          </w:rPr>
          <w:t>https://ci.nii.ac.jp/ncid/BB11291992</w:t>
        </w:r>
      </w:hyperlink>
      <w:r w:rsidRPr="007229A4">
        <w:rPr>
          <w:rFonts w:ascii="Arial" w:eastAsia="Times New Roman" w:hAnsi="Arial" w:cs="Arial"/>
          <w:sz w:val="24"/>
          <w:szCs w:val="24"/>
        </w:rPr>
        <w:t>.</w:t>
      </w:r>
    </w:p>
    <w:p w14:paraId="1A89C5EE"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Marriott International (2021) </w:t>
      </w:r>
      <w:r w:rsidRPr="007229A4">
        <w:rPr>
          <w:rFonts w:ascii="Arial" w:eastAsia="Times New Roman" w:hAnsi="Arial" w:cs="Arial"/>
          <w:i/>
          <w:iCs/>
          <w:sz w:val="24"/>
          <w:szCs w:val="24"/>
        </w:rPr>
        <w:t>Marriott International announces ambition to go Net-Zero</w:t>
      </w:r>
      <w:r w:rsidRPr="007229A4">
        <w:rPr>
          <w:rFonts w:ascii="Arial" w:eastAsia="Times New Roman" w:hAnsi="Arial" w:cs="Arial"/>
          <w:sz w:val="24"/>
          <w:szCs w:val="24"/>
        </w:rPr>
        <w:t xml:space="preserve">. </w:t>
      </w:r>
      <w:hyperlink r:id="rId18" w:history="1">
        <w:r w:rsidRPr="007229A4">
          <w:rPr>
            <w:rStyle w:val="Hyperlink"/>
            <w:rFonts w:ascii="Arial" w:eastAsia="Times New Roman" w:hAnsi="Arial" w:cs="Arial"/>
            <w:sz w:val="24"/>
            <w:szCs w:val="24"/>
          </w:rPr>
          <w:t>https://news.marriott.com/news/2021/09/22/marriott-international-announces-ambition-to-go-net-zero</w:t>
        </w:r>
      </w:hyperlink>
      <w:r w:rsidRPr="007229A4">
        <w:rPr>
          <w:rFonts w:ascii="Arial" w:eastAsia="Times New Roman" w:hAnsi="Arial" w:cs="Arial"/>
          <w:sz w:val="24"/>
          <w:szCs w:val="24"/>
        </w:rPr>
        <w:t>.</w:t>
      </w:r>
    </w:p>
    <w:p w14:paraId="327AF84E"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Marriott International (2022) </w:t>
      </w:r>
      <w:r w:rsidRPr="007229A4">
        <w:rPr>
          <w:rFonts w:ascii="Arial" w:eastAsia="Times New Roman" w:hAnsi="Arial" w:cs="Arial"/>
          <w:i/>
          <w:iCs/>
          <w:sz w:val="24"/>
          <w:szCs w:val="24"/>
        </w:rPr>
        <w:t>2018 Serve 360 Report: Sustainability and Social Impact at Marriott International</w:t>
      </w:r>
      <w:r w:rsidRPr="007229A4">
        <w:rPr>
          <w:rFonts w:ascii="Arial" w:eastAsia="Times New Roman" w:hAnsi="Arial" w:cs="Arial"/>
          <w:sz w:val="24"/>
          <w:szCs w:val="24"/>
        </w:rPr>
        <w:t xml:space="preserve">. </w:t>
      </w:r>
      <w:hyperlink r:id="rId19" w:history="1">
        <w:r w:rsidRPr="007229A4">
          <w:rPr>
            <w:rStyle w:val="Hyperlink"/>
            <w:rFonts w:ascii="Arial" w:eastAsia="Times New Roman" w:hAnsi="Arial" w:cs="Arial"/>
            <w:sz w:val="24"/>
            <w:szCs w:val="24"/>
          </w:rPr>
          <w:t>http://serve360.marriott.com/wp-content/uploads/2018/10/2018_Serve_360_Report.pdf</w:t>
        </w:r>
      </w:hyperlink>
      <w:r w:rsidRPr="007229A4">
        <w:rPr>
          <w:rFonts w:ascii="Arial" w:eastAsia="Times New Roman" w:hAnsi="Arial" w:cs="Arial"/>
          <w:sz w:val="24"/>
          <w:szCs w:val="24"/>
        </w:rPr>
        <w:t>.</w:t>
      </w:r>
    </w:p>
    <w:p w14:paraId="32948EB2"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Marriott International Serve360 (2023) </w:t>
      </w:r>
      <w:r w:rsidRPr="007229A4">
        <w:rPr>
          <w:rFonts w:ascii="Arial" w:eastAsia="Times New Roman" w:hAnsi="Arial" w:cs="Arial"/>
          <w:i/>
          <w:iCs/>
          <w:sz w:val="24"/>
          <w:szCs w:val="24"/>
        </w:rPr>
        <w:t>Sustainable Goals</w:t>
      </w:r>
      <w:r w:rsidRPr="007229A4">
        <w:rPr>
          <w:rFonts w:ascii="Arial" w:eastAsia="Times New Roman" w:hAnsi="Arial" w:cs="Arial"/>
          <w:sz w:val="24"/>
          <w:szCs w:val="24"/>
        </w:rPr>
        <w:t xml:space="preserve">. </w:t>
      </w:r>
      <w:hyperlink r:id="rId20" w:history="1">
        <w:r w:rsidRPr="007229A4">
          <w:rPr>
            <w:rStyle w:val="Hyperlink"/>
            <w:rFonts w:ascii="Arial" w:eastAsia="Times New Roman" w:hAnsi="Arial" w:cs="Arial"/>
            <w:sz w:val="24"/>
            <w:szCs w:val="24"/>
          </w:rPr>
          <w:t>https://serve360.marriott.com/sustainable-goals/</w:t>
        </w:r>
      </w:hyperlink>
      <w:r w:rsidRPr="007229A4">
        <w:rPr>
          <w:rFonts w:ascii="Arial" w:eastAsia="Times New Roman" w:hAnsi="Arial" w:cs="Arial"/>
          <w:sz w:val="24"/>
          <w:szCs w:val="24"/>
        </w:rPr>
        <w:t>.</w:t>
      </w:r>
    </w:p>
    <w:p w14:paraId="08330BA6"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Morseletto</w:t>
      </w:r>
      <w:proofErr w:type="spellEnd"/>
      <w:r w:rsidRPr="007229A4">
        <w:rPr>
          <w:rFonts w:ascii="Arial" w:eastAsia="Times New Roman" w:hAnsi="Arial" w:cs="Arial"/>
          <w:sz w:val="24"/>
          <w:szCs w:val="24"/>
        </w:rPr>
        <w:t xml:space="preserve">, P. (2020) 'Restorative and regenerative: Exploring the concepts in the circular economy,' </w:t>
      </w:r>
      <w:r w:rsidRPr="007229A4">
        <w:rPr>
          <w:rFonts w:ascii="Arial" w:eastAsia="Times New Roman" w:hAnsi="Arial" w:cs="Arial"/>
          <w:i/>
          <w:iCs/>
          <w:sz w:val="24"/>
          <w:szCs w:val="24"/>
        </w:rPr>
        <w:t>Journal of Industrial Ecology</w:t>
      </w:r>
      <w:r w:rsidRPr="007229A4">
        <w:rPr>
          <w:rFonts w:ascii="Arial" w:eastAsia="Times New Roman" w:hAnsi="Arial" w:cs="Arial"/>
          <w:sz w:val="24"/>
          <w:szCs w:val="24"/>
        </w:rPr>
        <w:t xml:space="preserve">, 24(4), pp. 763–773. </w:t>
      </w:r>
      <w:hyperlink r:id="rId21" w:history="1">
        <w:r w:rsidRPr="007229A4">
          <w:rPr>
            <w:rStyle w:val="Hyperlink"/>
            <w:rFonts w:ascii="Arial" w:eastAsia="Times New Roman" w:hAnsi="Arial" w:cs="Arial"/>
            <w:sz w:val="24"/>
            <w:szCs w:val="24"/>
          </w:rPr>
          <w:t>https://doi.org/10.1111/jiec.12987</w:t>
        </w:r>
      </w:hyperlink>
      <w:r w:rsidRPr="007229A4">
        <w:rPr>
          <w:rFonts w:ascii="Arial" w:eastAsia="Times New Roman" w:hAnsi="Arial" w:cs="Arial"/>
          <w:sz w:val="24"/>
          <w:szCs w:val="24"/>
        </w:rPr>
        <w:t>.</w:t>
      </w:r>
    </w:p>
    <w:p w14:paraId="29528FA3"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t>Mtapuri</w:t>
      </w:r>
      <w:proofErr w:type="spellEnd"/>
      <w:r w:rsidRPr="007229A4">
        <w:rPr>
          <w:rFonts w:ascii="Arial" w:eastAsia="Times New Roman" w:hAnsi="Arial" w:cs="Arial"/>
          <w:sz w:val="24"/>
          <w:szCs w:val="24"/>
        </w:rPr>
        <w:t xml:space="preserve">, O., Camilleri, M.A. and </w:t>
      </w:r>
      <w:proofErr w:type="spellStart"/>
      <w:r w:rsidRPr="007229A4">
        <w:rPr>
          <w:rFonts w:ascii="Arial" w:eastAsia="Times New Roman" w:hAnsi="Arial" w:cs="Arial"/>
          <w:sz w:val="24"/>
          <w:szCs w:val="24"/>
        </w:rPr>
        <w:t>Dłużewska</w:t>
      </w:r>
      <w:proofErr w:type="spellEnd"/>
      <w:r w:rsidRPr="007229A4">
        <w:rPr>
          <w:rFonts w:ascii="Arial" w:eastAsia="Times New Roman" w:hAnsi="Arial" w:cs="Arial"/>
          <w:sz w:val="24"/>
          <w:szCs w:val="24"/>
        </w:rPr>
        <w:t>, A. (2021) 'Advancing community</w:t>
      </w:r>
      <w:r w:rsidRPr="007229A4">
        <w:rPr>
          <w:rFonts w:ascii="Cambria Math" w:eastAsia="Times New Roman" w:hAnsi="Cambria Math" w:cs="Cambria Math"/>
          <w:sz w:val="24"/>
          <w:szCs w:val="24"/>
        </w:rPr>
        <w:t>‐</w:t>
      </w:r>
      <w:r w:rsidRPr="007229A4">
        <w:rPr>
          <w:rFonts w:ascii="Arial" w:eastAsia="Times New Roman" w:hAnsi="Arial" w:cs="Arial"/>
          <w:sz w:val="24"/>
          <w:szCs w:val="24"/>
        </w:rPr>
        <w:t xml:space="preserve">based tourism approaches for the sustainable development of destinations,' </w:t>
      </w:r>
      <w:r w:rsidRPr="007229A4">
        <w:rPr>
          <w:rFonts w:ascii="Arial" w:eastAsia="Times New Roman" w:hAnsi="Arial" w:cs="Arial"/>
          <w:i/>
          <w:iCs/>
          <w:sz w:val="24"/>
          <w:szCs w:val="24"/>
        </w:rPr>
        <w:t>Sustainable Development</w:t>
      </w:r>
      <w:r w:rsidRPr="007229A4">
        <w:rPr>
          <w:rFonts w:ascii="Arial" w:eastAsia="Times New Roman" w:hAnsi="Arial" w:cs="Arial"/>
          <w:sz w:val="24"/>
          <w:szCs w:val="24"/>
        </w:rPr>
        <w:t xml:space="preserve">, 30(3), pp. 423–432. </w:t>
      </w:r>
      <w:hyperlink r:id="rId22" w:history="1">
        <w:r w:rsidRPr="007229A4">
          <w:rPr>
            <w:rStyle w:val="Hyperlink"/>
            <w:rFonts w:ascii="Arial" w:eastAsia="Times New Roman" w:hAnsi="Arial" w:cs="Arial"/>
            <w:sz w:val="24"/>
            <w:szCs w:val="24"/>
          </w:rPr>
          <w:t>https://doi.org/10.1002/sd.2257</w:t>
        </w:r>
      </w:hyperlink>
      <w:r w:rsidRPr="007229A4">
        <w:rPr>
          <w:rFonts w:ascii="Arial" w:eastAsia="Times New Roman" w:hAnsi="Arial" w:cs="Arial"/>
          <w:sz w:val="24"/>
          <w:szCs w:val="24"/>
        </w:rPr>
        <w:t>.</w:t>
      </w:r>
    </w:p>
    <w:p w14:paraId="5F5D19C2"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Rashid, S. and Malik, S. (2023) 'Transition from a Linear to a Circular Economy,' in </w:t>
      </w:r>
      <w:r w:rsidRPr="007229A4">
        <w:rPr>
          <w:rFonts w:ascii="Arial" w:eastAsia="Times New Roman" w:hAnsi="Arial" w:cs="Arial"/>
          <w:i/>
          <w:iCs/>
          <w:sz w:val="24"/>
          <w:szCs w:val="24"/>
        </w:rPr>
        <w:t>Springer eBooks</w:t>
      </w:r>
      <w:r w:rsidRPr="007229A4">
        <w:rPr>
          <w:rFonts w:ascii="Arial" w:eastAsia="Times New Roman" w:hAnsi="Arial" w:cs="Arial"/>
          <w:sz w:val="24"/>
          <w:szCs w:val="24"/>
        </w:rPr>
        <w:t xml:space="preserve">, pp. 1–20. </w:t>
      </w:r>
      <w:hyperlink r:id="rId23" w:history="1">
        <w:r w:rsidRPr="007229A4">
          <w:rPr>
            <w:rStyle w:val="Hyperlink"/>
            <w:rFonts w:ascii="Arial" w:eastAsia="Times New Roman" w:hAnsi="Arial" w:cs="Arial"/>
            <w:sz w:val="24"/>
            <w:szCs w:val="24"/>
          </w:rPr>
          <w:t>https://doi.org/10.1007/978-3-031-42220-1_1</w:t>
        </w:r>
      </w:hyperlink>
      <w:r w:rsidRPr="007229A4">
        <w:rPr>
          <w:rFonts w:ascii="Arial" w:eastAsia="Times New Roman" w:hAnsi="Arial" w:cs="Arial"/>
          <w:sz w:val="24"/>
          <w:szCs w:val="24"/>
        </w:rPr>
        <w:t>.</w:t>
      </w:r>
    </w:p>
    <w:p w14:paraId="11B21480"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 xml:space="preserve">Silverstein, K. (2023) </w:t>
      </w:r>
      <w:proofErr w:type="spellStart"/>
      <w:r w:rsidRPr="007229A4">
        <w:rPr>
          <w:rFonts w:ascii="Arial" w:eastAsia="Times New Roman" w:hAnsi="Arial" w:cs="Arial"/>
          <w:i/>
          <w:iCs/>
          <w:sz w:val="24"/>
          <w:szCs w:val="24"/>
        </w:rPr>
        <w:t>Environment+Energy</w:t>
      </w:r>
      <w:proofErr w:type="spellEnd"/>
      <w:r w:rsidRPr="007229A4">
        <w:rPr>
          <w:rFonts w:ascii="Arial" w:eastAsia="Times New Roman" w:hAnsi="Arial" w:cs="Arial"/>
          <w:i/>
          <w:iCs/>
          <w:sz w:val="24"/>
          <w:szCs w:val="24"/>
        </w:rPr>
        <w:t xml:space="preserve"> Leader</w:t>
      </w:r>
      <w:r w:rsidRPr="007229A4">
        <w:rPr>
          <w:rFonts w:ascii="Arial" w:eastAsia="Times New Roman" w:hAnsi="Arial" w:cs="Arial"/>
          <w:sz w:val="24"/>
          <w:szCs w:val="24"/>
        </w:rPr>
        <w:t xml:space="preserve">. </w:t>
      </w:r>
      <w:hyperlink r:id="rId24" w:history="1">
        <w:r w:rsidRPr="007229A4">
          <w:rPr>
            <w:rStyle w:val="Hyperlink"/>
            <w:rFonts w:ascii="Arial" w:eastAsia="Times New Roman" w:hAnsi="Arial" w:cs="Arial"/>
            <w:sz w:val="24"/>
            <w:szCs w:val="24"/>
          </w:rPr>
          <w:t>https://www.environmentenergyleader.com/2022/07/marriott-is-an-environmental-leader-reducing-water-and-energy-use-by-double-digits/</w:t>
        </w:r>
      </w:hyperlink>
      <w:r w:rsidRPr="007229A4">
        <w:rPr>
          <w:rFonts w:ascii="Arial" w:eastAsia="Times New Roman" w:hAnsi="Arial" w:cs="Arial"/>
          <w:sz w:val="24"/>
          <w:szCs w:val="24"/>
        </w:rPr>
        <w:t>.</w:t>
      </w:r>
    </w:p>
    <w:p w14:paraId="77C930FD"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r w:rsidRPr="007229A4">
        <w:rPr>
          <w:rFonts w:ascii="Arial" w:eastAsia="Times New Roman" w:hAnsi="Arial" w:cs="Arial"/>
          <w:sz w:val="24"/>
          <w:szCs w:val="24"/>
        </w:rPr>
        <w:t>Suárez-</w:t>
      </w:r>
      <w:proofErr w:type="spellStart"/>
      <w:r w:rsidRPr="007229A4">
        <w:rPr>
          <w:rFonts w:ascii="Arial" w:eastAsia="Times New Roman" w:hAnsi="Arial" w:cs="Arial"/>
          <w:sz w:val="24"/>
          <w:szCs w:val="24"/>
        </w:rPr>
        <w:t>Eiroa</w:t>
      </w:r>
      <w:proofErr w:type="spellEnd"/>
      <w:r w:rsidRPr="007229A4">
        <w:rPr>
          <w:rFonts w:ascii="Arial" w:eastAsia="Times New Roman" w:hAnsi="Arial" w:cs="Arial"/>
          <w:sz w:val="24"/>
          <w:szCs w:val="24"/>
        </w:rPr>
        <w:t xml:space="preserve">, B. </w:t>
      </w:r>
      <w:r w:rsidRPr="007229A4">
        <w:rPr>
          <w:rFonts w:ascii="Arial" w:eastAsia="Times New Roman" w:hAnsi="Arial" w:cs="Arial"/>
          <w:i/>
          <w:iCs/>
          <w:sz w:val="24"/>
          <w:szCs w:val="24"/>
        </w:rPr>
        <w:t>et al.</w:t>
      </w:r>
      <w:r w:rsidRPr="007229A4">
        <w:rPr>
          <w:rFonts w:ascii="Arial" w:eastAsia="Times New Roman" w:hAnsi="Arial" w:cs="Arial"/>
          <w:sz w:val="24"/>
          <w:szCs w:val="24"/>
        </w:rPr>
        <w:t xml:space="preserve"> (2019) 'Operational principles of circular economy for sustainable development: Linking theory and practice,' </w:t>
      </w:r>
      <w:r w:rsidRPr="007229A4">
        <w:rPr>
          <w:rFonts w:ascii="Arial" w:eastAsia="Times New Roman" w:hAnsi="Arial" w:cs="Arial"/>
          <w:i/>
          <w:iCs/>
          <w:sz w:val="24"/>
          <w:szCs w:val="24"/>
        </w:rPr>
        <w:t>Journal of Cleaner Production</w:t>
      </w:r>
      <w:r w:rsidRPr="007229A4">
        <w:rPr>
          <w:rFonts w:ascii="Arial" w:eastAsia="Times New Roman" w:hAnsi="Arial" w:cs="Arial"/>
          <w:sz w:val="24"/>
          <w:szCs w:val="24"/>
        </w:rPr>
        <w:t xml:space="preserve">, 214, pp. 952–961. </w:t>
      </w:r>
      <w:hyperlink r:id="rId25" w:history="1">
        <w:r w:rsidRPr="007229A4">
          <w:rPr>
            <w:rStyle w:val="Hyperlink"/>
            <w:rFonts w:ascii="Arial" w:eastAsia="Times New Roman" w:hAnsi="Arial" w:cs="Arial"/>
            <w:sz w:val="24"/>
            <w:szCs w:val="24"/>
          </w:rPr>
          <w:t>https://doi.org/10.1016/j.jclepro.2018.12.271</w:t>
        </w:r>
      </w:hyperlink>
      <w:r w:rsidRPr="007229A4">
        <w:rPr>
          <w:rFonts w:ascii="Arial" w:eastAsia="Times New Roman" w:hAnsi="Arial" w:cs="Arial"/>
          <w:sz w:val="24"/>
          <w:szCs w:val="24"/>
        </w:rPr>
        <w:t>.</w:t>
      </w:r>
    </w:p>
    <w:p w14:paraId="7C69467A" w14:textId="77777777" w:rsidR="00E960D8" w:rsidRPr="007229A4" w:rsidRDefault="00E960D8" w:rsidP="007229A4">
      <w:pPr>
        <w:spacing w:after="0" w:line="360" w:lineRule="auto"/>
        <w:ind w:left="567" w:hanging="567"/>
        <w:contextualSpacing/>
        <w:rPr>
          <w:rFonts w:ascii="Arial" w:eastAsia="Times New Roman" w:hAnsi="Arial" w:cs="Arial"/>
          <w:sz w:val="24"/>
          <w:szCs w:val="24"/>
        </w:rPr>
      </w:pPr>
      <w:proofErr w:type="spellStart"/>
      <w:r w:rsidRPr="007229A4">
        <w:rPr>
          <w:rFonts w:ascii="Arial" w:eastAsia="Times New Roman" w:hAnsi="Arial" w:cs="Arial"/>
          <w:sz w:val="24"/>
          <w:szCs w:val="24"/>
        </w:rPr>
        <w:lastRenderedPageBreak/>
        <w:t>Zientara</w:t>
      </w:r>
      <w:proofErr w:type="spellEnd"/>
      <w:r w:rsidRPr="007229A4">
        <w:rPr>
          <w:rFonts w:ascii="Arial" w:eastAsia="Times New Roman" w:hAnsi="Arial" w:cs="Arial"/>
          <w:sz w:val="24"/>
          <w:szCs w:val="24"/>
        </w:rPr>
        <w:t xml:space="preserve">, P. </w:t>
      </w:r>
      <w:r w:rsidRPr="007229A4">
        <w:rPr>
          <w:rFonts w:ascii="Arial" w:eastAsia="Times New Roman" w:hAnsi="Arial" w:cs="Arial"/>
          <w:i/>
          <w:iCs/>
          <w:sz w:val="24"/>
          <w:szCs w:val="24"/>
        </w:rPr>
        <w:t>et al.</w:t>
      </w:r>
      <w:r w:rsidRPr="007229A4">
        <w:rPr>
          <w:rFonts w:ascii="Arial" w:eastAsia="Times New Roman" w:hAnsi="Arial" w:cs="Arial"/>
          <w:sz w:val="24"/>
          <w:szCs w:val="24"/>
        </w:rPr>
        <w:t xml:space="preserve"> (2020) 'A case study of </w:t>
      </w:r>
      <w:proofErr w:type="spellStart"/>
      <w:r w:rsidRPr="007229A4">
        <w:rPr>
          <w:rFonts w:ascii="Arial" w:eastAsia="Times New Roman" w:hAnsi="Arial" w:cs="Arial"/>
          <w:sz w:val="24"/>
          <w:szCs w:val="24"/>
        </w:rPr>
        <w:t>LightStay</w:t>
      </w:r>
      <w:proofErr w:type="spellEnd"/>
      <w:r w:rsidRPr="007229A4">
        <w:rPr>
          <w:rFonts w:ascii="Arial" w:eastAsia="Times New Roman" w:hAnsi="Arial" w:cs="Arial"/>
          <w:sz w:val="24"/>
          <w:szCs w:val="24"/>
        </w:rPr>
        <w:t xml:space="preserve"> (2010–2017)—Hilton’s Corporate Responsibility Management system,' </w:t>
      </w:r>
      <w:r w:rsidRPr="007229A4">
        <w:rPr>
          <w:rFonts w:ascii="Arial" w:eastAsia="Times New Roman" w:hAnsi="Arial" w:cs="Arial"/>
          <w:i/>
          <w:iCs/>
          <w:sz w:val="24"/>
          <w:szCs w:val="24"/>
        </w:rPr>
        <w:t>Energies</w:t>
      </w:r>
      <w:r w:rsidRPr="007229A4">
        <w:rPr>
          <w:rFonts w:ascii="Arial" w:eastAsia="Times New Roman" w:hAnsi="Arial" w:cs="Arial"/>
          <w:sz w:val="24"/>
          <w:szCs w:val="24"/>
        </w:rPr>
        <w:t xml:space="preserve">, 13(9), p. 2303. </w:t>
      </w:r>
      <w:hyperlink r:id="rId26" w:history="1">
        <w:r w:rsidRPr="007229A4">
          <w:rPr>
            <w:rStyle w:val="Hyperlink"/>
            <w:rFonts w:ascii="Arial" w:eastAsia="Times New Roman" w:hAnsi="Arial" w:cs="Arial"/>
            <w:sz w:val="24"/>
            <w:szCs w:val="24"/>
          </w:rPr>
          <w:t>https://doi.org/10.3390/en13092303</w:t>
        </w:r>
      </w:hyperlink>
      <w:r w:rsidRPr="007229A4">
        <w:rPr>
          <w:rFonts w:ascii="Arial" w:eastAsia="Times New Roman" w:hAnsi="Arial" w:cs="Arial"/>
          <w:sz w:val="24"/>
          <w:szCs w:val="24"/>
        </w:rPr>
        <w:t xml:space="preserve">. </w:t>
      </w:r>
    </w:p>
    <w:p w14:paraId="6DC1BE2A" w14:textId="77777777" w:rsidR="00E960D8" w:rsidRPr="007229A4" w:rsidRDefault="00E960D8" w:rsidP="007229A4">
      <w:pPr>
        <w:spacing w:line="360" w:lineRule="auto"/>
        <w:contextualSpacing/>
        <w:rPr>
          <w:rFonts w:ascii="Arial" w:hAnsi="Arial" w:cs="Arial"/>
          <w:sz w:val="24"/>
          <w:szCs w:val="24"/>
        </w:rPr>
      </w:pPr>
    </w:p>
    <w:sectPr w:rsidR="00E960D8" w:rsidRPr="007229A4">
      <w:head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53478" w14:textId="77777777" w:rsidR="00797E3A" w:rsidRDefault="00797E3A" w:rsidP="00F16DEF">
      <w:pPr>
        <w:spacing w:after="0" w:line="240" w:lineRule="auto"/>
      </w:pPr>
      <w:r>
        <w:separator/>
      </w:r>
    </w:p>
  </w:endnote>
  <w:endnote w:type="continuationSeparator" w:id="0">
    <w:p w14:paraId="7F2DC519" w14:textId="77777777" w:rsidR="00797E3A" w:rsidRDefault="00797E3A" w:rsidP="00F16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7C869" w14:textId="77777777" w:rsidR="00797E3A" w:rsidRDefault="00797E3A" w:rsidP="00F16DEF">
      <w:pPr>
        <w:spacing w:after="0" w:line="240" w:lineRule="auto"/>
      </w:pPr>
      <w:r>
        <w:separator/>
      </w:r>
    </w:p>
  </w:footnote>
  <w:footnote w:type="continuationSeparator" w:id="0">
    <w:p w14:paraId="711527F9" w14:textId="77777777" w:rsidR="00797E3A" w:rsidRDefault="00797E3A" w:rsidP="00F16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0D290" w14:textId="55737FA4" w:rsidR="00C159D3" w:rsidRPr="00233B98" w:rsidRDefault="00C159D3" w:rsidP="00233B98">
    <w:pPr>
      <w:pStyle w:val="Header"/>
      <w:spacing w:line="360" w:lineRule="auto"/>
      <w:jc w:val="right"/>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B4AB1"/>
    <w:multiLevelType w:val="multilevel"/>
    <w:tmpl w:val="4A38C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033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3NzAzMTUwszQ2sTRS0lEKTi0uzszPAykwqgUANKrEXCwAAAA="/>
  </w:docVars>
  <w:rsids>
    <w:rsidRoot w:val="00B8158D"/>
    <w:rsid w:val="00044FFD"/>
    <w:rsid w:val="00070581"/>
    <w:rsid w:val="000B0C69"/>
    <w:rsid w:val="000E051A"/>
    <w:rsid w:val="001207DF"/>
    <w:rsid w:val="001F2C18"/>
    <w:rsid w:val="00223224"/>
    <w:rsid w:val="00226DB4"/>
    <w:rsid w:val="00233B98"/>
    <w:rsid w:val="00235BA6"/>
    <w:rsid w:val="002B3DF9"/>
    <w:rsid w:val="00341312"/>
    <w:rsid w:val="00342684"/>
    <w:rsid w:val="0038029A"/>
    <w:rsid w:val="0040092D"/>
    <w:rsid w:val="004058DF"/>
    <w:rsid w:val="004936E8"/>
    <w:rsid w:val="004B5A7C"/>
    <w:rsid w:val="00540FB6"/>
    <w:rsid w:val="005B6C23"/>
    <w:rsid w:val="005C22D8"/>
    <w:rsid w:val="005C5770"/>
    <w:rsid w:val="006261F5"/>
    <w:rsid w:val="00664F0C"/>
    <w:rsid w:val="006904CB"/>
    <w:rsid w:val="006A5AEC"/>
    <w:rsid w:val="006F1A01"/>
    <w:rsid w:val="007229A4"/>
    <w:rsid w:val="00773A43"/>
    <w:rsid w:val="00797E3A"/>
    <w:rsid w:val="007B41D2"/>
    <w:rsid w:val="007C3569"/>
    <w:rsid w:val="008647C0"/>
    <w:rsid w:val="008717F6"/>
    <w:rsid w:val="00980182"/>
    <w:rsid w:val="00AD1A2F"/>
    <w:rsid w:val="00B24174"/>
    <w:rsid w:val="00B55626"/>
    <w:rsid w:val="00B8158D"/>
    <w:rsid w:val="00B9085E"/>
    <w:rsid w:val="00BF6B11"/>
    <w:rsid w:val="00C159D3"/>
    <w:rsid w:val="00C71B7C"/>
    <w:rsid w:val="00C7581B"/>
    <w:rsid w:val="00CD7B00"/>
    <w:rsid w:val="00D007B9"/>
    <w:rsid w:val="00D36409"/>
    <w:rsid w:val="00D36C06"/>
    <w:rsid w:val="00D81FD6"/>
    <w:rsid w:val="00E960D8"/>
    <w:rsid w:val="00F16DEF"/>
    <w:rsid w:val="00F253DE"/>
    <w:rsid w:val="00F37BDE"/>
    <w:rsid w:val="00F41761"/>
    <w:rsid w:val="00F85EFC"/>
    <w:rsid w:val="00FA7FB5"/>
    <w:rsid w:val="00FD3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901E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D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DEF"/>
  </w:style>
  <w:style w:type="paragraph" w:styleId="Footer">
    <w:name w:val="footer"/>
    <w:basedOn w:val="Normal"/>
    <w:link w:val="FooterChar"/>
    <w:uiPriority w:val="99"/>
    <w:unhideWhenUsed/>
    <w:rsid w:val="00F16D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DEF"/>
  </w:style>
  <w:style w:type="paragraph" w:styleId="NormalWeb">
    <w:name w:val="Normal (Web)"/>
    <w:basedOn w:val="Normal"/>
    <w:uiPriority w:val="99"/>
    <w:semiHidden/>
    <w:unhideWhenUsed/>
    <w:rsid w:val="00C7581B"/>
    <w:rPr>
      <w:rFonts w:ascii="Times New Roman" w:hAnsi="Times New Roman" w:cs="Times New Roman"/>
      <w:sz w:val="24"/>
      <w:szCs w:val="24"/>
    </w:rPr>
  </w:style>
  <w:style w:type="character" w:styleId="Hyperlink">
    <w:name w:val="Hyperlink"/>
    <w:basedOn w:val="DefaultParagraphFont"/>
    <w:uiPriority w:val="99"/>
    <w:unhideWhenUsed/>
    <w:rsid w:val="00E960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14912">
      <w:bodyDiv w:val="1"/>
      <w:marLeft w:val="0"/>
      <w:marRight w:val="0"/>
      <w:marTop w:val="0"/>
      <w:marBottom w:val="0"/>
      <w:divBdr>
        <w:top w:val="none" w:sz="0" w:space="0" w:color="auto"/>
        <w:left w:val="none" w:sz="0" w:space="0" w:color="auto"/>
        <w:bottom w:val="none" w:sz="0" w:space="0" w:color="auto"/>
        <w:right w:val="none" w:sz="0" w:space="0" w:color="auto"/>
      </w:divBdr>
    </w:div>
    <w:div w:id="1308893838">
      <w:bodyDiv w:val="1"/>
      <w:marLeft w:val="0"/>
      <w:marRight w:val="0"/>
      <w:marTop w:val="0"/>
      <w:marBottom w:val="0"/>
      <w:divBdr>
        <w:top w:val="none" w:sz="0" w:space="0" w:color="auto"/>
        <w:left w:val="none" w:sz="0" w:space="0" w:color="auto"/>
        <w:bottom w:val="none" w:sz="0" w:space="0" w:color="auto"/>
        <w:right w:val="none" w:sz="0" w:space="0" w:color="auto"/>
      </w:divBdr>
    </w:div>
    <w:div w:id="1559050083">
      <w:bodyDiv w:val="1"/>
      <w:marLeft w:val="0"/>
      <w:marRight w:val="0"/>
      <w:marTop w:val="0"/>
      <w:marBottom w:val="0"/>
      <w:divBdr>
        <w:top w:val="none" w:sz="0" w:space="0" w:color="auto"/>
        <w:left w:val="none" w:sz="0" w:space="0" w:color="auto"/>
        <w:bottom w:val="none" w:sz="0" w:space="0" w:color="auto"/>
        <w:right w:val="none" w:sz="0" w:space="0" w:color="auto"/>
      </w:divBdr>
      <w:divsChild>
        <w:div w:id="37639385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sr.2701" TargetMode="External"/><Relationship Id="rId13" Type="http://schemas.openxmlformats.org/officeDocument/2006/relationships/hyperlink" Target="https://doi.org/10.1108/ijchm-05-2018-0370" TargetMode="External"/><Relationship Id="rId18" Type="http://schemas.openxmlformats.org/officeDocument/2006/relationships/hyperlink" Target="https://news.marriott.com/news/2021/09/22/marriott-international-announces-ambition-to-go-net-zero" TargetMode="External"/><Relationship Id="rId26" Type="http://schemas.openxmlformats.org/officeDocument/2006/relationships/hyperlink" Target="https://doi.org/10.3390/en13092303" TargetMode="External"/><Relationship Id="rId3" Type="http://schemas.openxmlformats.org/officeDocument/2006/relationships/settings" Target="settings.xml"/><Relationship Id="rId21" Type="http://schemas.openxmlformats.org/officeDocument/2006/relationships/hyperlink" Target="https://doi.org/10.1111/jiec.12987" TargetMode="External"/><Relationship Id="rId7" Type="http://schemas.openxmlformats.org/officeDocument/2006/relationships/hyperlink" Target="https://doi.org/10.3390/su12229624" TargetMode="External"/><Relationship Id="rId12" Type="http://schemas.openxmlformats.org/officeDocument/2006/relationships/hyperlink" Target="https://doi.org/10.3390/su14073765" TargetMode="External"/><Relationship Id="rId17" Type="http://schemas.openxmlformats.org/officeDocument/2006/relationships/hyperlink" Target="https://ci.nii.ac.jp/ncid/BB11291992" TargetMode="External"/><Relationship Id="rId25" Type="http://schemas.openxmlformats.org/officeDocument/2006/relationships/hyperlink" Target="https://doi.org/10.1016/j.jclepro.2018.12.271" TargetMode="External"/><Relationship Id="rId2" Type="http://schemas.openxmlformats.org/officeDocument/2006/relationships/styles" Target="styles.xml"/><Relationship Id="rId16" Type="http://schemas.openxmlformats.org/officeDocument/2006/relationships/hyperlink" Target="https://doi.org/10.3390/su12052110" TargetMode="External"/><Relationship Id="rId20" Type="http://schemas.openxmlformats.org/officeDocument/2006/relationships/hyperlink" Target="https://serve360.marriott.com/sustainable-goal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ourman.2022.104520" TargetMode="External"/><Relationship Id="rId24" Type="http://schemas.openxmlformats.org/officeDocument/2006/relationships/hyperlink" Target="https://www.environmentenergyleader.com/2022/07/marriott-is-an-environmental-leader-reducing-water-and-energy-use-by-double-digits/" TargetMode="External"/><Relationship Id="rId5" Type="http://schemas.openxmlformats.org/officeDocument/2006/relationships/footnotes" Target="footnotes.xml"/><Relationship Id="rId15" Type="http://schemas.openxmlformats.org/officeDocument/2006/relationships/hyperlink" Target="https://doi.org/10.1177/00472875221095211" TargetMode="External"/><Relationship Id="rId23" Type="http://schemas.openxmlformats.org/officeDocument/2006/relationships/hyperlink" Target="https://doi.org/10.1007/978-3-031-42220-1_1" TargetMode="External"/><Relationship Id="rId28" Type="http://schemas.openxmlformats.org/officeDocument/2006/relationships/fontTable" Target="fontTable.xml"/><Relationship Id="rId10" Type="http://schemas.openxmlformats.org/officeDocument/2006/relationships/hyperlink" Target="https://doi.org/10.1108/whatt-02-2022-0022" TargetMode="External"/><Relationship Id="rId19" Type="http://schemas.openxmlformats.org/officeDocument/2006/relationships/hyperlink" Target="http://serve360.marriott.com/wp-content/uploads/2018/10/2018_Serve_360_Report.pdf" TargetMode="External"/><Relationship Id="rId4" Type="http://schemas.openxmlformats.org/officeDocument/2006/relationships/webSettings" Target="webSettings.xml"/><Relationship Id="rId9" Type="http://schemas.openxmlformats.org/officeDocument/2006/relationships/hyperlink" Target="https://doi.org/10.54820/entrenova-2022-0036" TargetMode="External"/><Relationship Id="rId14" Type="http://schemas.openxmlformats.org/officeDocument/2006/relationships/hyperlink" Target="https://doi.org/10.55845/irvu6231" TargetMode="External"/><Relationship Id="rId22" Type="http://schemas.openxmlformats.org/officeDocument/2006/relationships/hyperlink" Target="https://doi.org/10.1002/sd.2257"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3105</Words>
  <Characters>17704</Characters>
  <Application>Microsoft Office Word</Application>
  <DocSecurity>0</DocSecurity>
  <Lines>147</Lines>
  <Paragraphs>41</Paragraphs>
  <ScaleCrop>false</ScaleCrop>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2024-01-26T19:34:00Z</dcterms:created>
  <dcterms:modified xsi:type="dcterms:W3CDTF">2024-01-30T19:02:00Z</dcterms:modified>
</cp:coreProperties>
</file>