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E5D" w:rsidRDefault="000B7E5D" w:rsidP="002D47B7">
      <w:pPr>
        <w:spacing w:line="360" w:lineRule="auto"/>
        <w:jc w:val="both"/>
        <w:rPr>
          <w:sz w:val="24"/>
        </w:rPr>
      </w:pPr>
      <w:r>
        <w:rPr>
          <w:sz w:val="24"/>
        </w:rPr>
        <w:t xml:space="preserve">Bilingualism is a traditional meaning which includes the use of just two languages as where Multilingualism is referred to as having use of more than two languages. </w:t>
      </w:r>
      <w:r w:rsidR="00E75A84">
        <w:rPr>
          <w:sz w:val="24"/>
        </w:rPr>
        <w:t>(Cenzo, 20</w:t>
      </w:r>
      <w:r>
        <w:rPr>
          <w:sz w:val="24"/>
        </w:rPr>
        <w:t>13</w:t>
      </w:r>
      <w:r w:rsidR="00C55172">
        <w:rPr>
          <w:sz w:val="24"/>
        </w:rPr>
        <w:t>, p. 7</w:t>
      </w:r>
      <w:r>
        <w:rPr>
          <w:sz w:val="24"/>
        </w:rPr>
        <w:t xml:space="preserve">) </w:t>
      </w:r>
      <w:r w:rsidR="00975799">
        <w:rPr>
          <w:sz w:val="24"/>
        </w:rPr>
        <w:t>Luk and De Sa</w:t>
      </w:r>
      <w:r>
        <w:rPr>
          <w:sz w:val="24"/>
        </w:rPr>
        <w:t xml:space="preserve"> </w:t>
      </w:r>
      <w:r w:rsidR="00C55172">
        <w:rPr>
          <w:sz w:val="24"/>
        </w:rPr>
        <w:t>(</w:t>
      </w:r>
      <w:r>
        <w:rPr>
          <w:sz w:val="24"/>
        </w:rPr>
        <w:t>2011</w:t>
      </w:r>
      <w:r w:rsidR="00C55172">
        <w:rPr>
          <w:sz w:val="24"/>
        </w:rPr>
        <w:t>)</w:t>
      </w:r>
      <w:r>
        <w:rPr>
          <w:sz w:val="24"/>
        </w:rPr>
        <w:t xml:space="preserve"> </w:t>
      </w:r>
      <w:r w:rsidR="002D47B7">
        <w:rPr>
          <w:sz w:val="24"/>
        </w:rPr>
        <w:t>suggest</w:t>
      </w:r>
      <w:r>
        <w:rPr>
          <w:sz w:val="24"/>
        </w:rPr>
        <w:t xml:space="preserve"> that someone becomes bilingual </w:t>
      </w:r>
      <w:r w:rsidR="0008507E">
        <w:rPr>
          <w:sz w:val="24"/>
        </w:rPr>
        <w:t>when they start using both languages on a daily basis.</w:t>
      </w:r>
    </w:p>
    <w:p w:rsidR="00C55172" w:rsidRPr="00C55172" w:rsidRDefault="00F30661" w:rsidP="002D47B7">
      <w:pPr>
        <w:spacing w:line="360" w:lineRule="auto"/>
        <w:jc w:val="both"/>
        <w:rPr>
          <w:sz w:val="24"/>
          <w:highlight w:val="green"/>
        </w:rPr>
      </w:pPr>
      <w:r>
        <w:rPr>
          <w:sz w:val="24"/>
        </w:rPr>
        <w:t xml:space="preserve">Article 28 and 30 of the United </w:t>
      </w:r>
      <w:r w:rsidR="00470A2F">
        <w:rPr>
          <w:sz w:val="24"/>
        </w:rPr>
        <w:t>Nations</w:t>
      </w:r>
      <w:r>
        <w:rPr>
          <w:sz w:val="24"/>
        </w:rPr>
        <w:t xml:space="preserve"> convention on the rights of a child are relevant in relation to the topic of bilingual and multilingualism as the state that every child should have the right to use their family language and have an equal right to education</w:t>
      </w:r>
      <w:r w:rsidRPr="00C55172">
        <w:rPr>
          <w:sz w:val="24"/>
        </w:rPr>
        <w:t>.</w:t>
      </w:r>
      <w:r w:rsidR="00C55172" w:rsidRPr="00C55172">
        <w:rPr>
          <w:rFonts w:ascii="Arial" w:hAnsi="Arial" w:cs="Arial"/>
          <w:sz w:val="24"/>
          <w:szCs w:val="24"/>
        </w:rPr>
        <w:t xml:space="preserve"> </w:t>
      </w:r>
      <w:r w:rsidR="00C55172" w:rsidRPr="00C55172">
        <w:rPr>
          <w:sz w:val="24"/>
        </w:rPr>
        <w:t>(UNCRC, UNICEF, no date)</w:t>
      </w:r>
    </w:p>
    <w:p w:rsidR="00F30661" w:rsidRDefault="00F30661" w:rsidP="002D47B7">
      <w:pPr>
        <w:spacing w:line="360" w:lineRule="auto"/>
        <w:jc w:val="both"/>
        <w:rPr>
          <w:sz w:val="24"/>
        </w:rPr>
      </w:pPr>
      <w:r>
        <w:rPr>
          <w:sz w:val="24"/>
        </w:rPr>
        <w:t>For many children they are having their education delivered through a language that is not their mother tongue and as a result become a</w:t>
      </w:r>
      <w:r w:rsidR="00470A2F">
        <w:rPr>
          <w:sz w:val="24"/>
        </w:rPr>
        <w:t>n</w:t>
      </w:r>
      <w:r>
        <w:rPr>
          <w:sz w:val="24"/>
        </w:rPr>
        <w:t xml:space="preserve"> EAL (English additional Language) child. </w:t>
      </w:r>
      <w:r w:rsidR="00E75A84" w:rsidRPr="00975799">
        <w:rPr>
          <w:sz w:val="24"/>
        </w:rPr>
        <w:t>(Corbett, 2001</w:t>
      </w:r>
      <w:r w:rsidR="00975799">
        <w:rPr>
          <w:sz w:val="24"/>
        </w:rPr>
        <w:t>, p. 56</w:t>
      </w:r>
      <w:r w:rsidR="00E75A84">
        <w:rPr>
          <w:sz w:val="24"/>
        </w:rPr>
        <w:t>)</w:t>
      </w:r>
      <w:r w:rsidR="00975799">
        <w:rPr>
          <w:sz w:val="24"/>
        </w:rPr>
        <w:t xml:space="preserve"> </w:t>
      </w:r>
      <w:r w:rsidR="00470A2F">
        <w:rPr>
          <w:sz w:val="24"/>
        </w:rPr>
        <w:t>EAL children have many struggles to face when entering a new setting for the first time, as well as the anxiety of starting a new school and making new friends they have to face it all in a different language while still having to engage in the current curriculum and becoming familiar with very different social practices to what they would be used to. (NALDIC, 2012)</w:t>
      </w:r>
      <w:r w:rsidR="004807CE">
        <w:rPr>
          <w:sz w:val="24"/>
        </w:rPr>
        <w:t xml:space="preserve"> It is vital that when an EAL pupil comes to the school for the first time that they feel like they have a place in that school, if they can see that their culture is apparent and appreciated in the setting it will help them to settle in and gives them a healthy attitude to learning. (Conteh, 2015, p.30) In relation to this Crosse (2007) suggests that by the setting </w:t>
      </w:r>
      <w:r w:rsidR="00CA726C">
        <w:rPr>
          <w:sz w:val="24"/>
        </w:rPr>
        <w:t>possibly</w:t>
      </w:r>
      <w:r w:rsidR="004807CE">
        <w:rPr>
          <w:sz w:val="24"/>
        </w:rPr>
        <w:t xml:space="preserve"> having a member of staff or a </w:t>
      </w:r>
      <w:r w:rsidR="00CA726C">
        <w:rPr>
          <w:sz w:val="24"/>
        </w:rPr>
        <w:t>key person who speaks the child’s language will show value and support towards the child. Other warming gestures could include displaying the child’s national flag in the school or class, listening to their countries music or by reading tradition tales from their country. (Pim, 2011, P.43)</w:t>
      </w:r>
    </w:p>
    <w:p w:rsidR="00CA726C" w:rsidRDefault="00CA726C" w:rsidP="002D47B7">
      <w:pPr>
        <w:spacing w:line="360" w:lineRule="auto"/>
        <w:jc w:val="both"/>
        <w:rPr>
          <w:sz w:val="24"/>
        </w:rPr>
      </w:pPr>
      <w:r>
        <w:rPr>
          <w:sz w:val="24"/>
        </w:rPr>
        <w:t xml:space="preserve">However even though EAL children have many challenges to face, being a bilingual child has many advantages. Lewis (2014) believes: </w:t>
      </w:r>
    </w:p>
    <w:p w:rsidR="00CA726C" w:rsidRDefault="00CA726C" w:rsidP="002D47B7">
      <w:pPr>
        <w:spacing w:line="360" w:lineRule="auto"/>
        <w:ind w:left="720"/>
        <w:jc w:val="both"/>
        <w:rPr>
          <w:sz w:val="24"/>
        </w:rPr>
      </w:pPr>
      <w:r>
        <w:rPr>
          <w:sz w:val="24"/>
        </w:rPr>
        <w:t xml:space="preserve">People who speak two languages may have brains that are more efficient at language processing and other tasks also people who are bilingual are constantly activating both languages in their brain, choosing which to use and which to </w:t>
      </w:r>
      <w:r w:rsidR="003570F2">
        <w:rPr>
          <w:sz w:val="24"/>
        </w:rPr>
        <w:t>ignore.</w:t>
      </w:r>
    </w:p>
    <w:p w:rsidR="003570F2" w:rsidRDefault="00CF6B0B" w:rsidP="002D47B7">
      <w:pPr>
        <w:spacing w:line="360" w:lineRule="auto"/>
        <w:jc w:val="both"/>
        <w:rPr>
          <w:sz w:val="24"/>
        </w:rPr>
      </w:pPr>
      <w:r>
        <w:rPr>
          <w:sz w:val="24"/>
        </w:rPr>
        <w:t xml:space="preserve">Bilingual children are also researched for their strongly developing divergent thinking and being able to codeswitch. Codeswitching is when bilingual or multilingual children swap </w:t>
      </w:r>
      <w:r>
        <w:rPr>
          <w:sz w:val="24"/>
        </w:rPr>
        <w:lastRenderedPageBreak/>
        <w:t>languages mid-way in a conversation often as a result of multiple languages being used in the setting. (Tamiu, 2016) Baker believes that codeswitching is “a valuable linguistic tool” (Baker, 2011, p.101)</w:t>
      </w:r>
      <w:r w:rsidR="00E41FC0">
        <w:rPr>
          <w:sz w:val="24"/>
        </w:rPr>
        <w:t xml:space="preserve">. Monolingual people only use one language for everything, while multilinguals are able to use their whole range of languages in different situations whether it </w:t>
      </w:r>
      <w:r w:rsidR="002D47B7">
        <w:rPr>
          <w:sz w:val="24"/>
        </w:rPr>
        <w:t>is</w:t>
      </w:r>
      <w:r w:rsidR="00E41FC0">
        <w:rPr>
          <w:sz w:val="24"/>
        </w:rPr>
        <w:t xml:space="preserve"> at different time and different conversations or during the same conversation they are able to switch. Cenzo, 2013, p. 11)</w:t>
      </w:r>
    </w:p>
    <w:p w:rsidR="00754612" w:rsidRDefault="00754612" w:rsidP="002D47B7">
      <w:pPr>
        <w:spacing w:line="360" w:lineRule="auto"/>
        <w:jc w:val="both"/>
        <w:rPr>
          <w:sz w:val="24"/>
        </w:rPr>
      </w:pPr>
      <w:r>
        <w:rPr>
          <w:sz w:val="24"/>
        </w:rPr>
        <w:t xml:space="preserve">There is much research that shows that bilinguals or </w:t>
      </w:r>
      <w:r w:rsidR="00D60F24">
        <w:rPr>
          <w:sz w:val="24"/>
        </w:rPr>
        <w:t>multilinguals</w:t>
      </w:r>
      <w:r>
        <w:rPr>
          <w:sz w:val="24"/>
        </w:rPr>
        <w:t xml:space="preserve"> brains are more developed than a monolingual. By being able to use more parts of their brains bilinguals are able to establish that two words such as ‘dog’ and ‘chein’ are not two versions of the same word but these are exclusive to their own language. (Lew-Williams, 2017)</w:t>
      </w:r>
    </w:p>
    <w:p w:rsidR="00754612" w:rsidRDefault="00754612" w:rsidP="002D47B7">
      <w:pPr>
        <w:spacing w:line="360" w:lineRule="auto"/>
        <w:jc w:val="both"/>
        <w:rPr>
          <w:sz w:val="24"/>
        </w:rPr>
      </w:pPr>
      <w:r>
        <w:rPr>
          <w:sz w:val="24"/>
        </w:rPr>
        <w:t>Garicia was a good source of information in regards to bilinguals out-performing monolinguals academically. She found that 10 year old bilinguals exceeded in non-verbal and verbal intelligence tests compared to the monolingual child claiming that bilinguals have a “greater mental flexibility”. (Garcia, 2009, p. 94)</w:t>
      </w:r>
    </w:p>
    <w:p w:rsidR="00BA5575" w:rsidRDefault="00BA5575" w:rsidP="002D47B7">
      <w:pPr>
        <w:spacing w:line="360" w:lineRule="auto"/>
        <w:jc w:val="both"/>
        <w:rPr>
          <w:sz w:val="24"/>
        </w:rPr>
      </w:pPr>
      <w:r>
        <w:rPr>
          <w:sz w:val="24"/>
        </w:rPr>
        <w:t xml:space="preserve">As well as the above </w:t>
      </w:r>
      <w:r w:rsidR="00ED510D">
        <w:rPr>
          <w:sz w:val="24"/>
        </w:rPr>
        <w:t>advantages</w:t>
      </w:r>
      <w:r>
        <w:rPr>
          <w:sz w:val="24"/>
        </w:rPr>
        <w:t xml:space="preserve"> to bilingualism there are many other </w:t>
      </w:r>
      <w:r w:rsidR="00ED510D">
        <w:rPr>
          <w:sz w:val="24"/>
        </w:rPr>
        <w:t>cognitive</w:t>
      </w:r>
      <w:r>
        <w:rPr>
          <w:sz w:val="24"/>
        </w:rPr>
        <w:t xml:space="preserve"> and thinking advantages to being bilingual such as a greater capacity to problem solve </w:t>
      </w:r>
      <w:r w:rsidR="00ED510D">
        <w:rPr>
          <w:sz w:val="24"/>
        </w:rPr>
        <w:t xml:space="preserve">and higher performance in spatial perception all as a result of being able to communicate with parts of your brain that a monolingual might not be able to do. (Vince, 2016) </w:t>
      </w:r>
      <w:r w:rsidR="00706584">
        <w:rPr>
          <w:sz w:val="24"/>
        </w:rPr>
        <w:t>Sorace and Serratrice have the same thoughts as Vince by stating:</w:t>
      </w:r>
    </w:p>
    <w:p w:rsidR="00706584" w:rsidRDefault="00706584" w:rsidP="002D47B7">
      <w:pPr>
        <w:spacing w:line="360" w:lineRule="auto"/>
        <w:ind w:left="720"/>
        <w:jc w:val="both"/>
        <w:rPr>
          <w:sz w:val="24"/>
        </w:rPr>
      </w:pPr>
      <w:r>
        <w:rPr>
          <w:sz w:val="24"/>
        </w:rPr>
        <w:t>Bilingual speakers of all ages and backgrounds have repeatedly been shown to exhibit linguistic behaviours that are significantly different from monolinguals in a selected number of contexts, which have been attributed to cross-linguistic influence.</w:t>
      </w:r>
    </w:p>
    <w:p w:rsidR="00706584" w:rsidRDefault="00706584" w:rsidP="002D47B7">
      <w:pPr>
        <w:spacing w:line="360" w:lineRule="auto"/>
        <w:ind w:left="720"/>
        <w:jc w:val="both"/>
        <w:rPr>
          <w:sz w:val="24"/>
        </w:rPr>
      </w:pPr>
      <w:r>
        <w:rPr>
          <w:sz w:val="24"/>
        </w:rPr>
        <w:t>(Sorace and Serratrice, 2009, p. 196)</w:t>
      </w:r>
    </w:p>
    <w:p w:rsidR="00EF3CCD" w:rsidRDefault="004D3ECD" w:rsidP="002D47B7">
      <w:pPr>
        <w:spacing w:line="360" w:lineRule="auto"/>
        <w:jc w:val="both"/>
        <w:rPr>
          <w:sz w:val="24"/>
        </w:rPr>
      </w:pPr>
      <w:r>
        <w:rPr>
          <w:sz w:val="24"/>
        </w:rPr>
        <w:t xml:space="preserve">To </w:t>
      </w:r>
      <w:r w:rsidR="00706584">
        <w:rPr>
          <w:sz w:val="24"/>
        </w:rPr>
        <w:t xml:space="preserve">be able to gain such benefits as above </w:t>
      </w:r>
      <w:r w:rsidR="00876F14">
        <w:rPr>
          <w:sz w:val="24"/>
        </w:rPr>
        <w:t xml:space="preserve">it is vital to learn and develop bilingual skills also knowing that there is a crucial timeslot to do so. </w:t>
      </w:r>
      <w:r w:rsidR="00D60F24">
        <w:rPr>
          <w:sz w:val="24"/>
        </w:rPr>
        <w:t>To be able to become bilingual in two languages from birth, babies need to be able to understand that the two languages are different and be able to store them. Much research suggests that babies are more that capable to gain these bilingual skills. (Baker, 2011, p.95) Kuh</w:t>
      </w:r>
      <w:r w:rsidR="00091B00">
        <w:rPr>
          <w:sz w:val="24"/>
        </w:rPr>
        <w:t xml:space="preserve">l (2010) believes that children </w:t>
      </w:r>
      <w:r w:rsidR="00091B00">
        <w:rPr>
          <w:sz w:val="24"/>
        </w:rPr>
        <w:lastRenderedPageBreak/>
        <w:t>have a crucial period for learning new languages and have up until the age of 7 to do so and after that their capability declines significantly.</w:t>
      </w:r>
      <w:r>
        <w:rPr>
          <w:sz w:val="24"/>
        </w:rPr>
        <w:t xml:space="preserve"> </w:t>
      </w:r>
      <w:r w:rsidR="004131AB">
        <w:rPr>
          <w:sz w:val="24"/>
        </w:rPr>
        <w:t>The Foundation Phase framework recognises the importance of learning languages before the age of 7 by stating in their framework “</w:t>
      </w:r>
      <w:r w:rsidR="004131AB" w:rsidRPr="004131AB">
        <w:rPr>
          <w:sz w:val="24"/>
        </w:rPr>
        <w:t>All settings/schools will implement a Welsh language educational programme in the Foundation Phase for children three to seven years.</w:t>
      </w:r>
      <w:r w:rsidR="004131AB">
        <w:rPr>
          <w:sz w:val="24"/>
        </w:rPr>
        <w:t>” (Welsh Government, 2015)</w:t>
      </w:r>
    </w:p>
    <w:p w:rsidR="00D60F24" w:rsidRDefault="004D3ECD" w:rsidP="002D47B7">
      <w:pPr>
        <w:spacing w:line="360" w:lineRule="auto"/>
        <w:jc w:val="both"/>
        <w:rPr>
          <w:sz w:val="24"/>
        </w:rPr>
      </w:pPr>
      <w:r>
        <w:rPr>
          <w:sz w:val="24"/>
        </w:rPr>
        <w:t xml:space="preserve">Although there is extensive research </w:t>
      </w:r>
      <w:r w:rsidR="00AC2EB2">
        <w:rPr>
          <w:sz w:val="24"/>
        </w:rPr>
        <w:t>into their being a crucial time for language acquisition</w:t>
      </w:r>
      <w:r>
        <w:rPr>
          <w:sz w:val="24"/>
        </w:rPr>
        <w:t xml:space="preserve"> Bak and Mehmedbegovic challenge this research and they believe that </w:t>
      </w:r>
      <w:r w:rsidR="00AC2EB2">
        <w:rPr>
          <w:sz w:val="24"/>
        </w:rPr>
        <w:t xml:space="preserve">there are still plenty of benefits that better a bilingual who has learned a language later on in life such as a week intense course and keeping it up over a 9 month period such as their attention skills. (Bak and Mehmedbegovic, 2017) </w:t>
      </w:r>
      <w:r w:rsidR="00CB556F">
        <w:rPr>
          <w:sz w:val="24"/>
        </w:rPr>
        <w:t xml:space="preserve">However Bakers research proves that when comparing 25 monolinguals, 25 early </w:t>
      </w:r>
      <w:r w:rsidR="00496AC0">
        <w:rPr>
          <w:sz w:val="24"/>
        </w:rPr>
        <w:t>bilinguals</w:t>
      </w:r>
      <w:r w:rsidR="00CB556F">
        <w:rPr>
          <w:sz w:val="24"/>
        </w:rPr>
        <w:t xml:space="preserve"> and 33 late </w:t>
      </w:r>
      <w:r w:rsidR="00496AC0">
        <w:rPr>
          <w:sz w:val="24"/>
        </w:rPr>
        <w:t>bilinguals</w:t>
      </w:r>
      <w:r w:rsidR="00CB556F">
        <w:rPr>
          <w:sz w:val="24"/>
        </w:rPr>
        <w:t xml:space="preserve">, there was </w:t>
      </w:r>
      <w:r w:rsidR="002D47B7">
        <w:rPr>
          <w:sz w:val="24"/>
        </w:rPr>
        <w:t>an</w:t>
      </w:r>
      <w:r w:rsidR="00CB556F">
        <w:rPr>
          <w:sz w:val="24"/>
        </w:rPr>
        <w:t xml:space="preserve"> increased brain gray matter density for the bilinguals compared to monolinguals and when </w:t>
      </w:r>
      <w:r w:rsidR="00496AC0">
        <w:rPr>
          <w:sz w:val="24"/>
        </w:rPr>
        <w:t>comparing</w:t>
      </w:r>
      <w:r w:rsidR="00CB556F">
        <w:rPr>
          <w:sz w:val="24"/>
        </w:rPr>
        <w:t xml:space="preserve"> early bilinguals and late bilinguals, the early bilinguals where also showing a more increased brain gray matter than the late bilinguals showing that there are key benefits to learning new languages and become bilingual at a young age. (Baker, 2007, p.33)</w:t>
      </w:r>
    </w:p>
    <w:p w:rsidR="001A19F4" w:rsidRDefault="001A19F4" w:rsidP="002D47B7">
      <w:pPr>
        <w:spacing w:line="360" w:lineRule="auto"/>
        <w:jc w:val="both"/>
        <w:rPr>
          <w:sz w:val="24"/>
        </w:rPr>
      </w:pPr>
      <w:r>
        <w:rPr>
          <w:sz w:val="24"/>
        </w:rPr>
        <w:t>To be able to get the absolute most out of this crucial period it is vital that intense research is carried out on what is the best way to learn a new language. There has been much research into how child</w:t>
      </w:r>
      <w:r w:rsidR="00EF1CA8">
        <w:rPr>
          <w:sz w:val="24"/>
        </w:rPr>
        <w:t>ren learn a new language and Kuh</w:t>
      </w:r>
      <w:r>
        <w:rPr>
          <w:sz w:val="24"/>
        </w:rPr>
        <w:t xml:space="preserve">l has been a good source of information on this topic. She has found that for children to be able to learn a new language that it is vital that children are learning it from human interaction. </w:t>
      </w:r>
      <w:r w:rsidR="00EF1CA8">
        <w:rPr>
          <w:sz w:val="24"/>
        </w:rPr>
        <w:t xml:space="preserve">When research has been conducted two children we taught the exact same language, one through the interaction with an adult, the other through a </w:t>
      </w:r>
      <w:r w:rsidR="00C8265F">
        <w:rPr>
          <w:sz w:val="24"/>
        </w:rPr>
        <w:t>television</w:t>
      </w:r>
      <w:r w:rsidR="00EF1CA8">
        <w:rPr>
          <w:sz w:val="24"/>
        </w:rPr>
        <w:t xml:space="preserve"> screen. What Kuhl found was that </w:t>
      </w:r>
      <w:r w:rsidR="00C8265F">
        <w:rPr>
          <w:sz w:val="24"/>
        </w:rPr>
        <w:t xml:space="preserve">the child with who learned the language through interaction with the adult was able to later understand the language that they had been taught but the child who was learning the same language but through a Television screen had not absorbed any of the information on the new language. (Kuhl, 2010) </w:t>
      </w:r>
    </w:p>
    <w:p w:rsidR="00586383" w:rsidRDefault="00073D8D" w:rsidP="002D47B7">
      <w:pPr>
        <w:spacing w:line="360" w:lineRule="auto"/>
        <w:jc w:val="both"/>
        <w:rPr>
          <w:sz w:val="24"/>
        </w:rPr>
      </w:pPr>
      <w:r>
        <w:rPr>
          <w:sz w:val="24"/>
        </w:rPr>
        <w:t xml:space="preserve">Lots of setting across Wales </w:t>
      </w:r>
      <w:r w:rsidR="00A47C95">
        <w:rPr>
          <w:sz w:val="24"/>
        </w:rPr>
        <w:t xml:space="preserve">use </w:t>
      </w:r>
      <w:r>
        <w:rPr>
          <w:sz w:val="24"/>
        </w:rPr>
        <w:t xml:space="preserve">The Mudiad Meithrin – welsh learning specialists, immersion method to teach their children Welsh. The immersion method is where a setting uses nothing but the chosen language to be taught, in wales often Welsh. The setting will use Welsh and Welsh only, nothing would be translated into English. The Mudiad Meithrin </w:t>
      </w:r>
      <w:r>
        <w:rPr>
          <w:sz w:val="24"/>
        </w:rPr>
        <w:lastRenderedPageBreak/>
        <w:t>believe that by using the immersion method that the children are able to learn welsh, naturally like the</w:t>
      </w:r>
      <w:r w:rsidR="00A47C95">
        <w:rPr>
          <w:sz w:val="24"/>
        </w:rPr>
        <w:t>y</w:t>
      </w:r>
      <w:r>
        <w:rPr>
          <w:sz w:val="24"/>
        </w:rPr>
        <w:t xml:space="preserve"> would have learned their first language at home. (Mudiad Meithrin, No date)</w:t>
      </w:r>
      <w:r w:rsidR="00A47C95">
        <w:rPr>
          <w:sz w:val="24"/>
        </w:rPr>
        <w:t xml:space="preserve"> Baker would agree with Mudiad Meithrins’ immersion methods and </w:t>
      </w:r>
      <w:r w:rsidR="00496AC0">
        <w:rPr>
          <w:sz w:val="24"/>
        </w:rPr>
        <w:t>refers</w:t>
      </w:r>
      <w:r w:rsidR="00A47C95">
        <w:rPr>
          <w:sz w:val="24"/>
        </w:rPr>
        <w:t xml:space="preserve"> to the immersion method as a strong form of bilingual education which would produce proficiency and biliteracy in two languages. (Baker, 2002, p.93)</w:t>
      </w:r>
      <w:r w:rsidR="00586383">
        <w:rPr>
          <w:sz w:val="24"/>
        </w:rPr>
        <w:t xml:space="preserve"> The welsh government are supporters of the immersion method and believe “Pupils should be given opportunities, where appropriate, to develop and apply knowledge and understanding of the cultural, economic, environmental historical and linguistic characteristics of Wales.” (Welsh Government, 2003)</w:t>
      </w:r>
    </w:p>
    <w:p w:rsidR="00436EA8" w:rsidRDefault="00436EA8" w:rsidP="002D47B7">
      <w:pPr>
        <w:spacing w:line="360" w:lineRule="auto"/>
        <w:jc w:val="both"/>
        <w:rPr>
          <w:sz w:val="24"/>
        </w:rPr>
      </w:pPr>
      <w:r>
        <w:rPr>
          <w:sz w:val="24"/>
        </w:rPr>
        <w:t xml:space="preserve">Bruner and Vygotsky both have strong ideas for children’s learning when it comes to their environment both agreeing that adults have a very important role in assisting the a child’s learning. Both ideas of Bruner’s scaffolding and Vygotsky zone of proximal development are very similar and both believe in a child’s learning having a strong foundation set and then with a more knowledgeable other being pushed on further to climb further up their development. </w:t>
      </w:r>
      <w:r w:rsidR="008F0710">
        <w:rPr>
          <w:sz w:val="24"/>
        </w:rPr>
        <w:t xml:space="preserve">(McLeod, 2018) Both Bruner’s and Vygotsky’s methods could be used to support the learning of languages. </w:t>
      </w:r>
    </w:p>
    <w:p w:rsidR="0045016C" w:rsidRDefault="0045016C" w:rsidP="002D47B7">
      <w:pPr>
        <w:spacing w:line="360" w:lineRule="auto"/>
        <w:jc w:val="both"/>
        <w:rPr>
          <w:sz w:val="24"/>
        </w:rPr>
      </w:pPr>
      <w:r>
        <w:rPr>
          <w:sz w:val="24"/>
        </w:rPr>
        <w:t>Skinner believes that his operant conditioning learning method would work for learning languages wher</w:t>
      </w:r>
      <w:r w:rsidR="00793DDB">
        <w:rPr>
          <w:sz w:val="24"/>
        </w:rPr>
        <w:t xml:space="preserve">e children are rewarded for learning the language and when show progress in the particular language they would be rewarded for it and therefore store and remember the information better. (McLeod, 2018) However </w:t>
      </w:r>
      <w:r w:rsidR="002D47B7">
        <w:rPr>
          <w:sz w:val="24"/>
        </w:rPr>
        <w:t>Chomsky</w:t>
      </w:r>
      <w:r w:rsidR="00793DDB">
        <w:rPr>
          <w:sz w:val="24"/>
        </w:rPr>
        <w:t xml:space="preserve"> would challenge this </w:t>
      </w:r>
      <w:r w:rsidR="002D47B7">
        <w:rPr>
          <w:sz w:val="24"/>
        </w:rPr>
        <w:t>theory</w:t>
      </w:r>
      <w:r w:rsidR="00793DDB">
        <w:rPr>
          <w:sz w:val="24"/>
        </w:rPr>
        <w:t xml:space="preserve"> and believes that children need to be taught individually to their needs and need to learn and understand the language that they are taking in. (Mambrol, 2017) </w:t>
      </w:r>
    </w:p>
    <w:p w:rsidR="00DB7074" w:rsidRDefault="00DB7074" w:rsidP="002D47B7">
      <w:pPr>
        <w:spacing w:line="360" w:lineRule="auto"/>
        <w:jc w:val="both"/>
        <w:rPr>
          <w:sz w:val="24"/>
        </w:rPr>
      </w:pPr>
    </w:p>
    <w:p w:rsidR="00DB7074" w:rsidRDefault="00DB7074" w:rsidP="002D47B7">
      <w:pPr>
        <w:spacing w:line="360" w:lineRule="auto"/>
        <w:jc w:val="both"/>
        <w:rPr>
          <w:sz w:val="24"/>
        </w:rPr>
      </w:pPr>
    </w:p>
    <w:p w:rsidR="00DB7074" w:rsidRDefault="00DB7074" w:rsidP="002D47B7">
      <w:pPr>
        <w:spacing w:line="360" w:lineRule="auto"/>
        <w:jc w:val="both"/>
        <w:rPr>
          <w:sz w:val="24"/>
        </w:rPr>
      </w:pPr>
    </w:p>
    <w:p w:rsidR="00DB7074" w:rsidRDefault="00DB7074" w:rsidP="002D47B7">
      <w:pPr>
        <w:spacing w:line="360" w:lineRule="auto"/>
        <w:jc w:val="both"/>
        <w:rPr>
          <w:sz w:val="24"/>
        </w:rPr>
      </w:pPr>
    </w:p>
    <w:p w:rsidR="00DB7074" w:rsidRDefault="00DB7074" w:rsidP="002D47B7">
      <w:pPr>
        <w:spacing w:line="360" w:lineRule="auto"/>
        <w:jc w:val="both"/>
        <w:rPr>
          <w:sz w:val="24"/>
        </w:rPr>
      </w:pPr>
    </w:p>
    <w:p w:rsidR="00DB7074" w:rsidRDefault="00DB7074" w:rsidP="002D47B7">
      <w:pPr>
        <w:spacing w:line="360" w:lineRule="auto"/>
        <w:jc w:val="both"/>
        <w:rPr>
          <w:sz w:val="24"/>
        </w:rPr>
      </w:pPr>
    </w:p>
    <w:p w:rsidR="00DB7074" w:rsidRPr="00DB7074" w:rsidRDefault="00DB7074" w:rsidP="00DB7074">
      <w:pPr>
        <w:spacing w:line="360" w:lineRule="auto"/>
        <w:jc w:val="both"/>
        <w:rPr>
          <w:sz w:val="24"/>
        </w:rPr>
      </w:pPr>
      <w:r w:rsidRPr="00DB7074">
        <w:rPr>
          <w:sz w:val="24"/>
        </w:rPr>
        <w:lastRenderedPageBreak/>
        <w:t>Reference List</w:t>
      </w:r>
    </w:p>
    <w:p w:rsidR="00DB7074" w:rsidRPr="00DB7074" w:rsidRDefault="00DB7074" w:rsidP="00DB7074">
      <w:pPr>
        <w:spacing w:line="360" w:lineRule="auto"/>
        <w:jc w:val="both"/>
        <w:rPr>
          <w:sz w:val="24"/>
        </w:rPr>
      </w:pPr>
      <w:proofErr w:type="spellStart"/>
      <w:r w:rsidRPr="00DB7074">
        <w:rPr>
          <w:sz w:val="24"/>
        </w:rPr>
        <w:t>Bak</w:t>
      </w:r>
      <w:proofErr w:type="spellEnd"/>
      <w:r w:rsidRPr="00DB7074">
        <w:rPr>
          <w:sz w:val="24"/>
        </w:rPr>
        <w:t xml:space="preserve">, T.H. and </w:t>
      </w:r>
      <w:proofErr w:type="spellStart"/>
      <w:r w:rsidRPr="00DB7074">
        <w:rPr>
          <w:sz w:val="24"/>
        </w:rPr>
        <w:t>Mehmedbegovic</w:t>
      </w:r>
      <w:proofErr w:type="spellEnd"/>
      <w:r w:rsidRPr="00DB7074">
        <w:rPr>
          <w:sz w:val="24"/>
        </w:rPr>
        <w:t xml:space="preserve">, D. (2017) </w:t>
      </w:r>
      <w:r w:rsidRPr="00DB7074">
        <w:rPr>
          <w:i/>
          <w:sz w:val="24"/>
        </w:rPr>
        <w:t>Healthy linguistic diet: the value of linguistic diversity and language learning across the lifespan.</w:t>
      </w:r>
      <w:r w:rsidRPr="00DB7074">
        <w:rPr>
          <w:sz w:val="24"/>
        </w:rPr>
        <w:t xml:space="preserve"> Available at: </w:t>
      </w:r>
      <w:hyperlink r:id="rId7" w:history="1">
        <w:r w:rsidRPr="00DB7074">
          <w:rPr>
            <w:rStyle w:val="Hyperlink"/>
            <w:sz w:val="24"/>
          </w:rPr>
          <w:t>http://www.melts.org/policy-papers/paper/healthy-linguistic-diet</w:t>
        </w:r>
      </w:hyperlink>
      <w:r w:rsidRPr="00DB7074">
        <w:rPr>
          <w:sz w:val="24"/>
        </w:rPr>
        <w:t xml:space="preserve"> (Accessed: 19</w:t>
      </w:r>
      <w:r w:rsidRPr="00DB7074">
        <w:rPr>
          <w:sz w:val="24"/>
          <w:vertAlign w:val="superscript"/>
        </w:rPr>
        <w:t>th</w:t>
      </w:r>
      <w:r w:rsidRPr="00DB7074">
        <w:rPr>
          <w:sz w:val="24"/>
        </w:rPr>
        <w:t xml:space="preserve"> March 2019)</w:t>
      </w:r>
    </w:p>
    <w:p w:rsidR="00DB7074" w:rsidRPr="00DB7074" w:rsidRDefault="00DB7074" w:rsidP="00DB7074">
      <w:pPr>
        <w:spacing w:line="360" w:lineRule="auto"/>
        <w:jc w:val="both"/>
        <w:rPr>
          <w:sz w:val="24"/>
        </w:rPr>
      </w:pPr>
      <w:r w:rsidRPr="00DB7074">
        <w:rPr>
          <w:sz w:val="24"/>
        </w:rPr>
        <w:t xml:space="preserve">Baker, C. (2002) </w:t>
      </w:r>
      <w:proofErr w:type="gramStart"/>
      <w:r w:rsidRPr="00DB7074">
        <w:rPr>
          <w:sz w:val="24"/>
        </w:rPr>
        <w:t>The</w:t>
      </w:r>
      <w:proofErr w:type="gramEnd"/>
      <w:r w:rsidRPr="00DB7074">
        <w:rPr>
          <w:sz w:val="24"/>
        </w:rPr>
        <w:t xml:space="preserve"> care and education of young bilinguals an introduction for professionals. Clevedon: Multilingual Matters.</w:t>
      </w:r>
    </w:p>
    <w:p w:rsidR="00DB7074" w:rsidRPr="00DB7074" w:rsidRDefault="00DB7074" w:rsidP="00DB7074">
      <w:pPr>
        <w:spacing w:line="360" w:lineRule="auto"/>
        <w:jc w:val="both"/>
        <w:rPr>
          <w:sz w:val="24"/>
        </w:rPr>
      </w:pPr>
      <w:r w:rsidRPr="00DB7074">
        <w:rPr>
          <w:sz w:val="24"/>
        </w:rPr>
        <w:t xml:space="preserve">Baker, C. (2007) </w:t>
      </w:r>
      <w:r w:rsidRPr="00DB7074">
        <w:rPr>
          <w:i/>
          <w:sz w:val="24"/>
        </w:rPr>
        <w:t>A parents’ and Teachers’ guide to Bilingualism</w:t>
      </w:r>
      <w:r w:rsidRPr="00DB7074">
        <w:rPr>
          <w:sz w:val="24"/>
        </w:rPr>
        <w:t xml:space="preserve"> (3rd </w:t>
      </w:r>
      <w:proofErr w:type="spellStart"/>
      <w:proofErr w:type="gramStart"/>
      <w:r w:rsidRPr="00DB7074">
        <w:rPr>
          <w:sz w:val="24"/>
        </w:rPr>
        <w:t>ed</w:t>
      </w:r>
      <w:proofErr w:type="spellEnd"/>
      <w:proofErr w:type="gramEnd"/>
      <w:r w:rsidRPr="00DB7074">
        <w:rPr>
          <w:sz w:val="24"/>
        </w:rPr>
        <w:t>). Clevedon: Multilingual Matters.</w:t>
      </w:r>
    </w:p>
    <w:p w:rsidR="00DB7074" w:rsidRPr="00DB7074" w:rsidRDefault="00DB7074" w:rsidP="00DB7074">
      <w:pPr>
        <w:spacing w:line="360" w:lineRule="auto"/>
        <w:jc w:val="both"/>
        <w:rPr>
          <w:sz w:val="24"/>
        </w:rPr>
      </w:pPr>
      <w:r w:rsidRPr="00DB7074">
        <w:rPr>
          <w:sz w:val="24"/>
          <w:lang w:val="en-US"/>
        </w:rPr>
        <w:t xml:space="preserve">Baker, C. (2011) </w:t>
      </w:r>
      <w:r w:rsidRPr="00DB7074">
        <w:rPr>
          <w:i/>
          <w:iCs/>
          <w:sz w:val="24"/>
          <w:lang w:val="en-US"/>
        </w:rPr>
        <w:t>Foundations of Bilingual Education and Bilingualism</w:t>
      </w:r>
      <w:r w:rsidRPr="00DB7074">
        <w:rPr>
          <w:sz w:val="24"/>
          <w:lang w:val="en-US"/>
        </w:rPr>
        <w:t xml:space="preserve"> (5th </w:t>
      </w:r>
      <w:proofErr w:type="spellStart"/>
      <w:proofErr w:type="gramStart"/>
      <w:r w:rsidRPr="00DB7074">
        <w:rPr>
          <w:sz w:val="24"/>
          <w:lang w:val="en-US"/>
        </w:rPr>
        <w:t>ed</w:t>
      </w:r>
      <w:proofErr w:type="spellEnd"/>
      <w:proofErr w:type="gramEnd"/>
      <w:r w:rsidRPr="00DB7074">
        <w:rPr>
          <w:sz w:val="24"/>
          <w:lang w:val="en-US"/>
        </w:rPr>
        <w:t xml:space="preserve">). </w:t>
      </w:r>
      <w:proofErr w:type="spellStart"/>
      <w:r w:rsidRPr="00DB7074">
        <w:rPr>
          <w:sz w:val="24"/>
          <w:lang w:val="en-US"/>
        </w:rPr>
        <w:t>Clevedon</w:t>
      </w:r>
      <w:proofErr w:type="spellEnd"/>
      <w:r w:rsidRPr="00DB7074">
        <w:rPr>
          <w:sz w:val="24"/>
          <w:lang w:val="en-US"/>
        </w:rPr>
        <w:t>: Multilingual Matters.</w:t>
      </w:r>
    </w:p>
    <w:p w:rsidR="00DB7074" w:rsidRPr="00DB7074" w:rsidRDefault="00DB7074" w:rsidP="00DB7074">
      <w:pPr>
        <w:spacing w:line="360" w:lineRule="auto"/>
        <w:jc w:val="both"/>
        <w:rPr>
          <w:sz w:val="24"/>
        </w:rPr>
      </w:pPr>
      <w:proofErr w:type="spellStart"/>
      <w:r w:rsidRPr="00DB7074">
        <w:rPr>
          <w:sz w:val="24"/>
        </w:rPr>
        <w:t>Cenzo</w:t>
      </w:r>
      <w:proofErr w:type="spellEnd"/>
      <w:r w:rsidRPr="00DB7074">
        <w:rPr>
          <w:sz w:val="24"/>
        </w:rPr>
        <w:t xml:space="preserve">, J. (2013) ‘Introduction to Multilingualism’, </w:t>
      </w:r>
      <w:r w:rsidRPr="00DB7074">
        <w:rPr>
          <w:i/>
          <w:sz w:val="24"/>
        </w:rPr>
        <w:t>Annual Review of Applied Linguistics</w:t>
      </w:r>
      <w:r w:rsidRPr="00DB7074">
        <w:rPr>
          <w:sz w:val="24"/>
        </w:rPr>
        <w:t>, 33, pp. 3-18.</w:t>
      </w:r>
    </w:p>
    <w:p w:rsidR="00DB7074" w:rsidRPr="00DB7074" w:rsidRDefault="00DB7074" w:rsidP="00DB7074">
      <w:pPr>
        <w:spacing w:line="360" w:lineRule="auto"/>
        <w:jc w:val="both"/>
        <w:rPr>
          <w:sz w:val="24"/>
        </w:rPr>
      </w:pPr>
      <w:proofErr w:type="spellStart"/>
      <w:proofErr w:type="gramStart"/>
      <w:r w:rsidRPr="00DB7074">
        <w:rPr>
          <w:sz w:val="24"/>
        </w:rPr>
        <w:t>Conteh</w:t>
      </w:r>
      <w:proofErr w:type="spellEnd"/>
      <w:r w:rsidRPr="00DB7074">
        <w:rPr>
          <w:sz w:val="24"/>
        </w:rPr>
        <w:t xml:space="preserve">, J. (2015) </w:t>
      </w:r>
      <w:r w:rsidRPr="00DB7074">
        <w:rPr>
          <w:i/>
          <w:iCs/>
          <w:sz w:val="24"/>
        </w:rPr>
        <w:t>The EAL Teaching Book, Promoting Success for Multilingual Learners.</w:t>
      </w:r>
      <w:proofErr w:type="gramEnd"/>
      <w:r w:rsidRPr="00DB7074">
        <w:rPr>
          <w:i/>
          <w:iCs/>
          <w:sz w:val="24"/>
        </w:rPr>
        <w:t xml:space="preserve"> </w:t>
      </w:r>
      <w:proofErr w:type="gramStart"/>
      <w:r w:rsidRPr="00DB7074">
        <w:rPr>
          <w:sz w:val="24"/>
        </w:rPr>
        <w:t xml:space="preserve">2nd </w:t>
      </w:r>
      <w:proofErr w:type="spellStart"/>
      <w:r w:rsidRPr="00DB7074">
        <w:rPr>
          <w:sz w:val="24"/>
        </w:rPr>
        <w:t>edn</w:t>
      </w:r>
      <w:proofErr w:type="spellEnd"/>
      <w:r w:rsidRPr="00DB7074">
        <w:rPr>
          <w:sz w:val="24"/>
        </w:rPr>
        <w:t>.</w:t>
      </w:r>
      <w:proofErr w:type="gramEnd"/>
      <w:r w:rsidRPr="00DB7074">
        <w:rPr>
          <w:sz w:val="24"/>
        </w:rPr>
        <w:t xml:space="preserve"> London: Learning matters. </w:t>
      </w:r>
    </w:p>
    <w:p w:rsidR="00DB7074" w:rsidRPr="00DB7074" w:rsidRDefault="00DB7074" w:rsidP="00DB7074">
      <w:pPr>
        <w:spacing w:line="360" w:lineRule="auto"/>
        <w:jc w:val="both"/>
        <w:rPr>
          <w:sz w:val="24"/>
        </w:rPr>
      </w:pPr>
      <w:r w:rsidRPr="00DB7074">
        <w:rPr>
          <w:sz w:val="24"/>
        </w:rPr>
        <w:t xml:space="preserve">Corbett, J. (2001) ‘Teaching approaches which support inclusive education: a connective pedagogy’, </w:t>
      </w:r>
      <w:r w:rsidRPr="00DB7074">
        <w:rPr>
          <w:i/>
          <w:iCs/>
          <w:sz w:val="24"/>
        </w:rPr>
        <w:t xml:space="preserve">British Journal of Special Education, </w:t>
      </w:r>
      <w:r w:rsidRPr="00DB7074">
        <w:rPr>
          <w:sz w:val="24"/>
        </w:rPr>
        <w:t xml:space="preserve">28(2), pp. 55-59. </w:t>
      </w:r>
    </w:p>
    <w:p w:rsidR="00DB7074" w:rsidRPr="00DB7074" w:rsidRDefault="00DB7074" w:rsidP="00DB7074">
      <w:pPr>
        <w:spacing w:line="360" w:lineRule="auto"/>
        <w:jc w:val="both"/>
        <w:rPr>
          <w:sz w:val="24"/>
        </w:rPr>
      </w:pPr>
      <w:r w:rsidRPr="00DB7074">
        <w:rPr>
          <w:sz w:val="24"/>
        </w:rPr>
        <w:t xml:space="preserve">Crosse, K. (2007) </w:t>
      </w:r>
      <w:r w:rsidRPr="00DB7074">
        <w:rPr>
          <w:i/>
          <w:iCs/>
          <w:sz w:val="24"/>
        </w:rPr>
        <w:t xml:space="preserve">Introducing English as an Additional Language to Young Children, </w:t>
      </w:r>
      <w:proofErr w:type="gramStart"/>
      <w:r w:rsidRPr="00DB7074">
        <w:rPr>
          <w:i/>
          <w:iCs/>
          <w:sz w:val="24"/>
        </w:rPr>
        <w:t>A</w:t>
      </w:r>
      <w:proofErr w:type="gramEnd"/>
      <w:r w:rsidRPr="00DB7074">
        <w:rPr>
          <w:i/>
          <w:iCs/>
          <w:sz w:val="24"/>
        </w:rPr>
        <w:t xml:space="preserve"> Practical Handbook. </w:t>
      </w:r>
      <w:r w:rsidRPr="00DB7074">
        <w:rPr>
          <w:sz w:val="24"/>
        </w:rPr>
        <w:t>London: Paul Chapman Publishing.</w:t>
      </w:r>
    </w:p>
    <w:p w:rsidR="00DB7074" w:rsidRPr="00DB7074" w:rsidRDefault="00DB7074" w:rsidP="00DB7074">
      <w:pPr>
        <w:spacing w:line="360" w:lineRule="auto"/>
        <w:jc w:val="both"/>
        <w:rPr>
          <w:sz w:val="24"/>
        </w:rPr>
      </w:pPr>
      <w:r w:rsidRPr="00DB7074">
        <w:rPr>
          <w:sz w:val="24"/>
        </w:rPr>
        <w:t xml:space="preserve">Davies, N. (2012) ‘The EAL learner's task’ Available online: </w:t>
      </w:r>
      <w:hyperlink r:id="rId8" w:history="1">
        <w:r w:rsidRPr="00DB7074">
          <w:rPr>
            <w:rStyle w:val="Hyperlink"/>
            <w:sz w:val="24"/>
          </w:rPr>
          <w:t>https</w:t>
        </w:r>
      </w:hyperlink>
      <w:hyperlink r:id="rId9" w:history="1">
        <w:proofErr w:type="gramStart"/>
        <w:r w:rsidRPr="00DB7074">
          <w:rPr>
            <w:rStyle w:val="Hyperlink"/>
            <w:sz w:val="24"/>
          </w:rPr>
          <w:t>:/</w:t>
        </w:r>
        <w:proofErr w:type="gramEnd"/>
        <w:r w:rsidRPr="00DB7074">
          <w:rPr>
            <w:rStyle w:val="Hyperlink"/>
            <w:sz w:val="24"/>
          </w:rPr>
          <w:t>/www.naldic.org.uk/eal-teaching and-learning/outline-guidance/task</w:t>
        </w:r>
      </w:hyperlink>
      <w:hyperlink r:id="rId10" w:history="1">
        <w:r w:rsidRPr="00DB7074">
          <w:rPr>
            <w:rStyle w:val="Hyperlink"/>
            <w:sz w:val="24"/>
          </w:rPr>
          <w:t>/</w:t>
        </w:r>
      </w:hyperlink>
      <w:r w:rsidRPr="00DB7074">
        <w:rPr>
          <w:sz w:val="24"/>
        </w:rPr>
        <w:t xml:space="preserve"> (Accessed on:  22</w:t>
      </w:r>
      <w:r w:rsidRPr="00DB7074">
        <w:rPr>
          <w:sz w:val="24"/>
          <w:vertAlign w:val="superscript"/>
        </w:rPr>
        <w:t>nd</w:t>
      </w:r>
      <w:r w:rsidRPr="00DB7074">
        <w:rPr>
          <w:sz w:val="24"/>
        </w:rPr>
        <w:t xml:space="preserve"> March 2019)</w:t>
      </w:r>
    </w:p>
    <w:p w:rsidR="00DB7074" w:rsidRPr="00DB7074" w:rsidRDefault="00DB7074" w:rsidP="00DB7074">
      <w:pPr>
        <w:spacing w:line="360" w:lineRule="auto"/>
        <w:jc w:val="both"/>
        <w:rPr>
          <w:sz w:val="24"/>
        </w:rPr>
      </w:pPr>
      <w:r w:rsidRPr="00DB7074">
        <w:rPr>
          <w:sz w:val="24"/>
        </w:rPr>
        <w:t xml:space="preserve">Garcia, O. (2009) </w:t>
      </w:r>
      <w:r w:rsidRPr="00DB7074">
        <w:rPr>
          <w:i/>
          <w:sz w:val="24"/>
        </w:rPr>
        <w:t>Bilingual Education in the 21</w:t>
      </w:r>
      <w:r w:rsidRPr="00DB7074">
        <w:rPr>
          <w:i/>
          <w:sz w:val="24"/>
          <w:vertAlign w:val="superscript"/>
        </w:rPr>
        <w:t>st</w:t>
      </w:r>
      <w:r w:rsidRPr="00DB7074">
        <w:rPr>
          <w:i/>
          <w:sz w:val="24"/>
        </w:rPr>
        <w:t xml:space="preserve"> Century </w:t>
      </w:r>
      <w:proofErr w:type="gramStart"/>
      <w:r w:rsidRPr="00DB7074">
        <w:rPr>
          <w:i/>
          <w:sz w:val="24"/>
        </w:rPr>
        <w:t>A</w:t>
      </w:r>
      <w:proofErr w:type="gramEnd"/>
      <w:r w:rsidRPr="00DB7074">
        <w:rPr>
          <w:i/>
          <w:sz w:val="24"/>
        </w:rPr>
        <w:t xml:space="preserve"> Global Perspective. </w:t>
      </w:r>
      <w:r w:rsidRPr="00DB7074">
        <w:rPr>
          <w:sz w:val="24"/>
        </w:rPr>
        <w:t>Oxford: Wiley-Blackwell</w:t>
      </w:r>
    </w:p>
    <w:p w:rsidR="00DB7074" w:rsidRPr="00DB7074" w:rsidRDefault="00DB7074" w:rsidP="00DB7074">
      <w:pPr>
        <w:spacing w:line="360" w:lineRule="auto"/>
        <w:jc w:val="both"/>
        <w:rPr>
          <w:sz w:val="24"/>
        </w:rPr>
      </w:pPr>
      <w:proofErr w:type="spellStart"/>
      <w:r w:rsidRPr="00DB7074">
        <w:rPr>
          <w:sz w:val="24"/>
        </w:rPr>
        <w:t>Kuhl</w:t>
      </w:r>
      <w:proofErr w:type="spellEnd"/>
      <w:r w:rsidRPr="00DB7074">
        <w:rPr>
          <w:sz w:val="24"/>
        </w:rPr>
        <w:t xml:space="preserve">, P. (2010) </w:t>
      </w:r>
      <w:proofErr w:type="gramStart"/>
      <w:r w:rsidRPr="00DB7074">
        <w:rPr>
          <w:i/>
          <w:sz w:val="24"/>
        </w:rPr>
        <w:t>The</w:t>
      </w:r>
      <w:proofErr w:type="gramEnd"/>
      <w:r w:rsidRPr="00DB7074">
        <w:rPr>
          <w:i/>
          <w:sz w:val="24"/>
        </w:rPr>
        <w:t xml:space="preserve"> linguistic genius of babies:</w:t>
      </w:r>
      <w:r w:rsidRPr="00DB7074">
        <w:rPr>
          <w:sz w:val="24"/>
        </w:rPr>
        <w:t xml:space="preserve"> TED [Video]. Available at: </w:t>
      </w:r>
      <w:hyperlink r:id="rId11" w:history="1">
        <w:r w:rsidRPr="00DB7074">
          <w:rPr>
            <w:rStyle w:val="Hyperlink"/>
            <w:sz w:val="24"/>
          </w:rPr>
          <w:t>https://www.ted.com/talks/patricia_kuhl_the_linguistic_genius_of_babies?language=en</w:t>
        </w:r>
      </w:hyperlink>
      <w:r w:rsidRPr="00DB7074">
        <w:rPr>
          <w:sz w:val="24"/>
        </w:rPr>
        <w:t xml:space="preserve"> (Accessed: March 21</w:t>
      </w:r>
      <w:r w:rsidRPr="00DB7074">
        <w:rPr>
          <w:sz w:val="24"/>
          <w:vertAlign w:val="superscript"/>
        </w:rPr>
        <w:t>st</w:t>
      </w:r>
      <w:r w:rsidRPr="00DB7074">
        <w:rPr>
          <w:sz w:val="24"/>
        </w:rPr>
        <w:t xml:space="preserve"> 2019)</w:t>
      </w:r>
    </w:p>
    <w:p w:rsidR="00DB7074" w:rsidRPr="00DB7074" w:rsidRDefault="00DB7074" w:rsidP="00DB7074">
      <w:pPr>
        <w:spacing w:line="360" w:lineRule="auto"/>
        <w:jc w:val="both"/>
        <w:rPr>
          <w:sz w:val="24"/>
        </w:rPr>
      </w:pPr>
      <w:r w:rsidRPr="00DB7074">
        <w:rPr>
          <w:sz w:val="24"/>
        </w:rPr>
        <w:lastRenderedPageBreak/>
        <w:t xml:space="preserve">Lewis, T. (2014) </w:t>
      </w:r>
      <w:r w:rsidRPr="00DB7074">
        <w:rPr>
          <w:i/>
          <w:sz w:val="24"/>
        </w:rPr>
        <w:t>Bilingual people are like Bodybuilders</w:t>
      </w:r>
      <w:r w:rsidRPr="00DB7074">
        <w:rPr>
          <w:sz w:val="24"/>
        </w:rPr>
        <w:t xml:space="preserve">. Available at: </w:t>
      </w:r>
      <w:hyperlink r:id="rId12" w:history="1">
        <w:r w:rsidRPr="00DB7074">
          <w:rPr>
            <w:rStyle w:val="Hyperlink"/>
            <w:sz w:val="24"/>
          </w:rPr>
          <w:t>https://www.livescience.com/48721-bilingual-brain-bodybuilders.html</w:t>
        </w:r>
      </w:hyperlink>
      <w:r w:rsidRPr="00DB7074">
        <w:rPr>
          <w:sz w:val="24"/>
        </w:rPr>
        <w:t xml:space="preserve"> (Accessed: 3</w:t>
      </w:r>
      <w:r w:rsidRPr="00DB7074">
        <w:rPr>
          <w:sz w:val="24"/>
          <w:vertAlign w:val="superscript"/>
        </w:rPr>
        <w:t>rd</w:t>
      </w:r>
      <w:r w:rsidRPr="00DB7074">
        <w:rPr>
          <w:sz w:val="24"/>
        </w:rPr>
        <w:t xml:space="preserve"> April 2019).</w:t>
      </w:r>
    </w:p>
    <w:p w:rsidR="00DB7074" w:rsidRPr="00DB7074" w:rsidRDefault="00DB7074" w:rsidP="00DB7074">
      <w:pPr>
        <w:spacing w:line="360" w:lineRule="auto"/>
        <w:jc w:val="both"/>
        <w:rPr>
          <w:sz w:val="24"/>
        </w:rPr>
      </w:pPr>
      <w:proofErr w:type="spellStart"/>
      <w:r w:rsidRPr="00DB7074">
        <w:rPr>
          <w:sz w:val="24"/>
        </w:rPr>
        <w:t>Luk</w:t>
      </w:r>
      <w:proofErr w:type="spellEnd"/>
      <w:r w:rsidRPr="00DB7074">
        <w:rPr>
          <w:sz w:val="24"/>
        </w:rPr>
        <w:t xml:space="preserve">, E. and De </w:t>
      </w:r>
      <w:proofErr w:type="gramStart"/>
      <w:r w:rsidRPr="00DB7074">
        <w:rPr>
          <w:sz w:val="24"/>
        </w:rPr>
        <w:t>Sa</w:t>
      </w:r>
      <w:proofErr w:type="gramEnd"/>
      <w:r w:rsidRPr="00DB7074">
        <w:rPr>
          <w:sz w:val="24"/>
        </w:rPr>
        <w:t>, E. (2011) ‘Is there a relation between onset age if bilingualism and enhancement of cognitive control?’</w:t>
      </w:r>
      <w:r w:rsidRPr="00DB7074">
        <w:rPr>
          <w:i/>
          <w:sz w:val="24"/>
        </w:rPr>
        <w:t xml:space="preserve"> Bilingualism: Language and Cognition</w:t>
      </w:r>
      <w:r w:rsidRPr="00DB7074">
        <w:rPr>
          <w:sz w:val="24"/>
        </w:rPr>
        <w:t>, 14(4), pp. 599-595.</w:t>
      </w:r>
    </w:p>
    <w:p w:rsidR="00DB7074" w:rsidRPr="00DB7074" w:rsidRDefault="00DB7074" w:rsidP="00DB7074">
      <w:pPr>
        <w:spacing w:line="360" w:lineRule="auto"/>
        <w:jc w:val="both"/>
        <w:rPr>
          <w:sz w:val="24"/>
        </w:rPr>
      </w:pPr>
      <w:proofErr w:type="spellStart"/>
      <w:proofErr w:type="gramStart"/>
      <w:r w:rsidRPr="00DB7074">
        <w:rPr>
          <w:sz w:val="24"/>
        </w:rPr>
        <w:t>Mambrol</w:t>
      </w:r>
      <w:proofErr w:type="spellEnd"/>
      <w:r w:rsidRPr="00DB7074">
        <w:rPr>
          <w:sz w:val="24"/>
        </w:rPr>
        <w:t xml:space="preserve">, N. (2017) </w:t>
      </w:r>
      <w:r w:rsidRPr="00DB7074">
        <w:rPr>
          <w:i/>
          <w:sz w:val="24"/>
        </w:rPr>
        <w:t>Noam Chomsky’s approach to linguistics.</w:t>
      </w:r>
      <w:proofErr w:type="gramEnd"/>
      <w:r w:rsidRPr="00DB7074">
        <w:rPr>
          <w:i/>
          <w:sz w:val="24"/>
        </w:rPr>
        <w:t xml:space="preserve"> </w:t>
      </w:r>
      <w:r w:rsidRPr="00DB7074">
        <w:rPr>
          <w:sz w:val="24"/>
        </w:rPr>
        <w:t xml:space="preserve">Available at: </w:t>
      </w:r>
      <w:hyperlink r:id="rId13" w:history="1">
        <w:r w:rsidRPr="00DB7074">
          <w:rPr>
            <w:rStyle w:val="Hyperlink"/>
            <w:sz w:val="24"/>
          </w:rPr>
          <w:t>https://literariness.org/2017/05/14/noam-chomskys-approach-to-linguistics/</w:t>
        </w:r>
      </w:hyperlink>
      <w:r w:rsidRPr="00DB7074">
        <w:rPr>
          <w:sz w:val="24"/>
        </w:rPr>
        <w:t xml:space="preserve"> (Accessed: 30</w:t>
      </w:r>
      <w:r w:rsidRPr="00DB7074">
        <w:rPr>
          <w:sz w:val="24"/>
          <w:vertAlign w:val="superscript"/>
        </w:rPr>
        <w:t>th</w:t>
      </w:r>
      <w:r w:rsidRPr="00DB7074">
        <w:rPr>
          <w:sz w:val="24"/>
        </w:rPr>
        <w:t xml:space="preserve"> March 2019) </w:t>
      </w:r>
    </w:p>
    <w:p w:rsidR="00DB7074" w:rsidRPr="00DB7074" w:rsidRDefault="00DB7074" w:rsidP="00DB7074">
      <w:pPr>
        <w:spacing w:line="360" w:lineRule="auto"/>
        <w:jc w:val="both"/>
        <w:rPr>
          <w:sz w:val="24"/>
        </w:rPr>
      </w:pPr>
      <w:r w:rsidRPr="00DB7074">
        <w:rPr>
          <w:sz w:val="24"/>
        </w:rPr>
        <w:t xml:space="preserve">McLeod, S. (2018) Bruner. Available at: </w:t>
      </w:r>
      <w:hyperlink r:id="rId14" w:history="1">
        <w:r w:rsidRPr="00DB7074">
          <w:rPr>
            <w:rStyle w:val="Hyperlink"/>
            <w:sz w:val="24"/>
          </w:rPr>
          <w:t>https://www.simplypsychology.org/bruner.html</w:t>
        </w:r>
      </w:hyperlink>
      <w:r w:rsidRPr="00DB7074">
        <w:rPr>
          <w:sz w:val="24"/>
        </w:rPr>
        <w:t xml:space="preserve"> (Accessed: 27</w:t>
      </w:r>
      <w:r w:rsidRPr="00DB7074">
        <w:rPr>
          <w:sz w:val="24"/>
          <w:vertAlign w:val="superscript"/>
        </w:rPr>
        <w:t>th</w:t>
      </w:r>
      <w:r w:rsidRPr="00DB7074">
        <w:rPr>
          <w:sz w:val="24"/>
        </w:rPr>
        <w:t xml:space="preserve"> March 2019).</w:t>
      </w:r>
    </w:p>
    <w:p w:rsidR="00DB7074" w:rsidRPr="00DB7074" w:rsidRDefault="00DB7074" w:rsidP="00DB7074">
      <w:pPr>
        <w:spacing w:line="360" w:lineRule="auto"/>
        <w:jc w:val="both"/>
        <w:rPr>
          <w:sz w:val="24"/>
        </w:rPr>
      </w:pPr>
      <w:r w:rsidRPr="00DB7074">
        <w:rPr>
          <w:sz w:val="24"/>
        </w:rPr>
        <w:t xml:space="preserve">McLeod, S. (2018) Skinner-Operant Conditioning. Available at: </w:t>
      </w:r>
      <w:hyperlink r:id="rId15" w:history="1">
        <w:r w:rsidRPr="00DB7074">
          <w:rPr>
            <w:rStyle w:val="Hyperlink"/>
            <w:sz w:val="24"/>
          </w:rPr>
          <w:t>https://www.simplypsychology.org/operant-conditioning.html</w:t>
        </w:r>
      </w:hyperlink>
      <w:r w:rsidRPr="00DB7074">
        <w:rPr>
          <w:sz w:val="24"/>
        </w:rPr>
        <w:t xml:space="preserve"> (Accessed: 27</w:t>
      </w:r>
      <w:r w:rsidRPr="00DB7074">
        <w:rPr>
          <w:sz w:val="24"/>
          <w:vertAlign w:val="superscript"/>
        </w:rPr>
        <w:t>th</w:t>
      </w:r>
      <w:r w:rsidRPr="00DB7074">
        <w:rPr>
          <w:sz w:val="24"/>
        </w:rPr>
        <w:t xml:space="preserve"> March 2019).</w:t>
      </w:r>
    </w:p>
    <w:p w:rsidR="00DB7074" w:rsidRPr="00DB7074" w:rsidRDefault="00DB7074" w:rsidP="00DB7074">
      <w:pPr>
        <w:spacing w:line="360" w:lineRule="auto"/>
        <w:jc w:val="both"/>
        <w:rPr>
          <w:sz w:val="24"/>
        </w:rPr>
      </w:pPr>
      <w:proofErr w:type="gramStart"/>
      <w:r w:rsidRPr="00DB7074">
        <w:rPr>
          <w:sz w:val="24"/>
        </w:rPr>
        <w:t xml:space="preserve">Mudiad Meithrin (No date) </w:t>
      </w:r>
      <w:r w:rsidRPr="00DB7074">
        <w:rPr>
          <w:i/>
          <w:sz w:val="24"/>
        </w:rPr>
        <w:t>Language Immersion.</w:t>
      </w:r>
      <w:proofErr w:type="gramEnd"/>
      <w:r w:rsidRPr="00DB7074">
        <w:rPr>
          <w:sz w:val="24"/>
        </w:rPr>
        <w:t xml:space="preserve"> Available at: </w:t>
      </w:r>
      <w:hyperlink r:id="rId16" w:history="1">
        <w:r w:rsidRPr="00DB7074">
          <w:rPr>
            <w:rStyle w:val="Hyperlink"/>
            <w:sz w:val="24"/>
          </w:rPr>
          <w:t>https://www.meithrin.cymru/creo_files/upload/downloads/prif_egwyddorion_y_dull_trochi.pdf</w:t>
        </w:r>
      </w:hyperlink>
      <w:r w:rsidRPr="00DB7074">
        <w:rPr>
          <w:sz w:val="24"/>
        </w:rPr>
        <w:t xml:space="preserve"> (Accessed: 19</w:t>
      </w:r>
      <w:r w:rsidRPr="00DB7074">
        <w:rPr>
          <w:sz w:val="24"/>
          <w:vertAlign w:val="superscript"/>
        </w:rPr>
        <w:t>th</w:t>
      </w:r>
      <w:r w:rsidRPr="00DB7074">
        <w:rPr>
          <w:sz w:val="24"/>
        </w:rPr>
        <w:t xml:space="preserve"> March 2019) </w:t>
      </w:r>
    </w:p>
    <w:p w:rsidR="00DB7074" w:rsidRPr="00DB7074" w:rsidRDefault="00DB7074" w:rsidP="00DB7074">
      <w:pPr>
        <w:spacing w:line="360" w:lineRule="auto"/>
        <w:jc w:val="both"/>
        <w:rPr>
          <w:sz w:val="24"/>
        </w:rPr>
      </w:pPr>
      <w:proofErr w:type="spellStart"/>
      <w:proofErr w:type="gramStart"/>
      <w:r w:rsidRPr="00DB7074">
        <w:rPr>
          <w:sz w:val="24"/>
        </w:rPr>
        <w:t>Pim</w:t>
      </w:r>
      <w:proofErr w:type="spellEnd"/>
      <w:r w:rsidRPr="00DB7074">
        <w:rPr>
          <w:sz w:val="24"/>
        </w:rPr>
        <w:t xml:space="preserve">, C. (2012) </w:t>
      </w:r>
      <w:r w:rsidRPr="00DB7074">
        <w:rPr>
          <w:i/>
          <w:iCs/>
          <w:sz w:val="24"/>
        </w:rPr>
        <w:t>100 Ideas for Supporting Learners with EAL.</w:t>
      </w:r>
      <w:proofErr w:type="gramEnd"/>
      <w:r w:rsidRPr="00DB7074">
        <w:rPr>
          <w:i/>
          <w:iCs/>
          <w:sz w:val="24"/>
        </w:rPr>
        <w:t xml:space="preserve"> </w:t>
      </w:r>
      <w:r w:rsidRPr="00DB7074">
        <w:rPr>
          <w:sz w:val="24"/>
        </w:rPr>
        <w:t>London: Continuum International Publishing Group.</w:t>
      </w:r>
    </w:p>
    <w:p w:rsidR="00DB7074" w:rsidRPr="00DB7074" w:rsidRDefault="00DB7074" w:rsidP="00DB7074">
      <w:pPr>
        <w:spacing w:line="360" w:lineRule="auto"/>
        <w:jc w:val="both"/>
        <w:rPr>
          <w:sz w:val="24"/>
        </w:rPr>
      </w:pPr>
      <w:r w:rsidRPr="00DB7074">
        <w:rPr>
          <w:sz w:val="24"/>
        </w:rPr>
        <w:t xml:space="preserve">Tamiu.edu (2016) </w:t>
      </w:r>
      <w:r w:rsidRPr="00DB7074">
        <w:rPr>
          <w:i/>
          <w:sz w:val="24"/>
        </w:rPr>
        <w:t>Why do bilinguals code-switch?</w:t>
      </w:r>
      <w:r w:rsidRPr="00DB7074">
        <w:rPr>
          <w:sz w:val="24"/>
        </w:rPr>
        <w:t xml:space="preserve"> Available at: </w:t>
      </w:r>
      <w:hyperlink r:id="rId17" w:history="1">
        <w:r w:rsidRPr="00DB7074">
          <w:rPr>
            <w:rStyle w:val="Hyperlink"/>
            <w:sz w:val="24"/>
          </w:rPr>
          <w:t>http://www.tamiu.edu/~rheredia/codeswitch.pdf</w:t>
        </w:r>
      </w:hyperlink>
      <w:r w:rsidRPr="00DB7074">
        <w:rPr>
          <w:sz w:val="24"/>
        </w:rPr>
        <w:t xml:space="preserve"> (Accessed: 24</w:t>
      </w:r>
      <w:r w:rsidRPr="00DB7074">
        <w:rPr>
          <w:sz w:val="24"/>
          <w:vertAlign w:val="superscript"/>
        </w:rPr>
        <w:t>th</w:t>
      </w:r>
      <w:r w:rsidRPr="00DB7074">
        <w:rPr>
          <w:sz w:val="24"/>
        </w:rPr>
        <w:t xml:space="preserve"> March 2019). </w:t>
      </w:r>
    </w:p>
    <w:p w:rsidR="00DB7074" w:rsidRPr="00DB7074" w:rsidRDefault="00DB7074" w:rsidP="00DB7074">
      <w:pPr>
        <w:spacing w:line="360" w:lineRule="auto"/>
        <w:jc w:val="both"/>
        <w:rPr>
          <w:sz w:val="24"/>
          <w:lang w:val="en-US"/>
        </w:rPr>
      </w:pPr>
      <w:proofErr w:type="spellStart"/>
      <w:proofErr w:type="gramStart"/>
      <w:r w:rsidRPr="00DB7074">
        <w:rPr>
          <w:sz w:val="24"/>
          <w:lang w:val="en-US"/>
        </w:rPr>
        <w:t>Unicef</w:t>
      </w:r>
      <w:proofErr w:type="spellEnd"/>
      <w:proofErr w:type="gramEnd"/>
      <w:r w:rsidRPr="00DB7074">
        <w:rPr>
          <w:sz w:val="24"/>
          <w:lang w:val="en-US"/>
        </w:rPr>
        <w:t xml:space="preserve"> (No date) </w:t>
      </w:r>
      <w:r w:rsidRPr="00DB7074">
        <w:rPr>
          <w:i/>
          <w:sz w:val="24"/>
          <w:lang w:val="en-US"/>
        </w:rPr>
        <w:t>United Nations Convention on the Rights for the child</w:t>
      </w:r>
      <w:r w:rsidRPr="00DB7074">
        <w:rPr>
          <w:sz w:val="24"/>
          <w:lang w:val="en-US"/>
        </w:rPr>
        <w:t xml:space="preserve">. Available at: </w:t>
      </w:r>
      <w:hyperlink r:id="rId18" w:history="1">
        <w:r w:rsidRPr="00DB7074">
          <w:rPr>
            <w:rStyle w:val="Hyperlink"/>
            <w:sz w:val="24"/>
            <w:lang w:val="en-US"/>
          </w:rPr>
          <w:t>https://www.unicef.org.uk/what-we-do/un-convention-child-rights/</w:t>
        </w:r>
      </w:hyperlink>
      <w:r w:rsidRPr="00DB7074">
        <w:rPr>
          <w:sz w:val="24"/>
          <w:lang w:val="en-US"/>
        </w:rPr>
        <w:t xml:space="preserve"> (Accessed: 29th March 2019).</w:t>
      </w:r>
    </w:p>
    <w:p w:rsidR="00DB7074" w:rsidRPr="00DB7074" w:rsidRDefault="00DB7074" w:rsidP="00DB7074">
      <w:pPr>
        <w:spacing w:line="360" w:lineRule="auto"/>
        <w:jc w:val="both"/>
        <w:rPr>
          <w:sz w:val="24"/>
        </w:rPr>
      </w:pPr>
      <w:r w:rsidRPr="00DB7074">
        <w:rPr>
          <w:sz w:val="24"/>
        </w:rPr>
        <w:t xml:space="preserve">Vince, G. (2016) ‘The amazing benefits of being bilingual,’ </w:t>
      </w:r>
      <w:hyperlink r:id="rId19" w:history="1">
        <w:r w:rsidRPr="00DB7074">
          <w:rPr>
            <w:rStyle w:val="Hyperlink"/>
            <w:sz w:val="24"/>
          </w:rPr>
          <w:t>http://</w:t>
        </w:r>
      </w:hyperlink>
      <w:hyperlink r:id="rId20" w:history="1">
        <w:r w:rsidRPr="00DB7074">
          <w:rPr>
            <w:rStyle w:val="Hyperlink"/>
            <w:sz w:val="24"/>
          </w:rPr>
          <w:t>www.bbc.com/future/story/20160811-the-amazing-benefits-of-being-bilingual</w:t>
        </w:r>
      </w:hyperlink>
      <w:r w:rsidRPr="00DB7074">
        <w:rPr>
          <w:sz w:val="24"/>
        </w:rPr>
        <w:t xml:space="preserve"> (Accessed: March 20</w:t>
      </w:r>
      <w:r w:rsidRPr="00DB7074">
        <w:rPr>
          <w:sz w:val="24"/>
          <w:vertAlign w:val="superscript"/>
        </w:rPr>
        <w:t>th</w:t>
      </w:r>
      <w:r w:rsidRPr="00DB7074">
        <w:rPr>
          <w:sz w:val="24"/>
        </w:rPr>
        <w:t xml:space="preserve"> 2019).</w:t>
      </w:r>
    </w:p>
    <w:p w:rsidR="00DB7074" w:rsidRPr="00DB7074" w:rsidRDefault="00DB7074" w:rsidP="00DB7074">
      <w:pPr>
        <w:spacing w:line="360" w:lineRule="auto"/>
        <w:jc w:val="both"/>
        <w:rPr>
          <w:sz w:val="24"/>
        </w:rPr>
      </w:pPr>
      <w:proofErr w:type="gramStart"/>
      <w:r w:rsidRPr="00DB7074">
        <w:rPr>
          <w:sz w:val="24"/>
        </w:rPr>
        <w:t>Welsh Government.</w:t>
      </w:r>
      <w:proofErr w:type="gramEnd"/>
      <w:r w:rsidRPr="00DB7074">
        <w:rPr>
          <w:sz w:val="24"/>
        </w:rPr>
        <w:t xml:space="preserve"> </w:t>
      </w:r>
      <w:proofErr w:type="gramStart"/>
      <w:r w:rsidRPr="00DB7074">
        <w:rPr>
          <w:sz w:val="24"/>
        </w:rPr>
        <w:t xml:space="preserve">(2003) </w:t>
      </w:r>
      <w:r w:rsidRPr="00DB7074">
        <w:rPr>
          <w:i/>
          <w:sz w:val="24"/>
        </w:rPr>
        <w:t xml:space="preserve">Developing the curriculum </w:t>
      </w:r>
      <w:proofErr w:type="spellStart"/>
      <w:r w:rsidRPr="00DB7074">
        <w:rPr>
          <w:i/>
          <w:sz w:val="24"/>
        </w:rPr>
        <w:t>Cymreig</w:t>
      </w:r>
      <w:proofErr w:type="spellEnd"/>
      <w:r w:rsidRPr="00DB7074">
        <w:rPr>
          <w:i/>
          <w:sz w:val="24"/>
        </w:rPr>
        <w:t>.</w:t>
      </w:r>
      <w:proofErr w:type="gramEnd"/>
      <w:r w:rsidRPr="00DB7074">
        <w:rPr>
          <w:sz w:val="24"/>
        </w:rPr>
        <w:t xml:space="preserve"> Wales: Welsh Government </w:t>
      </w:r>
    </w:p>
    <w:p w:rsidR="00DB7074" w:rsidRPr="00DB7074" w:rsidRDefault="00DB7074" w:rsidP="00DB7074">
      <w:pPr>
        <w:spacing w:line="360" w:lineRule="auto"/>
        <w:jc w:val="both"/>
        <w:rPr>
          <w:sz w:val="24"/>
        </w:rPr>
      </w:pPr>
      <w:proofErr w:type="gramStart"/>
      <w:r w:rsidRPr="00DB7074">
        <w:rPr>
          <w:sz w:val="24"/>
        </w:rPr>
        <w:lastRenderedPageBreak/>
        <w:t>Welsh Government.</w:t>
      </w:r>
      <w:proofErr w:type="gramEnd"/>
      <w:r w:rsidRPr="00DB7074">
        <w:rPr>
          <w:sz w:val="24"/>
        </w:rPr>
        <w:t xml:space="preserve"> </w:t>
      </w:r>
      <w:proofErr w:type="gramStart"/>
      <w:r w:rsidRPr="00DB7074">
        <w:rPr>
          <w:sz w:val="24"/>
        </w:rPr>
        <w:t xml:space="preserve">(2015) </w:t>
      </w:r>
      <w:r w:rsidRPr="00DB7074">
        <w:rPr>
          <w:i/>
          <w:sz w:val="24"/>
        </w:rPr>
        <w:t>Foundation Phase Framework.</w:t>
      </w:r>
      <w:proofErr w:type="gramEnd"/>
      <w:r w:rsidRPr="00DB7074">
        <w:rPr>
          <w:sz w:val="24"/>
        </w:rPr>
        <w:t xml:space="preserve"> Wales: Welsh </w:t>
      </w:r>
      <w:proofErr w:type="spellStart"/>
      <w:r w:rsidRPr="00DB7074">
        <w:rPr>
          <w:sz w:val="24"/>
        </w:rPr>
        <w:t>Goverment</w:t>
      </w:r>
      <w:proofErr w:type="spellEnd"/>
    </w:p>
    <w:p w:rsidR="00DB7074" w:rsidRPr="006572DD" w:rsidRDefault="00DB7074" w:rsidP="002D47B7">
      <w:pPr>
        <w:spacing w:line="360" w:lineRule="auto"/>
        <w:jc w:val="both"/>
        <w:rPr>
          <w:sz w:val="24"/>
        </w:rPr>
      </w:pPr>
      <w:bookmarkStart w:id="0" w:name="_GoBack"/>
      <w:bookmarkEnd w:id="0"/>
    </w:p>
    <w:sectPr w:rsidR="00DB7074" w:rsidRPr="006572DD">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6F5" w:rsidRDefault="009E56F5" w:rsidP="006572DD">
      <w:pPr>
        <w:spacing w:after="0" w:line="240" w:lineRule="auto"/>
      </w:pPr>
      <w:r>
        <w:separator/>
      </w:r>
    </w:p>
  </w:endnote>
  <w:endnote w:type="continuationSeparator" w:id="0">
    <w:p w:rsidR="009E56F5" w:rsidRDefault="009E56F5" w:rsidP="00657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6F5" w:rsidRDefault="009E56F5" w:rsidP="006572DD">
      <w:pPr>
        <w:spacing w:after="0" w:line="240" w:lineRule="auto"/>
      </w:pPr>
      <w:r>
        <w:separator/>
      </w:r>
    </w:p>
  </w:footnote>
  <w:footnote w:type="continuationSeparator" w:id="0">
    <w:p w:rsidR="009E56F5" w:rsidRDefault="009E56F5" w:rsidP="006572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2DD" w:rsidRDefault="006572DD">
    <w:pPr>
      <w:pStyle w:val="Header"/>
    </w:pPr>
    <w:r>
      <w:t>Sean Lewis 1301543</w:t>
    </w:r>
    <w:r>
      <w:tab/>
      <w:t>Word Count</w:t>
    </w:r>
    <w:r w:rsidR="002D47B7">
      <w:t xml:space="preserve"> </w:t>
    </w:r>
    <w:r>
      <w:t xml:space="preserve">= </w:t>
    </w:r>
    <w:r w:rsidR="002D47B7">
      <w:t>1478</w:t>
    </w:r>
    <w:r>
      <w:tab/>
    </w:r>
    <w:r>
      <w:tab/>
      <w:t>EAEE4006</w:t>
    </w:r>
  </w:p>
  <w:p w:rsidR="006572DD" w:rsidRDefault="006572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2DD"/>
    <w:rsid w:val="00073D8D"/>
    <w:rsid w:val="0008507E"/>
    <w:rsid w:val="00091B00"/>
    <w:rsid w:val="000B7E5D"/>
    <w:rsid w:val="001A19F4"/>
    <w:rsid w:val="002D47B7"/>
    <w:rsid w:val="003570F2"/>
    <w:rsid w:val="004131AB"/>
    <w:rsid w:val="00436EA8"/>
    <w:rsid w:val="0045016C"/>
    <w:rsid w:val="00470A2F"/>
    <w:rsid w:val="004807CE"/>
    <w:rsid w:val="00482D0D"/>
    <w:rsid w:val="00496AC0"/>
    <w:rsid w:val="004D3ECD"/>
    <w:rsid w:val="00586383"/>
    <w:rsid w:val="006235BA"/>
    <w:rsid w:val="006572DD"/>
    <w:rsid w:val="00706584"/>
    <w:rsid w:val="00754612"/>
    <w:rsid w:val="00793DDB"/>
    <w:rsid w:val="008432D2"/>
    <w:rsid w:val="00876F14"/>
    <w:rsid w:val="008F0710"/>
    <w:rsid w:val="00975799"/>
    <w:rsid w:val="009E56F5"/>
    <w:rsid w:val="00A47C95"/>
    <w:rsid w:val="00AC2EB2"/>
    <w:rsid w:val="00BA5575"/>
    <w:rsid w:val="00C55172"/>
    <w:rsid w:val="00C8265F"/>
    <w:rsid w:val="00CA726C"/>
    <w:rsid w:val="00CB556F"/>
    <w:rsid w:val="00CF6B0B"/>
    <w:rsid w:val="00D60F24"/>
    <w:rsid w:val="00DB7074"/>
    <w:rsid w:val="00E41FC0"/>
    <w:rsid w:val="00E75A84"/>
    <w:rsid w:val="00ED510D"/>
    <w:rsid w:val="00EF1CA8"/>
    <w:rsid w:val="00EF3CCD"/>
    <w:rsid w:val="00F30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2DD"/>
  </w:style>
  <w:style w:type="paragraph" w:styleId="Footer">
    <w:name w:val="footer"/>
    <w:basedOn w:val="Normal"/>
    <w:link w:val="FooterChar"/>
    <w:uiPriority w:val="99"/>
    <w:unhideWhenUsed/>
    <w:rsid w:val="00657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2DD"/>
  </w:style>
  <w:style w:type="paragraph" w:styleId="BalloonText">
    <w:name w:val="Balloon Text"/>
    <w:basedOn w:val="Normal"/>
    <w:link w:val="BalloonTextChar"/>
    <w:uiPriority w:val="99"/>
    <w:semiHidden/>
    <w:unhideWhenUsed/>
    <w:rsid w:val="006572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2DD"/>
    <w:rPr>
      <w:rFonts w:ascii="Tahoma" w:hAnsi="Tahoma" w:cs="Tahoma"/>
      <w:sz w:val="16"/>
      <w:szCs w:val="16"/>
    </w:rPr>
  </w:style>
  <w:style w:type="character" w:styleId="Hyperlink">
    <w:name w:val="Hyperlink"/>
    <w:basedOn w:val="DefaultParagraphFont"/>
    <w:uiPriority w:val="99"/>
    <w:unhideWhenUsed/>
    <w:rsid w:val="00DB707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2DD"/>
  </w:style>
  <w:style w:type="paragraph" w:styleId="Footer">
    <w:name w:val="footer"/>
    <w:basedOn w:val="Normal"/>
    <w:link w:val="FooterChar"/>
    <w:uiPriority w:val="99"/>
    <w:unhideWhenUsed/>
    <w:rsid w:val="00657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2DD"/>
  </w:style>
  <w:style w:type="paragraph" w:styleId="BalloonText">
    <w:name w:val="Balloon Text"/>
    <w:basedOn w:val="Normal"/>
    <w:link w:val="BalloonTextChar"/>
    <w:uiPriority w:val="99"/>
    <w:semiHidden/>
    <w:unhideWhenUsed/>
    <w:rsid w:val="006572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2DD"/>
    <w:rPr>
      <w:rFonts w:ascii="Tahoma" w:hAnsi="Tahoma" w:cs="Tahoma"/>
      <w:sz w:val="16"/>
      <w:szCs w:val="16"/>
    </w:rPr>
  </w:style>
  <w:style w:type="character" w:styleId="Hyperlink">
    <w:name w:val="Hyperlink"/>
    <w:basedOn w:val="DefaultParagraphFont"/>
    <w:uiPriority w:val="99"/>
    <w:unhideWhenUsed/>
    <w:rsid w:val="00DB70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ldic.org.uk/eal-teaching-and-learning/outline-guidance/task/" TargetMode="External"/><Relationship Id="rId13" Type="http://schemas.openxmlformats.org/officeDocument/2006/relationships/hyperlink" Target="https://literariness.org/2017/05/14/noam-chomskys-approach-to-linguistics/" TargetMode="External"/><Relationship Id="rId18" Type="http://schemas.openxmlformats.org/officeDocument/2006/relationships/hyperlink" Target="https://www.unicef.org.uk/what-we-do/un-convention-child-right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melts.org/policy-papers/paper/healthy-linguistic-diet" TargetMode="External"/><Relationship Id="rId12" Type="http://schemas.openxmlformats.org/officeDocument/2006/relationships/hyperlink" Target="https://www.livescience.com/48721-bilingual-brain-bodybuilders.html" TargetMode="External"/><Relationship Id="rId17" Type="http://schemas.openxmlformats.org/officeDocument/2006/relationships/hyperlink" Target="http://www.tamiu.edu/~rheredia/codeswitch.pdf" TargetMode="External"/><Relationship Id="rId2" Type="http://schemas.microsoft.com/office/2007/relationships/stylesWithEffects" Target="stylesWithEffects.xml"/><Relationship Id="rId16" Type="http://schemas.openxmlformats.org/officeDocument/2006/relationships/hyperlink" Target="https://www.meithrin.cymru/creo_files/upload/downloads/prif_egwyddorion_y_dull_trochi.pdf" TargetMode="External"/><Relationship Id="rId20" Type="http://schemas.openxmlformats.org/officeDocument/2006/relationships/hyperlink" Target="http://www.bbc.com/future/story/20160811-the-amazing-benefits-of-being-bilingual"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ted.com/talks/patricia_kuhl_the_linguistic_genius_of_babies?language=en" TargetMode="External"/><Relationship Id="rId5" Type="http://schemas.openxmlformats.org/officeDocument/2006/relationships/footnotes" Target="footnotes.xml"/><Relationship Id="rId15" Type="http://schemas.openxmlformats.org/officeDocument/2006/relationships/hyperlink" Target="https://www.simplypsychology.org/operant-conditioning.html" TargetMode="External"/><Relationship Id="rId23" Type="http://schemas.openxmlformats.org/officeDocument/2006/relationships/theme" Target="theme/theme1.xml"/><Relationship Id="rId10" Type="http://schemas.openxmlformats.org/officeDocument/2006/relationships/hyperlink" Target="https://www.naldic.org.uk/eal-teaching-and-learning/outline-guidance/task/" TargetMode="External"/><Relationship Id="rId19" Type="http://schemas.openxmlformats.org/officeDocument/2006/relationships/hyperlink" Target="http://www.bbc.com/future/story/20160811-the-amazing-benefits-of-being-bilingual" TargetMode="External"/><Relationship Id="rId4" Type="http://schemas.openxmlformats.org/officeDocument/2006/relationships/webSettings" Target="webSettings.xml"/><Relationship Id="rId9" Type="http://schemas.openxmlformats.org/officeDocument/2006/relationships/hyperlink" Target="https://www.naldic.org.uk/eal-teaching-and-learning/outline-guidance/task/" TargetMode="External"/><Relationship Id="rId14" Type="http://schemas.openxmlformats.org/officeDocument/2006/relationships/hyperlink" Target="https://www.simplypsychology.org/bruner.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2877</TotalTime>
  <Pages>7</Pages>
  <Words>2027</Words>
  <Characters>11556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15</cp:revision>
  <dcterms:created xsi:type="dcterms:W3CDTF">2019-04-03T08:14:00Z</dcterms:created>
  <dcterms:modified xsi:type="dcterms:W3CDTF">2019-04-05T09:26:00Z</dcterms:modified>
</cp:coreProperties>
</file>