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6DEE5" w14:textId="2AF1E26E" w:rsidR="00E502E6" w:rsidRDefault="00E502E6" w:rsidP="00E502E6">
      <w:pPr>
        <w:spacing w:line="480" w:lineRule="auto"/>
        <w:rPr>
          <w:sz w:val="24"/>
          <w:szCs w:val="24"/>
        </w:rPr>
      </w:pPr>
    </w:p>
    <w:p w14:paraId="1C8871E7" w14:textId="77777777" w:rsidR="00E502E6" w:rsidRPr="001D2190" w:rsidRDefault="00E502E6" w:rsidP="00E502E6">
      <w:pPr>
        <w:spacing w:line="480" w:lineRule="auto"/>
        <w:rPr>
          <w:sz w:val="24"/>
          <w:szCs w:val="24"/>
        </w:rPr>
      </w:pPr>
    </w:p>
    <w:p w14:paraId="033B6C4C" w14:textId="77777777"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UNIVERSITY OF WALES TRINITY SAINT DAVID</w:t>
      </w:r>
    </w:p>
    <w:p w14:paraId="19B64753"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00DAF8FA" w14:textId="77777777"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INDIVIDUAL ASSIGNMENT</w:t>
      </w:r>
    </w:p>
    <w:p w14:paraId="6B8E2D50"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486D537E" w14:textId="77777777"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ON</w:t>
      </w:r>
    </w:p>
    <w:p w14:paraId="2528F0B3"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2EA6DA65" w14:textId="1646F63E"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MANA</w:t>
      </w:r>
      <w:r>
        <w:rPr>
          <w:rFonts w:eastAsiaTheme="minorHAnsi"/>
          <w:b/>
          <w:sz w:val="28"/>
          <w:szCs w:val="28"/>
          <w:lang w:eastAsia="en-US"/>
        </w:rPr>
        <w:t>GING PEOPLE</w:t>
      </w:r>
    </w:p>
    <w:p w14:paraId="52152696" w14:textId="5ECC8155"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LCBB500</w:t>
      </w:r>
      <w:r>
        <w:rPr>
          <w:rFonts w:eastAsiaTheme="minorHAnsi"/>
          <w:b/>
          <w:sz w:val="28"/>
          <w:szCs w:val="28"/>
          <w:lang w:eastAsia="en-US"/>
        </w:rPr>
        <w:t>4</w:t>
      </w:r>
    </w:p>
    <w:p w14:paraId="107636CA"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2220A53F"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59702EC3"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3FBED69E" w14:textId="77777777"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Name:  Loredana Constantina Chirana</w:t>
      </w:r>
    </w:p>
    <w:p w14:paraId="173C34D5"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7BC38327" w14:textId="77777777"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Student Number:  1918446</w:t>
      </w:r>
    </w:p>
    <w:p w14:paraId="168B5CB7" w14:textId="77777777" w:rsidR="00E502E6" w:rsidRPr="00E502E6" w:rsidRDefault="00E502E6" w:rsidP="00E502E6">
      <w:pPr>
        <w:spacing w:after="160" w:line="256" w:lineRule="auto"/>
        <w:ind w:left="1869" w:right="2046"/>
        <w:jc w:val="center"/>
        <w:rPr>
          <w:rFonts w:eastAsiaTheme="minorHAnsi"/>
          <w:b/>
          <w:sz w:val="28"/>
          <w:szCs w:val="28"/>
          <w:lang w:eastAsia="en-US"/>
        </w:rPr>
      </w:pPr>
    </w:p>
    <w:p w14:paraId="7B70A188" w14:textId="509E77D4" w:rsidR="00E502E6" w:rsidRPr="00E502E6" w:rsidRDefault="00E502E6" w:rsidP="00E502E6">
      <w:pPr>
        <w:spacing w:after="160" w:line="256" w:lineRule="auto"/>
        <w:ind w:left="1869" w:right="2046"/>
        <w:jc w:val="center"/>
        <w:rPr>
          <w:rFonts w:eastAsiaTheme="minorHAnsi"/>
          <w:b/>
          <w:sz w:val="28"/>
          <w:szCs w:val="28"/>
          <w:lang w:eastAsia="en-US"/>
        </w:rPr>
      </w:pPr>
      <w:r w:rsidRPr="00E502E6">
        <w:rPr>
          <w:rFonts w:eastAsiaTheme="minorHAnsi"/>
          <w:b/>
          <w:sz w:val="28"/>
          <w:szCs w:val="28"/>
          <w:lang w:eastAsia="en-US"/>
        </w:rPr>
        <w:t xml:space="preserve">Module Lecturer’s </w:t>
      </w:r>
      <w:r w:rsidRPr="00E502E6">
        <w:rPr>
          <w:rFonts w:eastAsiaTheme="minorHAnsi"/>
          <w:b/>
          <w:spacing w:val="-3"/>
          <w:sz w:val="28"/>
          <w:szCs w:val="28"/>
          <w:lang w:eastAsia="en-US"/>
        </w:rPr>
        <w:t xml:space="preserve">Name: </w:t>
      </w:r>
      <w:proofErr w:type="spellStart"/>
      <w:r>
        <w:rPr>
          <w:rFonts w:eastAsiaTheme="minorHAnsi"/>
          <w:b/>
          <w:spacing w:val="-3"/>
          <w:sz w:val="28"/>
          <w:szCs w:val="28"/>
          <w:lang w:eastAsia="en-US"/>
        </w:rPr>
        <w:t>Efua</w:t>
      </w:r>
      <w:proofErr w:type="spellEnd"/>
      <w:r>
        <w:rPr>
          <w:rFonts w:eastAsiaTheme="minorHAnsi"/>
          <w:b/>
          <w:spacing w:val="-3"/>
          <w:sz w:val="28"/>
          <w:szCs w:val="28"/>
          <w:lang w:eastAsia="en-US"/>
        </w:rPr>
        <w:t xml:space="preserve"> Adams</w:t>
      </w:r>
    </w:p>
    <w:p w14:paraId="5B91BB86" w14:textId="77777777" w:rsidR="00E502E6" w:rsidRPr="001D2190" w:rsidRDefault="00E502E6" w:rsidP="00E502E6">
      <w:pPr>
        <w:spacing w:line="480" w:lineRule="auto"/>
        <w:jc w:val="center"/>
        <w:rPr>
          <w:sz w:val="24"/>
          <w:szCs w:val="24"/>
        </w:rPr>
      </w:pPr>
    </w:p>
    <w:p w14:paraId="00D3F6B3" w14:textId="77777777" w:rsidR="00E502E6" w:rsidRDefault="00E502E6" w:rsidP="00E502E6">
      <w:pPr>
        <w:spacing w:after="0" w:line="240" w:lineRule="auto"/>
        <w:jc w:val="center"/>
        <w:rPr>
          <w:b/>
          <w:sz w:val="24"/>
          <w:szCs w:val="24"/>
        </w:rPr>
      </w:pPr>
    </w:p>
    <w:p w14:paraId="5EABDD89" w14:textId="42EB9492" w:rsidR="00E502E6" w:rsidRPr="00E502E6" w:rsidRDefault="00E502E6" w:rsidP="00E502E6">
      <w:pPr>
        <w:spacing w:after="0" w:line="240" w:lineRule="auto"/>
        <w:jc w:val="center"/>
        <w:rPr>
          <w:b/>
          <w:sz w:val="28"/>
          <w:szCs w:val="28"/>
        </w:rPr>
      </w:pPr>
      <w:r w:rsidRPr="00E502E6">
        <w:rPr>
          <w:b/>
          <w:sz w:val="28"/>
          <w:szCs w:val="28"/>
        </w:rPr>
        <w:t>November 2021</w:t>
      </w:r>
    </w:p>
    <w:p w14:paraId="62AF8C37" w14:textId="03A2F865" w:rsidR="00E502E6" w:rsidRDefault="00E502E6" w:rsidP="00E502E6">
      <w:pPr>
        <w:spacing w:after="0" w:line="240" w:lineRule="auto"/>
        <w:jc w:val="center"/>
        <w:rPr>
          <w:b/>
          <w:sz w:val="24"/>
          <w:szCs w:val="24"/>
        </w:rPr>
      </w:pPr>
    </w:p>
    <w:p w14:paraId="1E1FE913" w14:textId="77777777" w:rsidR="00E502E6" w:rsidRDefault="00E502E6" w:rsidP="00E502E6">
      <w:pPr>
        <w:spacing w:after="0" w:line="240" w:lineRule="auto"/>
        <w:jc w:val="center"/>
        <w:rPr>
          <w:b/>
          <w:sz w:val="24"/>
          <w:szCs w:val="24"/>
        </w:rPr>
      </w:pPr>
    </w:p>
    <w:p w14:paraId="025EA691" w14:textId="77777777" w:rsidR="00E502E6" w:rsidRPr="00876250" w:rsidRDefault="00E502E6" w:rsidP="00876250">
      <w:pPr>
        <w:pStyle w:val="Heading1"/>
        <w:spacing w:before="0" w:after="0" w:line="480" w:lineRule="auto"/>
        <w:jc w:val="center"/>
        <w:rPr>
          <w:sz w:val="32"/>
        </w:rPr>
      </w:pPr>
      <w:bookmarkStart w:id="0" w:name="_Toc79507976"/>
      <w:bookmarkStart w:id="1" w:name="_Toc80779129"/>
      <w:bookmarkStart w:id="2" w:name="_Toc86307291"/>
      <w:r w:rsidRPr="00876250">
        <w:rPr>
          <w:sz w:val="32"/>
        </w:rPr>
        <w:lastRenderedPageBreak/>
        <w:t>Introduction</w:t>
      </w:r>
      <w:bookmarkEnd w:id="0"/>
      <w:bookmarkEnd w:id="1"/>
      <w:bookmarkEnd w:id="2"/>
    </w:p>
    <w:p w14:paraId="0428C6CC" w14:textId="6AFBB089" w:rsidR="00E502E6" w:rsidRDefault="00E502E6" w:rsidP="00876250">
      <w:pPr>
        <w:spacing w:after="0" w:line="480" w:lineRule="auto"/>
        <w:ind w:firstLine="720"/>
        <w:jc w:val="both"/>
        <w:rPr>
          <w:sz w:val="24"/>
          <w:szCs w:val="24"/>
        </w:rPr>
      </w:pPr>
      <w:r>
        <w:rPr>
          <w:sz w:val="24"/>
          <w:szCs w:val="24"/>
        </w:rPr>
        <w:t xml:space="preserve">The concept of employee engagement focuses on the level of enthusiasm and dedication to work demonstrated by employees. As a function of the relationship between employees and their organizations, engagement reflects a sense of belonging and purpose, as well as commitment to organizational vision, mission, objectives, goals, values, behaviours, policies, processes, and strategies, among others. It creates a psychological and emotional foundation for optimal performances among employees of an organization. It also determines employees’ motivation and work satisfaction. In other words, employee engagement is a function of motivation and job satisfaction. Because employee engagement determines employees’ performance, motivation, and job satisfaction, it is a critical aspect of overall organizational management function and human resource management. It determines how organizations create and maintain their employment brand, work culture, and management approaches. It also determines motivation approaches and job designs adopted by organizations. This report reviews the concept and drivers of employee engagement, outlines and evaluates diagnostic tools that organizations can use to assess employee engagement, and develop employee value proposition from previously covered ideas. </w:t>
      </w:r>
    </w:p>
    <w:p w14:paraId="54B078B8" w14:textId="77777777" w:rsidR="00876250" w:rsidRDefault="00876250" w:rsidP="00876250">
      <w:pPr>
        <w:spacing w:after="0" w:line="480" w:lineRule="auto"/>
        <w:ind w:firstLine="720"/>
        <w:jc w:val="both"/>
        <w:rPr>
          <w:sz w:val="24"/>
          <w:szCs w:val="24"/>
        </w:rPr>
      </w:pPr>
    </w:p>
    <w:p w14:paraId="2B5F237B" w14:textId="43BDFF65" w:rsidR="00E502E6" w:rsidRPr="00876250" w:rsidRDefault="00E502E6" w:rsidP="00876250">
      <w:pPr>
        <w:pStyle w:val="Heading1"/>
        <w:spacing w:before="0"/>
        <w:jc w:val="center"/>
        <w:rPr>
          <w:sz w:val="32"/>
          <w:szCs w:val="40"/>
        </w:rPr>
      </w:pPr>
      <w:r w:rsidRPr="00876250">
        <w:rPr>
          <w:sz w:val="32"/>
          <w:szCs w:val="40"/>
        </w:rPr>
        <w:t>The Concept and Drivers of Employees Engagement</w:t>
      </w:r>
    </w:p>
    <w:p w14:paraId="7BE0E5F6" w14:textId="77777777" w:rsidR="00E502E6" w:rsidRDefault="00E502E6" w:rsidP="00876250">
      <w:pPr>
        <w:spacing w:before="240" w:after="0" w:line="480" w:lineRule="auto"/>
        <w:ind w:firstLine="720"/>
        <w:jc w:val="both"/>
        <w:rPr>
          <w:sz w:val="24"/>
          <w:szCs w:val="24"/>
        </w:rPr>
      </w:pPr>
      <w:r>
        <w:rPr>
          <w:sz w:val="24"/>
          <w:szCs w:val="24"/>
        </w:rPr>
        <w:t>The concept of employee engagement emerged from human resource management discourse and it defines the psychological status of employees in their readiness to perform their tasks optimally. It describes employees’ dedication and enthusiasm towards performing their tasks optimally (</w:t>
      </w:r>
      <w:proofErr w:type="spellStart"/>
      <w:r>
        <w:rPr>
          <w:sz w:val="24"/>
          <w:szCs w:val="24"/>
        </w:rPr>
        <w:t>Shrotryia</w:t>
      </w:r>
      <w:proofErr w:type="spellEnd"/>
      <w:r>
        <w:rPr>
          <w:sz w:val="24"/>
          <w:szCs w:val="24"/>
        </w:rPr>
        <w:t xml:space="preserve"> &amp; </w:t>
      </w:r>
      <w:proofErr w:type="spellStart"/>
      <w:r>
        <w:rPr>
          <w:sz w:val="24"/>
          <w:szCs w:val="24"/>
        </w:rPr>
        <w:t>Dhanda</w:t>
      </w:r>
      <w:proofErr w:type="spellEnd"/>
      <w:r>
        <w:rPr>
          <w:sz w:val="24"/>
          <w:szCs w:val="24"/>
        </w:rPr>
        <w:t xml:space="preserve"> 2020). The different between highly engaged employees and those lacking engagement exists in their perception and behaviours towards work. Highly engaged employees care about their tasks, how they perform in such tasks, and whether organizations </w:t>
      </w:r>
      <w:r>
        <w:rPr>
          <w:sz w:val="24"/>
          <w:szCs w:val="24"/>
        </w:rPr>
        <w:lastRenderedPageBreak/>
        <w:t xml:space="preserve">achieve or can achieve their goals and objectives </w:t>
      </w:r>
      <w:r w:rsidRPr="00C36D39">
        <w:rPr>
          <w:sz w:val="24"/>
          <w:szCs w:val="24"/>
        </w:rPr>
        <w:t>(</w:t>
      </w:r>
      <w:proofErr w:type="spellStart"/>
      <w:r w:rsidRPr="00C36D39">
        <w:rPr>
          <w:sz w:val="24"/>
          <w:szCs w:val="24"/>
        </w:rPr>
        <w:t>Shrotryia</w:t>
      </w:r>
      <w:proofErr w:type="spellEnd"/>
      <w:r w:rsidRPr="00C36D39">
        <w:rPr>
          <w:sz w:val="24"/>
          <w:szCs w:val="24"/>
        </w:rPr>
        <w:t xml:space="preserve"> &amp; </w:t>
      </w:r>
      <w:proofErr w:type="spellStart"/>
      <w:r w:rsidRPr="00C36D39">
        <w:rPr>
          <w:sz w:val="24"/>
          <w:szCs w:val="24"/>
        </w:rPr>
        <w:t>Dhanda</w:t>
      </w:r>
      <w:proofErr w:type="spellEnd"/>
      <w:r w:rsidRPr="00C36D39">
        <w:rPr>
          <w:sz w:val="24"/>
          <w:szCs w:val="24"/>
        </w:rPr>
        <w:t xml:space="preserve"> 2020)</w:t>
      </w:r>
      <w:r>
        <w:rPr>
          <w:sz w:val="24"/>
          <w:szCs w:val="24"/>
        </w:rPr>
        <w:t>. As such, they link their wellbeing to their performances, thus driving success of their organizations. Non-engaged employees care about pay checks or what they get in exchange of their services. Because engagement creates a psychological and emotional foundation that drives employees’ performances, it has a co-dependent relationship with employee motivation and job satisfaction. It can be a contribution or a function of employee motivation and job satisfaction (</w:t>
      </w:r>
      <w:proofErr w:type="spellStart"/>
      <w:r>
        <w:rPr>
          <w:sz w:val="24"/>
          <w:szCs w:val="24"/>
        </w:rPr>
        <w:t>Riyanto</w:t>
      </w:r>
      <w:proofErr w:type="spellEnd"/>
      <w:r>
        <w:rPr>
          <w:sz w:val="24"/>
          <w:szCs w:val="24"/>
        </w:rPr>
        <w:t xml:space="preserve">, </w:t>
      </w:r>
      <w:proofErr w:type="spellStart"/>
      <w:r>
        <w:rPr>
          <w:sz w:val="24"/>
          <w:szCs w:val="24"/>
        </w:rPr>
        <w:t>Endri</w:t>
      </w:r>
      <w:proofErr w:type="spellEnd"/>
      <w:r>
        <w:rPr>
          <w:sz w:val="24"/>
          <w:szCs w:val="24"/>
        </w:rPr>
        <w:t xml:space="preserve"> &amp; </w:t>
      </w:r>
      <w:proofErr w:type="spellStart"/>
      <w:r>
        <w:rPr>
          <w:sz w:val="24"/>
          <w:szCs w:val="24"/>
        </w:rPr>
        <w:t>Herlisha</w:t>
      </w:r>
      <w:proofErr w:type="spellEnd"/>
      <w:r>
        <w:rPr>
          <w:sz w:val="24"/>
          <w:szCs w:val="24"/>
        </w:rPr>
        <w:t xml:space="preserve"> 2021). Because of its link to motivation and job satisfaction, it influences organizations’ human resource management decisions, the overall management strategies, motivation structures and strategies, job design, work culture, diversity management, compensation and benefits decisions, organizational objectives, and hiring and recruitment approaches. Because employees engage significantly in corporate components, organizations need to align such components, including their visions, missions, and objectives with employees to create a business and social contexts that support such components. Correspondingly, organizations should align their goals with employees’ goals to drive their engagement to specific tasks. This alignment can be achieved by aligning work policies with employees’ needs and expectations. Therefore, the concept of employee engagement defines employees’ enthusiasm and dedication towards performing their tasks. </w:t>
      </w:r>
    </w:p>
    <w:p w14:paraId="7DE2F979" w14:textId="77777777" w:rsidR="00E502E6" w:rsidRDefault="00E502E6" w:rsidP="00876250">
      <w:pPr>
        <w:spacing w:after="0" w:line="480" w:lineRule="auto"/>
        <w:ind w:firstLine="720"/>
        <w:jc w:val="both"/>
        <w:rPr>
          <w:sz w:val="24"/>
          <w:szCs w:val="24"/>
        </w:rPr>
      </w:pPr>
      <w:r>
        <w:rPr>
          <w:sz w:val="24"/>
          <w:szCs w:val="24"/>
        </w:rPr>
        <w:t>Employee engagement, as a result of the nature of relationships between employees and their organizations, is mediated by various factors. Firstly, leader style is commonly cited as a driver of employee engagement (</w:t>
      </w:r>
      <w:proofErr w:type="spellStart"/>
      <w:r>
        <w:rPr>
          <w:sz w:val="24"/>
          <w:szCs w:val="24"/>
        </w:rPr>
        <w:t>Popli</w:t>
      </w:r>
      <w:proofErr w:type="spellEnd"/>
      <w:r>
        <w:rPr>
          <w:sz w:val="24"/>
          <w:szCs w:val="24"/>
        </w:rPr>
        <w:t xml:space="preserve"> </w:t>
      </w:r>
      <w:r w:rsidRPr="00946A9A">
        <w:rPr>
          <w:sz w:val="24"/>
          <w:szCs w:val="24"/>
        </w:rPr>
        <w:t>&amp; Rizvi</w:t>
      </w:r>
      <w:r>
        <w:rPr>
          <w:sz w:val="24"/>
          <w:szCs w:val="24"/>
        </w:rPr>
        <w:t xml:space="preserve"> 2016) the argument is that some leadership approaches produce encourage higher employee engagement than others. While examining the relationship between leadership style and employee engagement, </w:t>
      </w:r>
      <w:proofErr w:type="spellStart"/>
      <w:r>
        <w:rPr>
          <w:sz w:val="24"/>
          <w:szCs w:val="24"/>
        </w:rPr>
        <w:t>Aboramadan</w:t>
      </w:r>
      <w:proofErr w:type="spellEnd"/>
      <w:r>
        <w:rPr>
          <w:sz w:val="24"/>
          <w:szCs w:val="24"/>
        </w:rPr>
        <w:t xml:space="preserve"> and </w:t>
      </w:r>
      <w:proofErr w:type="spellStart"/>
      <w:r>
        <w:rPr>
          <w:sz w:val="24"/>
          <w:szCs w:val="24"/>
        </w:rPr>
        <w:t>Dahleez</w:t>
      </w:r>
      <w:proofErr w:type="spellEnd"/>
      <w:r>
        <w:rPr>
          <w:sz w:val="24"/>
          <w:szCs w:val="24"/>
        </w:rPr>
        <w:t xml:space="preserve"> (</w:t>
      </w:r>
      <w:r w:rsidRPr="00B95502">
        <w:rPr>
          <w:sz w:val="24"/>
          <w:szCs w:val="24"/>
        </w:rPr>
        <w:t>2020</w:t>
      </w:r>
      <w:r>
        <w:rPr>
          <w:sz w:val="24"/>
          <w:szCs w:val="24"/>
        </w:rPr>
        <w:t xml:space="preserve">) found that transactional and transformational leadership positively drives employee engagement. </w:t>
      </w:r>
      <w:r>
        <w:rPr>
          <w:sz w:val="24"/>
          <w:szCs w:val="24"/>
        </w:rPr>
        <w:lastRenderedPageBreak/>
        <w:t>The argument is that these leadership styles drives affective commitment by linking employees’ efforts to goal commitment, improving employees’ connection to organizational visions and missions, and enhancing their intrinsic motivation. These leadership styles creates opportunities for employees to negotiate various aspects of their work experiences with their organizations through leadership approaches. Other commonly cited drivers of employee engagement include performance-related rewards, inclusive decision-making, and effective communication. Performance-related rewards invokes extrinsic motivation by ensuring that employees are involved in their tasks and their performance reaches managers’ expectations. Inclusive decision-making ensures that employees are empowered to make effective decisions while performing their duties. By participating in decision-making processes, employees understand the scope of their tasks and what is required of them, making them empowered to perform their tasks expectedly. Effective communication enable managers and supervisors to communication organizational visions, missions, objectives, goals, processes, and frameworks. Therefore, many factors drive employee engagement.</w:t>
      </w:r>
    </w:p>
    <w:p w14:paraId="07899D28" w14:textId="4B7F9728" w:rsidR="00E502E6" w:rsidRDefault="00E502E6" w:rsidP="00876250">
      <w:pPr>
        <w:spacing w:after="0" w:line="480" w:lineRule="auto"/>
        <w:ind w:firstLine="720"/>
        <w:jc w:val="both"/>
        <w:rPr>
          <w:sz w:val="24"/>
          <w:szCs w:val="24"/>
        </w:rPr>
      </w:pPr>
      <w:r>
        <w:rPr>
          <w:sz w:val="24"/>
          <w:szCs w:val="24"/>
        </w:rPr>
        <w:t xml:space="preserve">Other drivers include procedural justice, perceived organizational support, and distributive justice. Procedural justice describes an organization’s fairness in addressing workplace disputes and distributing resources needed to perform tasks. Using group engagement model, He, Zhu and Zheng (2014) found that the relationship between procedural justice and employee engagement is mediated by organizational identification and moral centrality identity. Organizational identification defines the level of employees’ propensity towards identifying with organization, while moral centrality identity defines employees’ knowledge structure that defines an organization’s policies, behavioural cues, morals, values, vision, mission, objectives, goals, frameworks, and procedures. As such, employees’ perception of procedural justice depends on the </w:t>
      </w:r>
      <w:r>
        <w:rPr>
          <w:sz w:val="24"/>
          <w:szCs w:val="24"/>
        </w:rPr>
        <w:lastRenderedPageBreak/>
        <w:t xml:space="preserve">distribution of knowledge structures and their sense of belonging. Distributive justice in the employment sector refers to a fair distribution of benefits and risks, including resources and lack of resources. Employee’s perception of distributive justice stems from the level and scope of support they receive from an organization in comparison to other workers (Biwas, Varma &amp; </w:t>
      </w:r>
      <w:proofErr w:type="spellStart"/>
      <w:r>
        <w:rPr>
          <w:sz w:val="24"/>
          <w:szCs w:val="24"/>
        </w:rPr>
        <w:t>Ramaswami</w:t>
      </w:r>
      <w:proofErr w:type="spellEnd"/>
      <w:r>
        <w:rPr>
          <w:sz w:val="24"/>
          <w:szCs w:val="24"/>
        </w:rPr>
        <w:t xml:space="preserve"> 2013). Employees are likely to be motivated intrinsically, leading to their engagement in tasks, if they perceive that their organizations are supporting them equally. Therefore, employee engagement is driven by many factors, including leadership styles, organizational management approaches, human resource management approaches, motivational structures, decision-making processes, and employee engagement strategies. Therefore, employee engagement stems from the nature of relationship between employees and their organization. An organization that focuses on enhancing that relationship can turn work engagement into motivation and experience high performances from workers. Organizations with poor employee engagement strategies are likely to experience adverse outcomes, such as high employee turnover, low level performance, poor job satisfaction, and lack of motivation. Therefore, the organization should understand how to measure or assess the level of its employees’ engagement</w:t>
      </w:r>
      <w:r w:rsidR="00876250">
        <w:rPr>
          <w:sz w:val="24"/>
          <w:szCs w:val="24"/>
        </w:rPr>
        <w:t>.</w:t>
      </w:r>
    </w:p>
    <w:p w14:paraId="78D6A761" w14:textId="77777777" w:rsidR="00876250" w:rsidRDefault="00876250" w:rsidP="00876250">
      <w:pPr>
        <w:spacing w:after="0" w:line="480" w:lineRule="auto"/>
        <w:ind w:firstLine="720"/>
        <w:jc w:val="both"/>
        <w:rPr>
          <w:sz w:val="24"/>
          <w:szCs w:val="24"/>
        </w:rPr>
      </w:pPr>
    </w:p>
    <w:p w14:paraId="455EC74C" w14:textId="77777777" w:rsidR="00E502E6" w:rsidRPr="00876250" w:rsidRDefault="00E502E6" w:rsidP="00876250">
      <w:pPr>
        <w:pStyle w:val="Heading1"/>
        <w:spacing w:before="0" w:line="480" w:lineRule="auto"/>
        <w:jc w:val="center"/>
        <w:rPr>
          <w:sz w:val="32"/>
          <w:szCs w:val="40"/>
        </w:rPr>
      </w:pPr>
      <w:r w:rsidRPr="00876250">
        <w:rPr>
          <w:sz w:val="32"/>
          <w:szCs w:val="40"/>
        </w:rPr>
        <w:t>Diagnostic Tools for Measuring Employee Engagement</w:t>
      </w:r>
    </w:p>
    <w:p w14:paraId="60107830" w14:textId="77777777" w:rsidR="00E502E6" w:rsidRDefault="00E502E6" w:rsidP="00876250">
      <w:pPr>
        <w:spacing w:after="0" w:line="480" w:lineRule="auto"/>
        <w:ind w:firstLine="720"/>
        <w:jc w:val="both"/>
        <w:rPr>
          <w:sz w:val="24"/>
          <w:szCs w:val="24"/>
        </w:rPr>
      </w:pPr>
      <w:r>
        <w:rPr>
          <w:sz w:val="24"/>
          <w:szCs w:val="24"/>
        </w:rPr>
        <w:t xml:space="preserve">Because studies portray employee engagement as a multi-dimensional concept, a unanimous tool for measuring the level of employee engagement does not exist. Studies examines the concept within various contexts, leading to different outcomes and contextual understanding. While some studies examine it as a separate concept or behaviour from motivation and job satisfaction, other studies examine as a function of the two concepts, leading to different results and understanding. As such, not only is employee engagement defined in varying contexts, but a </w:t>
      </w:r>
      <w:r>
        <w:rPr>
          <w:sz w:val="24"/>
          <w:szCs w:val="24"/>
        </w:rPr>
        <w:lastRenderedPageBreak/>
        <w:t>unanimous approach to measurement does not exist. However, various diagnostic models for measuring employee engagement have been proposed and discussed in literature. One of the commonly used measurement model was developed by Hewitt Associated in 2004 (</w:t>
      </w:r>
      <w:proofErr w:type="spellStart"/>
      <w:r>
        <w:rPr>
          <w:sz w:val="24"/>
          <w:szCs w:val="24"/>
        </w:rPr>
        <w:t>Bedarkar</w:t>
      </w:r>
      <w:proofErr w:type="spellEnd"/>
      <w:r>
        <w:rPr>
          <w:sz w:val="24"/>
          <w:szCs w:val="24"/>
        </w:rPr>
        <w:t xml:space="preserve"> &amp; Pandita 2014). Firstly, it defines employee engagement as a manifestation of employees’ psychological and emotional readiness to perform their tasks and help organizations achieve their goals and objectives or achieve their visions and missions. Based on this definition, this model highlights three broad behavioural categories commonly associated with high employee engagement, including saying, staying, and striving. “Saying” refers to employees’ positive description of their organizations. In other words, employees who are highly engaged in their work will likely speak positively about their relationships with their organizations </w:t>
      </w:r>
      <w:r w:rsidRPr="00847F0A">
        <w:rPr>
          <w:sz w:val="24"/>
          <w:szCs w:val="24"/>
        </w:rPr>
        <w:t>(</w:t>
      </w:r>
      <w:proofErr w:type="spellStart"/>
      <w:r w:rsidRPr="00847F0A">
        <w:rPr>
          <w:sz w:val="24"/>
          <w:szCs w:val="24"/>
        </w:rPr>
        <w:t>Bedarkar</w:t>
      </w:r>
      <w:proofErr w:type="spellEnd"/>
      <w:r w:rsidRPr="00847F0A">
        <w:rPr>
          <w:sz w:val="24"/>
          <w:szCs w:val="24"/>
        </w:rPr>
        <w:t xml:space="preserve"> &amp; Pandita 2014)</w:t>
      </w:r>
      <w:r>
        <w:rPr>
          <w:sz w:val="24"/>
          <w:szCs w:val="24"/>
        </w:rPr>
        <w:t xml:space="preserve">. “Staying” refers to employees’ citizenship behaviours. In other words, highly engaged employees manifest the willingness to be members of their organizations. “Striving” refers to employees’ willingness to engage in behaviours that benefit their organizations </w:t>
      </w:r>
      <w:r w:rsidRPr="00847F0A">
        <w:rPr>
          <w:sz w:val="24"/>
          <w:szCs w:val="24"/>
        </w:rPr>
        <w:t>(</w:t>
      </w:r>
      <w:proofErr w:type="spellStart"/>
      <w:r w:rsidRPr="00847F0A">
        <w:rPr>
          <w:sz w:val="24"/>
          <w:szCs w:val="24"/>
        </w:rPr>
        <w:t>Bedarkar</w:t>
      </w:r>
      <w:proofErr w:type="spellEnd"/>
      <w:r w:rsidRPr="00847F0A">
        <w:rPr>
          <w:sz w:val="24"/>
          <w:szCs w:val="24"/>
        </w:rPr>
        <w:t xml:space="preserve"> &amp; Pandita 2014).</w:t>
      </w:r>
      <w:r>
        <w:rPr>
          <w:sz w:val="24"/>
          <w:szCs w:val="24"/>
        </w:rPr>
        <w:t xml:space="preserve"> As such, they focus on their performances as well as the contribution of such performances towards helping their organizations achieve their visions, missions, and objectives. Therefore, these three behaviours forms the basis of assessment when measuring the level of employee engagement. </w:t>
      </w:r>
    </w:p>
    <w:p w14:paraId="72DFB183" w14:textId="5DE029E0" w:rsidR="00E502E6" w:rsidRDefault="00E502E6" w:rsidP="00876250">
      <w:pPr>
        <w:spacing w:after="0" w:line="480" w:lineRule="auto"/>
        <w:ind w:firstLine="720"/>
        <w:jc w:val="both"/>
        <w:rPr>
          <w:sz w:val="24"/>
          <w:szCs w:val="24"/>
        </w:rPr>
      </w:pPr>
      <w:r>
        <w:rPr>
          <w:sz w:val="24"/>
          <w:szCs w:val="24"/>
        </w:rPr>
        <w:t xml:space="preserve">Other scholars also developed frameworks or models for measuring the level of employee engagement. </w:t>
      </w:r>
      <w:proofErr w:type="spellStart"/>
      <w:r>
        <w:rPr>
          <w:sz w:val="24"/>
          <w:szCs w:val="24"/>
        </w:rPr>
        <w:t>Shrotryia</w:t>
      </w:r>
      <w:proofErr w:type="spellEnd"/>
      <w:r>
        <w:rPr>
          <w:sz w:val="24"/>
          <w:szCs w:val="24"/>
        </w:rPr>
        <w:t xml:space="preserve"> and </w:t>
      </w:r>
      <w:proofErr w:type="spellStart"/>
      <w:r>
        <w:rPr>
          <w:sz w:val="24"/>
          <w:szCs w:val="24"/>
        </w:rPr>
        <w:t>Dhanda</w:t>
      </w:r>
      <w:proofErr w:type="spellEnd"/>
      <w:r>
        <w:rPr>
          <w:sz w:val="24"/>
          <w:szCs w:val="24"/>
        </w:rPr>
        <w:t xml:space="preserve"> (2016) developed a framework for assessing employee engaged based on case studies involving companies with best human resource strategies in India. Using grounded theory methodology, the researchers generated 16 items that characterize employee engagement through data collected from top management of 15 companies. The study led to a 3-factor tool for measuring employee engagement, including alignment, effectiveness, and </w:t>
      </w:r>
      <w:r>
        <w:rPr>
          <w:sz w:val="24"/>
          <w:szCs w:val="24"/>
        </w:rPr>
        <w:lastRenderedPageBreak/>
        <w:t>action-orientation (</w:t>
      </w:r>
      <w:proofErr w:type="spellStart"/>
      <w:r>
        <w:rPr>
          <w:sz w:val="24"/>
          <w:szCs w:val="24"/>
        </w:rPr>
        <w:t>Shrotryia</w:t>
      </w:r>
      <w:proofErr w:type="spellEnd"/>
      <w:r>
        <w:rPr>
          <w:sz w:val="24"/>
          <w:szCs w:val="24"/>
        </w:rPr>
        <w:t xml:space="preserve"> &amp; </w:t>
      </w:r>
      <w:proofErr w:type="spellStart"/>
      <w:r>
        <w:rPr>
          <w:sz w:val="24"/>
          <w:szCs w:val="24"/>
        </w:rPr>
        <w:t>Dhanda</w:t>
      </w:r>
      <w:proofErr w:type="spellEnd"/>
      <w:r>
        <w:rPr>
          <w:sz w:val="24"/>
          <w:szCs w:val="24"/>
        </w:rPr>
        <w:t xml:space="preserve"> 2016). The 16 items that characterize employee engagement are thematically aligned to these three factors. The underlying assumption of this model is that employees behave in ways that depict whether they are engaged with their work. For instance, one of the items assesses whether employees understand what is expected of them at work. As such, it assumes that fully engaged employees will understand the parts they need to play in their organizations’ pursuit for their objectives. The second item in the framework examines whether employees’ goals align with organizational vision or mission. As such, it assumes that the goals of fully engaged employees align with organizational vision and mission. Correspondingly, it assess whether employees stay in the workplace till they complete their tasks. In the process, it assumes that highly engaged employees will likely to complete their tasks. It also examines whether employees dislike being at work. The underlying assumption is that employees who are not engaged at work will dislike their workplaces. Based on these assessments, this tool provides a framework that organizations can items to assess their employees’ engagement based on how such organizations understand the concept of employee engagement. </w:t>
      </w:r>
    </w:p>
    <w:p w14:paraId="7BB3571B" w14:textId="77777777" w:rsidR="00876250" w:rsidRDefault="00876250" w:rsidP="00876250">
      <w:pPr>
        <w:spacing w:after="0" w:line="480" w:lineRule="auto"/>
        <w:ind w:firstLine="720"/>
        <w:jc w:val="both"/>
        <w:rPr>
          <w:sz w:val="24"/>
          <w:szCs w:val="24"/>
        </w:rPr>
      </w:pPr>
    </w:p>
    <w:p w14:paraId="0AA9D3E5" w14:textId="77777777" w:rsidR="00E502E6" w:rsidRPr="00876250" w:rsidRDefault="00E502E6" w:rsidP="00876250">
      <w:pPr>
        <w:pStyle w:val="Heading1"/>
        <w:spacing w:before="0" w:line="480" w:lineRule="auto"/>
        <w:jc w:val="center"/>
        <w:rPr>
          <w:sz w:val="32"/>
          <w:szCs w:val="40"/>
        </w:rPr>
      </w:pPr>
      <w:r w:rsidRPr="00876250">
        <w:rPr>
          <w:sz w:val="32"/>
          <w:szCs w:val="40"/>
        </w:rPr>
        <w:t>Employee Value Proposition</w:t>
      </w:r>
    </w:p>
    <w:p w14:paraId="3032C1D9" w14:textId="77777777" w:rsidR="00E502E6" w:rsidRDefault="00E502E6" w:rsidP="00876250">
      <w:pPr>
        <w:spacing w:after="0" w:line="480" w:lineRule="auto"/>
        <w:ind w:firstLine="720"/>
        <w:jc w:val="both"/>
        <w:rPr>
          <w:sz w:val="24"/>
          <w:szCs w:val="24"/>
        </w:rPr>
      </w:pPr>
      <w:r>
        <w:rPr>
          <w:sz w:val="24"/>
          <w:szCs w:val="24"/>
        </w:rPr>
        <w:t>Employee value proposition (EVP) can be understood in the context of employment branding, which includes all the strategies used by organizations to attract and retain highly talented, skilled, and experienced workers. As such, it defines the terms and conditions of employees’ relationship with their employees in the context of how they should be compensated, rewarded, and treated in exchange of their services</w:t>
      </w:r>
      <w:r w:rsidRPr="00872ABF">
        <w:rPr>
          <w:sz w:val="24"/>
          <w:szCs w:val="24"/>
        </w:rPr>
        <w:t xml:space="preserve"> </w:t>
      </w:r>
      <w:r>
        <w:rPr>
          <w:sz w:val="24"/>
          <w:szCs w:val="24"/>
        </w:rPr>
        <w:t>(</w:t>
      </w:r>
      <w:proofErr w:type="spellStart"/>
      <w:r>
        <w:rPr>
          <w:sz w:val="24"/>
          <w:szCs w:val="24"/>
        </w:rPr>
        <w:t>Arasanmi</w:t>
      </w:r>
      <w:proofErr w:type="spellEnd"/>
      <w:r>
        <w:rPr>
          <w:sz w:val="24"/>
          <w:szCs w:val="24"/>
        </w:rPr>
        <w:t xml:space="preserve"> </w:t>
      </w:r>
      <w:r w:rsidRPr="00872ABF">
        <w:rPr>
          <w:sz w:val="24"/>
          <w:szCs w:val="24"/>
        </w:rPr>
        <w:t>&amp; Krishna</w:t>
      </w:r>
      <w:r>
        <w:rPr>
          <w:sz w:val="24"/>
          <w:szCs w:val="24"/>
        </w:rPr>
        <w:t xml:space="preserve"> 2019). As such, EVP describes the unique set of benefits that employees should receive from organizations in exchange of the experiences, capabilities, and skills they render to their organizations. Organizations </w:t>
      </w:r>
      <w:r>
        <w:rPr>
          <w:sz w:val="24"/>
          <w:szCs w:val="24"/>
        </w:rPr>
        <w:lastRenderedPageBreak/>
        <w:t xml:space="preserve">integrate EVPs in all business aspects, thus enabling such organizations respond to employees’ needs and expectations </w:t>
      </w:r>
      <w:r w:rsidRPr="00872ABF">
        <w:rPr>
          <w:sz w:val="24"/>
          <w:szCs w:val="24"/>
        </w:rPr>
        <w:t>(</w:t>
      </w:r>
      <w:proofErr w:type="spellStart"/>
      <w:r w:rsidRPr="00872ABF">
        <w:rPr>
          <w:sz w:val="24"/>
          <w:szCs w:val="24"/>
        </w:rPr>
        <w:t>Arasanmi</w:t>
      </w:r>
      <w:proofErr w:type="spellEnd"/>
      <w:r w:rsidRPr="00872ABF">
        <w:rPr>
          <w:sz w:val="24"/>
          <w:szCs w:val="24"/>
        </w:rPr>
        <w:t xml:space="preserve"> &amp; Krishna 2019)</w:t>
      </w:r>
      <w:r>
        <w:rPr>
          <w:sz w:val="24"/>
          <w:szCs w:val="24"/>
        </w:rPr>
        <w:t xml:space="preserve">. Such an integration helps organization attract and retain its workers, especially talented workers. Based on the analysis of employee engagement above, various factors come into play when developing an effective EVP, especially in an era where companies poach talented workers from others. </w:t>
      </w:r>
    </w:p>
    <w:p w14:paraId="26436A84" w14:textId="77777777" w:rsidR="00E502E6" w:rsidRDefault="00E502E6" w:rsidP="00876250">
      <w:pPr>
        <w:spacing w:after="0" w:line="480" w:lineRule="auto"/>
        <w:ind w:firstLine="720"/>
        <w:jc w:val="both"/>
        <w:rPr>
          <w:sz w:val="24"/>
          <w:szCs w:val="24"/>
        </w:rPr>
      </w:pPr>
      <w:r>
        <w:rPr>
          <w:sz w:val="24"/>
          <w:szCs w:val="24"/>
        </w:rPr>
        <w:t>This section constructs an effective EVP that the organization can use to attract and retain workers. Because the level of employee engagement depends on the quality of employees’ relationship with their organization, an employee-centric management culture will improve the quality organization’s relationships with employees. This management culture should be based on five pillars, including 1) unwavering commitment from the executive members of the organization to employee-centric culture, 2) effective communication, 3) human resource frame (care), 4) recognition and rewards, and 5) deeper connection with the society or community. Effective communication will ensure that employees are engaged in key decision-making processes, thus cultivating a sense of belonging and ownership, as well as empowering them to perform their tasks efficiently and effectively. Human resource frame will enable the organization address employees’ needs, expectations, and preferences based on the Abraham Maslow’s hierarchy. Maslow’s theory of motivation posits that employees’ level of motivation depends on how well their organization respond to their needs and expectations. Recognition and rewards will be part of the organization’s extrinsic motivation structure. Deeper connection with the society or community through corporate social responsibility and three pillars of sustainability will facilitate job satisfaction among employees.</w:t>
      </w:r>
    </w:p>
    <w:p w14:paraId="035A04C7" w14:textId="77777777" w:rsidR="00E502E6" w:rsidRPr="00876250" w:rsidRDefault="00E502E6" w:rsidP="00876250">
      <w:pPr>
        <w:pStyle w:val="Heading1"/>
        <w:jc w:val="center"/>
        <w:rPr>
          <w:sz w:val="32"/>
          <w:szCs w:val="40"/>
        </w:rPr>
      </w:pPr>
      <w:r w:rsidRPr="00876250">
        <w:rPr>
          <w:sz w:val="32"/>
          <w:szCs w:val="40"/>
        </w:rPr>
        <w:lastRenderedPageBreak/>
        <w:t>Conclusion</w:t>
      </w:r>
    </w:p>
    <w:p w14:paraId="2F75E9F6" w14:textId="77777777" w:rsidR="00E502E6" w:rsidRDefault="00E502E6" w:rsidP="00876250">
      <w:pPr>
        <w:spacing w:before="240" w:after="0" w:line="480" w:lineRule="auto"/>
        <w:ind w:firstLine="720"/>
        <w:jc w:val="both"/>
        <w:rPr>
          <w:sz w:val="24"/>
          <w:szCs w:val="24"/>
        </w:rPr>
      </w:pPr>
      <w:r w:rsidRPr="00872ABF">
        <w:rPr>
          <w:sz w:val="24"/>
          <w:szCs w:val="24"/>
        </w:rPr>
        <w:t xml:space="preserve">This </w:t>
      </w:r>
      <w:r>
        <w:rPr>
          <w:sz w:val="24"/>
          <w:szCs w:val="24"/>
        </w:rPr>
        <w:t>paper has discussed</w:t>
      </w:r>
      <w:r w:rsidRPr="00872ABF">
        <w:rPr>
          <w:sz w:val="24"/>
          <w:szCs w:val="24"/>
        </w:rPr>
        <w:t xml:space="preserve"> concept and drivers of employee engagement, </w:t>
      </w:r>
      <w:r>
        <w:rPr>
          <w:sz w:val="24"/>
          <w:szCs w:val="24"/>
        </w:rPr>
        <w:t>outlined and evaluated</w:t>
      </w:r>
      <w:r w:rsidRPr="00872ABF">
        <w:rPr>
          <w:sz w:val="24"/>
          <w:szCs w:val="24"/>
        </w:rPr>
        <w:t xml:space="preserve"> diagnostic tools that organizations can use to assess employee engagement, and develop</w:t>
      </w:r>
      <w:r>
        <w:rPr>
          <w:sz w:val="24"/>
          <w:szCs w:val="24"/>
        </w:rPr>
        <w:t>ed</w:t>
      </w:r>
      <w:r w:rsidRPr="00872ABF">
        <w:rPr>
          <w:sz w:val="24"/>
          <w:szCs w:val="24"/>
        </w:rPr>
        <w:t xml:space="preserve"> employee value proposition </w:t>
      </w:r>
      <w:r>
        <w:rPr>
          <w:sz w:val="24"/>
          <w:szCs w:val="24"/>
        </w:rPr>
        <w:t xml:space="preserve">based on emerging ideas. Employee engagement </w:t>
      </w:r>
      <w:r w:rsidRPr="00872ABF">
        <w:rPr>
          <w:sz w:val="24"/>
          <w:szCs w:val="24"/>
        </w:rPr>
        <w:t>describes employees’ dedication and enthusiasm towards performing their tasks optimally</w:t>
      </w:r>
      <w:r>
        <w:rPr>
          <w:sz w:val="24"/>
          <w:szCs w:val="24"/>
        </w:rPr>
        <w:t xml:space="preserve">. While unanimous tools for measuring employee engagement do not exist, organizations can assess employees’ engagement based on behaviours that characterize the concepts, such as commitment to complete tasks, positive portrayal of organizations, and job satisfaction. Lastly, employee-centred management culture has been used to construct an effective employee value proposition framework that will improve the organization’s employment brand. </w:t>
      </w:r>
    </w:p>
    <w:p w14:paraId="599D4786" w14:textId="77777777" w:rsidR="00E502E6" w:rsidRDefault="00E502E6" w:rsidP="00876250">
      <w:pPr>
        <w:spacing w:after="0" w:line="480" w:lineRule="auto"/>
        <w:ind w:firstLine="720"/>
        <w:jc w:val="both"/>
        <w:rPr>
          <w:sz w:val="24"/>
          <w:szCs w:val="24"/>
        </w:rPr>
      </w:pPr>
    </w:p>
    <w:p w14:paraId="01CDD2A0" w14:textId="77777777" w:rsidR="00E502E6" w:rsidRDefault="00E502E6" w:rsidP="00876250">
      <w:pPr>
        <w:spacing w:after="0" w:line="480" w:lineRule="auto"/>
        <w:ind w:firstLine="720"/>
        <w:jc w:val="both"/>
        <w:rPr>
          <w:sz w:val="24"/>
          <w:szCs w:val="24"/>
        </w:rPr>
      </w:pPr>
    </w:p>
    <w:p w14:paraId="5015E9AA" w14:textId="77777777" w:rsidR="00E502E6" w:rsidRDefault="00E502E6" w:rsidP="00876250">
      <w:pPr>
        <w:spacing w:after="0" w:line="480" w:lineRule="auto"/>
        <w:ind w:firstLine="720"/>
        <w:jc w:val="both"/>
        <w:rPr>
          <w:sz w:val="24"/>
          <w:szCs w:val="24"/>
        </w:rPr>
      </w:pPr>
    </w:p>
    <w:p w14:paraId="73B1F8AC" w14:textId="77777777" w:rsidR="00E502E6" w:rsidRDefault="00E502E6" w:rsidP="00876250">
      <w:pPr>
        <w:spacing w:after="0" w:line="480" w:lineRule="auto"/>
        <w:ind w:firstLine="720"/>
        <w:jc w:val="both"/>
        <w:rPr>
          <w:sz w:val="24"/>
          <w:szCs w:val="24"/>
        </w:rPr>
      </w:pPr>
    </w:p>
    <w:p w14:paraId="0D9DCE22" w14:textId="77777777" w:rsidR="00E502E6" w:rsidRDefault="00E502E6" w:rsidP="00876250">
      <w:pPr>
        <w:spacing w:after="0" w:line="480" w:lineRule="auto"/>
        <w:ind w:firstLine="720"/>
        <w:jc w:val="both"/>
        <w:rPr>
          <w:sz w:val="24"/>
          <w:szCs w:val="24"/>
        </w:rPr>
      </w:pPr>
    </w:p>
    <w:p w14:paraId="79F99456" w14:textId="77777777" w:rsidR="00E502E6" w:rsidRDefault="00E502E6" w:rsidP="00876250">
      <w:pPr>
        <w:spacing w:after="0" w:line="480" w:lineRule="auto"/>
        <w:ind w:firstLine="720"/>
        <w:jc w:val="both"/>
        <w:rPr>
          <w:sz w:val="24"/>
          <w:szCs w:val="24"/>
        </w:rPr>
      </w:pPr>
    </w:p>
    <w:p w14:paraId="76BCAAF7" w14:textId="77777777" w:rsidR="00E502E6" w:rsidRDefault="00E502E6" w:rsidP="00876250">
      <w:pPr>
        <w:spacing w:after="0" w:line="480" w:lineRule="auto"/>
        <w:ind w:firstLine="720"/>
        <w:jc w:val="both"/>
        <w:rPr>
          <w:sz w:val="24"/>
          <w:szCs w:val="24"/>
        </w:rPr>
      </w:pPr>
    </w:p>
    <w:p w14:paraId="3EF7AC28" w14:textId="77777777" w:rsidR="00E502E6" w:rsidRDefault="00E502E6" w:rsidP="00876250">
      <w:pPr>
        <w:spacing w:after="0" w:line="480" w:lineRule="auto"/>
        <w:ind w:firstLine="720"/>
        <w:jc w:val="both"/>
        <w:rPr>
          <w:sz w:val="24"/>
          <w:szCs w:val="24"/>
        </w:rPr>
      </w:pPr>
    </w:p>
    <w:p w14:paraId="3E94600F" w14:textId="77777777" w:rsidR="00E502E6" w:rsidRDefault="00E502E6" w:rsidP="00876250">
      <w:pPr>
        <w:spacing w:after="0" w:line="480" w:lineRule="auto"/>
        <w:ind w:firstLine="720"/>
        <w:jc w:val="both"/>
        <w:rPr>
          <w:sz w:val="24"/>
          <w:szCs w:val="24"/>
        </w:rPr>
      </w:pPr>
    </w:p>
    <w:p w14:paraId="5D35FE02" w14:textId="77777777" w:rsidR="00E502E6" w:rsidRDefault="00E502E6" w:rsidP="00876250">
      <w:pPr>
        <w:spacing w:after="0" w:line="480" w:lineRule="auto"/>
        <w:ind w:firstLine="720"/>
        <w:jc w:val="both"/>
        <w:rPr>
          <w:sz w:val="24"/>
          <w:szCs w:val="24"/>
        </w:rPr>
      </w:pPr>
    </w:p>
    <w:p w14:paraId="7B5E7567" w14:textId="77777777" w:rsidR="00E502E6" w:rsidRDefault="00E502E6" w:rsidP="00876250">
      <w:pPr>
        <w:spacing w:after="0" w:line="480" w:lineRule="auto"/>
        <w:ind w:firstLine="720"/>
        <w:jc w:val="both"/>
        <w:rPr>
          <w:sz w:val="24"/>
          <w:szCs w:val="24"/>
        </w:rPr>
      </w:pPr>
    </w:p>
    <w:p w14:paraId="71CAF916" w14:textId="77777777" w:rsidR="00E502E6" w:rsidRDefault="00E502E6" w:rsidP="00876250">
      <w:pPr>
        <w:spacing w:after="0" w:line="480" w:lineRule="auto"/>
        <w:ind w:firstLine="720"/>
        <w:jc w:val="both"/>
        <w:rPr>
          <w:sz w:val="24"/>
          <w:szCs w:val="24"/>
        </w:rPr>
      </w:pPr>
    </w:p>
    <w:p w14:paraId="12C2A6D3" w14:textId="77777777" w:rsidR="00E502E6" w:rsidRPr="00876250" w:rsidRDefault="00E502E6" w:rsidP="00876250">
      <w:pPr>
        <w:pStyle w:val="Heading1"/>
        <w:spacing w:after="0" w:line="480" w:lineRule="auto"/>
        <w:jc w:val="center"/>
        <w:rPr>
          <w:b w:val="0"/>
          <w:sz w:val="32"/>
          <w:szCs w:val="40"/>
        </w:rPr>
      </w:pPr>
      <w:bookmarkStart w:id="3" w:name="_Toc79507987"/>
      <w:bookmarkStart w:id="4" w:name="_Toc80779133"/>
      <w:bookmarkStart w:id="5" w:name="_Toc86307303"/>
      <w:r w:rsidRPr="00876250">
        <w:rPr>
          <w:b w:val="0"/>
          <w:sz w:val="32"/>
          <w:szCs w:val="40"/>
        </w:rPr>
        <w:lastRenderedPageBreak/>
        <w:t>References</w:t>
      </w:r>
      <w:bookmarkEnd w:id="3"/>
      <w:bookmarkEnd w:id="4"/>
      <w:bookmarkEnd w:id="5"/>
    </w:p>
    <w:p w14:paraId="50869A6F" w14:textId="55172728" w:rsidR="00E502E6" w:rsidRPr="00876250" w:rsidRDefault="00E502E6" w:rsidP="00876250">
      <w:pPr>
        <w:pStyle w:val="ListParagraph"/>
        <w:numPr>
          <w:ilvl w:val="0"/>
          <w:numId w:val="1"/>
        </w:numPr>
        <w:spacing w:after="0" w:line="480" w:lineRule="auto"/>
        <w:jc w:val="both"/>
        <w:rPr>
          <w:sz w:val="24"/>
          <w:szCs w:val="24"/>
        </w:rPr>
      </w:pPr>
      <w:proofErr w:type="spellStart"/>
      <w:r w:rsidRPr="00876250">
        <w:rPr>
          <w:sz w:val="24"/>
          <w:szCs w:val="24"/>
        </w:rPr>
        <w:t>Aboramadan</w:t>
      </w:r>
      <w:proofErr w:type="spellEnd"/>
      <w:r w:rsidRPr="00876250">
        <w:rPr>
          <w:sz w:val="24"/>
          <w:szCs w:val="24"/>
        </w:rPr>
        <w:t xml:space="preserve">, M. &amp; </w:t>
      </w:r>
      <w:proofErr w:type="spellStart"/>
      <w:r w:rsidRPr="00876250">
        <w:rPr>
          <w:sz w:val="24"/>
          <w:szCs w:val="24"/>
        </w:rPr>
        <w:t>Dahleez</w:t>
      </w:r>
      <w:proofErr w:type="spellEnd"/>
      <w:r w:rsidRPr="00876250">
        <w:rPr>
          <w:sz w:val="24"/>
          <w:szCs w:val="24"/>
        </w:rPr>
        <w:t>, K.A 2020. "Leadership styles and employees’ work outcomes in non-profit organizations: the role of work engagement", </w:t>
      </w:r>
      <w:r w:rsidRPr="00876250">
        <w:rPr>
          <w:i/>
          <w:iCs/>
          <w:sz w:val="24"/>
          <w:szCs w:val="24"/>
        </w:rPr>
        <w:t>Journal of Management Development</w:t>
      </w:r>
      <w:r w:rsidRPr="00876250">
        <w:rPr>
          <w:i/>
          <w:sz w:val="24"/>
          <w:szCs w:val="24"/>
        </w:rPr>
        <w:t>,</w:t>
      </w:r>
      <w:r w:rsidRPr="00876250">
        <w:rPr>
          <w:sz w:val="24"/>
          <w:szCs w:val="24"/>
        </w:rPr>
        <w:t xml:space="preserve"> </w:t>
      </w:r>
      <w:r w:rsidRPr="00876250">
        <w:rPr>
          <w:i/>
          <w:sz w:val="24"/>
          <w:szCs w:val="24"/>
        </w:rPr>
        <w:t>39</w:t>
      </w:r>
      <w:r w:rsidRPr="00876250">
        <w:rPr>
          <w:sz w:val="24"/>
          <w:szCs w:val="24"/>
        </w:rPr>
        <w:t xml:space="preserve">(7/8), pp.869-893 </w:t>
      </w:r>
    </w:p>
    <w:p w14:paraId="56DF6D7D" w14:textId="74460CBC" w:rsidR="00E502E6" w:rsidRPr="00876250" w:rsidRDefault="00E502E6" w:rsidP="00876250">
      <w:pPr>
        <w:pStyle w:val="ListParagraph"/>
        <w:numPr>
          <w:ilvl w:val="0"/>
          <w:numId w:val="1"/>
        </w:numPr>
        <w:spacing w:after="0" w:line="480" w:lineRule="auto"/>
        <w:jc w:val="both"/>
        <w:rPr>
          <w:sz w:val="24"/>
          <w:szCs w:val="24"/>
        </w:rPr>
      </w:pPr>
      <w:proofErr w:type="spellStart"/>
      <w:r w:rsidRPr="00876250">
        <w:rPr>
          <w:sz w:val="24"/>
          <w:szCs w:val="24"/>
        </w:rPr>
        <w:t>Arasanmi</w:t>
      </w:r>
      <w:proofErr w:type="spellEnd"/>
      <w:r w:rsidRPr="00876250">
        <w:rPr>
          <w:sz w:val="24"/>
          <w:szCs w:val="24"/>
        </w:rPr>
        <w:t>, C.N. &amp; Krishna, A 2019. "Linking the employee value proposition (EVP) to employee behavioural outcomes", </w:t>
      </w:r>
      <w:r w:rsidRPr="00876250">
        <w:rPr>
          <w:i/>
          <w:iCs/>
          <w:sz w:val="24"/>
          <w:szCs w:val="24"/>
        </w:rPr>
        <w:t>Industrial and Commercial Training</w:t>
      </w:r>
      <w:r w:rsidRPr="00876250">
        <w:rPr>
          <w:i/>
          <w:sz w:val="24"/>
          <w:szCs w:val="24"/>
        </w:rPr>
        <w:t>, 51</w:t>
      </w:r>
      <w:r w:rsidRPr="00876250">
        <w:rPr>
          <w:sz w:val="24"/>
          <w:szCs w:val="24"/>
        </w:rPr>
        <w:t>(7/8), pp.387-395</w:t>
      </w:r>
    </w:p>
    <w:p w14:paraId="54783418" w14:textId="4B7DB084" w:rsidR="00E502E6" w:rsidRPr="00876250" w:rsidRDefault="00E502E6" w:rsidP="00876250">
      <w:pPr>
        <w:pStyle w:val="ListParagraph"/>
        <w:numPr>
          <w:ilvl w:val="0"/>
          <w:numId w:val="1"/>
        </w:numPr>
        <w:spacing w:after="0" w:line="480" w:lineRule="auto"/>
        <w:jc w:val="both"/>
        <w:rPr>
          <w:sz w:val="24"/>
          <w:szCs w:val="24"/>
        </w:rPr>
      </w:pPr>
      <w:proofErr w:type="spellStart"/>
      <w:r w:rsidRPr="00876250">
        <w:rPr>
          <w:sz w:val="24"/>
          <w:szCs w:val="24"/>
        </w:rPr>
        <w:t>Bedarkar</w:t>
      </w:r>
      <w:proofErr w:type="spellEnd"/>
      <w:r w:rsidRPr="00876250">
        <w:rPr>
          <w:sz w:val="24"/>
          <w:szCs w:val="24"/>
        </w:rPr>
        <w:t>, M., &amp; Pandita, D 2014. A study on the drivers of employee engagement impacting employee performance. </w:t>
      </w:r>
      <w:r w:rsidRPr="00876250">
        <w:rPr>
          <w:i/>
          <w:iCs/>
          <w:sz w:val="24"/>
          <w:szCs w:val="24"/>
        </w:rPr>
        <w:t xml:space="preserve">Procedia-Social and </w:t>
      </w:r>
      <w:proofErr w:type="spellStart"/>
      <w:r w:rsidRPr="00876250">
        <w:rPr>
          <w:i/>
          <w:iCs/>
          <w:sz w:val="24"/>
          <w:szCs w:val="24"/>
        </w:rPr>
        <w:t>Behavioral</w:t>
      </w:r>
      <w:proofErr w:type="spellEnd"/>
      <w:r w:rsidRPr="00876250">
        <w:rPr>
          <w:i/>
          <w:iCs/>
          <w:sz w:val="24"/>
          <w:szCs w:val="24"/>
        </w:rPr>
        <w:t xml:space="preserve"> Sciences</w:t>
      </w:r>
      <w:r w:rsidRPr="00876250">
        <w:rPr>
          <w:sz w:val="24"/>
          <w:szCs w:val="24"/>
        </w:rPr>
        <w:t>, </w:t>
      </w:r>
      <w:r w:rsidRPr="00876250">
        <w:rPr>
          <w:i/>
          <w:iCs/>
          <w:sz w:val="24"/>
          <w:szCs w:val="24"/>
        </w:rPr>
        <w:t>133</w:t>
      </w:r>
      <w:r w:rsidRPr="00876250">
        <w:rPr>
          <w:sz w:val="24"/>
          <w:szCs w:val="24"/>
        </w:rPr>
        <w:t>, pp.106-115.</w:t>
      </w:r>
    </w:p>
    <w:p w14:paraId="227354D6" w14:textId="3E637505" w:rsidR="00E502E6" w:rsidRPr="00876250" w:rsidRDefault="00E502E6" w:rsidP="00876250">
      <w:pPr>
        <w:pStyle w:val="ListParagraph"/>
        <w:numPr>
          <w:ilvl w:val="0"/>
          <w:numId w:val="1"/>
        </w:numPr>
        <w:spacing w:after="0" w:line="480" w:lineRule="auto"/>
        <w:jc w:val="both"/>
        <w:rPr>
          <w:sz w:val="24"/>
          <w:szCs w:val="24"/>
        </w:rPr>
      </w:pPr>
      <w:r w:rsidRPr="00876250">
        <w:rPr>
          <w:sz w:val="24"/>
          <w:szCs w:val="24"/>
        </w:rPr>
        <w:t xml:space="preserve">Biswas, S., Varma, A. and </w:t>
      </w:r>
      <w:proofErr w:type="spellStart"/>
      <w:r w:rsidRPr="00876250">
        <w:rPr>
          <w:sz w:val="24"/>
          <w:szCs w:val="24"/>
        </w:rPr>
        <w:t>Ramaswami</w:t>
      </w:r>
      <w:proofErr w:type="spellEnd"/>
      <w:r w:rsidRPr="00876250">
        <w:rPr>
          <w:sz w:val="24"/>
          <w:szCs w:val="24"/>
        </w:rPr>
        <w:t>, A 2013. Linking distributive and procedural justice to employee engagement through social exchange: A field study in India. </w:t>
      </w:r>
      <w:r w:rsidRPr="00876250">
        <w:rPr>
          <w:i/>
          <w:iCs/>
          <w:sz w:val="24"/>
          <w:szCs w:val="24"/>
        </w:rPr>
        <w:t>The International Journal of Human Resource Management</w:t>
      </w:r>
      <w:r w:rsidRPr="00876250">
        <w:rPr>
          <w:sz w:val="24"/>
          <w:szCs w:val="24"/>
        </w:rPr>
        <w:t>, </w:t>
      </w:r>
      <w:r w:rsidRPr="00876250">
        <w:rPr>
          <w:i/>
          <w:iCs/>
          <w:sz w:val="24"/>
          <w:szCs w:val="24"/>
        </w:rPr>
        <w:t>24</w:t>
      </w:r>
      <w:r w:rsidRPr="00876250">
        <w:rPr>
          <w:sz w:val="24"/>
          <w:szCs w:val="24"/>
        </w:rPr>
        <w:t>(8), pp.1570-1587.</w:t>
      </w:r>
      <w:r w:rsidRPr="00E26435">
        <w:t xml:space="preserve"> </w:t>
      </w:r>
    </w:p>
    <w:p w14:paraId="3D8A6099" w14:textId="7AE47F1A" w:rsidR="00E502E6" w:rsidRPr="00876250" w:rsidRDefault="00E502E6" w:rsidP="00876250">
      <w:pPr>
        <w:pStyle w:val="ListParagraph"/>
        <w:numPr>
          <w:ilvl w:val="0"/>
          <w:numId w:val="1"/>
        </w:numPr>
        <w:spacing w:after="0" w:line="480" w:lineRule="auto"/>
        <w:jc w:val="both"/>
        <w:rPr>
          <w:sz w:val="24"/>
          <w:szCs w:val="24"/>
        </w:rPr>
      </w:pPr>
      <w:r w:rsidRPr="00876250">
        <w:rPr>
          <w:sz w:val="24"/>
          <w:szCs w:val="24"/>
        </w:rPr>
        <w:t>He, H., Zhu, W. &amp; Zheng, X 2014. Procedural justice and employee engagement: Roles of organizational identification and moral identity centrality. </w:t>
      </w:r>
      <w:r w:rsidRPr="00876250">
        <w:rPr>
          <w:i/>
          <w:iCs/>
          <w:sz w:val="24"/>
          <w:szCs w:val="24"/>
        </w:rPr>
        <w:t>Journal of business ethics</w:t>
      </w:r>
      <w:r w:rsidRPr="00876250">
        <w:rPr>
          <w:sz w:val="24"/>
          <w:szCs w:val="24"/>
        </w:rPr>
        <w:t>, </w:t>
      </w:r>
      <w:r w:rsidRPr="00876250">
        <w:rPr>
          <w:i/>
          <w:iCs/>
          <w:sz w:val="24"/>
          <w:szCs w:val="24"/>
        </w:rPr>
        <w:t>122</w:t>
      </w:r>
      <w:r w:rsidRPr="00876250">
        <w:rPr>
          <w:sz w:val="24"/>
          <w:szCs w:val="24"/>
        </w:rPr>
        <w:t>(4), pp.681-695</w:t>
      </w:r>
    </w:p>
    <w:p w14:paraId="00A892AC" w14:textId="1C429B2A" w:rsidR="00E502E6" w:rsidRPr="00E0652C" w:rsidRDefault="00E502E6" w:rsidP="00E0652C">
      <w:pPr>
        <w:pStyle w:val="ListParagraph"/>
        <w:numPr>
          <w:ilvl w:val="0"/>
          <w:numId w:val="1"/>
        </w:numPr>
        <w:spacing w:after="0" w:line="480" w:lineRule="auto"/>
        <w:jc w:val="both"/>
        <w:rPr>
          <w:sz w:val="24"/>
          <w:szCs w:val="24"/>
        </w:rPr>
      </w:pPr>
      <w:proofErr w:type="spellStart"/>
      <w:r w:rsidRPr="00E0652C">
        <w:rPr>
          <w:sz w:val="24"/>
          <w:szCs w:val="24"/>
        </w:rPr>
        <w:t>Popli</w:t>
      </w:r>
      <w:proofErr w:type="spellEnd"/>
      <w:r w:rsidRPr="00E0652C">
        <w:rPr>
          <w:sz w:val="24"/>
          <w:szCs w:val="24"/>
        </w:rPr>
        <w:t>, S. &amp; Rizvi, I.A 2016. Drivers of employee engagement: The role of leadership style. </w:t>
      </w:r>
      <w:r w:rsidRPr="00E0652C">
        <w:rPr>
          <w:i/>
          <w:iCs/>
          <w:sz w:val="24"/>
          <w:szCs w:val="24"/>
        </w:rPr>
        <w:t>Global Business Review</w:t>
      </w:r>
      <w:r w:rsidRPr="00E0652C">
        <w:rPr>
          <w:sz w:val="24"/>
          <w:szCs w:val="24"/>
        </w:rPr>
        <w:t>, </w:t>
      </w:r>
      <w:r w:rsidRPr="00E0652C">
        <w:rPr>
          <w:i/>
          <w:iCs/>
          <w:sz w:val="24"/>
          <w:szCs w:val="24"/>
        </w:rPr>
        <w:t>17</w:t>
      </w:r>
      <w:r w:rsidRPr="00E0652C">
        <w:rPr>
          <w:sz w:val="24"/>
          <w:szCs w:val="24"/>
        </w:rPr>
        <w:t>(4), pp.965-979.</w:t>
      </w:r>
    </w:p>
    <w:p w14:paraId="5E0F6FBA" w14:textId="318F7432" w:rsidR="00E502E6" w:rsidRPr="00E0652C" w:rsidRDefault="00E502E6" w:rsidP="00E0652C">
      <w:pPr>
        <w:pStyle w:val="ListParagraph"/>
        <w:numPr>
          <w:ilvl w:val="0"/>
          <w:numId w:val="1"/>
        </w:numPr>
        <w:spacing w:after="0" w:line="480" w:lineRule="auto"/>
        <w:jc w:val="both"/>
        <w:rPr>
          <w:sz w:val="24"/>
          <w:szCs w:val="24"/>
        </w:rPr>
      </w:pPr>
      <w:proofErr w:type="spellStart"/>
      <w:r w:rsidRPr="00E0652C">
        <w:rPr>
          <w:sz w:val="24"/>
          <w:szCs w:val="24"/>
        </w:rPr>
        <w:t>Riyanto</w:t>
      </w:r>
      <w:proofErr w:type="spellEnd"/>
      <w:r w:rsidRPr="00E0652C">
        <w:rPr>
          <w:sz w:val="24"/>
          <w:szCs w:val="24"/>
        </w:rPr>
        <w:t xml:space="preserve">, S., </w:t>
      </w:r>
      <w:proofErr w:type="spellStart"/>
      <w:r w:rsidRPr="00E0652C">
        <w:rPr>
          <w:sz w:val="24"/>
          <w:szCs w:val="24"/>
        </w:rPr>
        <w:t>Endri</w:t>
      </w:r>
      <w:proofErr w:type="spellEnd"/>
      <w:r w:rsidRPr="00E0652C">
        <w:rPr>
          <w:sz w:val="24"/>
          <w:szCs w:val="24"/>
        </w:rPr>
        <w:t xml:space="preserve">, E., &amp; </w:t>
      </w:r>
      <w:proofErr w:type="spellStart"/>
      <w:r w:rsidRPr="00E0652C">
        <w:rPr>
          <w:sz w:val="24"/>
          <w:szCs w:val="24"/>
        </w:rPr>
        <w:t>Herlisha</w:t>
      </w:r>
      <w:proofErr w:type="spellEnd"/>
      <w:r w:rsidRPr="00E0652C">
        <w:rPr>
          <w:sz w:val="24"/>
          <w:szCs w:val="24"/>
        </w:rPr>
        <w:t>, N. (2021). Effect of work motivation and job satisfaction on employee performance: Mediating role of employee engagement. </w:t>
      </w:r>
      <w:r w:rsidRPr="00E0652C">
        <w:rPr>
          <w:i/>
          <w:iCs/>
          <w:sz w:val="24"/>
          <w:szCs w:val="24"/>
        </w:rPr>
        <w:t>Problems and Perspectives in Management</w:t>
      </w:r>
      <w:r w:rsidRPr="00E0652C">
        <w:rPr>
          <w:sz w:val="24"/>
          <w:szCs w:val="24"/>
        </w:rPr>
        <w:t>, </w:t>
      </w:r>
      <w:r w:rsidRPr="00E0652C">
        <w:rPr>
          <w:i/>
          <w:iCs/>
          <w:sz w:val="24"/>
          <w:szCs w:val="24"/>
        </w:rPr>
        <w:t>19</w:t>
      </w:r>
      <w:r w:rsidRPr="00E0652C">
        <w:rPr>
          <w:sz w:val="24"/>
          <w:szCs w:val="24"/>
        </w:rPr>
        <w:t>(3), 162-174.</w:t>
      </w:r>
      <w:r w:rsidRPr="00E0652C">
        <w:rPr>
          <w:rFonts w:ascii="ff1" w:hAnsi="ff1"/>
          <w:color w:val="000000"/>
          <w:sz w:val="58"/>
          <w:szCs w:val="58"/>
          <w:shd w:val="clear" w:color="auto" w:fill="FFFFFF"/>
        </w:rPr>
        <w:t xml:space="preserve"> </w:t>
      </w:r>
    </w:p>
    <w:p w14:paraId="113E28F6" w14:textId="7686CE99" w:rsidR="00E502E6" w:rsidRPr="00E0652C" w:rsidRDefault="00E502E6" w:rsidP="00E0652C">
      <w:pPr>
        <w:pStyle w:val="ListParagraph"/>
        <w:numPr>
          <w:ilvl w:val="0"/>
          <w:numId w:val="1"/>
        </w:numPr>
        <w:spacing w:after="0" w:line="480" w:lineRule="auto"/>
        <w:jc w:val="both"/>
        <w:rPr>
          <w:sz w:val="24"/>
          <w:szCs w:val="24"/>
        </w:rPr>
      </w:pPr>
      <w:proofErr w:type="spellStart"/>
      <w:r w:rsidRPr="00E0652C">
        <w:rPr>
          <w:sz w:val="24"/>
          <w:szCs w:val="24"/>
        </w:rPr>
        <w:lastRenderedPageBreak/>
        <w:t>Shrotryia</w:t>
      </w:r>
      <w:proofErr w:type="spellEnd"/>
      <w:r w:rsidRPr="00E0652C">
        <w:rPr>
          <w:sz w:val="24"/>
          <w:szCs w:val="24"/>
        </w:rPr>
        <w:t xml:space="preserve">, V.K. &amp; </w:t>
      </w:r>
      <w:proofErr w:type="spellStart"/>
      <w:r w:rsidRPr="00E0652C">
        <w:rPr>
          <w:sz w:val="24"/>
          <w:szCs w:val="24"/>
        </w:rPr>
        <w:t>Dhanda</w:t>
      </w:r>
      <w:proofErr w:type="spellEnd"/>
      <w:r w:rsidRPr="00E0652C">
        <w:rPr>
          <w:sz w:val="24"/>
          <w:szCs w:val="24"/>
        </w:rPr>
        <w:t>, U 2016. Development of employee engagement measure: experiences from best companies to work for in India. </w:t>
      </w:r>
      <w:r w:rsidRPr="00E0652C">
        <w:rPr>
          <w:i/>
          <w:iCs/>
          <w:sz w:val="24"/>
          <w:szCs w:val="24"/>
        </w:rPr>
        <w:t>Measuring Business Excellence</w:t>
      </w:r>
      <w:r w:rsidRPr="00E0652C">
        <w:rPr>
          <w:sz w:val="24"/>
          <w:szCs w:val="24"/>
        </w:rPr>
        <w:t>, pp.1-10.</w:t>
      </w:r>
      <w:r w:rsidRPr="00EF22D4">
        <w:t xml:space="preserve"> </w:t>
      </w:r>
    </w:p>
    <w:p w14:paraId="18B62403" w14:textId="2CB0B5A0" w:rsidR="00E502E6" w:rsidRPr="00E0652C" w:rsidRDefault="00E502E6" w:rsidP="00E0652C">
      <w:pPr>
        <w:pStyle w:val="ListParagraph"/>
        <w:numPr>
          <w:ilvl w:val="0"/>
          <w:numId w:val="1"/>
        </w:numPr>
        <w:spacing w:after="0" w:line="480" w:lineRule="auto"/>
        <w:jc w:val="both"/>
        <w:rPr>
          <w:sz w:val="24"/>
          <w:szCs w:val="24"/>
        </w:rPr>
      </w:pPr>
      <w:proofErr w:type="spellStart"/>
      <w:r w:rsidRPr="00E0652C">
        <w:rPr>
          <w:sz w:val="24"/>
          <w:szCs w:val="24"/>
        </w:rPr>
        <w:t>Shrotryia</w:t>
      </w:r>
      <w:proofErr w:type="spellEnd"/>
      <w:r w:rsidRPr="00E0652C">
        <w:rPr>
          <w:sz w:val="24"/>
          <w:szCs w:val="24"/>
        </w:rPr>
        <w:t xml:space="preserve">, V.K. &amp; </w:t>
      </w:r>
      <w:proofErr w:type="spellStart"/>
      <w:r w:rsidRPr="00E0652C">
        <w:rPr>
          <w:sz w:val="24"/>
          <w:szCs w:val="24"/>
        </w:rPr>
        <w:t>Dhanda</w:t>
      </w:r>
      <w:proofErr w:type="spellEnd"/>
      <w:r w:rsidRPr="00E0652C">
        <w:rPr>
          <w:sz w:val="24"/>
          <w:szCs w:val="24"/>
        </w:rPr>
        <w:t>, U 2020. Exploring Employee Engagement Using Grounded Theory: Experiences from the Best Firms in India. </w:t>
      </w:r>
      <w:r w:rsidRPr="00E0652C">
        <w:rPr>
          <w:i/>
          <w:iCs/>
          <w:sz w:val="24"/>
          <w:szCs w:val="24"/>
        </w:rPr>
        <w:t>Vision</w:t>
      </w:r>
      <w:r w:rsidRPr="00E0652C">
        <w:rPr>
          <w:sz w:val="24"/>
          <w:szCs w:val="24"/>
        </w:rPr>
        <w:t>, </w:t>
      </w:r>
      <w:r w:rsidRPr="00E0652C">
        <w:rPr>
          <w:i/>
          <w:iCs/>
          <w:sz w:val="24"/>
          <w:szCs w:val="24"/>
        </w:rPr>
        <w:t>24</w:t>
      </w:r>
      <w:r w:rsidRPr="00E0652C">
        <w:rPr>
          <w:sz w:val="24"/>
          <w:szCs w:val="24"/>
        </w:rPr>
        <w:t>(2), pp.171-183.</w:t>
      </w:r>
      <w:r w:rsidRPr="00C36D39">
        <w:t xml:space="preserve"> </w:t>
      </w:r>
    </w:p>
    <w:p w14:paraId="64FD6B65" w14:textId="77777777" w:rsidR="007E4B0F" w:rsidRPr="00E502E6" w:rsidRDefault="007E4B0F" w:rsidP="00876250">
      <w:pPr>
        <w:jc w:val="both"/>
      </w:pPr>
    </w:p>
    <w:sectPr w:rsidR="007E4B0F" w:rsidRPr="00E502E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31786" w14:textId="77777777" w:rsidR="00284182" w:rsidRDefault="00284182" w:rsidP="00876250">
      <w:pPr>
        <w:spacing w:after="0" w:line="240" w:lineRule="auto"/>
      </w:pPr>
      <w:r>
        <w:separator/>
      </w:r>
    </w:p>
  </w:endnote>
  <w:endnote w:type="continuationSeparator" w:id="0">
    <w:p w14:paraId="6A70BA50" w14:textId="77777777" w:rsidR="00284182" w:rsidRDefault="00284182" w:rsidP="0087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f1">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764755"/>
      <w:docPartObj>
        <w:docPartGallery w:val="Page Numbers (Bottom of Page)"/>
        <w:docPartUnique/>
      </w:docPartObj>
    </w:sdtPr>
    <w:sdtEndPr>
      <w:rPr>
        <w:noProof/>
      </w:rPr>
    </w:sdtEndPr>
    <w:sdtContent>
      <w:p w14:paraId="7DE70EE3" w14:textId="58C39628" w:rsidR="00876250" w:rsidRDefault="008762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1D3524" w14:textId="77777777" w:rsidR="00876250" w:rsidRDefault="0087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AA4E1" w14:textId="77777777" w:rsidR="00284182" w:rsidRDefault="00284182" w:rsidP="00876250">
      <w:pPr>
        <w:spacing w:after="0" w:line="240" w:lineRule="auto"/>
      </w:pPr>
      <w:r>
        <w:separator/>
      </w:r>
    </w:p>
  </w:footnote>
  <w:footnote w:type="continuationSeparator" w:id="0">
    <w:p w14:paraId="58D89C01" w14:textId="77777777" w:rsidR="00284182" w:rsidRDefault="00284182" w:rsidP="00876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A0D7F" w14:textId="69509555" w:rsidR="00876250" w:rsidRPr="00876250" w:rsidRDefault="00876250">
    <w:pPr>
      <w:spacing w:line="264" w:lineRule="auto"/>
      <w:rPr>
        <w:i/>
        <w:iCs/>
        <w:color w:val="000000" w:themeColor="text1"/>
      </w:rPr>
    </w:pPr>
    <w:r w:rsidRPr="00876250">
      <w:rPr>
        <w:i/>
        <w:iCs/>
        <w:noProof/>
        <w:color w:val="000000" w:themeColor="text1"/>
      </w:rPr>
      <mc:AlternateContent>
        <mc:Choice Requires="wps">
          <w:drawing>
            <wp:anchor distT="0" distB="0" distL="114300" distR="114300" simplePos="0" relativeHeight="251659264" behindDoc="0" locked="0" layoutInCell="1" allowOverlap="1" wp14:anchorId="1F2DC422" wp14:editId="39CA099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71E24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876250">
      <w:rPr>
        <w:i/>
        <w:iCs/>
        <w:color w:val="000000" w:themeColor="text1"/>
      </w:rPr>
      <w:t>Individual report on Managing People</w:t>
    </w:r>
  </w:p>
  <w:p w14:paraId="18D0D482" w14:textId="77777777" w:rsidR="00876250" w:rsidRDefault="00876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3702A"/>
    <w:multiLevelType w:val="hybridMultilevel"/>
    <w:tmpl w:val="151E6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45"/>
    <w:rsid w:val="000A770C"/>
    <w:rsid w:val="000D5645"/>
    <w:rsid w:val="00284182"/>
    <w:rsid w:val="00537259"/>
    <w:rsid w:val="007E4B0F"/>
    <w:rsid w:val="00815E49"/>
    <w:rsid w:val="00876250"/>
    <w:rsid w:val="009C370E"/>
    <w:rsid w:val="00BA2784"/>
    <w:rsid w:val="00D06206"/>
    <w:rsid w:val="00E0652C"/>
    <w:rsid w:val="00E502E6"/>
    <w:rsid w:val="00FA5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5373C"/>
  <w15:chartTrackingRefBased/>
  <w15:docId w15:val="{227B303F-945E-4C84-A777-B8271563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2E6"/>
    <w:pPr>
      <w:spacing w:after="200" w:line="276" w:lineRule="auto"/>
    </w:pPr>
    <w:rPr>
      <w:rFonts w:ascii="Times New Roman" w:eastAsia="Calibri" w:hAnsi="Times New Roman" w:cs="Times New Roman"/>
      <w:szCs w:val="20"/>
      <w:lang w:val="en-GB" w:eastAsia="en-GB"/>
    </w:rPr>
  </w:style>
  <w:style w:type="paragraph" w:styleId="Heading1">
    <w:name w:val="heading 1"/>
    <w:basedOn w:val="Normal"/>
    <w:next w:val="Normal"/>
    <w:link w:val="Heading1Char"/>
    <w:uiPriority w:val="9"/>
    <w:qFormat/>
    <w:rsid w:val="00E502E6"/>
    <w:pPr>
      <w:keepNext/>
      <w:spacing w:before="240" w:after="60"/>
      <w:outlineLvl w:val="0"/>
    </w:pPr>
    <w:rPr>
      <w:rFonts w:eastAsia="Times New Roman"/>
      <w:b/>
      <w:bCs/>
      <w:kern w:val="32"/>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784"/>
    <w:pPr>
      <w:spacing w:before="100" w:beforeAutospacing="1" w:after="100" w:afterAutospacing="1" w:line="240" w:lineRule="auto"/>
    </w:pPr>
    <w:rPr>
      <w:rFonts w:eastAsia="Times New Roman"/>
      <w:sz w:val="24"/>
      <w:szCs w:val="24"/>
      <w:lang w:val="en-US" w:eastAsia="en-US"/>
    </w:rPr>
  </w:style>
  <w:style w:type="character" w:customStyle="1" w:styleId="Heading1Char">
    <w:name w:val="Heading 1 Char"/>
    <w:basedOn w:val="DefaultParagraphFont"/>
    <w:link w:val="Heading1"/>
    <w:uiPriority w:val="9"/>
    <w:rsid w:val="00E502E6"/>
    <w:rPr>
      <w:rFonts w:ascii="Times New Roman" w:eastAsia="Times New Roman" w:hAnsi="Times New Roman" w:cs="Times New Roman"/>
      <w:b/>
      <w:bCs/>
      <w:kern w:val="32"/>
      <w:sz w:val="24"/>
      <w:szCs w:val="32"/>
      <w:lang w:val="en-GB" w:eastAsia="en-GB"/>
    </w:rPr>
  </w:style>
  <w:style w:type="paragraph" w:styleId="Header">
    <w:name w:val="header"/>
    <w:basedOn w:val="Normal"/>
    <w:link w:val="HeaderChar"/>
    <w:uiPriority w:val="99"/>
    <w:unhideWhenUsed/>
    <w:rsid w:val="008762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250"/>
    <w:rPr>
      <w:rFonts w:ascii="Times New Roman" w:eastAsia="Calibri" w:hAnsi="Times New Roman" w:cs="Times New Roman"/>
      <w:szCs w:val="20"/>
      <w:lang w:val="en-GB" w:eastAsia="en-GB"/>
    </w:rPr>
  </w:style>
  <w:style w:type="paragraph" w:styleId="Footer">
    <w:name w:val="footer"/>
    <w:basedOn w:val="Normal"/>
    <w:link w:val="FooterChar"/>
    <w:uiPriority w:val="99"/>
    <w:unhideWhenUsed/>
    <w:rsid w:val="008762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250"/>
    <w:rPr>
      <w:rFonts w:ascii="Times New Roman" w:eastAsia="Calibri" w:hAnsi="Times New Roman" w:cs="Times New Roman"/>
      <w:szCs w:val="20"/>
      <w:lang w:val="en-GB" w:eastAsia="en-GB"/>
    </w:rPr>
  </w:style>
  <w:style w:type="paragraph" w:styleId="ListParagraph">
    <w:name w:val="List Paragraph"/>
    <w:basedOn w:val="Normal"/>
    <w:uiPriority w:val="34"/>
    <w:qFormat/>
    <w:rsid w:val="00876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11</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Constantina Chirana (1918446)</dc:creator>
  <cp:keywords/>
  <dc:description/>
  <cp:lastModifiedBy>Loredana Constantina</cp:lastModifiedBy>
  <cp:revision>5</cp:revision>
  <dcterms:created xsi:type="dcterms:W3CDTF">2021-10-28T23:42:00Z</dcterms:created>
  <dcterms:modified xsi:type="dcterms:W3CDTF">2021-11-25T21:09:00Z</dcterms:modified>
</cp:coreProperties>
</file>