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97D9A71" w:rsidR="006A51BE" w:rsidRDefault="00C96135">
      <w:pPr>
        <w:spacing w:before="200" w:line="360" w:lineRule="auto"/>
        <w:jc w:val="center"/>
        <w:rPr>
          <w:rFonts w:ascii="Times New Roman" w:eastAsia="Times New Roman" w:hAnsi="Times New Roman" w:cs="Times New Roman"/>
          <w:b/>
          <w:bCs/>
          <w:sz w:val="32"/>
          <w:szCs w:val="32"/>
        </w:rPr>
      </w:pPr>
      <w:r>
        <w:rPr>
          <w:noProof/>
        </w:rPr>
        <w:drawing>
          <wp:anchor distT="0" distB="0" distL="114300" distR="114300" simplePos="0" relativeHeight="251659264" behindDoc="0" locked="0" layoutInCell="1" allowOverlap="1" wp14:anchorId="029A9C40" wp14:editId="0CCBCE9A">
            <wp:simplePos x="0" y="0"/>
            <wp:positionH relativeFrom="column">
              <wp:posOffset>-425450</wp:posOffset>
            </wp:positionH>
            <wp:positionV relativeFrom="paragraph">
              <wp:posOffset>0</wp:posOffset>
            </wp:positionV>
            <wp:extent cx="2619375" cy="1165894"/>
            <wp:effectExtent l="0" t="0" r="0" b="0"/>
            <wp:wrapSquare wrapText="bothSides"/>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anchor>
        </w:drawing>
      </w:r>
    </w:p>
    <w:p w14:paraId="00000002" w14:textId="77777777" w:rsidR="006A51BE" w:rsidRDefault="006A51BE">
      <w:pPr>
        <w:spacing w:before="200" w:line="360" w:lineRule="auto"/>
        <w:jc w:val="center"/>
        <w:rPr>
          <w:rFonts w:ascii="Times New Roman" w:eastAsia="Times New Roman" w:hAnsi="Times New Roman" w:cs="Times New Roman"/>
          <w:b/>
          <w:bCs/>
          <w:sz w:val="32"/>
          <w:szCs w:val="32"/>
        </w:rPr>
      </w:pPr>
    </w:p>
    <w:p w14:paraId="00000003" w14:textId="77777777" w:rsidR="006A51BE" w:rsidRDefault="006A51BE">
      <w:pPr>
        <w:spacing w:before="200" w:line="360" w:lineRule="auto"/>
        <w:jc w:val="center"/>
        <w:rPr>
          <w:rFonts w:ascii="Times New Roman" w:eastAsia="Times New Roman" w:hAnsi="Times New Roman" w:cs="Times New Roman"/>
          <w:b/>
          <w:bCs/>
          <w:sz w:val="32"/>
          <w:szCs w:val="32"/>
        </w:rPr>
      </w:pPr>
    </w:p>
    <w:p w14:paraId="3DE7CFB1" w14:textId="77777777" w:rsidR="00C96135" w:rsidRPr="00A9342B" w:rsidRDefault="00C96135" w:rsidP="00C96135">
      <w:pPr>
        <w:rPr>
          <w:rFonts w:asciiTheme="minorBidi" w:hAnsiTheme="minorBidi"/>
          <w:sz w:val="28"/>
          <w:szCs w:val="28"/>
        </w:rPr>
      </w:pPr>
      <w:r w:rsidRPr="00A9342B">
        <w:rPr>
          <w:rFonts w:asciiTheme="minorBidi" w:hAnsiTheme="minorBidi"/>
          <w:sz w:val="28"/>
          <w:szCs w:val="28"/>
        </w:rPr>
        <w:t>Name: Catarina Barroso Ngunza</w:t>
      </w:r>
    </w:p>
    <w:p w14:paraId="01178F19" w14:textId="77777777" w:rsidR="00C96135" w:rsidRPr="00A9342B" w:rsidRDefault="00C96135" w:rsidP="00C96135">
      <w:pPr>
        <w:rPr>
          <w:rFonts w:asciiTheme="minorBidi" w:hAnsiTheme="minorBidi"/>
          <w:sz w:val="28"/>
          <w:szCs w:val="28"/>
        </w:rPr>
      </w:pPr>
      <w:r w:rsidRPr="00A9342B">
        <w:rPr>
          <w:rFonts w:asciiTheme="minorBidi" w:hAnsiTheme="minorBidi"/>
          <w:sz w:val="28"/>
          <w:szCs w:val="28"/>
        </w:rPr>
        <w:t>Student ID: 2509011</w:t>
      </w:r>
    </w:p>
    <w:p w14:paraId="7FD964BB" w14:textId="44C8AC49" w:rsidR="00C96135" w:rsidRPr="00A9342B" w:rsidRDefault="00C96135" w:rsidP="00C96135">
      <w:pPr>
        <w:rPr>
          <w:rFonts w:asciiTheme="minorBidi" w:hAnsiTheme="minorBidi"/>
          <w:sz w:val="28"/>
          <w:szCs w:val="28"/>
        </w:rPr>
      </w:pPr>
      <w:r w:rsidRPr="00A9342B">
        <w:rPr>
          <w:rFonts w:asciiTheme="minorBidi" w:hAnsiTheme="minorBidi"/>
          <w:sz w:val="28"/>
          <w:szCs w:val="28"/>
        </w:rPr>
        <w:t>Module Code: (LCHS400</w:t>
      </w:r>
      <w:r>
        <w:rPr>
          <w:rFonts w:asciiTheme="minorBidi" w:hAnsiTheme="minorBidi"/>
          <w:sz w:val="28"/>
          <w:szCs w:val="28"/>
        </w:rPr>
        <w:t>1</w:t>
      </w:r>
      <w:r w:rsidRPr="00A9342B">
        <w:rPr>
          <w:rFonts w:asciiTheme="minorBidi" w:hAnsiTheme="minorBidi"/>
          <w:sz w:val="28"/>
          <w:szCs w:val="28"/>
        </w:rPr>
        <w:t>_BIRM)</w:t>
      </w:r>
    </w:p>
    <w:p w14:paraId="51FA520B" w14:textId="77777777" w:rsidR="00C96135" w:rsidRPr="00A9342B" w:rsidRDefault="00C96135" w:rsidP="00C96135">
      <w:pPr>
        <w:rPr>
          <w:rFonts w:asciiTheme="minorBidi" w:hAnsiTheme="minorBidi"/>
          <w:sz w:val="28"/>
          <w:szCs w:val="28"/>
        </w:rPr>
      </w:pPr>
      <w:r w:rsidRPr="00A9342B">
        <w:rPr>
          <w:rFonts w:asciiTheme="minorBidi" w:hAnsiTheme="minorBidi"/>
          <w:sz w:val="28"/>
          <w:szCs w:val="28"/>
        </w:rPr>
        <w:t>Module: Introduction</w:t>
      </w:r>
      <w:r>
        <w:rPr>
          <w:rFonts w:asciiTheme="minorBidi" w:hAnsiTheme="minorBidi"/>
          <w:sz w:val="28"/>
          <w:szCs w:val="28"/>
        </w:rPr>
        <w:t xml:space="preserve"> to Health and Social Care </w:t>
      </w:r>
    </w:p>
    <w:p w14:paraId="0B2A5BF9" w14:textId="0C53EE59" w:rsidR="00C96135" w:rsidRPr="00A9342B" w:rsidRDefault="00C96135" w:rsidP="00C96135">
      <w:pPr>
        <w:rPr>
          <w:rFonts w:asciiTheme="minorBidi" w:hAnsiTheme="minorBidi"/>
          <w:sz w:val="28"/>
          <w:szCs w:val="28"/>
        </w:rPr>
      </w:pPr>
      <w:r w:rsidRPr="00A9342B">
        <w:rPr>
          <w:rFonts w:asciiTheme="minorBidi" w:hAnsiTheme="minorBidi"/>
          <w:sz w:val="28"/>
          <w:szCs w:val="28"/>
        </w:rPr>
        <w:t xml:space="preserve">Lecturer: </w:t>
      </w:r>
      <w:r>
        <w:rPr>
          <w:rFonts w:asciiTheme="minorBidi" w:hAnsiTheme="minorBidi"/>
          <w:sz w:val="28"/>
          <w:szCs w:val="28"/>
        </w:rPr>
        <w:t>Raza Taghizadeh</w:t>
      </w:r>
    </w:p>
    <w:p w14:paraId="7317091D" w14:textId="479E328A" w:rsidR="00C96135" w:rsidRDefault="00C96135" w:rsidP="00C96135">
      <w:pPr>
        <w:rPr>
          <w:rFonts w:asciiTheme="minorBidi" w:hAnsiTheme="minorBidi"/>
          <w:sz w:val="28"/>
          <w:szCs w:val="28"/>
        </w:rPr>
      </w:pPr>
      <w:r w:rsidRPr="00A9342B">
        <w:rPr>
          <w:rFonts w:asciiTheme="minorBidi" w:hAnsiTheme="minorBidi"/>
          <w:sz w:val="28"/>
          <w:szCs w:val="28"/>
        </w:rPr>
        <w:t xml:space="preserve">Submitted on: </w:t>
      </w:r>
      <w:r>
        <w:rPr>
          <w:rFonts w:asciiTheme="minorBidi" w:hAnsiTheme="minorBidi"/>
          <w:sz w:val="28"/>
          <w:szCs w:val="28"/>
        </w:rPr>
        <w:t>1</w:t>
      </w:r>
      <w:r w:rsidRPr="00A9342B">
        <w:rPr>
          <w:rFonts w:asciiTheme="minorBidi" w:hAnsiTheme="minorBidi"/>
          <w:sz w:val="28"/>
          <w:szCs w:val="28"/>
        </w:rPr>
        <w:t xml:space="preserve"> </w:t>
      </w:r>
      <w:r>
        <w:rPr>
          <w:rFonts w:asciiTheme="minorBidi" w:hAnsiTheme="minorBidi"/>
          <w:sz w:val="28"/>
          <w:szCs w:val="28"/>
        </w:rPr>
        <w:t>April</w:t>
      </w:r>
      <w:r w:rsidRPr="00A9342B">
        <w:rPr>
          <w:rFonts w:asciiTheme="minorBidi" w:hAnsiTheme="minorBidi"/>
          <w:sz w:val="28"/>
          <w:szCs w:val="28"/>
        </w:rPr>
        <w:t xml:space="preserve"> 2026</w:t>
      </w:r>
    </w:p>
    <w:p w14:paraId="00000004" w14:textId="77777777" w:rsidR="006A51BE" w:rsidRDefault="006A51BE">
      <w:pPr>
        <w:spacing w:before="200" w:line="360" w:lineRule="auto"/>
        <w:jc w:val="center"/>
        <w:rPr>
          <w:rFonts w:ascii="Times New Roman" w:eastAsia="Times New Roman" w:hAnsi="Times New Roman" w:cs="Times New Roman"/>
          <w:b/>
          <w:bCs/>
          <w:sz w:val="32"/>
          <w:szCs w:val="32"/>
        </w:rPr>
      </w:pPr>
    </w:p>
    <w:p w14:paraId="0DCDCB6A" w14:textId="77777777" w:rsidR="00C96135" w:rsidRDefault="00C96135">
      <w:pPr>
        <w:spacing w:before="200" w:line="360" w:lineRule="auto"/>
        <w:jc w:val="center"/>
        <w:rPr>
          <w:rFonts w:ascii="Times New Roman" w:eastAsia="Times New Roman" w:hAnsi="Times New Roman" w:cs="Times New Roman"/>
          <w:b/>
          <w:bCs/>
          <w:sz w:val="32"/>
          <w:szCs w:val="32"/>
        </w:rPr>
      </w:pPr>
    </w:p>
    <w:p w14:paraId="6BF2870E" w14:textId="77777777" w:rsidR="00C96135" w:rsidRDefault="00C96135">
      <w:pPr>
        <w:spacing w:before="200" w:line="360" w:lineRule="auto"/>
        <w:jc w:val="center"/>
        <w:rPr>
          <w:rFonts w:ascii="Times New Roman" w:eastAsia="Times New Roman" w:hAnsi="Times New Roman" w:cs="Times New Roman"/>
          <w:b/>
          <w:bCs/>
          <w:sz w:val="32"/>
          <w:szCs w:val="32"/>
        </w:rPr>
      </w:pPr>
    </w:p>
    <w:p w14:paraId="32673EFA" w14:textId="77777777" w:rsidR="00C96135" w:rsidRDefault="00C96135">
      <w:pPr>
        <w:spacing w:before="200" w:line="360" w:lineRule="auto"/>
        <w:jc w:val="center"/>
        <w:rPr>
          <w:rFonts w:ascii="Times New Roman" w:eastAsia="Times New Roman" w:hAnsi="Times New Roman" w:cs="Times New Roman"/>
          <w:b/>
          <w:bCs/>
          <w:sz w:val="32"/>
          <w:szCs w:val="32"/>
        </w:rPr>
      </w:pPr>
    </w:p>
    <w:p w14:paraId="00000005" w14:textId="5234106E" w:rsidR="006A51BE" w:rsidRDefault="000D3677">
      <w:pPr>
        <w:spacing w:before="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1. WRITTEN REPORT</w:t>
      </w:r>
      <w:r>
        <w:br w:type="page"/>
      </w:r>
    </w:p>
    <w:p w14:paraId="00000006" w14:textId="77777777" w:rsidR="006A51BE" w:rsidRDefault="000D3677">
      <w:pPr>
        <w:spacing w:before="20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Table of contents</w:t>
      </w:r>
    </w:p>
    <w:p w14:paraId="00000007" w14:textId="77777777" w:rsidR="006A51BE" w:rsidRDefault="006A51BE">
      <w:pPr>
        <w:spacing w:before="200" w:line="360" w:lineRule="auto"/>
        <w:jc w:val="center"/>
        <w:rPr>
          <w:rFonts w:ascii="Times New Roman" w:eastAsia="Times New Roman" w:hAnsi="Times New Roman" w:cs="Times New Roman"/>
          <w:b/>
          <w:bCs/>
          <w:sz w:val="28"/>
          <w:szCs w:val="28"/>
        </w:rPr>
      </w:pPr>
    </w:p>
    <w:sdt>
      <w:sdtPr>
        <w:id w:val="-2030674917"/>
        <w:docPartObj>
          <w:docPartGallery w:val="Table of Contents"/>
          <w:docPartUnique/>
        </w:docPartObj>
      </w:sdtPr>
      <w:sdtEndPr/>
      <w:sdtContent>
        <w:p w14:paraId="00000008"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3skai2of71cr">
            <w:r>
              <w:rPr>
                <w:rFonts w:ascii="Times New Roman" w:eastAsia="Times New Roman" w:hAnsi="Times New Roman" w:cs="Times New Roman"/>
                <w:color w:val="000000"/>
                <w:sz w:val="24"/>
                <w:szCs w:val="24"/>
              </w:rPr>
              <w:t>1.1 Introduction</w:t>
            </w:r>
            <w:r>
              <w:rPr>
                <w:rFonts w:ascii="Times New Roman" w:eastAsia="Times New Roman" w:hAnsi="Times New Roman" w:cs="Times New Roman"/>
                <w:color w:val="000000"/>
                <w:sz w:val="24"/>
                <w:szCs w:val="24"/>
              </w:rPr>
              <w:tab/>
            </w:r>
          </w:hyperlink>
          <w:r>
            <w:fldChar w:fldCharType="begin"/>
          </w:r>
          <w:r>
            <w:instrText xml:space="preserve"> PAGEREF _heading=h.3skai2of71cr \h </w:instrText>
          </w:r>
          <w:r>
            <w:fldChar w:fldCharType="separate"/>
          </w:r>
          <w:r>
            <w:rPr>
              <w:rFonts w:ascii="Times New Roman" w:eastAsia="Times New Roman" w:hAnsi="Times New Roman" w:cs="Times New Roman"/>
              <w:sz w:val="24"/>
              <w:szCs w:val="24"/>
            </w:rPr>
            <w:t>3</w:t>
          </w:r>
          <w:hyperlink w:anchor="_heading=h.3skai2of71cr" w:history="1"/>
        </w:p>
        <w:p w14:paraId="00000009"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jbr56kic09u2">
            <w:r>
              <w:rPr>
                <w:rFonts w:ascii="Times New Roman" w:eastAsia="Times New Roman" w:hAnsi="Times New Roman" w:cs="Times New Roman"/>
                <w:color w:val="000000"/>
                <w:sz w:val="24"/>
                <w:szCs w:val="24"/>
              </w:rPr>
              <w:t>1.2 Description of and background to ‘Mental Health Support Work’ in Healthcare</w:t>
            </w:r>
            <w:r>
              <w:rPr>
                <w:rFonts w:ascii="Times New Roman" w:eastAsia="Times New Roman" w:hAnsi="Times New Roman" w:cs="Times New Roman"/>
                <w:color w:val="000000"/>
                <w:sz w:val="24"/>
                <w:szCs w:val="24"/>
              </w:rPr>
              <w:tab/>
            </w:r>
          </w:hyperlink>
          <w:r>
            <w:fldChar w:fldCharType="begin"/>
          </w:r>
          <w:r>
            <w:instrText xml:space="preserve"> PAGEREF _heading=h.jbr56kic09u2 \h </w:instrText>
          </w:r>
          <w:r>
            <w:fldChar w:fldCharType="separate"/>
          </w:r>
          <w:r>
            <w:rPr>
              <w:rFonts w:ascii="Times New Roman" w:eastAsia="Times New Roman" w:hAnsi="Times New Roman" w:cs="Times New Roman"/>
              <w:sz w:val="24"/>
              <w:szCs w:val="24"/>
            </w:rPr>
            <w:t>3</w:t>
          </w:r>
          <w:hyperlink w:anchor="_heading=h.jbr56kic09u2" w:history="1"/>
        </w:p>
        <w:p w14:paraId="0000000A"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62ashgc8pk7">
            <w:r>
              <w:rPr>
                <w:rFonts w:ascii="Times New Roman" w:eastAsia="Times New Roman" w:hAnsi="Times New Roman" w:cs="Times New Roman"/>
                <w:color w:val="000000"/>
                <w:sz w:val="24"/>
                <w:szCs w:val="24"/>
              </w:rPr>
              <w:t>1.3 Evaluation of the skills needed for ‘Mental Health Support Work’ in Healthcare</w:t>
            </w:r>
            <w:r>
              <w:rPr>
                <w:rFonts w:ascii="Times New Roman" w:eastAsia="Times New Roman" w:hAnsi="Times New Roman" w:cs="Times New Roman"/>
                <w:color w:val="000000"/>
                <w:sz w:val="24"/>
                <w:szCs w:val="24"/>
              </w:rPr>
              <w:tab/>
            </w:r>
          </w:hyperlink>
          <w:r>
            <w:fldChar w:fldCharType="begin"/>
          </w:r>
          <w:r>
            <w:instrText xml:space="preserve"> PAGEREF _heading=h.62ashgc8pk7 \h </w:instrText>
          </w:r>
          <w:r>
            <w:fldChar w:fldCharType="separate"/>
          </w:r>
          <w:r>
            <w:rPr>
              <w:rFonts w:ascii="Times New Roman" w:eastAsia="Times New Roman" w:hAnsi="Times New Roman" w:cs="Times New Roman"/>
              <w:sz w:val="24"/>
              <w:szCs w:val="24"/>
            </w:rPr>
            <w:t>4</w:t>
          </w:r>
          <w:hyperlink w:anchor="_heading=h.62ashgc8pk7" w:history="1"/>
        </w:p>
        <w:p w14:paraId="0000000B"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3dsae3dvr8jl">
            <w:r>
              <w:rPr>
                <w:rFonts w:ascii="Times New Roman" w:eastAsia="Times New Roman" w:hAnsi="Times New Roman" w:cs="Times New Roman"/>
                <w:color w:val="000000"/>
                <w:sz w:val="24"/>
                <w:szCs w:val="24"/>
              </w:rPr>
              <w:t>1.4 Strategies to improve the skills for ‘Mental Health Support Work’</w:t>
            </w:r>
            <w:r>
              <w:rPr>
                <w:rFonts w:ascii="Times New Roman" w:eastAsia="Times New Roman" w:hAnsi="Times New Roman" w:cs="Times New Roman"/>
                <w:color w:val="000000"/>
                <w:sz w:val="24"/>
                <w:szCs w:val="24"/>
              </w:rPr>
              <w:tab/>
            </w:r>
          </w:hyperlink>
          <w:r>
            <w:fldChar w:fldCharType="begin"/>
          </w:r>
          <w:r>
            <w:instrText xml:space="preserve"> PAGEREF _heading=h.3dsae3dvr8jl \h </w:instrText>
          </w:r>
          <w:r>
            <w:fldChar w:fldCharType="separate"/>
          </w:r>
          <w:r>
            <w:rPr>
              <w:rFonts w:ascii="Times New Roman" w:eastAsia="Times New Roman" w:hAnsi="Times New Roman" w:cs="Times New Roman"/>
              <w:sz w:val="24"/>
              <w:szCs w:val="24"/>
            </w:rPr>
            <w:t>5</w:t>
          </w:r>
          <w:hyperlink w:anchor="_heading=h.3dsae3dvr8jl" w:history="1"/>
        </w:p>
        <w:p w14:paraId="0000000C"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ao1bbc25opf8">
            <w:r>
              <w:rPr>
                <w:rFonts w:ascii="Times New Roman" w:eastAsia="Times New Roman" w:hAnsi="Times New Roman" w:cs="Times New Roman"/>
                <w:color w:val="000000"/>
                <w:sz w:val="24"/>
                <w:szCs w:val="24"/>
              </w:rPr>
              <w:t>1.5 Conclusion</w:t>
            </w:r>
            <w:r>
              <w:rPr>
                <w:rFonts w:ascii="Times New Roman" w:eastAsia="Times New Roman" w:hAnsi="Times New Roman" w:cs="Times New Roman"/>
                <w:color w:val="000000"/>
                <w:sz w:val="24"/>
                <w:szCs w:val="24"/>
              </w:rPr>
              <w:tab/>
            </w:r>
          </w:hyperlink>
          <w:r>
            <w:fldChar w:fldCharType="begin"/>
          </w:r>
          <w:r>
            <w:instrText xml:space="preserve"> PAGEREF _heading=h.ao1bbc25opf8 \h </w:instrText>
          </w:r>
          <w:r>
            <w:fldChar w:fldCharType="separate"/>
          </w:r>
          <w:r>
            <w:rPr>
              <w:rFonts w:ascii="Times New Roman" w:eastAsia="Times New Roman" w:hAnsi="Times New Roman" w:cs="Times New Roman"/>
              <w:sz w:val="24"/>
              <w:szCs w:val="24"/>
            </w:rPr>
            <w:t>6</w:t>
          </w:r>
          <w:hyperlink w:anchor="_heading=h.ao1bbc25opf8" w:history="1"/>
        </w:p>
        <w:p w14:paraId="0000000D"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hn1k71g0wpau">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_heading=h.hn1k71g0wpau \h </w:instrText>
          </w:r>
          <w:r>
            <w:fldChar w:fldCharType="separate"/>
          </w:r>
          <w:r>
            <w:rPr>
              <w:rFonts w:ascii="Times New Roman" w:eastAsia="Times New Roman" w:hAnsi="Times New Roman" w:cs="Times New Roman"/>
              <w:sz w:val="24"/>
              <w:szCs w:val="24"/>
            </w:rPr>
            <w:t>7</w:t>
          </w:r>
          <w:r>
            <w:fldChar w:fldCharType="end"/>
          </w:r>
          <w:r>
            <w:fldChar w:fldCharType="end"/>
          </w:r>
        </w:p>
      </w:sdtContent>
    </w:sdt>
    <w:p w14:paraId="0000000E" w14:textId="77777777" w:rsidR="006A51BE" w:rsidRDefault="000D3677">
      <w:pPr>
        <w:spacing w:before="200" w:line="360" w:lineRule="auto"/>
        <w:jc w:val="center"/>
        <w:rPr>
          <w:rFonts w:ascii="Times New Roman" w:eastAsia="Times New Roman" w:hAnsi="Times New Roman" w:cs="Times New Roman"/>
          <w:b/>
          <w:bCs/>
          <w:sz w:val="28"/>
          <w:szCs w:val="28"/>
        </w:rPr>
      </w:pPr>
      <w:r>
        <w:br w:type="page"/>
      </w:r>
    </w:p>
    <w:p w14:paraId="0000000F" w14:textId="77777777" w:rsidR="006A51BE" w:rsidRDefault="000D3677">
      <w:pPr>
        <w:pStyle w:val="Heading1"/>
      </w:pPr>
      <w:bookmarkStart w:id="0" w:name="_heading=h.3skai2of71cr" w:colFirst="0" w:colLast="0"/>
      <w:bookmarkEnd w:id="0"/>
      <w:r>
        <w:lastRenderedPageBreak/>
        <w:t>1.1 Introduction</w:t>
      </w:r>
    </w:p>
    <w:p w14:paraId="00000010"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that has been selected in this report is Mental Health Support Worker, a frontline position in the health and social care service which deals with the support of people who have mental health problems. The role is chosen because it is directly related to the provision of person-centred care and enhancing the outcomes of the daily well-being of service users.</w:t>
      </w:r>
      <w:r>
        <w:rPr>
          <w:rFonts w:ascii="Times New Roman" w:eastAsia="Times New Roman" w:hAnsi="Times New Roman" w:cs="Times New Roman"/>
          <w:b/>
          <w:bCs/>
          <w:i/>
          <w:iCs/>
          <w:sz w:val="24"/>
          <w:szCs w:val="24"/>
        </w:rPr>
        <w:t xml:space="preserve"> </w:t>
      </w:r>
      <w:r>
        <w:rPr>
          <w:rFonts w:ascii="Times New Roman" w:eastAsia="Times New Roman" w:hAnsi="Times New Roman" w:cs="Times New Roman"/>
          <w:sz w:val="24"/>
          <w:szCs w:val="24"/>
        </w:rPr>
        <w:t>This role is considerable because it will help in recovery, foster independence, and ensure high-quality and safe delivery of care.</w:t>
      </w:r>
      <w:r>
        <w:rPr>
          <w:rFonts w:ascii="Times New Roman" w:eastAsia="Times New Roman" w:hAnsi="Times New Roman" w:cs="Times New Roman"/>
          <w:b/>
          <w:bCs/>
          <w:i/>
          <w:iCs/>
          <w:sz w:val="24"/>
          <w:szCs w:val="24"/>
        </w:rPr>
        <w:t xml:space="preserve"> </w:t>
      </w:r>
      <w:r>
        <w:rPr>
          <w:rFonts w:ascii="Times New Roman" w:eastAsia="Times New Roman" w:hAnsi="Times New Roman" w:cs="Times New Roman"/>
          <w:sz w:val="24"/>
          <w:szCs w:val="24"/>
        </w:rPr>
        <w:t>This report aims to describe the background of the role, assess the skills that are necessary, and the strategies that will be used in developing the skills, and finally, discuss the importance of the role in healthcare practice.</w:t>
      </w:r>
    </w:p>
    <w:p w14:paraId="00000011" w14:textId="77777777" w:rsidR="006A51BE" w:rsidRDefault="000D3677">
      <w:pPr>
        <w:pStyle w:val="Heading1"/>
        <w:rPr>
          <w:i/>
          <w:iCs/>
          <w:sz w:val="24"/>
          <w:szCs w:val="24"/>
        </w:rPr>
      </w:pPr>
      <w:bookmarkStart w:id="1" w:name="_heading=h.jbr56kic09u2" w:colFirst="0" w:colLast="0"/>
      <w:bookmarkEnd w:id="1"/>
      <w:r>
        <w:t>1.2 Description of and background to ‘Mental Health Support Work’ in Healthcare</w:t>
      </w:r>
    </w:p>
    <w:p w14:paraId="00000012"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Mental Health Support Workers play a role in recovery-based care through helping with daily living, well-being monitoring, and therapeutic interaction. Njuguna et al. (2025) highlight that the role is not just about the practical assistance but relational and emotional labour. This must be coordinated with multidisciplinary teams regardless of organisational and resource constraints that might restrict effective service delivery.</w:t>
      </w:r>
      <w:r>
        <w:rPr>
          <w:rFonts w:ascii="Times New Roman" w:eastAsia="Times New Roman" w:hAnsi="Times New Roman" w:cs="Times New Roman"/>
          <w:b/>
          <w:bCs/>
          <w:i/>
          <w:iCs/>
          <w:sz w:val="24"/>
          <w:szCs w:val="24"/>
        </w:rPr>
        <w:t xml:space="preserve"> </w:t>
      </w:r>
      <w:r>
        <w:rPr>
          <w:rFonts w:ascii="Times New Roman" w:eastAsia="Times New Roman" w:hAnsi="Times New Roman" w:cs="Times New Roman"/>
          <w:sz w:val="24"/>
          <w:szCs w:val="24"/>
        </w:rPr>
        <w:t>Offering sympathetic emotional assistance is the most important obligation since therapeutic relationships have a direct effect on the engagement and recovery outcomes. Empathy helps to cognise the experiences of service users and build trust. However, Moudatsou et al. (2020) suggest that not being supported by organisations might restrict the ability of professionals to maintain empathetic practice. This could potentially influence the quality and continuity of care.</w:t>
      </w:r>
    </w:p>
    <w:p w14:paraId="00000013"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support work involves communication, empathy, emotional resilience, and reflective practice to be successful. Maple et al. (2024) state that workplace supportive measures can also contribute to the psychological capacity of workers to provide care. This means that skills cannot be singled out, but they are conditioned by organisational settings, supervisory arrangements, and systems of organisational well-being that support safe healthcare practice.</w:t>
      </w:r>
    </w:p>
    <w:p w14:paraId="00000014" w14:textId="77777777" w:rsidR="006A51BE" w:rsidRDefault="000D3677">
      <w:pPr>
        <w:pStyle w:val="Heading1"/>
        <w:rPr>
          <w:i/>
          <w:iCs/>
          <w:sz w:val="24"/>
          <w:szCs w:val="24"/>
        </w:rPr>
      </w:pPr>
      <w:bookmarkStart w:id="2" w:name="_heading=h.62ashgc8pk7" w:colFirst="0" w:colLast="0"/>
      <w:bookmarkEnd w:id="2"/>
      <w:r>
        <w:lastRenderedPageBreak/>
        <w:t>1.3 Evaluation of the skills needed for ‘Mental Health Support Work’ in Healthcare</w:t>
      </w:r>
    </w:p>
    <w:p w14:paraId="00000015"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 xml:space="preserve">Active listening, communication, empathy, and de-escalation awareness are three important skills that are involved in Mental Health Support Work. Active listening allows learning the needs of the service users correctly and adheres to the person-centred theory because it respects personal experiences (Tustonja et al., 2024). That is why this is chosen. Empathy aids therapeutic relationships and contributes to the development of trust, which seems to be a key to recovery in mental health (Niazi et al., 2025). As empathy strengthens therapeutic relationships and develops trust to support recovery, this is why it is chosen. The priority of de-escalation skills is based on the high rates of distress and behavioural crisis in the care settings (Lavelle et al., 2024). This is chosen due to its role in managing distress safely with the prevention of crisis escalation. </w:t>
      </w:r>
    </w:p>
    <w:p w14:paraId="00000016"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These competencies enhance the effectiveness of the staff by enhancing collaboration, safety, and person-centred care delivery. Listening actively can help provide the necessary information between the support workers, nurses, and clinicians, minimize misunderstandings, and enhance patient safety outcomes (Howick et al., 2024). Empathy fosters the involvement of service-users, as they cooperate more with the care plans and therapeutic interventions. De-escalation skills enable the workers to handle agitation without getting into restrictive or coercive behaviors. In National Health Service community mental health teams, support workers who visit wellbeing use these skills to identify withdrawal or distress at an early stage and share their concerns with clinical personnel to facilitate an appropriate response. These practices are also congruent with the person-centred theory because they focus on the dignity, collaboration, and individualised support instead of crisis management as a response.</w:t>
      </w:r>
    </w:p>
    <w:p w14:paraId="00000017"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these skills may seriously compromise effective and safe mental health care. Poor listening can result in miscommunication of service-user needs, leading to greater clinical risk and deterioration of therapeutic relationships. Lack of empathy may lead to emotional indifference, lack of involvement, and decreased compliance with treatment, which is against the principles of person-centred care (Niazi et al., 2025). The absence of de-escalation competence can result in the growth of distress to the aggression or crisis that can lead to restrictive measures (Lavelle et al., 2024). May et al. (2024) also state that low emotional skills are the cause of stress and poor quality of care in the workplace. </w:t>
      </w:r>
    </w:p>
    <w:p w14:paraId="00000018"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lastRenderedPageBreak/>
        <w:t>The evaluation of skills has aligned with the research process through evaluation of NHS careers, peer reviewed literature and Skills for Care utilising alignment with safeguarding and person-centred care. This leads to ensuring evidence-based understanding supported by reliable and credible sources.</w:t>
      </w:r>
      <w:r>
        <w:rPr>
          <w:rFonts w:ascii="Times New Roman" w:eastAsia="Times New Roman" w:hAnsi="Times New Roman" w:cs="Times New Roman"/>
          <w:sz w:val="24"/>
          <w:szCs w:val="24"/>
        </w:rPr>
        <w:t xml:space="preserve"> Practically, the lack of paying attention to behavioural withdrawal during the regular NHS wellbeing visits would postpone intervention. This, in turn, could result in a relapse or unnecessary hospital stay, which would prove the direct effects on outcomes.</w:t>
      </w:r>
    </w:p>
    <w:p w14:paraId="00000019" w14:textId="77777777" w:rsidR="006A51BE" w:rsidRDefault="000D3677">
      <w:pPr>
        <w:pStyle w:val="Heading1"/>
        <w:rPr>
          <w:sz w:val="24"/>
          <w:szCs w:val="24"/>
        </w:rPr>
      </w:pPr>
      <w:bookmarkStart w:id="3" w:name="_heading=h.3dsae3dvr8jl" w:colFirst="0" w:colLast="0"/>
      <w:bookmarkEnd w:id="3"/>
      <w:r>
        <w:t>1.4 Strategies to improve the skills for 'Mental Health Support Work.'</w:t>
      </w:r>
    </w:p>
    <w:p w14:paraId="0000001A"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Mental Health Support Work has three major approaches that can be used to enhance skills, namely reflective supervision, organisational wellbeing intervention, and mindfulness-based emotional regulation training. The reflective supervision enhances the professional intuition and emotional skills that promote safer practice (Chipu, 2025). Workload management and psychological support systems are organisational wellbeing programs that increase staff capacity to maintain empathetic care (SOM, 2022). Mindfulness training instills emotional control and self-awareness that are necessary to handle challenging interactions (Salem et al., 2025). The reasons why the strategies are given priority are that effective mental health care requires an individual's competence in addition to the supporting organisational conditions.</w:t>
      </w:r>
    </w:p>
    <w:p w14:paraId="0000001B"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Reflective supervision is based on systematic conversations in which workers discuss difficult care scenarios and understand how to communicate better or respond more emotionally. Mindfulness training cultivates the control of attention and emotional regulation by providing guided exercises that will enable the staff to respond to distress calmly. Interventions of organisational wellbeing mitigate burnout through encouraging conducive leadership and workloads that are manageable. Indeed (2025) also points out that interpersonal and emotional skills are what make a support worker, and not just a worker who only does care. In NHS teams, Mental Health Support Workers convene around supervision meetings to support them in overseeing wellbeing visits and learning to redefine listening or de-escalation strategies. A healthy team leads to ultimately better care for its patients (NHS England, 2023). This leads to turning theoretical learning into better person-centred practice and safer decision-making.</w:t>
      </w:r>
    </w:p>
    <w:p w14:paraId="0000001C"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strategies are chosen on the grounds that they target systemic and psychological issues that affect the performance of these skills, as opposed to the belief that competence can develop as an independent phenomenon. Reflective supervision enhances professional resilience. On the other hand, organisational interventions decrease the number of stressors that jeopardise </w:t>
      </w:r>
      <w:r>
        <w:rPr>
          <w:rFonts w:ascii="Times New Roman" w:eastAsia="Times New Roman" w:hAnsi="Times New Roman" w:cs="Times New Roman"/>
          <w:sz w:val="24"/>
          <w:szCs w:val="24"/>
        </w:rPr>
        <w:lastRenderedPageBreak/>
        <w:t xml:space="preserve">empathetic involvement (SOM, 2022). Mindfulness training also enhances emotional regulation, which is necessary in the maintenance of therapeutic relationships. </w:t>
      </w:r>
    </w:p>
    <w:p w14:paraId="0000001D"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 xml:space="preserve">The proposed skill-enhancement strategies have reflected outcomes gathered through CRAAP analysis and structured research. These strategies support focused learning, clarification of role-driven mental health practice knowledge and reducing information overload. </w:t>
      </w:r>
      <w:r>
        <w:rPr>
          <w:rFonts w:ascii="Times New Roman" w:eastAsia="Times New Roman" w:hAnsi="Times New Roman" w:cs="Times New Roman"/>
          <w:sz w:val="24"/>
          <w:szCs w:val="24"/>
        </w:rPr>
        <w:t>Critically, the development of skills in isolation from workplace stress is prone to shallow development. Enhancing the skills and aligning with organisational support will help Mental Health Support Workers to provide safe, person-centred care regularly. This will strengthen the main goal of quality mental health services.</w:t>
      </w:r>
    </w:p>
    <w:p w14:paraId="0000001E" w14:textId="77777777" w:rsidR="006A51BE" w:rsidRDefault="000D3677">
      <w:pPr>
        <w:pStyle w:val="Heading1"/>
      </w:pPr>
      <w:bookmarkStart w:id="4" w:name="_heading=h.ao1bbc25opf8" w:colFirst="0" w:colLast="0"/>
      <w:bookmarkEnd w:id="4"/>
      <w:r>
        <w:t>1.5 Conclusion</w:t>
      </w:r>
    </w:p>
    <w:p w14:paraId="0000001F" w14:textId="77777777" w:rsidR="006A51BE" w:rsidRDefault="000D3677">
      <w:pPr>
        <w:spacing w:before="200"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sz w:val="24"/>
          <w:szCs w:val="24"/>
        </w:rPr>
        <w:t>Mental Health Support Work is a significant part of providing safe and person-centred healthcare by direct interaction with individuals facing mental health challenges. The report has underscored the role of communication, empathy, and de-escalation skills alongside such strategies as reflective supervision, wellbeing support, and mindfulness training to enhance professional practice. These competencies can be developed to provide better service-user outcomes and safer care environments. Therefore, continuous training of skills and organisational encouragement are still vital in preserving quality and caring mental health care.</w:t>
      </w:r>
    </w:p>
    <w:p w14:paraId="00000020" w14:textId="77777777" w:rsidR="006A51BE" w:rsidRDefault="000D3677">
      <w:pPr>
        <w:spacing w:before="200" w:line="360" w:lineRule="auto"/>
        <w:jc w:val="both"/>
        <w:rPr>
          <w:rFonts w:ascii="Times New Roman" w:eastAsia="Times New Roman" w:hAnsi="Times New Roman" w:cs="Times New Roman"/>
          <w:sz w:val="24"/>
          <w:szCs w:val="24"/>
        </w:rPr>
      </w:pPr>
      <w:r>
        <w:br w:type="page"/>
      </w:r>
    </w:p>
    <w:p w14:paraId="00000021" w14:textId="77777777" w:rsidR="006A51BE" w:rsidRDefault="000D3677">
      <w:pPr>
        <w:pStyle w:val="Heading1"/>
      </w:pPr>
      <w:bookmarkStart w:id="5" w:name="_heading=h.hn1k71g0wpau" w:colFirst="0" w:colLast="0"/>
      <w:bookmarkEnd w:id="5"/>
      <w:r>
        <w:lastRenderedPageBreak/>
        <w:t>References</w:t>
      </w:r>
    </w:p>
    <w:p w14:paraId="00000022"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Chipu, M. G. (2025). A conceptual analysis of reflective supervision for creating a positive intensive care practice environment. </w:t>
      </w:r>
      <w:r>
        <w:rPr>
          <w:rFonts w:ascii="Times New Roman" w:eastAsia="Times New Roman" w:hAnsi="Times New Roman" w:cs="Times New Roman"/>
          <w:i/>
          <w:iCs/>
          <w:sz w:val="24"/>
          <w:szCs w:val="24"/>
        </w:rPr>
        <w:t>International Journal of Nursing Sciences</w:t>
      </w:r>
      <w:r>
        <w:rPr>
          <w:rFonts w:ascii="Times New Roman" w:eastAsia="Times New Roman" w:hAnsi="Times New Roman" w:cs="Times New Roman"/>
          <w:sz w:val="24"/>
          <w:szCs w:val="24"/>
        </w:rPr>
        <w:t xml:space="preserve">. </w:t>
      </w:r>
      <w:hyperlink r:id="rId8">
        <w:r>
          <w:rPr>
            <w:rFonts w:ascii="Times New Roman" w:eastAsia="Times New Roman" w:hAnsi="Times New Roman" w:cs="Times New Roman"/>
            <w:color w:val="1155CC"/>
            <w:sz w:val="24"/>
            <w:szCs w:val="24"/>
            <w:u w:val="single"/>
          </w:rPr>
          <w:t>https://doi.org/10.1016/j.ijnss.2025.12.016</w:t>
        </w:r>
      </w:hyperlink>
      <w:r>
        <w:rPr>
          <w:rFonts w:ascii="Times New Roman" w:eastAsia="Times New Roman" w:hAnsi="Times New Roman" w:cs="Times New Roman"/>
          <w:sz w:val="24"/>
          <w:szCs w:val="24"/>
        </w:rPr>
        <w:t xml:space="preserve"> </w:t>
      </w:r>
    </w:p>
    <w:p w14:paraId="00000023"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Howick, J., Bennett-Weston, A., Solomon, J., Nockels, K., Bostock, J., and Keshtkar, L. (2024). How does communication affect patient safety? Protocol for a systematic review and logic model. </w:t>
      </w:r>
      <w:r>
        <w:rPr>
          <w:rFonts w:ascii="Times New Roman" w:eastAsia="Times New Roman" w:hAnsi="Times New Roman" w:cs="Times New Roman"/>
          <w:i/>
          <w:iCs/>
          <w:sz w:val="24"/>
          <w:szCs w:val="24"/>
        </w:rPr>
        <w:t>BMJ open, 14</w:t>
      </w:r>
      <w:r>
        <w:rPr>
          <w:rFonts w:ascii="Times New Roman" w:eastAsia="Times New Roman" w:hAnsi="Times New Roman" w:cs="Times New Roman"/>
          <w:sz w:val="24"/>
          <w:szCs w:val="24"/>
        </w:rPr>
        <w:t xml:space="preserve">(5), e085312. </w:t>
      </w:r>
      <w:hyperlink r:id="rId9">
        <w:r>
          <w:rPr>
            <w:rFonts w:ascii="Times New Roman" w:eastAsia="Times New Roman" w:hAnsi="Times New Roman" w:cs="Times New Roman"/>
            <w:color w:val="1155CC"/>
            <w:sz w:val="24"/>
            <w:szCs w:val="24"/>
            <w:u w:val="single"/>
          </w:rPr>
          <w:t>https://doi.org/10.1136/bmjopen-2024-085312</w:t>
        </w:r>
      </w:hyperlink>
      <w:r>
        <w:rPr>
          <w:rFonts w:ascii="Times New Roman" w:eastAsia="Times New Roman" w:hAnsi="Times New Roman" w:cs="Times New Roman"/>
          <w:sz w:val="24"/>
          <w:szCs w:val="24"/>
        </w:rPr>
        <w:t xml:space="preserve"> </w:t>
      </w:r>
    </w:p>
    <w:p w14:paraId="00000024"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(2025). </w:t>
      </w:r>
      <w:r>
        <w:rPr>
          <w:rFonts w:ascii="Times New Roman" w:eastAsia="Times New Roman" w:hAnsi="Times New Roman" w:cs="Times New Roman"/>
          <w:i/>
          <w:iCs/>
          <w:sz w:val="24"/>
          <w:szCs w:val="24"/>
        </w:rPr>
        <w:t xml:space="preserve">Mental health support worker skills: definition and examples. </w:t>
      </w:r>
      <w:r>
        <w:rPr>
          <w:rFonts w:ascii="Times New Roman" w:eastAsia="Times New Roman" w:hAnsi="Times New Roman" w:cs="Times New Roman"/>
          <w:sz w:val="24"/>
          <w:szCs w:val="24"/>
        </w:rPr>
        <w:t xml:space="preserve">Available at: </w:t>
      </w:r>
      <w:hyperlink r:id="rId10">
        <w:r>
          <w:rPr>
            <w:rFonts w:ascii="Times New Roman" w:eastAsia="Times New Roman" w:hAnsi="Times New Roman" w:cs="Times New Roman"/>
            <w:color w:val="1155CC"/>
            <w:sz w:val="24"/>
            <w:szCs w:val="24"/>
            <w:u w:val="single"/>
          </w:rPr>
          <w:t>https://uk.indeed.com/career-advice/cvs-cover-letters/mental-health-support-worker-skills</w:t>
        </w:r>
      </w:hyperlink>
      <w:r>
        <w:rPr>
          <w:rFonts w:ascii="Times New Roman" w:eastAsia="Times New Roman" w:hAnsi="Times New Roman" w:cs="Times New Roman"/>
          <w:sz w:val="24"/>
          <w:szCs w:val="24"/>
        </w:rPr>
        <w:t xml:space="preserve"> [Accessed 31 March 2026]</w:t>
      </w:r>
    </w:p>
    <w:p w14:paraId="00000025"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Lavelle, M., Ferreira, A. L., Dixen, S., and Berring, L. L. (2024). De-escalation in mental health care settings. </w:t>
      </w:r>
      <w:r>
        <w:rPr>
          <w:rFonts w:ascii="Times New Roman" w:eastAsia="Times New Roman" w:hAnsi="Times New Roman" w:cs="Times New Roman"/>
          <w:i/>
          <w:iCs/>
          <w:sz w:val="24"/>
          <w:szCs w:val="24"/>
        </w:rPr>
        <w:t>In Coercion and violence in mental health settings: Causes, consequences, management</w:t>
      </w:r>
      <w:r>
        <w:rPr>
          <w:rFonts w:ascii="Times New Roman" w:eastAsia="Times New Roman" w:hAnsi="Times New Roman" w:cs="Times New Roman"/>
          <w:sz w:val="24"/>
          <w:szCs w:val="24"/>
        </w:rPr>
        <w:t xml:space="preserve"> (pp. 331-356). Cham: Springer Nature Switzerland. </w:t>
      </w:r>
      <w:hyperlink r:id="rId11" w:anchor="DOI">
        <w:r>
          <w:rPr>
            <w:rFonts w:ascii="Times New Roman" w:eastAsia="Times New Roman" w:hAnsi="Times New Roman" w:cs="Times New Roman"/>
            <w:color w:val="1155CC"/>
            <w:sz w:val="24"/>
            <w:szCs w:val="24"/>
            <w:u w:val="single"/>
          </w:rPr>
          <w:t>https://doi.org/10.1007/978-3-031-61224-4_15#DOI</w:t>
        </w:r>
      </w:hyperlink>
      <w:r>
        <w:rPr>
          <w:rFonts w:ascii="Times New Roman" w:eastAsia="Times New Roman" w:hAnsi="Times New Roman" w:cs="Times New Roman"/>
          <w:sz w:val="24"/>
          <w:szCs w:val="24"/>
        </w:rPr>
        <w:t xml:space="preserve"> </w:t>
      </w:r>
    </w:p>
    <w:p w14:paraId="00000026"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Maple, J. L., Willis, K., Lewis, S., Putland, M., Baldwin, P., Bismark, M., ... and Smallwood, N. (2024). Healthcare workers’ perceptions of strategies supportive of their mental health</w:t>
      </w:r>
      <w:r>
        <w:rPr>
          <w:rFonts w:ascii="Times New Roman" w:eastAsia="Times New Roman" w:hAnsi="Times New Roman" w:cs="Times New Roman"/>
          <w:i/>
          <w:iCs/>
          <w:sz w:val="24"/>
          <w:szCs w:val="24"/>
        </w:rPr>
        <w:t>. Journal of Medicine, Surgery, and Public Health, 2,</w:t>
      </w:r>
      <w:r>
        <w:rPr>
          <w:rFonts w:ascii="Times New Roman" w:eastAsia="Times New Roman" w:hAnsi="Times New Roman" w:cs="Times New Roman"/>
          <w:sz w:val="24"/>
          <w:szCs w:val="24"/>
        </w:rPr>
        <w:t xml:space="preserve"> 100049. </w:t>
      </w:r>
      <w:hyperlink r:id="rId12">
        <w:r>
          <w:rPr>
            <w:rFonts w:ascii="Times New Roman" w:eastAsia="Times New Roman" w:hAnsi="Times New Roman" w:cs="Times New Roman"/>
            <w:color w:val="1155CC"/>
            <w:sz w:val="24"/>
            <w:szCs w:val="24"/>
            <w:u w:val="single"/>
          </w:rPr>
          <w:t>https://doi.org/10.1016/j.glmedi.2024.100049</w:t>
        </w:r>
      </w:hyperlink>
      <w:r>
        <w:rPr>
          <w:rFonts w:ascii="Times New Roman" w:eastAsia="Times New Roman" w:hAnsi="Times New Roman" w:cs="Times New Roman"/>
          <w:sz w:val="24"/>
          <w:szCs w:val="24"/>
        </w:rPr>
        <w:t xml:space="preserve"> </w:t>
      </w:r>
    </w:p>
    <w:p w14:paraId="00000027"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May, H., Millar, J., Griffith, E., Gillmore, C., Kristoffersen, M., Robinson, R., &amp; West, M. (2024). Interventions to address empathy-based stress in mental health workers: A scoping review and research agenda.</w:t>
      </w:r>
      <w:r>
        <w:rPr>
          <w:rFonts w:ascii="Times New Roman" w:eastAsia="Times New Roman" w:hAnsi="Times New Roman" w:cs="Times New Roman"/>
          <w:i/>
          <w:iCs/>
          <w:sz w:val="24"/>
          <w:szCs w:val="24"/>
        </w:rPr>
        <w:t xml:space="preserve"> PLoS One, 19</w:t>
      </w:r>
      <w:r>
        <w:rPr>
          <w:rFonts w:ascii="Times New Roman" w:eastAsia="Times New Roman" w:hAnsi="Times New Roman" w:cs="Times New Roman"/>
          <w:sz w:val="24"/>
          <w:szCs w:val="24"/>
        </w:rPr>
        <w:t xml:space="preserve">(12), e0306757. </w:t>
      </w:r>
      <w:hyperlink r:id="rId13">
        <w:r>
          <w:rPr>
            <w:rFonts w:ascii="Times New Roman" w:eastAsia="Times New Roman" w:hAnsi="Times New Roman" w:cs="Times New Roman"/>
            <w:color w:val="1155CC"/>
            <w:sz w:val="24"/>
            <w:szCs w:val="24"/>
            <w:u w:val="single"/>
          </w:rPr>
          <w:t>https://doi.org/10.1371/journal.pone.0306757</w:t>
        </w:r>
      </w:hyperlink>
      <w:r>
        <w:rPr>
          <w:rFonts w:ascii="Times New Roman" w:eastAsia="Times New Roman" w:hAnsi="Times New Roman" w:cs="Times New Roman"/>
          <w:sz w:val="24"/>
          <w:szCs w:val="24"/>
        </w:rPr>
        <w:t xml:space="preserve"> </w:t>
      </w:r>
    </w:p>
    <w:p w14:paraId="00000028"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Moudatsou, M., Stavropoulou, A., Philalithis, A., and Koukouli, S. (2020, January). The role of empathy in health and social care professionals. </w:t>
      </w:r>
      <w:r>
        <w:rPr>
          <w:rFonts w:ascii="Times New Roman" w:eastAsia="Times New Roman" w:hAnsi="Times New Roman" w:cs="Times New Roman"/>
          <w:i/>
          <w:iCs/>
          <w:sz w:val="24"/>
          <w:szCs w:val="24"/>
        </w:rPr>
        <w:t>In Healthcare</w:t>
      </w:r>
      <w:r>
        <w:rPr>
          <w:rFonts w:ascii="Times New Roman" w:eastAsia="Times New Roman" w:hAnsi="Times New Roman" w:cs="Times New Roman"/>
          <w:sz w:val="24"/>
          <w:szCs w:val="24"/>
        </w:rPr>
        <w:t xml:space="preserve"> (Vol. 8, No. 1, p. 26). MDPI. </w:t>
      </w:r>
      <w:hyperlink r:id="rId14">
        <w:r>
          <w:rPr>
            <w:rFonts w:ascii="Times New Roman" w:eastAsia="Times New Roman" w:hAnsi="Times New Roman" w:cs="Times New Roman"/>
            <w:color w:val="1155CC"/>
            <w:sz w:val="24"/>
            <w:szCs w:val="24"/>
            <w:u w:val="single"/>
          </w:rPr>
          <w:t>https://doi.org/10.3390/healthcare8010026</w:t>
        </w:r>
      </w:hyperlink>
      <w:r>
        <w:rPr>
          <w:rFonts w:ascii="Times New Roman" w:eastAsia="Times New Roman" w:hAnsi="Times New Roman" w:cs="Times New Roman"/>
          <w:sz w:val="24"/>
          <w:szCs w:val="24"/>
        </w:rPr>
        <w:t xml:space="preserve"> </w:t>
      </w:r>
    </w:p>
    <w:p w14:paraId="00000029"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England, (2023). </w:t>
      </w:r>
      <w:r>
        <w:rPr>
          <w:rFonts w:ascii="Times New Roman" w:eastAsia="Times New Roman" w:hAnsi="Times New Roman" w:cs="Times New Roman"/>
          <w:i/>
          <w:iCs/>
          <w:sz w:val="24"/>
          <w:szCs w:val="24"/>
        </w:rPr>
        <w:t xml:space="preserve">Looking after your team’s health and wellbeing guide. </w:t>
      </w: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color w:val="1155CC"/>
            <w:sz w:val="24"/>
            <w:szCs w:val="24"/>
            <w:u w:val="single"/>
          </w:rPr>
          <w:t>https://www.england.nhs.uk/long-read/looking-after-your-teams-health-and-wellbeing-guide/</w:t>
        </w:r>
      </w:hyperlink>
      <w:r>
        <w:rPr>
          <w:rFonts w:ascii="Times New Roman" w:eastAsia="Times New Roman" w:hAnsi="Times New Roman" w:cs="Times New Roman"/>
          <w:sz w:val="24"/>
          <w:szCs w:val="24"/>
        </w:rPr>
        <w:t xml:space="preserve"> [Accessed 31 March 2026]</w:t>
      </w:r>
    </w:p>
    <w:p w14:paraId="0000002A"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Niazi, R. B., Bibi, M., and Manzoor, S. (2025). Understanding the Role of Empathy in Mental Health Nursing Practice. </w:t>
      </w:r>
      <w:r>
        <w:rPr>
          <w:rFonts w:ascii="Times New Roman" w:eastAsia="Times New Roman" w:hAnsi="Times New Roman" w:cs="Times New Roman"/>
          <w:i/>
          <w:iCs/>
          <w:sz w:val="24"/>
          <w:szCs w:val="24"/>
        </w:rPr>
        <w:t>Social Science Review Archives, 3</w:t>
      </w:r>
      <w:r>
        <w:rPr>
          <w:rFonts w:ascii="Times New Roman" w:eastAsia="Times New Roman" w:hAnsi="Times New Roman" w:cs="Times New Roman"/>
          <w:sz w:val="24"/>
          <w:szCs w:val="24"/>
        </w:rPr>
        <w:t xml:space="preserve">(4), 928-937. </w:t>
      </w:r>
      <w:hyperlink r:id="rId16">
        <w:r>
          <w:rPr>
            <w:rFonts w:ascii="Times New Roman" w:eastAsia="Times New Roman" w:hAnsi="Times New Roman" w:cs="Times New Roman"/>
            <w:color w:val="1155CC"/>
            <w:sz w:val="24"/>
            <w:szCs w:val="24"/>
            <w:u w:val="single"/>
          </w:rPr>
          <w:t>https://doi.org/10.70670/sra.v3i4.1184</w:t>
        </w:r>
      </w:hyperlink>
      <w:r>
        <w:rPr>
          <w:rFonts w:ascii="Times New Roman" w:eastAsia="Times New Roman" w:hAnsi="Times New Roman" w:cs="Times New Roman"/>
          <w:sz w:val="24"/>
          <w:szCs w:val="24"/>
        </w:rPr>
        <w:t xml:space="preserve"> </w:t>
      </w:r>
    </w:p>
    <w:p w14:paraId="0000002B"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Njuguna, M., Ngune, I., and Middlewick, Y. (2025). Mental Health Support Workers Perspectives on Barriers to and Facilitators of the Effective Delivery of their Roles: A Systematic Review and Meta-aggregation.</w:t>
      </w:r>
      <w:r>
        <w:rPr>
          <w:rFonts w:ascii="Times New Roman" w:eastAsia="Times New Roman" w:hAnsi="Times New Roman" w:cs="Times New Roman"/>
          <w:i/>
          <w:iCs/>
          <w:sz w:val="24"/>
          <w:szCs w:val="24"/>
        </w:rPr>
        <w:t xml:space="preserve"> Community Mental Health Journal, </w:t>
      </w:r>
      <w:r>
        <w:rPr>
          <w:rFonts w:ascii="Times New Roman" w:eastAsia="Times New Roman" w:hAnsi="Times New Roman" w:cs="Times New Roman"/>
          <w:sz w:val="24"/>
          <w:szCs w:val="24"/>
        </w:rPr>
        <w:t xml:space="preserve">1-26. </w:t>
      </w:r>
      <w:hyperlink r:id="rId17">
        <w:r>
          <w:rPr>
            <w:rFonts w:ascii="Times New Roman" w:eastAsia="Times New Roman" w:hAnsi="Times New Roman" w:cs="Times New Roman"/>
            <w:color w:val="1155CC"/>
            <w:sz w:val="24"/>
            <w:szCs w:val="24"/>
            <w:u w:val="single"/>
          </w:rPr>
          <w:t>https://doi.org/10.1007/s10597-025-01490-9</w:t>
        </w:r>
      </w:hyperlink>
      <w:r>
        <w:rPr>
          <w:rFonts w:ascii="Times New Roman" w:eastAsia="Times New Roman" w:hAnsi="Times New Roman" w:cs="Times New Roman"/>
          <w:sz w:val="24"/>
          <w:szCs w:val="24"/>
        </w:rPr>
        <w:t xml:space="preserve"> </w:t>
      </w:r>
    </w:p>
    <w:p w14:paraId="0000002C"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Salem, G. M. M., Hashimi, W., and El-Ashry, A. M. (2025). Reflective mindfulness and emotional regulation training to enhance nursing students’ self-awareness, understanding, and regulation: a mixed method randomized controlled trial</w:t>
      </w:r>
      <w:r>
        <w:rPr>
          <w:rFonts w:ascii="Times New Roman" w:eastAsia="Times New Roman" w:hAnsi="Times New Roman" w:cs="Times New Roman"/>
          <w:i/>
          <w:iCs/>
          <w:sz w:val="24"/>
          <w:szCs w:val="24"/>
        </w:rPr>
        <w:t>. BMC nursing, 24</w:t>
      </w:r>
      <w:r>
        <w:rPr>
          <w:rFonts w:ascii="Times New Roman" w:eastAsia="Times New Roman" w:hAnsi="Times New Roman" w:cs="Times New Roman"/>
          <w:sz w:val="24"/>
          <w:szCs w:val="24"/>
        </w:rPr>
        <w:t xml:space="preserve">(1), 478. </w:t>
      </w:r>
      <w:hyperlink r:id="rId18">
        <w:r>
          <w:rPr>
            <w:rFonts w:ascii="Times New Roman" w:eastAsia="Times New Roman" w:hAnsi="Times New Roman" w:cs="Times New Roman"/>
            <w:color w:val="1155CC"/>
            <w:sz w:val="24"/>
            <w:szCs w:val="24"/>
            <w:u w:val="single"/>
          </w:rPr>
          <w:t>https://doi.org/10.1186/s12912-025-03086-w</w:t>
        </w:r>
      </w:hyperlink>
      <w:r>
        <w:rPr>
          <w:rFonts w:ascii="Times New Roman" w:eastAsia="Times New Roman" w:hAnsi="Times New Roman" w:cs="Times New Roman"/>
          <w:sz w:val="24"/>
          <w:szCs w:val="24"/>
        </w:rPr>
        <w:t xml:space="preserve"> </w:t>
      </w:r>
    </w:p>
    <w:p w14:paraId="0000002D"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 (2022). </w:t>
      </w:r>
      <w:r>
        <w:rPr>
          <w:rFonts w:ascii="Times New Roman" w:eastAsia="Times New Roman" w:hAnsi="Times New Roman" w:cs="Times New Roman"/>
          <w:i/>
          <w:iCs/>
          <w:sz w:val="24"/>
          <w:szCs w:val="24"/>
        </w:rPr>
        <w:t xml:space="preserve">Organisational interventions to support staff wellbeing. </w:t>
      </w:r>
      <w:r>
        <w:rPr>
          <w:rFonts w:ascii="Times New Roman" w:eastAsia="Times New Roman" w:hAnsi="Times New Roman" w:cs="Times New Roman"/>
          <w:sz w:val="24"/>
          <w:szCs w:val="24"/>
        </w:rPr>
        <w:t xml:space="preserve">Available at: </w:t>
      </w:r>
      <w:hyperlink r:id="rId19">
        <w:r>
          <w:rPr>
            <w:rFonts w:ascii="Times New Roman" w:eastAsia="Times New Roman" w:hAnsi="Times New Roman" w:cs="Times New Roman"/>
            <w:color w:val="1155CC"/>
            <w:sz w:val="24"/>
            <w:szCs w:val="24"/>
            <w:u w:val="single"/>
          </w:rPr>
          <w:t>https://www.som.org.uk/sites/som.org.uk/files/Organisational_Interventions_to_Support_Staff_Wellbeing_in_the_NHS.pdf</w:t>
        </w:r>
      </w:hyperlink>
      <w:r>
        <w:rPr>
          <w:rFonts w:ascii="Times New Roman" w:eastAsia="Times New Roman" w:hAnsi="Times New Roman" w:cs="Times New Roman"/>
          <w:sz w:val="24"/>
          <w:szCs w:val="24"/>
        </w:rPr>
        <w:t xml:space="preserve"> [Accessed 31 March 2026]</w:t>
      </w:r>
    </w:p>
    <w:p w14:paraId="0000002E" w14:textId="77777777" w:rsidR="006A51BE" w:rsidRDefault="000D3677">
      <w:pPr>
        <w:spacing w:before="200" w:line="360" w:lineRule="auto"/>
        <w:jc w:val="both"/>
        <w:rPr>
          <w:rFonts w:ascii="Times New Roman" w:eastAsia="Times New Roman" w:hAnsi="Times New Roman" w:cs="Times New Roman"/>
          <w:sz w:val="24"/>
          <w:szCs w:val="24"/>
        </w:rPr>
      </w:pPr>
      <w:bookmarkStart w:id="6" w:name="_heading=h.87cm7iqmfom0" w:colFirst="0" w:colLast="0"/>
      <w:bookmarkEnd w:id="6"/>
      <w:r>
        <w:rPr>
          <w:rFonts w:ascii="Times New Roman" w:eastAsia="Times New Roman" w:hAnsi="Times New Roman" w:cs="Times New Roman"/>
          <w:sz w:val="24"/>
          <w:szCs w:val="24"/>
        </w:rPr>
        <w:t xml:space="preserve">Tustonja, M., Stipić, D. T., Skoko, I., Čuljak, A., and Vegar, A. (2024). Active listening–a model of empathetic communication in the helping professions. </w:t>
      </w:r>
      <w:r>
        <w:rPr>
          <w:rFonts w:ascii="Times New Roman" w:eastAsia="Times New Roman" w:hAnsi="Times New Roman" w:cs="Times New Roman"/>
          <w:i/>
          <w:iCs/>
          <w:sz w:val="24"/>
          <w:szCs w:val="24"/>
        </w:rPr>
        <w:t>Medicina Academica Integrativa, 1</w:t>
      </w:r>
      <w:r>
        <w:rPr>
          <w:rFonts w:ascii="Times New Roman" w:eastAsia="Times New Roman" w:hAnsi="Times New Roman" w:cs="Times New Roman"/>
          <w:sz w:val="24"/>
          <w:szCs w:val="24"/>
        </w:rPr>
        <w:t xml:space="preserve">(1), 42-47. </w:t>
      </w:r>
      <w:hyperlink r:id="rId20">
        <w:r>
          <w:rPr>
            <w:rFonts w:ascii="Times New Roman" w:eastAsia="Times New Roman" w:hAnsi="Times New Roman" w:cs="Times New Roman"/>
            <w:color w:val="1155CC"/>
            <w:sz w:val="24"/>
            <w:szCs w:val="24"/>
            <w:u w:val="single"/>
          </w:rPr>
          <w:t>https://pauk.sum.ba/ojs/mai/article/download/7/6</w:t>
        </w:r>
      </w:hyperlink>
      <w:r>
        <w:rPr>
          <w:rFonts w:ascii="Times New Roman" w:eastAsia="Times New Roman" w:hAnsi="Times New Roman" w:cs="Times New Roman"/>
          <w:sz w:val="24"/>
          <w:szCs w:val="24"/>
        </w:rPr>
        <w:t xml:space="preserve"> </w:t>
      </w:r>
    </w:p>
    <w:sectPr w:rsidR="006A51BE" w:rsidSect="004033A5">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C6651" w14:textId="77777777" w:rsidR="00231272" w:rsidRDefault="00231272">
      <w:pPr>
        <w:spacing w:line="240" w:lineRule="auto"/>
      </w:pPr>
      <w:r>
        <w:separator/>
      </w:r>
    </w:p>
  </w:endnote>
  <w:endnote w:type="continuationSeparator" w:id="0">
    <w:p w14:paraId="4F075C88" w14:textId="77777777" w:rsidR="00231272" w:rsidRDefault="002312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3B9B80E-8D3E-47CC-A92B-992214A79817}"/>
  </w:font>
  <w:font w:name="Calibri">
    <w:panose1 w:val="020F0502020204030204"/>
    <w:charset w:val="00"/>
    <w:family w:val="swiss"/>
    <w:pitch w:val="variable"/>
    <w:sig w:usb0="E4002EFF" w:usb1="C200247B" w:usb2="00000009" w:usb3="00000000" w:csb0="000001FF" w:csb1="00000000"/>
    <w:embedRegular r:id="rId2" w:fontKey="{52F190F2-7EC4-4505-85E2-481D8E24170F}"/>
  </w:font>
  <w:font w:name="Cambria">
    <w:panose1 w:val="02040503050406030204"/>
    <w:charset w:val="00"/>
    <w:family w:val="roman"/>
    <w:pitch w:val="variable"/>
    <w:sig w:usb0="E00006FF" w:usb1="420024FF" w:usb2="02000000" w:usb3="00000000" w:csb0="0000019F" w:csb1="00000000"/>
    <w:embedRegular r:id="rId3" w:fontKey="{94366999-F83D-4689-A68B-EA3AE31FC8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77777777" w:rsidR="006A51BE" w:rsidRDefault="000D3677">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4033A5">
      <w:rPr>
        <w:rFonts w:ascii="Times New Roman" w:eastAsia="Times New Roman" w:hAnsi="Times New Roman" w:cs="Times New Roman"/>
        <w:noProof/>
        <w:sz w:val="20"/>
        <w:szCs w:val="20"/>
      </w:rPr>
      <w:t>4</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2D9C7" w14:textId="77777777" w:rsidR="00231272" w:rsidRDefault="00231272">
      <w:pPr>
        <w:spacing w:line="240" w:lineRule="auto"/>
      </w:pPr>
      <w:r>
        <w:separator/>
      </w:r>
    </w:p>
  </w:footnote>
  <w:footnote w:type="continuationSeparator" w:id="0">
    <w:p w14:paraId="2B908E02" w14:textId="77777777" w:rsidR="00231272" w:rsidRDefault="002312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1BE"/>
    <w:rsid w:val="000D3677"/>
    <w:rsid w:val="00100853"/>
    <w:rsid w:val="00231272"/>
    <w:rsid w:val="00236B36"/>
    <w:rsid w:val="004033A5"/>
    <w:rsid w:val="006A51BE"/>
    <w:rsid w:val="00C961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960ED"/>
  <w15:docId w15:val="{2850CE0C-7930-43C5-B541-D3C81F97A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D241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2416"/>
    <w:rPr>
      <w:rFonts w:ascii="Tahoma" w:hAnsi="Tahoma" w:cs="Tahoma"/>
      <w:sz w:val="16"/>
      <w:szCs w:val="16"/>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16/j.ijnss.2025.12.016" TargetMode="External"/><Relationship Id="rId13" Type="http://schemas.openxmlformats.org/officeDocument/2006/relationships/hyperlink" Target="https://doi.org/10.1371/journal.pone.0306757" TargetMode="External"/><Relationship Id="rId18" Type="http://schemas.openxmlformats.org/officeDocument/2006/relationships/hyperlink" Target="https://doi.org/10.1186/s12912-025-03086-w"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16/j.glmedi.2024.100049" TargetMode="External"/><Relationship Id="rId17" Type="http://schemas.openxmlformats.org/officeDocument/2006/relationships/hyperlink" Target="https://doi.org/10.1007/s10597-025-01490-9" TargetMode="External"/><Relationship Id="rId2" Type="http://schemas.openxmlformats.org/officeDocument/2006/relationships/styles" Target="styles.xml"/><Relationship Id="rId16" Type="http://schemas.openxmlformats.org/officeDocument/2006/relationships/hyperlink" Target="https://doi.org/10.70670/sra.v3i4.1184" TargetMode="External"/><Relationship Id="rId20" Type="http://schemas.openxmlformats.org/officeDocument/2006/relationships/hyperlink" Target="https://pauk.sum.ba/ojs/mai/article/download/7/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978-3-031-61224-4_15" TargetMode="External"/><Relationship Id="rId5" Type="http://schemas.openxmlformats.org/officeDocument/2006/relationships/footnotes" Target="footnotes.xml"/><Relationship Id="rId15" Type="http://schemas.openxmlformats.org/officeDocument/2006/relationships/hyperlink" Target="https://www.england.nhs.uk/long-read/looking-after-your-teams-health-and-wellbeing-guide/" TargetMode="External"/><Relationship Id="rId23" Type="http://schemas.openxmlformats.org/officeDocument/2006/relationships/theme" Target="theme/theme1.xml"/><Relationship Id="rId10" Type="http://schemas.openxmlformats.org/officeDocument/2006/relationships/hyperlink" Target="https://uk.indeed.com/career-advice/cvs-cover-letters/mental-health-support-worker-skills" TargetMode="External"/><Relationship Id="rId19" Type="http://schemas.openxmlformats.org/officeDocument/2006/relationships/hyperlink" Target="https://www.som.org.uk/sites/som.org.uk/files/Organisational_Interventions_to_Support_Staff_Wellbeing_in_the_NHS.pdf" TargetMode="External"/><Relationship Id="rId4" Type="http://schemas.openxmlformats.org/officeDocument/2006/relationships/webSettings" Target="webSettings.xml"/><Relationship Id="rId9" Type="http://schemas.openxmlformats.org/officeDocument/2006/relationships/hyperlink" Target="https://doi.org/10.1136/bmjopen-2024-085312" TargetMode="External"/><Relationship Id="rId14" Type="http://schemas.openxmlformats.org/officeDocument/2006/relationships/hyperlink" Target="https://doi.org/10.3390/healthcare8010026"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wygie8b1dY+eAuI5vRtepiVWiQ==">CgMxLjAyDmguM3NrYWkyb2Y3MWNyMg5oLmpicjU2a2ljMDl1MjINaC42MmFzaGdjOHBrNzIOaC4zZHNhZTNkdnI4amwyDmguYW8xYmJjMjVvcGY4Mg5oLmhuMWs3MWcwd3BhdTIOaC44N2NtN2lxbWZvbTA4AHIhMTI3eGV4YW1wZUJKTE9SVmp6VDB4b2xmdkRaTUtWV2Zs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2305</Words>
  <Characters>12451</Characters>
  <Application>Microsoft Office Word</Application>
  <DocSecurity>0</DocSecurity>
  <Lines>103</Lines>
  <Paragraphs>29</Paragraphs>
  <ScaleCrop>false</ScaleCrop>
  <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Catarina Ngunza</dc:creator>
  <cp:lastModifiedBy>Catarina Ngunza José</cp:lastModifiedBy>
  <cp:revision>3</cp:revision>
  <dcterms:created xsi:type="dcterms:W3CDTF">2026-04-01T20:35:00Z</dcterms:created>
  <dcterms:modified xsi:type="dcterms:W3CDTF">2026-04-01T20:39:00Z</dcterms:modified>
</cp:coreProperties>
</file>