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7342C98" w14:textId="77777777" w:rsidR="00C31CA9" w:rsidRPr="00C31CA9" w:rsidRDefault="00C31CA9" w:rsidP="00C31CA9">
      <w:pPr>
        <w:pStyle w:val="p1"/>
        <w:rPr>
          <w:b/>
          <w:bCs/>
          <w:sz w:val="24"/>
          <w:szCs w:val="24"/>
        </w:rPr>
      </w:pPr>
      <w:r w:rsidRPr="00C31CA9">
        <w:rPr>
          <w:b/>
          <w:bCs/>
          <w:sz w:val="24"/>
          <w:szCs w:val="24"/>
        </w:rPr>
        <w:t>Programme: BSc (Hons) Health and Social Care</w:t>
      </w:r>
    </w:p>
    <w:p w14:paraId="479F8169" w14:textId="77777777" w:rsidR="00C31CA9" w:rsidRPr="00C31CA9" w:rsidRDefault="00C31CA9" w:rsidP="00C31CA9">
      <w:pPr>
        <w:pStyle w:val="p1"/>
        <w:rPr>
          <w:b/>
          <w:bCs/>
          <w:sz w:val="24"/>
          <w:szCs w:val="24"/>
        </w:rPr>
      </w:pPr>
      <w:r w:rsidRPr="00C31CA9">
        <w:rPr>
          <w:b/>
          <w:bCs/>
          <w:sz w:val="24"/>
          <w:szCs w:val="24"/>
        </w:rPr>
        <w:t>Module name: Protecting and Supporting Families in</w:t>
      </w:r>
    </w:p>
    <w:p w14:paraId="4D3469D8" w14:textId="77777777" w:rsidR="00C31CA9" w:rsidRPr="00C31CA9" w:rsidRDefault="00C31CA9" w:rsidP="00C31CA9">
      <w:pPr>
        <w:pStyle w:val="p1"/>
        <w:rPr>
          <w:b/>
          <w:bCs/>
          <w:sz w:val="24"/>
          <w:szCs w:val="24"/>
        </w:rPr>
      </w:pPr>
      <w:r w:rsidRPr="00C31CA9">
        <w:rPr>
          <w:b/>
          <w:bCs/>
          <w:sz w:val="24"/>
          <w:szCs w:val="24"/>
        </w:rPr>
        <w:t>Health and Care</w:t>
      </w:r>
    </w:p>
    <w:p w14:paraId="6ECD4EFE" w14:textId="77777777" w:rsidR="00C31CA9" w:rsidRPr="00C31CA9" w:rsidRDefault="00C31CA9" w:rsidP="00C31CA9">
      <w:pPr>
        <w:pStyle w:val="p1"/>
        <w:rPr>
          <w:b/>
          <w:bCs/>
          <w:sz w:val="24"/>
          <w:szCs w:val="24"/>
        </w:rPr>
      </w:pPr>
      <w:r w:rsidRPr="00C31CA9">
        <w:rPr>
          <w:b/>
          <w:bCs/>
          <w:sz w:val="24"/>
          <w:szCs w:val="24"/>
        </w:rPr>
        <w:t>Module Code: (BMHP5021_LON)</w:t>
      </w:r>
    </w:p>
    <w:p w14:paraId="555C6A12" w14:textId="77777777" w:rsidR="00C31CA9" w:rsidRPr="00C31CA9" w:rsidRDefault="00C31CA9" w:rsidP="00C31CA9">
      <w:pPr>
        <w:pStyle w:val="p1"/>
        <w:rPr>
          <w:b/>
          <w:bCs/>
          <w:sz w:val="24"/>
          <w:szCs w:val="24"/>
        </w:rPr>
      </w:pPr>
      <w:r w:rsidRPr="00C31CA9">
        <w:rPr>
          <w:b/>
          <w:bCs/>
          <w:sz w:val="24"/>
          <w:szCs w:val="24"/>
        </w:rPr>
        <w:t>Assignment Title: Component 1</w:t>
      </w:r>
    </w:p>
    <w:p w14:paraId="2749D896" w14:textId="6C2B80F9" w:rsidR="00C1114F" w:rsidRPr="00C31CA9" w:rsidRDefault="00C1114F" w:rsidP="00597C62">
      <w:pPr>
        <w:pStyle w:val="p1"/>
        <w:rPr>
          <w:rFonts w:ascii="Arial" w:hAnsi="Arial" w:cs="Arial"/>
          <w:b/>
          <w:bCs/>
          <w:i/>
          <w:iCs/>
          <w:color w:val="auto"/>
          <w:sz w:val="24"/>
          <w:szCs w:val="24"/>
        </w:rPr>
      </w:pPr>
      <w:r w:rsidRPr="00C31CA9">
        <w:rPr>
          <w:rFonts w:ascii="Arial" w:hAnsi="Arial" w:cs="Arial"/>
          <w:b/>
          <w:bCs/>
          <w:i/>
          <w:iCs/>
          <w:color w:val="auto"/>
          <w:sz w:val="24"/>
          <w:szCs w:val="24"/>
        </w:rPr>
        <w:t>Tutor:</w:t>
      </w:r>
      <w:r w:rsidRPr="00C31CA9">
        <w:rPr>
          <w:rStyle w:val="Heading3Char"/>
          <w:rFonts w:ascii="Arial" w:hAnsi="Arial" w:cs="Arial"/>
          <w:b/>
          <w:bCs/>
          <w:i/>
          <w:iCs/>
          <w:color w:val="auto"/>
          <w:sz w:val="24"/>
          <w:szCs w:val="24"/>
        </w:rPr>
        <w:t xml:space="preserve"> </w:t>
      </w:r>
      <w:r w:rsidRPr="00C31CA9">
        <w:rPr>
          <w:rFonts w:ascii="Arial" w:hAnsi="Arial" w:cs="Arial"/>
          <w:b/>
          <w:bCs/>
          <w:i/>
          <w:iCs/>
          <w:color w:val="auto"/>
          <w:sz w:val="24"/>
          <w:szCs w:val="24"/>
        </w:rPr>
        <w:t xml:space="preserve">Dr Diola </w:t>
      </w:r>
      <w:proofErr w:type="spellStart"/>
      <w:r w:rsidRPr="00C31CA9">
        <w:rPr>
          <w:rFonts w:ascii="Arial" w:hAnsi="Arial" w:cs="Arial"/>
          <w:b/>
          <w:bCs/>
          <w:i/>
          <w:iCs/>
          <w:color w:val="auto"/>
          <w:sz w:val="24"/>
          <w:szCs w:val="24"/>
        </w:rPr>
        <w:t>Bijlhout</w:t>
      </w:r>
      <w:proofErr w:type="spellEnd"/>
    </w:p>
    <w:p w14:paraId="5706C729" w14:textId="14D2FE76" w:rsidR="00C1114F" w:rsidRPr="00C31CA9" w:rsidRDefault="00C1114F" w:rsidP="00597C62">
      <w:pPr>
        <w:rPr>
          <w:rFonts w:ascii="Arial" w:eastAsia="Times New Roman" w:hAnsi="Arial" w:cs="Arial"/>
          <w:b/>
          <w:bCs/>
          <w:i/>
          <w:iCs/>
          <w:kern w:val="0"/>
          <w:lang w:eastAsia="en-GB"/>
          <w14:ligatures w14:val="none"/>
        </w:rPr>
      </w:pPr>
      <w:r w:rsidRPr="00C31CA9">
        <w:rPr>
          <w:rFonts w:ascii="Arial" w:eastAsia="Times New Roman" w:hAnsi="Arial" w:cs="Arial"/>
          <w:b/>
          <w:bCs/>
          <w:i/>
          <w:iCs/>
          <w:kern w:val="0"/>
          <w:lang w:eastAsia="en-GB"/>
          <w14:ligatures w14:val="none"/>
        </w:rPr>
        <w:t>Student Name: Rina Lopez</w:t>
      </w:r>
    </w:p>
    <w:p w14:paraId="178BD8E7" w14:textId="0D5B7FD9" w:rsidR="00C1114F" w:rsidRPr="00C31CA9" w:rsidRDefault="00C1114F" w:rsidP="00597C62">
      <w:pPr>
        <w:rPr>
          <w:rFonts w:ascii="Arial" w:eastAsia="Times New Roman" w:hAnsi="Arial" w:cs="Arial"/>
          <w:b/>
          <w:bCs/>
          <w:i/>
          <w:iCs/>
          <w:kern w:val="0"/>
          <w:lang w:eastAsia="en-GB"/>
          <w14:ligatures w14:val="none"/>
        </w:rPr>
      </w:pPr>
      <w:r w:rsidRPr="00C31CA9">
        <w:rPr>
          <w:rFonts w:ascii="Arial" w:eastAsia="Times New Roman" w:hAnsi="Arial" w:cs="Arial"/>
          <w:b/>
          <w:bCs/>
          <w:i/>
          <w:iCs/>
          <w:kern w:val="0"/>
          <w:lang w:eastAsia="en-GB"/>
          <w14:ligatures w14:val="none"/>
        </w:rPr>
        <w:t>Student ID: 2737019</w:t>
      </w:r>
    </w:p>
    <w:p w14:paraId="3A13537A" w14:textId="3D0EDD96" w:rsidR="00C1114F" w:rsidRPr="00C1114F" w:rsidRDefault="00C1114F" w:rsidP="00597C62">
      <w:pPr>
        <w:rPr>
          <w:rFonts w:ascii="Arial" w:eastAsia="Times New Roman" w:hAnsi="Arial" w:cs="Arial"/>
          <w:b/>
          <w:bCs/>
          <w:i/>
          <w:iCs/>
          <w:kern w:val="0"/>
          <w:sz w:val="32"/>
          <w:szCs w:val="32"/>
          <w:lang w:eastAsia="en-GB"/>
          <w14:ligatures w14:val="none"/>
        </w:rPr>
      </w:pPr>
    </w:p>
    <w:p w14:paraId="26F6B4C5" w14:textId="12763229" w:rsidR="00C1114F" w:rsidRPr="00597C62" w:rsidRDefault="00C1114F" w:rsidP="00597C62">
      <w:pPr>
        <w:pStyle w:val="p1"/>
        <w:rPr>
          <w:rFonts w:ascii="Arial" w:hAnsi="Arial" w:cs="Arial"/>
          <w:b/>
          <w:bCs/>
          <w:i/>
          <w:iCs/>
          <w:color w:val="auto"/>
          <w:sz w:val="32"/>
          <w:szCs w:val="32"/>
        </w:rPr>
      </w:pPr>
    </w:p>
    <w:p w14:paraId="17410F95" w14:textId="3AC30C0C" w:rsidR="00AC37ED" w:rsidRPr="00A13C42" w:rsidRDefault="00C1114F" w:rsidP="00FA011B">
      <w:pPr>
        <w:jc w:val="both"/>
        <w:rPr>
          <w:b/>
          <w:bCs/>
          <w:sz w:val="28"/>
          <w:szCs w:val="28"/>
        </w:rPr>
      </w:pPr>
      <w:r w:rsidRPr="00A13C42">
        <w:rPr>
          <w:b/>
          <w:bCs/>
          <w:sz w:val="28"/>
          <w:szCs w:val="28"/>
        </w:rPr>
        <w:t>REFERENCES</w:t>
      </w:r>
      <w:r w:rsidR="00A13C42" w:rsidRPr="00A13C42">
        <w:rPr>
          <w:b/>
          <w:bCs/>
          <w:sz w:val="28"/>
          <w:szCs w:val="28"/>
        </w:rPr>
        <w:t xml:space="preserve"> THEO CASE</w:t>
      </w:r>
    </w:p>
    <w:p w14:paraId="7008444A" w14:textId="77777777" w:rsidR="005721E2" w:rsidRPr="00597C62" w:rsidRDefault="005721E2" w:rsidP="00FA011B">
      <w:pPr>
        <w:jc w:val="both"/>
        <w:rPr>
          <w:rFonts w:ascii="Arial" w:hAnsi="Arial" w:cs="Arial"/>
          <w:i/>
          <w:iCs/>
        </w:rPr>
      </w:pPr>
    </w:p>
    <w:p w14:paraId="1BF3D6DE" w14:textId="77777777" w:rsidR="005721E2" w:rsidRPr="00597C62" w:rsidRDefault="005721E2" w:rsidP="00FA011B">
      <w:pPr>
        <w:jc w:val="both"/>
        <w:rPr>
          <w:rFonts w:ascii="Arial" w:hAnsi="Arial" w:cs="Arial"/>
          <w:i/>
          <w:iCs/>
        </w:rPr>
      </w:pPr>
      <w:r w:rsidRPr="00597C62">
        <w:rPr>
          <w:rFonts w:ascii="Arial" w:hAnsi="Arial" w:cs="Arial"/>
          <w:i/>
          <w:iCs/>
        </w:rPr>
        <w:t xml:space="preserve">Department for Education (2022) Learning for the Future: Final Analysis of Serious Case Reviews 2017-19. Dartington: Research in Practice. Available at: </w:t>
      </w:r>
      <w:hyperlink r:id="rId5" w:history="1">
        <w:r w:rsidRPr="00597C62">
          <w:rPr>
            <w:rStyle w:val="Hyperlink"/>
            <w:rFonts w:ascii="Arial" w:hAnsi="Arial" w:cs="Arial"/>
            <w:i/>
            <w:iCs/>
          </w:rPr>
          <w:t>https://scr.researchinpractice.org.uk/media/vcrbbxxq/learning-for-the-future-final-analysis-of-scrs-2017-19-2022.pdf</w:t>
        </w:r>
      </w:hyperlink>
      <w:r w:rsidRPr="00597C62">
        <w:rPr>
          <w:rFonts w:ascii="Arial" w:hAnsi="Arial" w:cs="Arial"/>
          <w:i/>
          <w:iCs/>
        </w:rPr>
        <w:t xml:space="preserve"> </w:t>
      </w:r>
    </w:p>
    <w:p w14:paraId="7486B49F" w14:textId="77777777" w:rsidR="005721E2" w:rsidRPr="00597C62" w:rsidRDefault="005721E2" w:rsidP="00FA011B">
      <w:pPr>
        <w:jc w:val="both"/>
        <w:rPr>
          <w:rFonts w:ascii="Arial" w:hAnsi="Arial" w:cs="Arial"/>
          <w:i/>
          <w:iCs/>
        </w:rPr>
      </w:pPr>
      <w:r w:rsidRPr="00597C62">
        <w:rPr>
          <w:rFonts w:ascii="Arial" w:hAnsi="Arial" w:cs="Arial"/>
          <w:i/>
          <w:iCs/>
        </w:rPr>
        <w:t>(Accessed on 12 November 2025).</w:t>
      </w:r>
    </w:p>
    <w:p w14:paraId="05421E7D" w14:textId="77777777" w:rsidR="005721E2" w:rsidRPr="00597C62" w:rsidRDefault="005721E2" w:rsidP="00FA011B">
      <w:pPr>
        <w:jc w:val="both"/>
        <w:rPr>
          <w:rFonts w:ascii="Arial" w:hAnsi="Arial" w:cs="Arial"/>
          <w:i/>
          <w:iCs/>
        </w:rPr>
      </w:pPr>
    </w:p>
    <w:p w14:paraId="495108F2" w14:textId="77777777" w:rsidR="005721E2" w:rsidRPr="00597C62" w:rsidRDefault="005721E2" w:rsidP="00FA011B">
      <w:pPr>
        <w:jc w:val="both"/>
        <w:rPr>
          <w:rFonts w:ascii="Arial" w:hAnsi="Arial" w:cs="Arial"/>
          <w:i/>
          <w:iCs/>
        </w:rPr>
      </w:pPr>
      <w:r w:rsidRPr="00597C62">
        <w:rPr>
          <w:rFonts w:ascii="Arial" w:hAnsi="Arial" w:cs="Arial"/>
          <w:i/>
          <w:iCs/>
        </w:rPr>
        <w:t xml:space="preserve">Early Intervention Foundation (2020) Adverse Childhood Experiences — What we know, what we don’t know, and what should happen next. London: EIF. Available at: </w:t>
      </w:r>
      <w:hyperlink r:id="rId6" w:history="1">
        <w:r w:rsidRPr="00597C62">
          <w:rPr>
            <w:rStyle w:val="Hyperlink"/>
            <w:rFonts w:ascii="Arial" w:hAnsi="Arial" w:cs="Arial"/>
            <w:i/>
            <w:iCs/>
          </w:rPr>
          <w:t>https://www.eif.org.uk/report/adverse-childhood-experiences-what-we-know-what-we-dont-know-and-what-should-happen-next</w:t>
        </w:r>
      </w:hyperlink>
      <w:r w:rsidRPr="00597C62">
        <w:rPr>
          <w:rFonts w:ascii="Arial" w:hAnsi="Arial" w:cs="Arial"/>
          <w:i/>
          <w:iCs/>
        </w:rPr>
        <w:t xml:space="preserve">  (Accessed on 11 November 2025).</w:t>
      </w:r>
    </w:p>
    <w:p w14:paraId="78599B59" w14:textId="77777777" w:rsidR="005721E2" w:rsidRPr="00597C62" w:rsidRDefault="005721E2" w:rsidP="00FA011B">
      <w:pPr>
        <w:jc w:val="both"/>
        <w:rPr>
          <w:rFonts w:ascii="Arial" w:hAnsi="Arial" w:cs="Arial"/>
          <w:i/>
          <w:iCs/>
        </w:rPr>
      </w:pPr>
    </w:p>
    <w:p w14:paraId="2654EC02" w14:textId="77777777" w:rsidR="005721E2" w:rsidRPr="00597C62" w:rsidRDefault="005721E2" w:rsidP="00FA011B">
      <w:pPr>
        <w:jc w:val="both"/>
        <w:rPr>
          <w:rFonts w:ascii="Arial" w:hAnsi="Arial" w:cs="Arial"/>
          <w:i/>
          <w:iCs/>
        </w:rPr>
      </w:pPr>
      <w:r w:rsidRPr="00597C62">
        <w:rPr>
          <w:rFonts w:ascii="Arial" w:hAnsi="Arial" w:cs="Arial"/>
          <w:i/>
          <w:iCs/>
        </w:rPr>
        <w:t>HM Government. (2023) Working Together to Safeguard Children: A guide to inter-agency working to safeguard and promote the welfare of children. London: Department for Education. Available at:</w:t>
      </w:r>
    </w:p>
    <w:p w14:paraId="22EED96D" w14:textId="77777777" w:rsidR="005721E2" w:rsidRPr="00597C62" w:rsidRDefault="005721E2" w:rsidP="00FA011B">
      <w:pPr>
        <w:jc w:val="both"/>
        <w:rPr>
          <w:rFonts w:ascii="Arial" w:hAnsi="Arial" w:cs="Arial"/>
          <w:i/>
          <w:iCs/>
        </w:rPr>
      </w:pPr>
      <w:hyperlink r:id="rId7" w:history="1">
        <w:r w:rsidRPr="00597C62">
          <w:rPr>
            <w:rStyle w:val="Hyperlink"/>
            <w:rFonts w:ascii="Arial" w:hAnsi="Arial" w:cs="Arial"/>
            <w:i/>
            <w:iCs/>
          </w:rPr>
          <w:t>https://www.gov.uk/government/publications/working-together-to-safeguard-children--2</w:t>
        </w:r>
      </w:hyperlink>
      <w:r w:rsidRPr="00597C62">
        <w:rPr>
          <w:rFonts w:ascii="Arial" w:hAnsi="Arial" w:cs="Arial"/>
          <w:i/>
          <w:iCs/>
        </w:rPr>
        <w:t xml:space="preserve"> </w:t>
      </w:r>
    </w:p>
    <w:p w14:paraId="23524605" w14:textId="4C7CFB0F" w:rsidR="005721E2" w:rsidRPr="00597C62" w:rsidRDefault="005721E2" w:rsidP="00FA011B">
      <w:pPr>
        <w:jc w:val="both"/>
        <w:rPr>
          <w:rFonts w:ascii="Arial" w:hAnsi="Arial" w:cs="Arial"/>
          <w:i/>
          <w:iCs/>
        </w:rPr>
      </w:pPr>
      <w:r w:rsidRPr="00597C62">
        <w:rPr>
          <w:rFonts w:ascii="Arial" w:hAnsi="Arial" w:cs="Arial"/>
          <w:i/>
          <w:iCs/>
        </w:rPr>
        <w:t>(Accessed on 1 November 2025)</w:t>
      </w:r>
    </w:p>
    <w:p w14:paraId="71ACFBC1" w14:textId="77777777" w:rsidR="003A4423" w:rsidRPr="00597C62" w:rsidRDefault="003A4423" w:rsidP="00FA011B">
      <w:pPr>
        <w:jc w:val="both"/>
        <w:rPr>
          <w:rFonts w:ascii="Arial" w:hAnsi="Arial" w:cs="Arial"/>
          <w:i/>
          <w:iCs/>
        </w:rPr>
      </w:pPr>
    </w:p>
    <w:p w14:paraId="602187E2" w14:textId="7B6569E5" w:rsidR="003A4423" w:rsidRPr="00597C62" w:rsidRDefault="005F5DB1" w:rsidP="00FA011B">
      <w:pPr>
        <w:jc w:val="both"/>
        <w:rPr>
          <w:rFonts w:ascii="Arial" w:hAnsi="Arial" w:cs="Arial"/>
          <w:i/>
          <w:iCs/>
        </w:rPr>
      </w:pPr>
      <w:r w:rsidRPr="00597C62">
        <w:rPr>
          <w:rFonts w:ascii="Arial" w:hAnsi="Arial" w:cs="Arial"/>
          <w:i/>
          <w:iCs/>
        </w:rPr>
        <w:t xml:space="preserve">Legislation.gov.uk </w:t>
      </w:r>
      <w:r>
        <w:rPr>
          <w:rFonts w:ascii="Arial" w:hAnsi="Arial" w:cs="Arial"/>
          <w:i/>
          <w:iCs/>
        </w:rPr>
        <w:t>(</w:t>
      </w:r>
      <w:r w:rsidR="003A4423" w:rsidRPr="00597C62">
        <w:rPr>
          <w:rFonts w:ascii="Arial" w:hAnsi="Arial" w:cs="Arial"/>
          <w:i/>
          <w:iCs/>
        </w:rPr>
        <w:t>1989) Children Act 1989, c.</w:t>
      </w:r>
      <w:r>
        <w:rPr>
          <w:rFonts w:ascii="Arial" w:hAnsi="Arial" w:cs="Arial"/>
          <w:i/>
          <w:iCs/>
        </w:rPr>
        <w:t xml:space="preserve">41. </w:t>
      </w:r>
      <w:r>
        <w:rPr>
          <w:rStyle w:val="Emphasis"/>
          <w:color w:val="000000"/>
        </w:rPr>
        <w:t xml:space="preserve">Sections </w:t>
      </w:r>
      <w:r>
        <w:rPr>
          <w:rStyle w:val="Emphasis"/>
          <w:color w:val="000000"/>
        </w:rPr>
        <w:t>17 Child</w:t>
      </w:r>
      <w:r>
        <w:rPr>
          <w:rStyle w:val="Emphasis"/>
          <w:color w:val="000000"/>
        </w:rPr>
        <w:t xml:space="preserve"> in Need </w:t>
      </w:r>
      <w:r>
        <w:rPr>
          <w:rStyle w:val="Emphasis"/>
          <w:color w:val="000000"/>
        </w:rPr>
        <w:t>Duty, 31</w:t>
      </w:r>
      <w:r>
        <w:rPr>
          <w:rStyle w:val="Emphasis"/>
          <w:color w:val="000000"/>
        </w:rPr>
        <w:t xml:space="preserve"> Threshold </w:t>
      </w:r>
      <w:r>
        <w:rPr>
          <w:rStyle w:val="Emphasis"/>
          <w:color w:val="000000"/>
        </w:rPr>
        <w:t>Criteria, and</w:t>
      </w:r>
      <w:r>
        <w:rPr>
          <w:rStyle w:val="Emphasis"/>
          <w:color w:val="000000"/>
        </w:rPr>
        <w:t xml:space="preserve"> 47</w:t>
      </w:r>
      <w:r>
        <w:rPr>
          <w:rStyle w:val="Emphasis"/>
          <w:color w:val="000000"/>
        </w:rPr>
        <w:t xml:space="preserve"> </w:t>
      </w:r>
      <w:r>
        <w:rPr>
          <w:rStyle w:val="Emphasis"/>
          <w:color w:val="000000"/>
        </w:rPr>
        <w:t>Duty to Investigate</w:t>
      </w:r>
      <w:r w:rsidR="003A4423" w:rsidRPr="00597C62">
        <w:rPr>
          <w:rFonts w:ascii="Arial" w:hAnsi="Arial" w:cs="Arial"/>
          <w:i/>
          <w:iCs/>
        </w:rPr>
        <w:t xml:space="preserve"> London: HMSO. Available at: </w:t>
      </w:r>
      <w:hyperlink r:id="rId8" w:history="1">
        <w:r w:rsidR="003A4423" w:rsidRPr="00597C62">
          <w:rPr>
            <w:rStyle w:val="Hyperlink"/>
            <w:rFonts w:ascii="Arial" w:hAnsi="Arial" w:cs="Arial"/>
            <w:i/>
            <w:iCs/>
          </w:rPr>
          <w:t>https://www.legislation.gov.uk/ukpga/1989/41/contents</w:t>
        </w:r>
      </w:hyperlink>
      <w:r w:rsidR="003A4423" w:rsidRPr="00597C62">
        <w:rPr>
          <w:rFonts w:ascii="Arial" w:hAnsi="Arial" w:cs="Arial"/>
          <w:i/>
          <w:iCs/>
        </w:rPr>
        <w:t xml:space="preserve"> </w:t>
      </w:r>
    </w:p>
    <w:p w14:paraId="0166C5A4" w14:textId="77777777" w:rsidR="003A4423" w:rsidRPr="00597C62" w:rsidRDefault="003A4423" w:rsidP="00FA011B">
      <w:pPr>
        <w:jc w:val="both"/>
        <w:rPr>
          <w:rFonts w:ascii="Arial" w:hAnsi="Arial" w:cs="Arial"/>
          <w:i/>
          <w:iCs/>
        </w:rPr>
      </w:pPr>
      <w:r w:rsidRPr="00597C62">
        <w:rPr>
          <w:rFonts w:ascii="Arial" w:hAnsi="Arial" w:cs="Arial"/>
          <w:i/>
          <w:iCs/>
        </w:rPr>
        <w:t>(Accessed on 30 October 2025).</w:t>
      </w:r>
    </w:p>
    <w:p w14:paraId="5EB8E491" w14:textId="77777777" w:rsidR="003A4423" w:rsidRPr="00597C62" w:rsidRDefault="003A4423" w:rsidP="00FA011B">
      <w:pPr>
        <w:jc w:val="both"/>
        <w:rPr>
          <w:rFonts w:ascii="Arial" w:hAnsi="Arial" w:cs="Arial"/>
          <w:i/>
          <w:iCs/>
        </w:rPr>
      </w:pPr>
    </w:p>
    <w:p w14:paraId="76256D29" w14:textId="77777777" w:rsidR="003A4423" w:rsidRPr="00597C62" w:rsidRDefault="003A4423" w:rsidP="00FA011B">
      <w:pPr>
        <w:jc w:val="both"/>
        <w:rPr>
          <w:rFonts w:ascii="Arial" w:hAnsi="Arial" w:cs="Arial"/>
          <w:i/>
          <w:iCs/>
        </w:rPr>
      </w:pPr>
      <w:r w:rsidRPr="00597C62">
        <w:rPr>
          <w:rFonts w:ascii="Arial" w:hAnsi="Arial" w:cs="Arial"/>
          <w:i/>
          <w:iCs/>
        </w:rPr>
        <w:t xml:space="preserve">Legislation.gov.uk (2014) Children and Families Act 2014, c.6. London: HMSO. Available at: </w:t>
      </w:r>
      <w:hyperlink r:id="rId9" w:history="1">
        <w:r w:rsidRPr="00597C62">
          <w:rPr>
            <w:rStyle w:val="Hyperlink"/>
            <w:rFonts w:ascii="Arial" w:hAnsi="Arial" w:cs="Arial"/>
            <w:i/>
            <w:iCs/>
          </w:rPr>
          <w:t>https://www.legislation.gov.uk/ukpga/2014/6/contents</w:t>
        </w:r>
      </w:hyperlink>
      <w:r w:rsidRPr="00597C62">
        <w:rPr>
          <w:rFonts w:ascii="Arial" w:hAnsi="Arial" w:cs="Arial"/>
          <w:i/>
          <w:iCs/>
        </w:rPr>
        <w:t xml:space="preserve"> </w:t>
      </w:r>
    </w:p>
    <w:p w14:paraId="14D9A513" w14:textId="77777777" w:rsidR="003A4423" w:rsidRPr="00597C62" w:rsidRDefault="003A4423" w:rsidP="00FA011B">
      <w:pPr>
        <w:jc w:val="both"/>
        <w:rPr>
          <w:rFonts w:ascii="Arial" w:hAnsi="Arial" w:cs="Arial"/>
          <w:i/>
          <w:iCs/>
        </w:rPr>
      </w:pPr>
      <w:r w:rsidRPr="00597C62">
        <w:rPr>
          <w:rFonts w:ascii="Arial" w:hAnsi="Arial" w:cs="Arial"/>
          <w:i/>
          <w:iCs/>
        </w:rPr>
        <w:t>(Accessed on 30 October 2025).</w:t>
      </w:r>
    </w:p>
    <w:p w14:paraId="7C9E8205" w14:textId="77777777" w:rsidR="003A4423" w:rsidRPr="00597C62" w:rsidRDefault="003A4423" w:rsidP="00FA011B">
      <w:pPr>
        <w:jc w:val="both"/>
        <w:rPr>
          <w:rFonts w:ascii="Arial" w:hAnsi="Arial" w:cs="Arial"/>
          <w:i/>
          <w:iCs/>
        </w:rPr>
      </w:pPr>
    </w:p>
    <w:p w14:paraId="67EEFBE4" w14:textId="2F7329AE" w:rsidR="003A4423" w:rsidRPr="00597C62" w:rsidRDefault="003A4423" w:rsidP="00FA011B">
      <w:pPr>
        <w:jc w:val="both"/>
        <w:rPr>
          <w:rFonts w:ascii="Arial" w:hAnsi="Arial" w:cs="Arial"/>
          <w:i/>
          <w:iCs/>
        </w:rPr>
      </w:pPr>
      <w:r w:rsidRPr="00597C62">
        <w:rPr>
          <w:rFonts w:ascii="Arial" w:hAnsi="Arial" w:cs="Arial"/>
          <w:i/>
          <w:iCs/>
        </w:rPr>
        <w:t xml:space="preserve">Legislation.gov.uk (2004) Children Act 2004, c.31. </w:t>
      </w:r>
      <w:r w:rsidR="00BB3F88" w:rsidRPr="00BB3F88">
        <w:rPr>
          <w:rFonts w:ascii="Arial" w:hAnsi="Arial" w:cs="Arial"/>
          <w:i/>
          <w:iCs/>
        </w:rPr>
        <w:t>Section 1</w:t>
      </w:r>
      <w:r w:rsidR="00BB3F88">
        <w:rPr>
          <w:rFonts w:ascii="Arial" w:hAnsi="Arial" w:cs="Arial"/>
          <w:i/>
          <w:iCs/>
        </w:rPr>
        <w:t>1.</w:t>
      </w:r>
      <w:r w:rsidR="00BB3F88" w:rsidRPr="00BB3F88">
        <w:rPr>
          <w:rFonts w:ascii="Arial" w:hAnsi="Arial" w:cs="Arial"/>
          <w:i/>
          <w:iCs/>
        </w:rPr>
        <w:t xml:space="preserve"> Duty of key agencies to safeguard and promote welfare</w:t>
      </w:r>
      <w:r w:rsidR="00BB3F88">
        <w:rPr>
          <w:rFonts w:ascii="Arial" w:hAnsi="Arial" w:cs="Arial"/>
          <w:i/>
          <w:iCs/>
        </w:rPr>
        <w:t xml:space="preserve"> </w:t>
      </w:r>
      <w:r w:rsidRPr="00597C62">
        <w:rPr>
          <w:rFonts w:ascii="Arial" w:hAnsi="Arial" w:cs="Arial"/>
          <w:i/>
          <w:iCs/>
        </w:rPr>
        <w:t>London: HMSO. Available at:</w:t>
      </w:r>
    </w:p>
    <w:p w14:paraId="56424041" w14:textId="77777777" w:rsidR="003A4423" w:rsidRPr="00597C62" w:rsidRDefault="003A4423" w:rsidP="00FA011B">
      <w:pPr>
        <w:jc w:val="both"/>
        <w:rPr>
          <w:rFonts w:ascii="Arial" w:hAnsi="Arial" w:cs="Arial"/>
          <w:i/>
          <w:iCs/>
        </w:rPr>
      </w:pPr>
      <w:hyperlink r:id="rId10" w:history="1">
        <w:r w:rsidRPr="00597C62">
          <w:rPr>
            <w:rStyle w:val="Hyperlink"/>
            <w:rFonts w:ascii="Arial" w:hAnsi="Arial" w:cs="Arial"/>
            <w:i/>
            <w:iCs/>
          </w:rPr>
          <w:t>https://www.legislation.gov.uk/ukpga/2004/31/contents</w:t>
        </w:r>
      </w:hyperlink>
      <w:r w:rsidRPr="00597C62">
        <w:rPr>
          <w:rFonts w:ascii="Arial" w:hAnsi="Arial" w:cs="Arial"/>
          <w:i/>
          <w:iCs/>
        </w:rPr>
        <w:t xml:space="preserve"> </w:t>
      </w:r>
    </w:p>
    <w:p w14:paraId="46A7E311" w14:textId="77777777" w:rsidR="003A4423" w:rsidRPr="00597C62" w:rsidRDefault="003A4423" w:rsidP="00FA011B">
      <w:pPr>
        <w:jc w:val="both"/>
        <w:rPr>
          <w:rFonts w:ascii="Arial" w:hAnsi="Arial" w:cs="Arial"/>
          <w:i/>
          <w:iCs/>
        </w:rPr>
      </w:pPr>
      <w:r w:rsidRPr="00597C62">
        <w:rPr>
          <w:rFonts w:ascii="Arial" w:hAnsi="Arial" w:cs="Arial"/>
          <w:i/>
          <w:iCs/>
        </w:rPr>
        <w:t>(Accessed on 5 November 2025).</w:t>
      </w:r>
    </w:p>
    <w:p w14:paraId="43BA34E6" w14:textId="77777777" w:rsidR="003A4423" w:rsidRPr="00597C62" w:rsidRDefault="003A4423" w:rsidP="00FA011B">
      <w:pPr>
        <w:jc w:val="both"/>
        <w:rPr>
          <w:rFonts w:ascii="Arial" w:hAnsi="Arial" w:cs="Arial"/>
          <w:i/>
          <w:iCs/>
        </w:rPr>
      </w:pPr>
    </w:p>
    <w:p w14:paraId="237A754B" w14:textId="77777777" w:rsidR="003A4423" w:rsidRPr="00597C62" w:rsidRDefault="003A4423" w:rsidP="00FA011B">
      <w:pPr>
        <w:jc w:val="both"/>
        <w:rPr>
          <w:rFonts w:ascii="Arial" w:hAnsi="Arial" w:cs="Arial"/>
          <w:i/>
          <w:iCs/>
        </w:rPr>
      </w:pPr>
      <w:r w:rsidRPr="00597C62">
        <w:rPr>
          <w:rFonts w:ascii="Arial" w:hAnsi="Arial" w:cs="Arial"/>
          <w:i/>
          <w:iCs/>
        </w:rPr>
        <w:t xml:space="preserve">London Safeguarding Children Procedures and Practice Guidance (2025). Available at: </w:t>
      </w:r>
      <w:hyperlink r:id="rId11" w:history="1">
        <w:r w:rsidRPr="00597C62">
          <w:rPr>
            <w:rStyle w:val="Hyperlink"/>
            <w:rFonts w:ascii="Arial" w:hAnsi="Arial" w:cs="Arial"/>
            <w:i/>
            <w:iCs/>
          </w:rPr>
          <w:t>https://www.londonsafeguardingchildrenprocedures.co.uk</w:t>
        </w:r>
      </w:hyperlink>
    </w:p>
    <w:p w14:paraId="2BF27C5D" w14:textId="77777777" w:rsidR="003A4423" w:rsidRPr="00597C62" w:rsidRDefault="003A4423" w:rsidP="00FA011B">
      <w:pPr>
        <w:jc w:val="both"/>
        <w:rPr>
          <w:rFonts w:ascii="Arial" w:hAnsi="Arial" w:cs="Arial"/>
          <w:i/>
          <w:iCs/>
        </w:rPr>
      </w:pPr>
      <w:r w:rsidRPr="00597C62">
        <w:rPr>
          <w:rFonts w:ascii="Arial" w:hAnsi="Arial" w:cs="Arial"/>
          <w:i/>
          <w:iCs/>
        </w:rPr>
        <w:t>(Accessed on 15 November 2025).</w:t>
      </w:r>
    </w:p>
    <w:p w14:paraId="27F8DF62" w14:textId="77777777" w:rsidR="00900B33" w:rsidRPr="00597C62" w:rsidRDefault="00900B33" w:rsidP="00FA011B">
      <w:pPr>
        <w:jc w:val="both"/>
        <w:rPr>
          <w:rFonts w:ascii="Arial" w:hAnsi="Arial" w:cs="Arial"/>
          <w:i/>
          <w:iCs/>
        </w:rPr>
      </w:pPr>
    </w:p>
    <w:p w14:paraId="410F83CE" w14:textId="77D02873" w:rsidR="00900B33" w:rsidRPr="00597C62" w:rsidRDefault="00900B33" w:rsidP="00FA011B">
      <w:pPr>
        <w:jc w:val="both"/>
        <w:rPr>
          <w:rFonts w:ascii="Arial" w:hAnsi="Arial" w:cs="Arial"/>
          <w:i/>
          <w:iCs/>
        </w:rPr>
      </w:pPr>
      <w:r w:rsidRPr="00597C62">
        <w:rPr>
          <w:rFonts w:ascii="Arial" w:hAnsi="Arial" w:cs="Arial"/>
          <w:i/>
          <w:iCs/>
        </w:rPr>
        <w:lastRenderedPageBreak/>
        <w:t>National Institute for Health and Care Excellence (NICE). (2015) Children’s attachment: attachment in children and young people who are adopted or looked after (NG26). London: NICE. Available at:</w:t>
      </w:r>
      <w:r w:rsidR="008B759B" w:rsidRPr="00597C62">
        <w:rPr>
          <w:rFonts w:ascii="Arial" w:hAnsi="Arial" w:cs="Arial"/>
          <w:i/>
          <w:iCs/>
        </w:rPr>
        <w:t xml:space="preserve"> </w:t>
      </w:r>
      <w:hyperlink r:id="rId12" w:history="1">
        <w:r w:rsidR="008B759B" w:rsidRPr="00597C62">
          <w:rPr>
            <w:rStyle w:val="Hyperlink"/>
            <w:rFonts w:ascii="Arial" w:hAnsi="Arial" w:cs="Arial"/>
            <w:i/>
            <w:iCs/>
          </w:rPr>
          <w:t>https://www.nice.org.uk/guidance/ng26</w:t>
        </w:r>
      </w:hyperlink>
      <w:r w:rsidRPr="00597C62">
        <w:rPr>
          <w:rFonts w:ascii="Arial" w:hAnsi="Arial" w:cs="Arial"/>
          <w:i/>
          <w:iCs/>
        </w:rPr>
        <w:t xml:space="preserve"> </w:t>
      </w:r>
      <w:r w:rsidR="008B759B" w:rsidRPr="00597C62">
        <w:rPr>
          <w:rFonts w:ascii="Arial" w:hAnsi="Arial" w:cs="Arial"/>
          <w:i/>
          <w:iCs/>
        </w:rPr>
        <w:t xml:space="preserve"> </w:t>
      </w:r>
      <w:r w:rsidRPr="00597C62">
        <w:rPr>
          <w:rFonts w:ascii="Arial" w:hAnsi="Arial" w:cs="Arial"/>
          <w:i/>
          <w:iCs/>
        </w:rPr>
        <w:t>(Accessed</w:t>
      </w:r>
      <w:r w:rsidR="008B759B" w:rsidRPr="00597C62">
        <w:rPr>
          <w:rFonts w:ascii="Arial" w:hAnsi="Arial" w:cs="Arial"/>
          <w:i/>
          <w:iCs/>
        </w:rPr>
        <w:t xml:space="preserve"> on 6 November 2025</w:t>
      </w:r>
      <w:r w:rsidRPr="00597C62">
        <w:rPr>
          <w:rFonts w:ascii="Arial" w:hAnsi="Arial" w:cs="Arial"/>
          <w:i/>
          <w:iCs/>
        </w:rPr>
        <w:t>.</w:t>
      </w:r>
    </w:p>
    <w:p w14:paraId="0600D075" w14:textId="77777777" w:rsidR="00900B33" w:rsidRPr="00597C62" w:rsidRDefault="00900B33" w:rsidP="00FA011B">
      <w:pPr>
        <w:jc w:val="both"/>
        <w:rPr>
          <w:rFonts w:ascii="Arial" w:hAnsi="Arial" w:cs="Arial"/>
          <w:i/>
          <w:iCs/>
        </w:rPr>
      </w:pPr>
    </w:p>
    <w:p w14:paraId="0B404D0E" w14:textId="29C0A9C3" w:rsidR="00900B33" w:rsidRPr="00597C62" w:rsidRDefault="00900B33" w:rsidP="00FA011B">
      <w:pPr>
        <w:jc w:val="both"/>
        <w:rPr>
          <w:rFonts w:ascii="Arial" w:hAnsi="Arial" w:cs="Arial"/>
          <w:i/>
          <w:iCs/>
        </w:rPr>
      </w:pPr>
      <w:r w:rsidRPr="00597C62">
        <w:rPr>
          <w:rFonts w:ascii="Arial" w:hAnsi="Arial" w:cs="Arial"/>
          <w:i/>
          <w:iCs/>
        </w:rPr>
        <w:t>National Institute for Health and Care Excellence (NICE). (2019) Perinatal mental health: assessment and management (NG143). London: NICE. Available at:</w:t>
      </w:r>
    </w:p>
    <w:p w14:paraId="56FEC09C" w14:textId="150550B5" w:rsidR="00900B33" w:rsidRPr="00597C62" w:rsidRDefault="008B759B" w:rsidP="00FA011B">
      <w:pPr>
        <w:jc w:val="both"/>
        <w:rPr>
          <w:rFonts w:ascii="Arial" w:hAnsi="Arial" w:cs="Arial"/>
          <w:i/>
          <w:iCs/>
        </w:rPr>
      </w:pPr>
      <w:hyperlink r:id="rId13" w:history="1">
        <w:r w:rsidRPr="00597C62">
          <w:rPr>
            <w:rStyle w:val="Hyperlink"/>
            <w:rFonts w:ascii="Arial" w:hAnsi="Arial" w:cs="Arial"/>
            <w:i/>
            <w:iCs/>
          </w:rPr>
          <w:t>https://www.nice.org.uk/guidance/ng143</w:t>
        </w:r>
      </w:hyperlink>
      <w:r w:rsidR="00900B33" w:rsidRPr="00597C62">
        <w:rPr>
          <w:rFonts w:ascii="Arial" w:hAnsi="Arial" w:cs="Arial"/>
          <w:i/>
          <w:iCs/>
        </w:rPr>
        <w:t xml:space="preserve"> </w:t>
      </w:r>
      <w:r w:rsidRPr="00597C62">
        <w:rPr>
          <w:rFonts w:ascii="Arial" w:hAnsi="Arial" w:cs="Arial"/>
          <w:i/>
          <w:iCs/>
        </w:rPr>
        <w:t xml:space="preserve"> </w:t>
      </w:r>
      <w:r w:rsidR="00900B33" w:rsidRPr="00597C62">
        <w:rPr>
          <w:rFonts w:ascii="Arial" w:hAnsi="Arial" w:cs="Arial"/>
          <w:i/>
          <w:iCs/>
        </w:rPr>
        <w:t>(Accessed</w:t>
      </w:r>
      <w:r w:rsidRPr="00597C62">
        <w:rPr>
          <w:rFonts w:ascii="Arial" w:hAnsi="Arial" w:cs="Arial"/>
          <w:i/>
          <w:iCs/>
        </w:rPr>
        <w:t xml:space="preserve"> on 10 November 2025</w:t>
      </w:r>
      <w:r w:rsidR="00900B33" w:rsidRPr="00597C62">
        <w:rPr>
          <w:rFonts w:ascii="Arial" w:hAnsi="Arial" w:cs="Arial"/>
          <w:i/>
          <w:iCs/>
        </w:rPr>
        <w:t>.</w:t>
      </w:r>
    </w:p>
    <w:p w14:paraId="00DE6BCE" w14:textId="77777777" w:rsidR="008B759B" w:rsidRPr="00597C62" w:rsidRDefault="008B759B" w:rsidP="00FA011B">
      <w:pPr>
        <w:jc w:val="both"/>
        <w:rPr>
          <w:rFonts w:ascii="Arial" w:hAnsi="Arial" w:cs="Arial"/>
          <w:i/>
          <w:iCs/>
        </w:rPr>
      </w:pPr>
    </w:p>
    <w:p w14:paraId="149AE37A" w14:textId="199897E2" w:rsidR="008B759B" w:rsidRPr="00597C62" w:rsidRDefault="008B759B" w:rsidP="00FA011B">
      <w:pPr>
        <w:jc w:val="both"/>
        <w:rPr>
          <w:rFonts w:ascii="Arial" w:hAnsi="Arial" w:cs="Arial"/>
          <w:i/>
          <w:iCs/>
        </w:rPr>
      </w:pPr>
      <w:r w:rsidRPr="00597C62">
        <w:rPr>
          <w:rFonts w:ascii="Arial" w:hAnsi="Arial" w:cs="Arial"/>
          <w:i/>
          <w:iCs/>
        </w:rPr>
        <w:t xml:space="preserve">  </w:t>
      </w:r>
    </w:p>
    <w:p w14:paraId="3AC13EF2" w14:textId="77777777" w:rsidR="008B759B" w:rsidRPr="00597C62" w:rsidRDefault="008B759B" w:rsidP="00FA011B">
      <w:pPr>
        <w:jc w:val="both"/>
        <w:rPr>
          <w:rFonts w:ascii="Arial" w:hAnsi="Arial" w:cs="Arial"/>
          <w:i/>
          <w:iCs/>
        </w:rPr>
      </w:pPr>
    </w:p>
    <w:p w14:paraId="01103DA0" w14:textId="77777777" w:rsidR="008B759B" w:rsidRPr="00597C62" w:rsidRDefault="008B759B" w:rsidP="00FA011B">
      <w:pPr>
        <w:jc w:val="both"/>
        <w:rPr>
          <w:rFonts w:ascii="Arial" w:hAnsi="Arial" w:cs="Arial"/>
          <w:i/>
          <w:iCs/>
        </w:rPr>
      </w:pPr>
    </w:p>
    <w:p w14:paraId="3F74BD8A" w14:textId="7078D514" w:rsidR="008B759B" w:rsidRPr="00597C62" w:rsidRDefault="008B759B" w:rsidP="00FA011B">
      <w:pPr>
        <w:jc w:val="both"/>
        <w:rPr>
          <w:rFonts w:ascii="Arial" w:hAnsi="Arial" w:cs="Arial"/>
          <w:i/>
          <w:iCs/>
        </w:rPr>
      </w:pPr>
      <w:r w:rsidRPr="00597C62">
        <w:rPr>
          <w:rFonts w:ascii="Arial" w:hAnsi="Arial" w:cs="Arial"/>
          <w:i/>
          <w:iCs/>
        </w:rPr>
        <w:t xml:space="preserve">National Society for the Prevention of Cruelty to Children (2023) Early help and early intervention. London: NSPCC. Available at: </w:t>
      </w:r>
      <w:hyperlink r:id="rId14" w:history="1">
        <w:r w:rsidRPr="00597C62">
          <w:rPr>
            <w:rStyle w:val="Hyperlink"/>
            <w:rFonts w:ascii="Arial" w:hAnsi="Arial" w:cs="Arial"/>
            <w:i/>
            <w:iCs/>
          </w:rPr>
          <w:t>https://learning.nspcc.org.uk/safeguarding-child-protection/early-help-and-early-intervention</w:t>
        </w:r>
      </w:hyperlink>
      <w:r w:rsidRPr="00597C62">
        <w:rPr>
          <w:rFonts w:ascii="Arial" w:hAnsi="Arial" w:cs="Arial"/>
          <w:i/>
          <w:iCs/>
        </w:rPr>
        <w:t xml:space="preserve"> </w:t>
      </w:r>
    </w:p>
    <w:p w14:paraId="76AD6211" w14:textId="3783F503" w:rsidR="008B759B" w:rsidRPr="00597C62" w:rsidRDefault="008B759B" w:rsidP="00FA011B">
      <w:pPr>
        <w:jc w:val="both"/>
        <w:rPr>
          <w:rFonts w:ascii="Arial" w:hAnsi="Arial" w:cs="Arial"/>
          <w:i/>
          <w:iCs/>
        </w:rPr>
      </w:pPr>
      <w:r w:rsidRPr="00597C62">
        <w:rPr>
          <w:rFonts w:ascii="Arial" w:hAnsi="Arial" w:cs="Arial"/>
          <w:i/>
          <w:iCs/>
        </w:rPr>
        <w:t>(Accessed on 11 November 2025).</w:t>
      </w:r>
    </w:p>
    <w:p w14:paraId="09C1906E" w14:textId="77777777" w:rsidR="00E863C9" w:rsidRPr="00597C62" w:rsidRDefault="00E863C9" w:rsidP="00FA011B">
      <w:pPr>
        <w:jc w:val="both"/>
        <w:rPr>
          <w:rFonts w:ascii="Arial" w:hAnsi="Arial" w:cs="Arial"/>
          <w:i/>
          <w:iCs/>
        </w:rPr>
      </w:pPr>
    </w:p>
    <w:p w14:paraId="0FFFBBD7" w14:textId="5F27CCF2" w:rsidR="00E863C9" w:rsidRPr="00597C62" w:rsidRDefault="00E863C9" w:rsidP="00FA011B">
      <w:pPr>
        <w:jc w:val="both"/>
        <w:rPr>
          <w:rFonts w:ascii="Arial" w:hAnsi="Arial" w:cs="Arial"/>
          <w:i/>
          <w:iCs/>
        </w:rPr>
      </w:pPr>
      <w:r w:rsidRPr="00597C62">
        <w:rPr>
          <w:rFonts w:ascii="Arial" w:hAnsi="Arial" w:cs="Arial"/>
          <w:i/>
          <w:iCs/>
        </w:rPr>
        <w:t xml:space="preserve">Public Health England (2020). No child left Behind Understanding and quantifying vulnerability. Available at: </w:t>
      </w:r>
      <w:hyperlink r:id="rId15" w:history="1">
        <w:r w:rsidRPr="00597C62">
          <w:rPr>
            <w:rStyle w:val="Hyperlink"/>
            <w:rFonts w:ascii="Arial" w:hAnsi="Arial" w:cs="Arial"/>
            <w:i/>
            <w:iCs/>
          </w:rPr>
          <w:t>https://assets.publishing.service.gov.uk/media/5f4f72c68fa8f523f4c3c0ed/Understanding_and_quantifying_vulnerability_in_childhood.pdf</w:t>
        </w:r>
      </w:hyperlink>
      <w:r w:rsidRPr="00597C62">
        <w:rPr>
          <w:rFonts w:ascii="Arial" w:hAnsi="Arial" w:cs="Arial"/>
          <w:i/>
          <w:iCs/>
        </w:rPr>
        <w:t xml:space="preserve"> (Accessed on 13 November 2025).</w:t>
      </w:r>
    </w:p>
    <w:p w14:paraId="5A472946" w14:textId="77777777" w:rsidR="00E863C9" w:rsidRPr="00597C62" w:rsidRDefault="00E863C9" w:rsidP="00FA011B">
      <w:pPr>
        <w:jc w:val="both"/>
        <w:rPr>
          <w:rFonts w:ascii="Arial" w:hAnsi="Arial" w:cs="Arial"/>
          <w:i/>
          <w:iCs/>
        </w:rPr>
      </w:pPr>
    </w:p>
    <w:p w14:paraId="3690C551" w14:textId="77777777" w:rsidR="00E863C9" w:rsidRPr="00597C62" w:rsidRDefault="00E863C9" w:rsidP="00FA011B">
      <w:pPr>
        <w:jc w:val="both"/>
        <w:rPr>
          <w:rFonts w:ascii="Arial" w:hAnsi="Arial" w:cs="Arial"/>
          <w:i/>
          <w:iCs/>
        </w:rPr>
      </w:pPr>
    </w:p>
    <w:p w14:paraId="4DA89E49" w14:textId="77777777" w:rsidR="00E863C9" w:rsidRPr="00597C62" w:rsidRDefault="00E863C9" w:rsidP="00FA011B">
      <w:pPr>
        <w:jc w:val="both"/>
        <w:rPr>
          <w:rFonts w:ascii="Arial" w:hAnsi="Arial" w:cs="Arial"/>
          <w:i/>
          <w:iCs/>
        </w:rPr>
      </w:pPr>
    </w:p>
    <w:sectPr w:rsidR="00E863C9" w:rsidRPr="00597C6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2D77A87"/>
    <w:multiLevelType w:val="hybridMultilevel"/>
    <w:tmpl w:val="3786782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6909227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114F"/>
    <w:rsid w:val="00107F74"/>
    <w:rsid w:val="002B3BF9"/>
    <w:rsid w:val="003A4423"/>
    <w:rsid w:val="003C211C"/>
    <w:rsid w:val="004F4801"/>
    <w:rsid w:val="0053115F"/>
    <w:rsid w:val="005721E2"/>
    <w:rsid w:val="00597C62"/>
    <w:rsid w:val="005A4979"/>
    <w:rsid w:val="005F5DB1"/>
    <w:rsid w:val="008B514D"/>
    <w:rsid w:val="008B759B"/>
    <w:rsid w:val="00900B33"/>
    <w:rsid w:val="00A13C42"/>
    <w:rsid w:val="00AC37ED"/>
    <w:rsid w:val="00BB3F88"/>
    <w:rsid w:val="00C1114F"/>
    <w:rsid w:val="00C31CA9"/>
    <w:rsid w:val="00CA48C3"/>
    <w:rsid w:val="00E863C9"/>
    <w:rsid w:val="00FA011B"/>
    <w:rsid w:val="00FC41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D968A86"/>
  <w15:chartTrackingRefBased/>
  <w15:docId w15:val="{8E6CBDAD-F4A8-E84E-B596-C9214C9F91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1114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1114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1114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1114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1114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1114F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1114F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1114F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1114F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1114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1114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1114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1114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1114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1114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1114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1114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1114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1114F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1114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1114F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1114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1114F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1114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1114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1114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1114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1114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1114F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C1114F"/>
    <w:rPr>
      <w:rFonts w:ascii="Helvetica" w:eastAsia="Times New Roman" w:hAnsi="Helvetica" w:cs="Times New Roman"/>
      <w:color w:val="000000"/>
      <w:kern w:val="0"/>
      <w:sz w:val="21"/>
      <w:szCs w:val="21"/>
      <w:lang w:eastAsia="en-GB"/>
      <w14:ligatures w14:val="none"/>
    </w:rPr>
  </w:style>
  <w:style w:type="paragraph" w:customStyle="1" w:styleId="p2">
    <w:name w:val="p2"/>
    <w:basedOn w:val="Normal"/>
    <w:rsid w:val="00C1114F"/>
    <w:rPr>
      <w:rFonts w:ascii="Arial" w:eastAsia="Times New Roman" w:hAnsi="Arial" w:cs="Arial"/>
      <w:color w:val="000000"/>
      <w:kern w:val="0"/>
      <w:sz w:val="18"/>
      <w:szCs w:val="18"/>
      <w:lang w:eastAsia="en-GB"/>
      <w14:ligatures w14:val="none"/>
    </w:rPr>
  </w:style>
  <w:style w:type="character" w:customStyle="1" w:styleId="s1">
    <w:name w:val="s1"/>
    <w:basedOn w:val="DefaultParagraphFont"/>
    <w:rsid w:val="00C1114F"/>
    <w:rPr>
      <w:color w:val="000000"/>
    </w:rPr>
  </w:style>
  <w:style w:type="character" w:styleId="Hyperlink">
    <w:name w:val="Hyperlink"/>
    <w:basedOn w:val="DefaultParagraphFont"/>
    <w:uiPriority w:val="99"/>
    <w:unhideWhenUsed/>
    <w:rsid w:val="00900B3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00B3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00B33"/>
    <w:rPr>
      <w:color w:val="96607D" w:themeColor="followedHyperlink"/>
      <w:u w:val="single"/>
    </w:rPr>
  </w:style>
  <w:style w:type="character" w:styleId="Emphasis">
    <w:name w:val="Emphasis"/>
    <w:basedOn w:val="DefaultParagraphFont"/>
    <w:uiPriority w:val="20"/>
    <w:qFormat/>
    <w:rsid w:val="005F5DB1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1989/41/contents" TargetMode="External"/><Relationship Id="rId13" Type="http://schemas.openxmlformats.org/officeDocument/2006/relationships/hyperlink" Target="https://www.nice.org.uk/guidance/ng143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gov.uk/government/publications/working-together-to-safeguard-children--2" TargetMode="External"/><Relationship Id="rId12" Type="http://schemas.openxmlformats.org/officeDocument/2006/relationships/hyperlink" Target="https://www.nice.org.uk/guidance/ng26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www.eif.org.uk/report/adverse-childhood-experiences-what-we-know-what-we-dont-know-and-what-should-happen-next" TargetMode="External"/><Relationship Id="rId11" Type="http://schemas.openxmlformats.org/officeDocument/2006/relationships/hyperlink" Target="https://www.londonsafeguardingchildrenprocedures.co.uk" TargetMode="External"/><Relationship Id="rId5" Type="http://schemas.openxmlformats.org/officeDocument/2006/relationships/hyperlink" Target="https://scr.researchinpractice.org.uk/media/vcrbbxxq/learning-for-the-future-final-analysis-of-scrs-2017-19-2022.pdf" TargetMode="External"/><Relationship Id="rId15" Type="http://schemas.openxmlformats.org/officeDocument/2006/relationships/hyperlink" Target="https://assets.publishing.service.gov.uk/media/5f4f72c68fa8f523f4c3c0ed/Understanding_and_quantifying_vulnerability_in_childhood.pdf" TargetMode="External"/><Relationship Id="rId10" Type="http://schemas.openxmlformats.org/officeDocument/2006/relationships/hyperlink" Target="https://www.legislation.gov.uk/ukpga/2004/31/content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legislation.gov.uk/ukpga/2014/6/contents" TargetMode="External"/><Relationship Id="rId14" Type="http://schemas.openxmlformats.org/officeDocument/2006/relationships/hyperlink" Target="https://learning.nspcc.org.uk/safeguarding-child-protection/early-help-and-early-interventi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193</TotalTime>
  <Pages>2</Pages>
  <Words>605</Words>
  <Characters>3451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Rina Elizabeth López García (2337019)</dc:creator>
  <cp:keywords/>
  <dc:description/>
  <cp:lastModifiedBy>Rina Elizabeth López García (2337019)</cp:lastModifiedBy>
  <cp:revision>8</cp:revision>
  <dcterms:created xsi:type="dcterms:W3CDTF">2025-11-26T22:09:00Z</dcterms:created>
  <dcterms:modified xsi:type="dcterms:W3CDTF">2025-11-27T19:39:00Z</dcterms:modified>
</cp:coreProperties>
</file>