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5146B4" w:rsidRPr="00B71E59" w:rsidRDefault="00DE2C44" w:rsidP="00B57DC9">
      <w:pPr>
        <w:shd w:val="clear" w:color="auto" w:fill="FFFFFF"/>
        <w:spacing w:after="300" w:line="288" w:lineRule="atLeast"/>
        <w:jc w:val="center"/>
        <w:rPr>
          <w:rFonts w:ascii="Bell MT" w:hAnsi="Bell MT"/>
          <w:color w:val="000000"/>
          <w:sz w:val="24"/>
          <w:szCs w:val="24"/>
          <w:u w:val="single"/>
        </w:rPr>
      </w:pPr>
      <w:r w:rsidRPr="00B71E59">
        <w:rPr>
          <w:rFonts w:ascii="Bell MT" w:hAnsi="Bell MT"/>
          <w:color w:val="000000"/>
          <w:sz w:val="24"/>
          <w:szCs w:val="24"/>
          <w:u w:val="single"/>
        </w:rPr>
        <w:t>General Data Protection Regulations Briefing</w:t>
      </w:r>
    </w:p>
    <w:p w:rsidR="00B57DC9" w:rsidRPr="00B71E59" w:rsidRDefault="007173A6" w:rsidP="007173A6">
      <w:pPr>
        <w:shd w:val="clear" w:color="auto" w:fill="FFFFFF"/>
        <w:spacing w:after="300" w:line="288" w:lineRule="atLeast"/>
        <w:rPr>
          <w:rFonts w:ascii="Bell MT" w:hAnsi="Bell MT"/>
          <w:color w:val="000000"/>
          <w:sz w:val="24"/>
          <w:szCs w:val="24"/>
          <w:u w:val="single"/>
        </w:rPr>
      </w:pPr>
      <w:r w:rsidRPr="00B71E59">
        <w:rPr>
          <w:rFonts w:ascii="Bell MT" w:hAnsi="Bell MT"/>
          <w:color w:val="000000"/>
          <w:sz w:val="24"/>
          <w:szCs w:val="24"/>
          <w:u w:val="single"/>
        </w:rPr>
        <w:t xml:space="preserve">Purpose </w:t>
      </w:r>
    </w:p>
    <w:p w:rsidR="00B57DC9" w:rsidRPr="00B71E59" w:rsidRDefault="00DE2C44" w:rsidP="00B57DC9">
      <w:pPr>
        <w:shd w:val="clear" w:color="auto" w:fill="FFFFFF"/>
        <w:spacing w:after="300" w:line="288" w:lineRule="atLeast"/>
        <w:rPr>
          <w:rFonts w:ascii="Bell MT" w:hAnsi="Bell MT"/>
          <w:color w:val="000000"/>
          <w:sz w:val="24"/>
          <w:szCs w:val="24"/>
        </w:rPr>
      </w:pPr>
      <w:r w:rsidRPr="00B71E59">
        <w:rPr>
          <w:rFonts w:ascii="Bell MT" w:hAnsi="Bell MT"/>
          <w:color w:val="000000"/>
          <w:sz w:val="24"/>
          <w:szCs w:val="24"/>
        </w:rPr>
        <w:t>Within this briefing document will provide adequate analysis and introductions to the new and current General Data Protection Regulations. The key points will be sufficiently outlined and the ripple effect that it potentially could affect businesses and how they hold and use stored data on their employees and customers</w:t>
      </w:r>
    </w:p>
    <w:p w:rsidR="00B57DC9" w:rsidRPr="00B71E59" w:rsidRDefault="00B57DC9" w:rsidP="00F62958">
      <w:pPr>
        <w:shd w:val="clear" w:color="auto" w:fill="FFFFFF"/>
        <w:spacing w:after="300" w:line="288" w:lineRule="atLeast"/>
        <w:rPr>
          <w:rFonts w:ascii="Bell MT" w:hAnsi="Bell MT"/>
          <w:color w:val="000000"/>
          <w:sz w:val="24"/>
          <w:szCs w:val="24"/>
          <w:u w:val="single"/>
        </w:rPr>
      </w:pPr>
      <w:r w:rsidRPr="00B71E59">
        <w:rPr>
          <w:rFonts w:ascii="Bell MT" w:hAnsi="Bell MT"/>
          <w:color w:val="000000"/>
          <w:sz w:val="24"/>
          <w:szCs w:val="24"/>
          <w:u w:val="single"/>
        </w:rPr>
        <w:t xml:space="preserve">Introduction </w:t>
      </w:r>
    </w:p>
    <w:p w:rsidR="00E968B9" w:rsidRPr="00B71E59" w:rsidRDefault="0089165B" w:rsidP="005146B4">
      <w:pPr>
        <w:shd w:val="clear" w:color="auto" w:fill="FFFFFF"/>
        <w:spacing w:after="300" w:line="288" w:lineRule="atLeast"/>
        <w:rPr>
          <w:rFonts w:ascii="Bell MT" w:hAnsi="Bell MT"/>
          <w:color w:val="000000"/>
          <w:sz w:val="24"/>
          <w:szCs w:val="24"/>
        </w:rPr>
      </w:pPr>
      <w:r w:rsidRPr="00B71E59">
        <w:rPr>
          <w:rFonts w:ascii="Bell MT" w:hAnsi="Bell MT"/>
          <w:color w:val="000000"/>
          <w:sz w:val="24"/>
          <w:szCs w:val="24"/>
        </w:rPr>
        <w:t>Vital advancements within business data collections have influenced key aspects of the markets, generating competitive advantages and effecting the economic growth, climate change, innovation and meeting a business’s customers’ needs.</w:t>
      </w:r>
      <w:r w:rsidR="00821B8C" w:rsidRPr="00B71E59">
        <w:rPr>
          <w:rFonts w:ascii="Bell MT" w:hAnsi="Bell MT"/>
          <w:color w:val="000000"/>
          <w:sz w:val="24"/>
          <w:szCs w:val="24"/>
        </w:rPr>
        <w:t xml:space="preserve"> There is a variation of</w:t>
      </w:r>
      <w:r w:rsidR="00F62958" w:rsidRPr="00B71E59">
        <w:rPr>
          <w:rFonts w:ascii="Bell MT" w:hAnsi="Bell MT"/>
          <w:color w:val="000000"/>
          <w:sz w:val="24"/>
          <w:szCs w:val="24"/>
        </w:rPr>
        <w:t xml:space="preserve"> ways to collect</w:t>
      </w:r>
      <w:r w:rsidR="00821B8C" w:rsidRPr="00B71E59">
        <w:rPr>
          <w:rFonts w:ascii="Bell MT" w:hAnsi="Bell MT"/>
          <w:color w:val="000000"/>
          <w:sz w:val="24"/>
          <w:szCs w:val="24"/>
        </w:rPr>
        <w:t xml:space="preserve"> Data which is </w:t>
      </w:r>
      <w:proofErr w:type="gramStart"/>
      <w:r w:rsidR="00821B8C" w:rsidRPr="00B71E59">
        <w:rPr>
          <w:rFonts w:ascii="Bell MT" w:hAnsi="Bell MT"/>
          <w:color w:val="000000"/>
          <w:sz w:val="24"/>
          <w:szCs w:val="24"/>
        </w:rPr>
        <w:t>key</w:t>
      </w:r>
      <w:proofErr w:type="gramEnd"/>
      <w:r w:rsidR="00821B8C" w:rsidRPr="00B71E59">
        <w:rPr>
          <w:rFonts w:ascii="Bell MT" w:hAnsi="Bell MT"/>
          <w:color w:val="000000"/>
          <w:sz w:val="24"/>
          <w:szCs w:val="24"/>
        </w:rPr>
        <w:t xml:space="preserve"> for businesses to benefit from research; however a drawback can be that most data can be sold or exchanged with other corporations. </w:t>
      </w:r>
    </w:p>
    <w:p w:rsidR="00BE003C" w:rsidRPr="00B71E59" w:rsidRDefault="00E91338" w:rsidP="00F62958">
      <w:pPr>
        <w:shd w:val="clear" w:color="auto" w:fill="FFFFFF"/>
        <w:spacing w:after="300" w:line="288" w:lineRule="atLeast"/>
        <w:rPr>
          <w:rFonts w:ascii="Bell MT" w:hAnsi="Bell MT"/>
          <w:color w:val="000000"/>
          <w:sz w:val="24"/>
          <w:szCs w:val="24"/>
        </w:rPr>
      </w:pPr>
      <w:r w:rsidRPr="00B71E59">
        <w:rPr>
          <w:rFonts w:ascii="Bell MT" w:hAnsi="Bell MT"/>
          <w:color w:val="000000"/>
          <w:sz w:val="24"/>
          <w:szCs w:val="24"/>
        </w:rPr>
        <w:t xml:space="preserve">Thus resulting in the general public becoming aware of the major hack with their personal data, the personal privacy within this data which is sold or exchanged has generated debate on whether or not the sacrifice of personal data can lead research with more possibilities or if attention should be devised more appropriately to minimize </w:t>
      </w:r>
      <w:r w:rsidR="00B57DC9" w:rsidRPr="00B71E59">
        <w:rPr>
          <w:rFonts w:ascii="Bell MT" w:hAnsi="Bell MT"/>
          <w:color w:val="000000"/>
          <w:sz w:val="24"/>
          <w:szCs w:val="24"/>
        </w:rPr>
        <w:t xml:space="preserve">the </w:t>
      </w:r>
      <w:r w:rsidRPr="00B71E59">
        <w:rPr>
          <w:rFonts w:ascii="Bell MT" w:hAnsi="Bell MT"/>
          <w:color w:val="000000"/>
          <w:sz w:val="24"/>
          <w:szCs w:val="24"/>
        </w:rPr>
        <w:t>consequences.</w:t>
      </w:r>
    </w:p>
    <w:p w:rsidR="00E968B9" w:rsidRPr="00B71E59" w:rsidRDefault="00E968B9" w:rsidP="00F62958">
      <w:pPr>
        <w:shd w:val="clear" w:color="auto" w:fill="FFFFFF"/>
        <w:spacing w:after="300" w:line="288" w:lineRule="atLeast"/>
        <w:rPr>
          <w:rFonts w:ascii="Bell MT" w:hAnsi="Bell MT"/>
          <w:color w:val="000000"/>
          <w:sz w:val="24"/>
          <w:szCs w:val="24"/>
          <w:u w:val="single"/>
        </w:rPr>
      </w:pPr>
      <w:r w:rsidRPr="00B71E59">
        <w:rPr>
          <w:rFonts w:ascii="Bell MT" w:hAnsi="Bell MT"/>
          <w:color w:val="000000"/>
          <w:sz w:val="24"/>
          <w:szCs w:val="24"/>
          <w:u w:val="single"/>
        </w:rPr>
        <w:t xml:space="preserve">Over View of General Data Protection Regulations law (2018) </w:t>
      </w:r>
    </w:p>
    <w:p w:rsidR="00E968B9" w:rsidRPr="00B71E59" w:rsidRDefault="00E968B9" w:rsidP="00F62958">
      <w:pPr>
        <w:shd w:val="clear" w:color="auto" w:fill="FFFFFF"/>
        <w:spacing w:after="300" w:line="288" w:lineRule="atLeast"/>
        <w:rPr>
          <w:rFonts w:ascii="Bell MT" w:hAnsi="Bell MT"/>
          <w:color w:val="000000"/>
          <w:sz w:val="24"/>
          <w:szCs w:val="24"/>
        </w:rPr>
      </w:pPr>
      <w:r w:rsidRPr="00B71E59">
        <w:rPr>
          <w:rFonts w:ascii="Bell MT" w:hAnsi="Bell MT"/>
          <w:color w:val="000000"/>
          <w:sz w:val="24"/>
          <w:szCs w:val="24"/>
        </w:rPr>
        <w:t>The GDPR is an evolving law active in May 2018 which is a European-wide law that will replace the original Data Protection Act 1998 within the UK, the evolving law ensures to place much greater and server obligations on organisations and how they handle personal data within their systems (Ico.org.uk, 2018).</w:t>
      </w:r>
    </w:p>
    <w:p w:rsidR="00E968B9" w:rsidRPr="00B71E59" w:rsidRDefault="006C55EE" w:rsidP="00770295">
      <w:pPr>
        <w:shd w:val="clear" w:color="auto" w:fill="FFFFFF"/>
        <w:spacing w:after="300" w:line="288" w:lineRule="atLeast"/>
        <w:rPr>
          <w:rFonts w:ascii="Bell MT" w:hAnsi="Bell MT"/>
          <w:color w:val="000000"/>
          <w:sz w:val="24"/>
          <w:szCs w:val="24"/>
        </w:rPr>
      </w:pPr>
      <w:r w:rsidRPr="00B71E59">
        <w:rPr>
          <w:rFonts w:ascii="Bell MT" w:hAnsi="Bell MT"/>
          <w:color w:val="000000"/>
          <w:sz w:val="24"/>
          <w:szCs w:val="24"/>
        </w:rPr>
        <w:t xml:space="preserve">The </w:t>
      </w:r>
      <w:r w:rsidR="00F62958" w:rsidRPr="00B71E59">
        <w:rPr>
          <w:rFonts w:ascii="Bell MT" w:hAnsi="Bell MT"/>
          <w:color w:val="000000"/>
          <w:sz w:val="24"/>
          <w:szCs w:val="24"/>
        </w:rPr>
        <w:t xml:space="preserve">use of </w:t>
      </w:r>
      <w:r w:rsidRPr="00B71E59">
        <w:rPr>
          <w:rFonts w:ascii="Bell MT" w:hAnsi="Bell MT"/>
          <w:color w:val="000000"/>
          <w:sz w:val="24"/>
          <w:szCs w:val="24"/>
        </w:rPr>
        <w:t xml:space="preserve">Data provides organisations with </w:t>
      </w:r>
      <w:r w:rsidR="009D3617" w:rsidRPr="00B71E59">
        <w:rPr>
          <w:rFonts w:ascii="Bell MT" w:hAnsi="Bell MT"/>
          <w:color w:val="000000"/>
          <w:sz w:val="24"/>
          <w:szCs w:val="24"/>
        </w:rPr>
        <w:t xml:space="preserve">the opportunity to venture into patterns and correlative data that previously was hidden, although social media represents a large proportion of society and therefore retains a large accumulated amount of personal data. Data such as age, gender, </w:t>
      </w:r>
      <w:r w:rsidR="00895781" w:rsidRPr="00B71E59">
        <w:rPr>
          <w:rFonts w:ascii="Bell MT" w:hAnsi="Bell MT"/>
          <w:color w:val="000000"/>
          <w:sz w:val="24"/>
          <w:szCs w:val="24"/>
        </w:rPr>
        <w:t xml:space="preserve">political prospect and identifying religion can be sourced through an individual’s social media account, although this data has been found to have accumulated within large data sets without the </w:t>
      </w:r>
      <w:r w:rsidR="00770295" w:rsidRPr="00B71E59">
        <w:rPr>
          <w:rFonts w:ascii="Bell MT" w:hAnsi="Bell MT"/>
          <w:color w:val="000000"/>
          <w:sz w:val="24"/>
          <w:szCs w:val="24"/>
        </w:rPr>
        <w:t>personal user’s awareness (</w:t>
      </w:r>
      <w:proofErr w:type="spellStart"/>
      <w:r w:rsidR="00770295" w:rsidRPr="00B71E59">
        <w:rPr>
          <w:rFonts w:ascii="Bell MT" w:hAnsi="Bell MT"/>
          <w:color w:val="000000"/>
          <w:sz w:val="24"/>
          <w:szCs w:val="24"/>
        </w:rPr>
        <w:t>Kshetri</w:t>
      </w:r>
      <w:proofErr w:type="spellEnd"/>
      <w:r w:rsidR="00770295" w:rsidRPr="00B71E59">
        <w:rPr>
          <w:rFonts w:ascii="Bell MT" w:hAnsi="Bell MT"/>
          <w:color w:val="000000"/>
          <w:sz w:val="24"/>
          <w:szCs w:val="24"/>
        </w:rPr>
        <w:t xml:space="preserve">, 2014). </w:t>
      </w:r>
    </w:p>
    <w:p w:rsidR="00344C1B" w:rsidRPr="00B71E59" w:rsidRDefault="00F62958" w:rsidP="009D3617">
      <w:pPr>
        <w:rPr>
          <w:rFonts w:ascii="Bell MT" w:hAnsi="Bell MT"/>
          <w:sz w:val="24"/>
          <w:szCs w:val="24"/>
          <w:u w:val="single"/>
        </w:rPr>
      </w:pPr>
      <w:r w:rsidRPr="00B71E59">
        <w:rPr>
          <w:rFonts w:ascii="Bell MT" w:hAnsi="Bell MT"/>
          <w:sz w:val="24"/>
          <w:szCs w:val="24"/>
          <w:u w:val="single"/>
        </w:rPr>
        <w:t>Challenges</w:t>
      </w:r>
    </w:p>
    <w:p w:rsidR="009D3617" w:rsidRPr="00B71E59" w:rsidRDefault="00F62958" w:rsidP="009D3617">
      <w:pPr>
        <w:rPr>
          <w:rFonts w:ascii="Bell MT" w:hAnsi="Bell MT"/>
          <w:sz w:val="24"/>
          <w:szCs w:val="24"/>
          <w:u w:val="single"/>
        </w:rPr>
      </w:pPr>
      <w:r w:rsidRPr="00B71E59">
        <w:rPr>
          <w:rFonts w:ascii="Bell MT" w:hAnsi="Bell MT"/>
          <w:sz w:val="24"/>
          <w:szCs w:val="24"/>
          <w:u w:val="single"/>
        </w:rPr>
        <w:t xml:space="preserve"> </w:t>
      </w:r>
    </w:p>
    <w:p w:rsidR="00344C1B" w:rsidRPr="00B71E59" w:rsidRDefault="00404B73" w:rsidP="009D3617">
      <w:pPr>
        <w:rPr>
          <w:rFonts w:ascii="Bell MT" w:hAnsi="Bell MT"/>
          <w:sz w:val="24"/>
          <w:szCs w:val="24"/>
        </w:rPr>
      </w:pPr>
      <w:r w:rsidRPr="00B71E59">
        <w:rPr>
          <w:rFonts w:ascii="Bell MT" w:hAnsi="Bell MT"/>
          <w:sz w:val="24"/>
          <w:szCs w:val="24"/>
        </w:rPr>
        <w:t>A challenge that Dragon Data Supplies faces is that failing to get data protection rights is more than likely to not only damage the organisations reputation but also customer relationships and finances. The ripple eff</w:t>
      </w:r>
      <w:r w:rsidR="00344C1B" w:rsidRPr="00B71E59">
        <w:rPr>
          <w:rFonts w:ascii="Bell MT" w:hAnsi="Bell MT"/>
          <w:sz w:val="24"/>
          <w:szCs w:val="24"/>
        </w:rPr>
        <w:t>e</w:t>
      </w:r>
      <w:r w:rsidRPr="00B71E59">
        <w:rPr>
          <w:rFonts w:ascii="Bell MT" w:hAnsi="Bell MT"/>
          <w:sz w:val="24"/>
          <w:szCs w:val="24"/>
        </w:rPr>
        <w:t>ct on th</w:t>
      </w:r>
      <w:r w:rsidR="00344C1B" w:rsidRPr="00B71E59">
        <w:rPr>
          <w:rFonts w:ascii="Bell MT" w:hAnsi="Bell MT"/>
          <w:sz w:val="24"/>
          <w:szCs w:val="24"/>
        </w:rPr>
        <w:t>e</w:t>
      </w:r>
      <w:r w:rsidRPr="00B71E59">
        <w:rPr>
          <w:rFonts w:ascii="Bell MT" w:hAnsi="Bell MT"/>
          <w:sz w:val="24"/>
          <w:szCs w:val="24"/>
        </w:rPr>
        <w:t xml:space="preserve"> business will not only conclude with fines but brand damage beyond </w:t>
      </w:r>
      <w:r w:rsidR="00344C1B" w:rsidRPr="00B71E59">
        <w:rPr>
          <w:rFonts w:ascii="Bell MT" w:hAnsi="Bell MT"/>
          <w:sz w:val="24"/>
          <w:szCs w:val="24"/>
        </w:rPr>
        <w:t>repair (Wood, 2017).</w:t>
      </w:r>
    </w:p>
    <w:p w:rsidR="00344C1B" w:rsidRPr="00B71E59" w:rsidRDefault="00344C1B" w:rsidP="009D3617">
      <w:pPr>
        <w:rPr>
          <w:rFonts w:ascii="Bell MT" w:hAnsi="Bell MT"/>
          <w:sz w:val="24"/>
          <w:szCs w:val="24"/>
        </w:rPr>
      </w:pPr>
    </w:p>
    <w:p w:rsidR="00C06873" w:rsidRPr="00B71E59" w:rsidRDefault="00932BCD" w:rsidP="009D3617">
      <w:pPr>
        <w:rPr>
          <w:rFonts w:ascii="Bell MT" w:hAnsi="Bell MT"/>
          <w:sz w:val="24"/>
          <w:szCs w:val="24"/>
        </w:rPr>
      </w:pPr>
      <w:r w:rsidRPr="00B71E59">
        <w:rPr>
          <w:rFonts w:ascii="Bell MT" w:hAnsi="Bell MT"/>
          <w:sz w:val="24"/>
          <w:szCs w:val="24"/>
        </w:rPr>
        <w:t xml:space="preserve">Many </w:t>
      </w:r>
      <w:proofErr w:type="gramStart"/>
      <w:r w:rsidRPr="00B71E59">
        <w:rPr>
          <w:rFonts w:ascii="Bell MT" w:hAnsi="Bell MT"/>
          <w:sz w:val="24"/>
          <w:szCs w:val="24"/>
        </w:rPr>
        <w:t>criticism</w:t>
      </w:r>
      <w:proofErr w:type="gramEnd"/>
      <w:r w:rsidRPr="00B71E59">
        <w:rPr>
          <w:rFonts w:ascii="Bell MT" w:hAnsi="Bell MT"/>
          <w:sz w:val="24"/>
          <w:szCs w:val="24"/>
        </w:rPr>
        <w:t xml:space="preserve"> referring to GDPR are focused on preconceived burdens regarding smaller businesses, as many smaller businesses have limited financial support</w:t>
      </w:r>
      <w:r w:rsidR="00EC07DB" w:rsidRPr="00B71E59">
        <w:rPr>
          <w:rFonts w:ascii="Bell MT" w:hAnsi="Bell MT"/>
          <w:sz w:val="24"/>
          <w:szCs w:val="24"/>
        </w:rPr>
        <w:t xml:space="preserve"> and resources for complete compliance. However many of the criticisms are failing to recognise the flexibility that the key principles in the Data Protection Act 1998 and General Data Protection Regulations </w:t>
      </w:r>
      <w:r w:rsidR="00C06873" w:rsidRPr="00B71E59">
        <w:rPr>
          <w:rFonts w:ascii="Bell MT" w:hAnsi="Bell MT"/>
          <w:sz w:val="24"/>
          <w:szCs w:val="24"/>
        </w:rPr>
        <w:t xml:space="preserve">are initially providing which is the scale of the initial task of compliance to the overall risk of the business. Most of the principles are generated to reinforce tasks that the </w:t>
      </w:r>
      <w:r w:rsidR="00C06873" w:rsidRPr="00B71E59">
        <w:rPr>
          <w:rFonts w:ascii="Bell MT" w:hAnsi="Bell MT"/>
          <w:sz w:val="24"/>
          <w:szCs w:val="24"/>
        </w:rPr>
        <w:lastRenderedPageBreak/>
        <w:t xml:space="preserve">businesses already undertake in relation to the businesses record keeping and principle on data minimisation (Wood, 2017). </w:t>
      </w:r>
    </w:p>
    <w:p w:rsidR="00932BCD" w:rsidRPr="00B71E59" w:rsidRDefault="00932BCD" w:rsidP="009D3617">
      <w:pPr>
        <w:rPr>
          <w:rFonts w:ascii="Bell MT" w:hAnsi="Bell MT"/>
          <w:sz w:val="24"/>
          <w:szCs w:val="24"/>
        </w:rPr>
      </w:pPr>
    </w:p>
    <w:p w:rsidR="00DE31F4" w:rsidRPr="00B71E59" w:rsidRDefault="00DE7A55" w:rsidP="009D3617">
      <w:pPr>
        <w:rPr>
          <w:rFonts w:ascii="Bell MT" w:hAnsi="Bell MT"/>
          <w:sz w:val="24"/>
          <w:szCs w:val="24"/>
        </w:rPr>
      </w:pPr>
      <w:r w:rsidRPr="00B71E59">
        <w:rPr>
          <w:rFonts w:ascii="Bell MT" w:hAnsi="Bell MT"/>
          <w:sz w:val="24"/>
          <w:szCs w:val="24"/>
        </w:rPr>
        <w:t>Failure to adhere to the new GDPR legislation will be much greater than previous repercussions; non compliant organisations will have to pay up to four percent of the businesses annual turnover therefore can impact any business disregarding whether or not it’s a smaller business or a multinational organisation (Paul, 2018).</w:t>
      </w:r>
    </w:p>
    <w:p w:rsidR="00DE7A55" w:rsidRPr="00B71E59" w:rsidRDefault="00DE7A55" w:rsidP="009D3617">
      <w:pPr>
        <w:rPr>
          <w:rFonts w:ascii="Bell MT" w:hAnsi="Bell MT"/>
          <w:sz w:val="24"/>
          <w:szCs w:val="24"/>
        </w:rPr>
      </w:pPr>
    </w:p>
    <w:p w:rsidR="00DE7A55" w:rsidRPr="00B71E59" w:rsidRDefault="00DE7A55" w:rsidP="009D3617">
      <w:pPr>
        <w:rPr>
          <w:rFonts w:ascii="Bell MT" w:hAnsi="Bell MT"/>
          <w:sz w:val="24"/>
          <w:szCs w:val="24"/>
        </w:rPr>
      </w:pPr>
    </w:p>
    <w:p w:rsidR="007173A6" w:rsidRPr="00B71E59" w:rsidRDefault="007173A6" w:rsidP="009D3617">
      <w:pPr>
        <w:rPr>
          <w:rFonts w:ascii="Bell MT" w:hAnsi="Bell MT"/>
          <w:sz w:val="24"/>
          <w:szCs w:val="24"/>
          <w:u w:val="single"/>
        </w:rPr>
      </w:pPr>
      <w:r w:rsidRPr="00B71E59">
        <w:rPr>
          <w:rFonts w:ascii="Bell MT" w:hAnsi="Bell MT"/>
          <w:sz w:val="24"/>
          <w:szCs w:val="24"/>
          <w:u w:val="single"/>
        </w:rPr>
        <w:t xml:space="preserve">Key Considerations </w:t>
      </w:r>
    </w:p>
    <w:p w:rsidR="00E968B9" w:rsidRPr="00B71E59" w:rsidRDefault="00E968B9" w:rsidP="009D3617">
      <w:pPr>
        <w:rPr>
          <w:rFonts w:ascii="Bell MT" w:hAnsi="Bell MT"/>
          <w:sz w:val="24"/>
          <w:szCs w:val="24"/>
        </w:rPr>
      </w:pPr>
    </w:p>
    <w:p w:rsidR="00C06873" w:rsidRPr="00B71E59" w:rsidRDefault="00344C1B" w:rsidP="00932BCD">
      <w:pPr>
        <w:pStyle w:val="NormalWeb"/>
        <w:shd w:val="clear" w:color="auto" w:fill="FFFFFF"/>
        <w:spacing w:before="0" w:beforeAutospacing="0" w:after="360" w:afterAutospacing="0"/>
        <w:textAlignment w:val="baseline"/>
        <w:rPr>
          <w:rFonts w:ascii="Bell MT" w:hAnsi="Bell MT"/>
        </w:rPr>
      </w:pPr>
      <w:r w:rsidRPr="00B71E59">
        <w:rPr>
          <w:rFonts w:ascii="Bell MT" w:hAnsi="Bell MT"/>
        </w:rPr>
        <w:t xml:space="preserve">What must be taken into consideration is that GDPR is only an evolution regarding data protection; it sets demands and guidelines for organisations in regards to accountability within using personal data. </w:t>
      </w:r>
      <w:proofErr w:type="gramStart"/>
      <w:r w:rsidRPr="00B71E59">
        <w:rPr>
          <w:rFonts w:ascii="Bell MT" w:hAnsi="Bell MT"/>
        </w:rPr>
        <w:t>Therefore building upon the existing legislation protecting the rights of individuals, and adding to the already existing foundations that have been in place for twenty years.</w:t>
      </w:r>
      <w:proofErr w:type="gramEnd"/>
      <w:r w:rsidRPr="00B71E59">
        <w:rPr>
          <w:rFonts w:ascii="Bell MT" w:hAnsi="Bell MT"/>
        </w:rPr>
        <w:t xml:space="preserve"> </w:t>
      </w:r>
      <w:r w:rsidR="00932BCD" w:rsidRPr="00B71E59">
        <w:rPr>
          <w:rFonts w:ascii="Bell MT" w:hAnsi="Bell MT"/>
        </w:rPr>
        <w:t>The overall principles are consistently the same, regardless of the size of the business.</w:t>
      </w:r>
    </w:p>
    <w:p w:rsidR="006F7FE2" w:rsidRPr="00B71E59" w:rsidRDefault="00F62958" w:rsidP="00932BCD">
      <w:pPr>
        <w:pStyle w:val="NormalWeb"/>
        <w:shd w:val="clear" w:color="auto" w:fill="FFFFFF"/>
        <w:spacing w:before="0" w:beforeAutospacing="0" w:after="360" w:afterAutospacing="0"/>
        <w:textAlignment w:val="baseline"/>
        <w:rPr>
          <w:rFonts w:ascii="Bell MT" w:hAnsi="Bell MT"/>
          <w:color w:val="000000"/>
        </w:rPr>
      </w:pPr>
      <w:r w:rsidRPr="00B71E59">
        <w:rPr>
          <w:rFonts w:ascii="Bell MT" w:hAnsi="Bell MT"/>
          <w:color w:val="000000"/>
        </w:rPr>
        <w:t>Overall the General Data Protection Regulations law 2018 is a positive move forward for businesses maintain ethnic values within the corporations. Thus organisations that are already complying with the Data Protection Act 1998 and efficiently have a governance programme in place within the organisation will already be prepared and less effected getting ready for the GDPR evolution.</w:t>
      </w:r>
    </w:p>
    <w:p w:rsidR="009F5957" w:rsidRPr="00B71E59" w:rsidRDefault="009F5957" w:rsidP="00932BCD">
      <w:pPr>
        <w:pStyle w:val="NormalWeb"/>
        <w:shd w:val="clear" w:color="auto" w:fill="FFFFFF"/>
        <w:spacing w:before="0" w:beforeAutospacing="0" w:after="360" w:afterAutospacing="0"/>
        <w:textAlignment w:val="baseline"/>
        <w:rPr>
          <w:rFonts w:ascii="Bell MT" w:hAnsi="Bell MT"/>
          <w:color w:val="000000"/>
        </w:rPr>
      </w:pPr>
      <w:r w:rsidRPr="00B71E59">
        <w:rPr>
          <w:rFonts w:ascii="Bell MT" w:hAnsi="Bell MT"/>
          <w:color w:val="000000"/>
        </w:rPr>
        <w:t>The compliance with GDPR will help the Dragon office Supplies by cutting costs, prompting a business to retire data inventory software and also legacy applications that will no longer be relevant to the business. Dragon Office Supplies will be able to cut data maintenance costs, which would have otherwise be subsequently incurred with man-hours and also infrastructure maintenance costs (Paul, 2018).</w:t>
      </w:r>
    </w:p>
    <w:p w:rsidR="00C06873" w:rsidRPr="006347BC" w:rsidRDefault="005E7A80" w:rsidP="00932BCD">
      <w:pPr>
        <w:pStyle w:val="NormalWeb"/>
        <w:shd w:val="clear" w:color="auto" w:fill="FFFFFF"/>
        <w:spacing w:before="0" w:beforeAutospacing="0" w:after="360" w:afterAutospacing="0"/>
        <w:textAlignment w:val="baseline"/>
        <w:rPr>
          <w:rFonts w:ascii="Bell MT" w:hAnsi="Bell MT"/>
          <w:color w:val="000000"/>
        </w:rPr>
      </w:pPr>
      <w:r w:rsidRPr="00B71E59">
        <w:rPr>
          <w:rFonts w:ascii="Bell MT" w:hAnsi="Bell MT"/>
          <w:color w:val="000000"/>
        </w:rPr>
        <w:t xml:space="preserve">An aspect that will improve Dragon Office Supplies would be the improvement regarding the businesses networks and application security, helping the company transitioning towards the latest technologies and visualisation. </w:t>
      </w:r>
      <w:proofErr w:type="gramStart"/>
      <w:r w:rsidRPr="00B71E59">
        <w:rPr>
          <w:rFonts w:ascii="Bell MT" w:hAnsi="Bell MT"/>
          <w:color w:val="000000"/>
        </w:rPr>
        <w:t>Resulting in the company being able to effectively and efficiently managing the overall growing demand for data (Open Access Government, 2018).</w:t>
      </w:r>
      <w:proofErr w:type="gramEnd"/>
      <w:r w:rsidRPr="00B71E59">
        <w:rPr>
          <w:rFonts w:ascii="Bell MT" w:hAnsi="Bell MT"/>
          <w:color w:val="000000"/>
        </w:rPr>
        <w:t xml:space="preserve"> </w:t>
      </w:r>
    </w:p>
    <w:p w:rsidR="00451B57" w:rsidRPr="00B71E59" w:rsidRDefault="007173A6" w:rsidP="005146B4">
      <w:pPr>
        <w:shd w:val="clear" w:color="auto" w:fill="FFFFFF"/>
        <w:spacing w:after="300" w:line="288" w:lineRule="atLeast"/>
        <w:rPr>
          <w:rFonts w:ascii="Bell MT" w:hAnsi="Bell MT"/>
          <w:color w:val="000000"/>
          <w:sz w:val="24"/>
          <w:szCs w:val="24"/>
          <w:u w:val="single"/>
        </w:rPr>
      </w:pPr>
      <w:r w:rsidRPr="00B71E59">
        <w:rPr>
          <w:rFonts w:ascii="Bell MT" w:hAnsi="Bell MT"/>
          <w:color w:val="000000"/>
          <w:sz w:val="24"/>
          <w:szCs w:val="24"/>
          <w:u w:val="single"/>
        </w:rPr>
        <w:t xml:space="preserve">Conclusion </w:t>
      </w:r>
    </w:p>
    <w:p w:rsidR="00F31480" w:rsidRPr="00B71E59" w:rsidRDefault="00F31480" w:rsidP="005146B4">
      <w:pPr>
        <w:shd w:val="clear" w:color="auto" w:fill="FFFFFF"/>
        <w:spacing w:after="300" w:line="288" w:lineRule="atLeast"/>
        <w:rPr>
          <w:rFonts w:ascii="Bell MT" w:hAnsi="Bell MT"/>
          <w:color w:val="000000"/>
          <w:sz w:val="24"/>
          <w:szCs w:val="24"/>
        </w:rPr>
      </w:pPr>
      <w:r w:rsidRPr="00B71E59">
        <w:rPr>
          <w:rFonts w:ascii="Bell MT" w:hAnsi="Bell MT"/>
          <w:color w:val="000000"/>
          <w:sz w:val="24"/>
          <w:szCs w:val="24"/>
        </w:rPr>
        <w:t xml:space="preserve">Overall Dragon Office Supplies can be knowledgeable at the fact that GDPR is not a regulatory obligation but can also be seen as a means of being able to achieve business technology and alignment. However organisations will need to consider a comprehensive approach whilst attempting to align then businesses information and data management policies with the new regulatory frameworks set in place. </w:t>
      </w:r>
    </w:p>
    <w:p w:rsidR="00F31480" w:rsidRDefault="00F31480" w:rsidP="005146B4">
      <w:pPr>
        <w:shd w:val="clear" w:color="auto" w:fill="FFFFFF"/>
        <w:spacing w:after="300" w:line="288" w:lineRule="atLeast"/>
        <w:rPr>
          <w:rFonts w:ascii="Bell MT" w:hAnsi="Bell MT"/>
          <w:color w:val="000000"/>
          <w:sz w:val="24"/>
          <w:szCs w:val="24"/>
        </w:rPr>
      </w:pPr>
      <w:r w:rsidRPr="00B71E59">
        <w:rPr>
          <w:rFonts w:ascii="Bell MT" w:hAnsi="Bell MT"/>
          <w:color w:val="000000"/>
          <w:sz w:val="24"/>
          <w:szCs w:val="24"/>
        </w:rPr>
        <w:t xml:space="preserve">With introduction of GDPR to the business it will consolidate and ensure </w:t>
      </w:r>
      <w:r w:rsidR="00DE7A55" w:rsidRPr="00B71E59">
        <w:rPr>
          <w:rFonts w:ascii="Bell MT" w:hAnsi="Bell MT"/>
          <w:color w:val="000000"/>
          <w:sz w:val="24"/>
          <w:szCs w:val="24"/>
        </w:rPr>
        <w:t xml:space="preserve">the data is easier to use and manageable, effectively generating a greater understanding of it greater value. The new legislation will help to gain the business insight of the organisations customers and identifying certain areas of improvement whether they are currently not met. The use of customer information efficiently will help the business base more informed decisions, </w:t>
      </w:r>
      <w:r w:rsidR="00DE7A55" w:rsidRPr="00B71E59">
        <w:rPr>
          <w:rFonts w:ascii="Bell MT" w:hAnsi="Bell MT"/>
          <w:color w:val="000000"/>
          <w:sz w:val="24"/>
          <w:szCs w:val="24"/>
        </w:rPr>
        <w:lastRenderedPageBreak/>
        <w:t>resulting in a higher performance with regards to return on its investments (Open Access Government, 2018).</w:t>
      </w:r>
    </w:p>
    <w:p w:rsidR="00B71E59" w:rsidRPr="00B71E59" w:rsidRDefault="00B71E59" w:rsidP="005146B4">
      <w:pPr>
        <w:shd w:val="clear" w:color="auto" w:fill="FFFFFF"/>
        <w:spacing w:after="300" w:line="288" w:lineRule="atLeast"/>
        <w:rPr>
          <w:rFonts w:ascii="Bell MT" w:hAnsi="Bell MT"/>
          <w:color w:val="000000"/>
          <w:sz w:val="24"/>
          <w:szCs w:val="24"/>
        </w:rPr>
      </w:pPr>
    </w:p>
    <w:p w:rsidR="00234C82" w:rsidRPr="00B71E59" w:rsidRDefault="0089165B" w:rsidP="005146B4">
      <w:pPr>
        <w:shd w:val="clear" w:color="auto" w:fill="FFFFFF"/>
        <w:spacing w:after="300" w:line="288" w:lineRule="atLeast"/>
        <w:rPr>
          <w:rFonts w:ascii="Bell MT" w:hAnsi="Bell MT"/>
          <w:color w:val="000000"/>
          <w:sz w:val="24"/>
          <w:szCs w:val="24"/>
          <w:u w:val="single"/>
        </w:rPr>
      </w:pPr>
      <w:r w:rsidRPr="00B71E59">
        <w:rPr>
          <w:rFonts w:ascii="Bell MT" w:hAnsi="Bell MT"/>
          <w:color w:val="000000"/>
          <w:sz w:val="24"/>
          <w:szCs w:val="24"/>
          <w:u w:val="single"/>
        </w:rPr>
        <w:t xml:space="preserve">Bibliography </w:t>
      </w:r>
    </w:p>
    <w:sdt>
      <w:sdtPr>
        <w:rPr>
          <w:rFonts w:ascii="Bell MT" w:hAnsi="Bell MT" w:cs="Times New Roman"/>
          <w:sz w:val="24"/>
          <w:szCs w:val="24"/>
        </w:rPr>
        <w:id w:val="111145805"/>
        <w:bibliography/>
      </w:sdtPr>
      <w:sdtEndPr>
        <w:rPr>
          <w:rFonts w:eastAsia="Times New Roman"/>
          <w:lang w:eastAsia="en-GB"/>
        </w:rPr>
      </w:sdtEndPr>
      <w:sdtContent>
        <w:p w:rsidR="0089165B" w:rsidRPr="00B71E59" w:rsidRDefault="0089165B" w:rsidP="0089165B">
          <w:pPr>
            <w:pStyle w:val="Bibliography"/>
            <w:rPr>
              <w:rFonts w:ascii="Bell MT" w:hAnsi="Bell MT" w:cs="Times New Roman"/>
              <w:noProof/>
              <w:sz w:val="24"/>
              <w:szCs w:val="24"/>
              <w:lang w:val="en-US"/>
            </w:rPr>
          </w:pPr>
          <w:r w:rsidRPr="00B71E59">
            <w:rPr>
              <w:rFonts w:ascii="Bell MT" w:hAnsi="Bell MT" w:cs="Times New Roman"/>
              <w:sz w:val="24"/>
              <w:szCs w:val="24"/>
            </w:rPr>
            <w:fldChar w:fldCharType="begin"/>
          </w:r>
          <w:r w:rsidRPr="00B71E59">
            <w:rPr>
              <w:rFonts w:ascii="Bell MT" w:hAnsi="Bell MT" w:cs="Times New Roman"/>
              <w:sz w:val="24"/>
              <w:szCs w:val="24"/>
            </w:rPr>
            <w:instrText xml:space="preserve"> BIBLIOGRAPHY </w:instrText>
          </w:r>
          <w:r w:rsidRPr="00B71E59">
            <w:rPr>
              <w:rFonts w:ascii="Bell MT" w:hAnsi="Bell MT" w:cs="Times New Roman"/>
              <w:sz w:val="24"/>
              <w:szCs w:val="24"/>
            </w:rPr>
            <w:fldChar w:fldCharType="separate"/>
          </w:r>
        </w:p>
        <w:p w:rsidR="0089165B" w:rsidRPr="00B71E59" w:rsidRDefault="0089165B" w:rsidP="0089165B">
          <w:pPr>
            <w:spacing w:after="160" w:line="259" w:lineRule="auto"/>
            <w:rPr>
              <w:rFonts w:ascii="Bell MT" w:hAnsi="Bell MT"/>
              <w:sz w:val="24"/>
              <w:szCs w:val="24"/>
            </w:rPr>
          </w:pPr>
          <w:r w:rsidRPr="00B71E59">
            <w:rPr>
              <w:rFonts w:ascii="Bell MT" w:hAnsi="Bell MT"/>
              <w:b/>
              <w:bCs/>
              <w:noProof/>
              <w:sz w:val="24"/>
              <w:szCs w:val="24"/>
            </w:rPr>
            <w:fldChar w:fldCharType="end"/>
          </w:r>
        </w:p>
      </w:sdtContent>
    </w:sdt>
    <w:p w:rsidR="001F75A3" w:rsidRPr="001F75A3" w:rsidRDefault="001F75A3" w:rsidP="001F75A3">
      <w:pPr>
        <w:spacing w:after="180"/>
        <w:ind w:left="450" w:hanging="450"/>
        <w:rPr>
          <w:rFonts w:ascii="Bell MT" w:hAnsi="Bell MT"/>
          <w:color w:val="000000"/>
          <w:sz w:val="24"/>
          <w:szCs w:val="24"/>
        </w:rPr>
      </w:pPr>
      <w:proofErr w:type="spellStart"/>
      <w:proofErr w:type="gramStart"/>
      <w:r w:rsidRPr="001F75A3">
        <w:rPr>
          <w:rFonts w:ascii="Bell MT" w:hAnsi="Bell MT"/>
          <w:color w:val="000000"/>
          <w:sz w:val="24"/>
          <w:szCs w:val="24"/>
        </w:rPr>
        <w:t>Ghesmoune</w:t>
      </w:r>
      <w:proofErr w:type="spellEnd"/>
      <w:r w:rsidRPr="001F75A3">
        <w:rPr>
          <w:rFonts w:ascii="Bell MT" w:hAnsi="Bell MT"/>
          <w:color w:val="000000"/>
          <w:sz w:val="24"/>
          <w:szCs w:val="24"/>
        </w:rPr>
        <w:t>, M. (2017).</w:t>
      </w:r>
      <w:proofErr w:type="gramEnd"/>
      <w:r w:rsidRPr="001F75A3">
        <w:rPr>
          <w:rFonts w:ascii="Bell MT" w:hAnsi="Bell MT"/>
          <w:color w:val="000000"/>
          <w:sz w:val="24"/>
          <w:szCs w:val="24"/>
        </w:rPr>
        <w:t> </w:t>
      </w:r>
      <w:r w:rsidRPr="001F75A3">
        <w:rPr>
          <w:rFonts w:ascii="Bell MT" w:hAnsi="Bell MT"/>
          <w:i/>
          <w:iCs/>
          <w:color w:val="000000"/>
          <w:sz w:val="24"/>
          <w:szCs w:val="24"/>
        </w:rPr>
        <w:t xml:space="preserve">Big </w:t>
      </w:r>
      <w:proofErr w:type="gramStart"/>
      <w:r w:rsidRPr="001F75A3">
        <w:rPr>
          <w:rFonts w:ascii="Bell MT" w:hAnsi="Bell MT"/>
          <w:i/>
          <w:iCs/>
          <w:color w:val="000000"/>
          <w:sz w:val="24"/>
          <w:szCs w:val="24"/>
        </w:rPr>
        <w:t>Data :</w:t>
      </w:r>
      <w:proofErr w:type="gramEnd"/>
      <w:r w:rsidRPr="001F75A3">
        <w:rPr>
          <w:rFonts w:ascii="Bell MT" w:hAnsi="Bell MT"/>
          <w:i/>
          <w:iCs/>
          <w:color w:val="000000"/>
          <w:sz w:val="24"/>
          <w:szCs w:val="24"/>
        </w:rPr>
        <w:t xml:space="preserve"> From Collection to Visualization</w:t>
      </w:r>
      <w:r w:rsidRPr="001F75A3">
        <w:rPr>
          <w:rFonts w:ascii="Bell MT" w:hAnsi="Bell MT"/>
          <w:color w:val="000000"/>
          <w:sz w:val="24"/>
          <w:szCs w:val="24"/>
        </w:rPr>
        <w:t>. [</w:t>
      </w:r>
      <w:proofErr w:type="gramStart"/>
      <w:r w:rsidRPr="001F75A3">
        <w:rPr>
          <w:rFonts w:ascii="Bell MT" w:hAnsi="Bell MT"/>
          <w:color w:val="000000"/>
          <w:sz w:val="24"/>
          <w:szCs w:val="24"/>
        </w:rPr>
        <w:t>online</w:t>
      </w:r>
      <w:proofErr w:type="gramEnd"/>
      <w:r w:rsidRPr="001F75A3">
        <w:rPr>
          <w:rFonts w:ascii="Bell MT" w:hAnsi="Bell MT"/>
          <w:color w:val="000000"/>
          <w:sz w:val="24"/>
          <w:szCs w:val="24"/>
        </w:rPr>
        <w:t xml:space="preserve">] </w:t>
      </w:r>
      <w:proofErr w:type="gramStart"/>
      <w:r w:rsidRPr="001F75A3">
        <w:rPr>
          <w:rFonts w:ascii="Bell MT" w:hAnsi="Bell MT"/>
          <w:color w:val="000000"/>
          <w:sz w:val="24"/>
          <w:szCs w:val="24"/>
        </w:rPr>
        <w:t>Springer Link.</w:t>
      </w:r>
      <w:proofErr w:type="gramEnd"/>
      <w:r w:rsidRPr="001F75A3">
        <w:rPr>
          <w:rFonts w:ascii="Bell MT" w:hAnsi="Bell MT"/>
          <w:color w:val="000000"/>
          <w:sz w:val="24"/>
          <w:szCs w:val="24"/>
        </w:rPr>
        <w:t xml:space="preserve"> Available at: https://link.springer.com/article/10.1007/s10994-016-5622-4 [Accessed 13 May 2018].</w:t>
      </w:r>
    </w:p>
    <w:p w:rsidR="001F75A3" w:rsidRPr="00B71E59" w:rsidRDefault="001F75A3" w:rsidP="001F75A3">
      <w:pPr>
        <w:pStyle w:val="Bibliography"/>
        <w:rPr>
          <w:rFonts w:ascii="Bell MT" w:hAnsi="Bell MT"/>
          <w:color w:val="000000"/>
          <w:sz w:val="24"/>
          <w:szCs w:val="24"/>
        </w:rPr>
      </w:pPr>
      <w:proofErr w:type="gramStart"/>
      <w:r w:rsidRPr="001F75A3">
        <w:rPr>
          <w:rFonts w:ascii="Bell MT" w:hAnsi="Bell MT"/>
          <w:color w:val="000000"/>
          <w:sz w:val="24"/>
          <w:szCs w:val="24"/>
        </w:rPr>
        <w:t>Ico.org.uk. (2018).</w:t>
      </w:r>
      <w:proofErr w:type="gramEnd"/>
      <w:r w:rsidRPr="001F75A3">
        <w:rPr>
          <w:rFonts w:ascii="Bell MT" w:hAnsi="Bell MT"/>
          <w:color w:val="000000"/>
          <w:sz w:val="24"/>
          <w:szCs w:val="24"/>
        </w:rPr>
        <w:t> </w:t>
      </w:r>
      <w:proofErr w:type="gramStart"/>
      <w:r w:rsidRPr="001F75A3">
        <w:rPr>
          <w:rFonts w:ascii="Bell MT" w:hAnsi="Bell MT"/>
          <w:i/>
          <w:iCs/>
          <w:color w:val="000000"/>
          <w:sz w:val="24"/>
          <w:szCs w:val="24"/>
        </w:rPr>
        <w:t>General Data Protection Regulation (GDPR) FAQs for small organisations</w:t>
      </w:r>
      <w:r w:rsidRPr="001F75A3">
        <w:rPr>
          <w:rFonts w:ascii="Bell MT" w:hAnsi="Bell MT"/>
          <w:color w:val="000000"/>
          <w:sz w:val="24"/>
          <w:szCs w:val="24"/>
        </w:rPr>
        <w:t>.</w:t>
      </w:r>
      <w:proofErr w:type="gramEnd"/>
      <w:r w:rsidRPr="001F75A3">
        <w:rPr>
          <w:rFonts w:ascii="Bell MT" w:hAnsi="Bell MT"/>
          <w:color w:val="000000"/>
          <w:sz w:val="24"/>
          <w:szCs w:val="24"/>
        </w:rPr>
        <w:t xml:space="preserve"> [</w:t>
      </w:r>
      <w:proofErr w:type="gramStart"/>
      <w:r w:rsidRPr="001F75A3">
        <w:rPr>
          <w:rFonts w:ascii="Bell MT" w:hAnsi="Bell MT"/>
          <w:color w:val="000000"/>
          <w:sz w:val="24"/>
          <w:szCs w:val="24"/>
        </w:rPr>
        <w:t>online</w:t>
      </w:r>
      <w:proofErr w:type="gramEnd"/>
      <w:r w:rsidRPr="001F75A3">
        <w:rPr>
          <w:rFonts w:ascii="Bell MT" w:hAnsi="Bell MT"/>
          <w:color w:val="000000"/>
          <w:sz w:val="24"/>
          <w:szCs w:val="24"/>
        </w:rPr>
        <w:t>] Available at: https://ico.org.uk/for-organisations/business/guide-to-the-general-data-protection-regulation-gdpr-faqs/ [Accessed 13 May 2018].</w:t>
      </w:r>
    </w:p>
    <w:p w:rsidR="001F75A3" w:rsidRPr="00B71E59" w:rsidRDefault="001F75A3" w:rsidP="001F75A3">
      <w:pPr>
        <w:pStyle w:val="Bibliography"/>
        <w:rPr>
          <w:rFonts w:ascii="Bell MT" w:hAnsi="Bell MT" w:cs="Times New Roman"/>
          <w:noProof/>
          <w:sz w:val="24"/>
          <w:szCs w:val="24"/>
          <w:lang w:val="en-US"/>
        </w:rPr>
      </w:pPr>
      <w:r w:rsidRPr="00B71E59">
        <w:rPr>
          <w:rFonts w:ascii="Bell MT" w:hAnsi="Bell MT" w:cs="Times New Roman"/>
          <w:noProof/>
          <w:sz w:val="24"/>
          <w:szCs w:val="24"/>
          <w:lang w:val="en-US"/>
        </w:rPr>
        <w:t xml:space="preserve"> Kshetri, N., 2014. Big data's impact on privacy, security and consumer welfare. </w:t>
      </w:r>
      <w:r w:rsidRPr="00B71E59">
        <w:rPr>
          <w:rFonts w:ascii="Bell MT" w:hAnsi="Bell MT" w:cs="Times New Roman"/>
          <w:i/>
          <w:iCs/>
          <w:noProof/>
          <w:sz w:val="24"/>
          <w:szCs w:val="24"/>
          <w:lang w:val="en-US"/>
        </w:rPr>
        <w:t xml:space="preserve">Science Direct, </w:t>
      </w:r>
      <w:r w:rsidRPr="00B71E59">
        <w:rPr>
          <w:rFonts w:ascii="Bell MT" w:hAnsi="Bell MT" w:cs="Times New Roman"/>
          <w:noProof/>
          <w:sz w:val="24"/>
          <w:szCs w:val="24"/>
          <w:lang w:val="en-US"/>
        </w:rPr>
        <w:t>pp. 1134-1145.</w:t>
      </w:r>
    </w:p>
    <w:p w:rsidR="001F75A3" w:rsidRPr="001F75A3" w:rsidRDefault="001F75A3" w:rsidP="001F75A3">
      <w:pPr>
        <w:spacing w:after="180"/>
        <w:ind w:left="450" w:hanging="450"/>
        <w:rPr>
          <w:rFonts w:ascii="Bell MT" w:hAnsi="Bell MT"/>
          <w:color w:val="000000"/>
          <w:sz w:val="24"/>
          <w:szCs w:val="24"/>
        </w:rPr>
      </w:pPr>
      <w:r w:rsidRPr="001F75A3">
        <w:rPr>
          <w:rFonts w:ascii="Bell MT" w:hAnsi="Bell MT"/>
          <w:color w:val="000000"/>
          <w:sz w:val="24"/>
          <w:szCs w:val="24"/>
        </w:rPr>
        <w:t>Open Access Government. (2018). </w:t>
      </w:r>
      <w:proofErr w:type="gramStart"/>
      <w:r w:rsidRPr="001F75A3">
        <w:rPr>
          <w:rFonts w:ascii="Bell MT" w:hAnsi="Bell MT"/>
          <w:i/>
          <w:iCs/>
          <w:color w:val="000000"/>
          <w:sz w:val="24"/>
          <w:szCs w:val="24"/>
        </w:rPr>
        <w:t>The</w:t>
      </w:r>
      <w:proofErr w:type="gramEnd"/>
      <w:r w:rsidRPr="001F75A3">
        <w:rPr>
          <w:rFonts w:ascii="Bell MT" w:hAnsi="Bell MT"/>
          <w:i/>
          <w:iCs/>
          <w:color w:val="000000"/>
          <w:sz w:val="24"/>
          <w:szCs w:val="24"/>
        </w:rPr>
        <w:t xml:space="preserve"> five key business benefits of GDPR</w:t>
      </w:r>
      <w:r w:rsidRPr="001F75A3">
        <w:rPr>
          <w:rFonts w:ascii="Bell MT" w:hAnsi="Bell MT"/>
          <w:color w:val="000000"/>
          <w:sz w:val="24"/>
          <w:szCs w:val="24"/>
        </w:rPr>
        <w:t>. [</w:t>
      </w:r>
      <w:proofErr w:type="gramStart"/>
      <w:r w:rsidRPr="001F75A3">
        <w:rPr>
          <w:rFonts w:ascii="Bell MT" w:hAnsi="Bell MT"/>
          <w:color w:val="000000"/>
          <w:sz w:val="24"/>
          <w:szCs w:val="24"/>
        </w:rPr>
        <w:t>online</w:t>
      </w:r>
      <w:proofErr w:type="gramEnd"/>
      <w:r w:rsidRPr="001F75A3">
        <w:rPr>
          <w:rFonts w:ascii="Bell MT" w:hAnsi="Bell MT"/>
          <w:color w:val="000000"/>
          <w:sz w:val="24"/>
          <w:szCs w:val="24"/>
        </w:rPr>
        <w:t>] Available at: https://www.openaccessgovernment.org/the-five-key-business-benefits-of-gdpr/44554/ [Accessed 13 May 2018].</w:t>
      </w:r>
    </w:p>
    <w:p w:rsidR="001F75A3" w:rsidRPr="001F75A3" w:rsidRDefault="001F75A3" w:rsidP="001F75A3">
      <w:pPr>
        <w:spacing w:after="180"/>
        <w:ind w:left="450" w:hanging="450"/>
        <w:rPr>
          <w:rFonts w:ascii="Bell MT" w:hAnsi="Bell MT"/>
          <w:color w:val="000000"/>
          <w:sz w:val="24"/>
          <w:szCs w:val="24"/>
        </w:rPr>
      </w:pPr>
      <w:r w:rsidRPr="001F75A3">
        <w:rPr>
          <w:rFonts w:ascii="Bell MT" w:hAnsi="Bell MT"/>
          <w:color w:val="000000"/>
          <w:sz w:val="24"/>
          <w:szCs w:val="24"/>
        </w:rPr>
        <w:t>Paul, S. (2018). </w:t>
      </w:r>
      <w:proofErr w:type="gramStart"/>
      <w:r w:rsidRPr="001F75A3">
        <w:rPr>
          <w:rFonts w:ascii="Bell MT" w:hAnsi="Bell MT"/>
          <w:i/>
          <w:iCs/>
          <w:color w:val="000000"/>
          <w:sz w:val="24"/>
          <w:szCs w:val="24"/>
        </w:rPr>
        <w:t>Five Added Benefits of GDPR Compliance</w:t>
      </w:r>
      <w:r w:rsidRPr="001F75A3">
        <w:rPr>
          <w:rFonts w:ascii="Bell MT" w:hAnsi="Bell MT"/>
          <w:color w:val="000000"/>
          <w:sz w:val="24"/>
          <w:szCs w:val="24"/>
        </w:rPr>
        <w:t>.</w:t>
      </w:r>
      <w:proofErr w:type="gramEnd"/>
      <w:r w:rsidRPr="001F75A3">
        <w:rPr>
          <w:rFonts w:ascii="Bell MT" w:hAnsi="Bell MT"/>
          <w:color w:val="000000"/>
          <w:sz w:val="24"/>
          <w:szCs w:val="24"/>
        </w:rPr>
        <w:t xml:space="preserve"> All </w:t>
      </w:r>
      <w:proofErr w:type="gramStart"/>
      <w:r w:rsidRPr="001F75A3">
        <w:rPr>
          <w:rFonts w:ascii="Bell MT" w:hAnsi="Bell MT"/>
          <w:color w:val="000000"/>
          <w:sz w:val="24"/>
          <w:szCs w:val="24"/>
        </w:rPr>
        <w:t>The</w:t>
      </w:r>
      <w:proofErr w:type="gramEnd"/>
      <w:r w:rsidRPr="001F75A3">
        <w:rPr>
          <w:rFonts w:ascii="Bell MT" w:hAnsi="Bell MT"/>
          <w:color w:val="000000"/>
          <w:sz w:val="24"/>
          <w:szCs w:val="24"/>
        </w:rPr>
        <w:t xml:space="preserve"> Latest on GF.</w:t>
      </w:r>
    </w:p>
    <w:p w:rsidR="001F75A3" w:rsidRPr="001F75A3" w:rsidRDefault="001F75A3" w:rsidP="001F75A3">
      <w:pPr>
        <w:spacing w:after="180"/>
        <w:ind w:left="450" w:hanging="450"/>
        <w:rPr>
          <w:rFonts w:ascii="Bell MT" w:hAnsi="Bell MT"/>
          <w:color w:val="000000"/>
          <w:sz w:val="24"/>
          <w:szCs w:val="24"/>
        </w:rPr>
      </w:pPr>
      <w:r w:rsidRPr="001F75A3">
        <w:rPr>
          <w:rFonts w:ascii="Bell MT" w:hAnsi="Bell MT"/>
          <w:color w:val="000000"/>
          <w:sz w:val="24"/>
          <w:szCs w:val="24"/>
        </w:rPr>
        <w:t>Paul, S. (2018). </w:t>
      </w:r>
      <w:proofErr w:type="gramStart"/>
      <w:r w:rsidRPr="001F75A3">
        <w:rPr>
          <w:rFonts w:ascii="Bell MT" w:hAnsi="Bell MT"/>
          <w:i/>
          <w:iCs/>
          <w:color w:val="000000"/>
          <w:sz w:val="24"/>
          <w:szCs w:val="24"/>
        </w:rPr>
        <w:t>Five Added Benefits of GDPR Compliance</w:t>
      </w:r>
      <w:r w:rsidRPr="001F75A3">
        <w:rPr>
          <w:rFonts w:ascii="Bell MT" w:hAnsi="Bell MT"/>
          <w:color w:val="000000"/>
          <w:sz w:val="24"/>
          <w:szCs w:val="24"/>
        </w:rPr>
        <w:t>.</w:t>
      </w:r>
      <w:proofErr w:type="gramEnd"/>
      <w:r w:rsidRPr="001F75A3">
        <w:rPr>
          <w:rFonts w:ascii="Bell MT" w:hAnsi="Bell MT"/>
          <w:color w:val="000000"/>
          <w:sz w:val="24"/>
          <w:szCs w:val="24"/>
        </w:rPr>
        <w:t xml:space="preserve"> All </w:t>
      </w:r>
      <w:proofErr w:type="gramStart"/>
      <w:r w:rsidRPr="001F75A3">
        <w:rPr>
          <w:rFonts w:ascii="Bell MT" w:hAnsi="Bell MT"/>
          <w:color w:val="000000"/>
          <w:sz w:val="24"/>
          <w:szCs w:val="24"/>
        </w:rPr>
        <w:t>The</w:t>
      </w:r>
      <w:proofErr w:type="gramEnd"/>
      <w:r w:rsidRPr="001F75A3">
        <w:rPr>
          <w:rFonts w:ascii="Bell MT" w:hAnsi="Bell MT"/>
          <w:color w:val="000000"/>
          <w:sz w:val="24"/>
          <w:szCs w:val="24"/>
        </w:rPr>
        <w:t xml:space="preserve"> Latest on GDPR. [</w:t>
      </w:r>
      <w:proofErr w:type="gramStart"/>
      <w:r w:rsidRPr="001F75A3">
        <w:rPr>
          <w:rFonts w:ascii="Bell MT" w:hAnsi="Bell MT"/>
          <w:color w:val="000000"/>
          <w:sz w:val="24"/>
          <w:szCs w:val="24"/>
        </w:rPr>
        <w:t>online</w:t>
      </w:r>
      <w:proofErr w:type="gramEnd"/>
      <w:r w:rsidRPr="001F75A3">
        <w:rPr>
          <w:rFonts w:ascii="Bell MT" w:hAnsi="Bell MT"/>
          <w:color w:val="000000"/>
          <w:sz w:val="24"/>
          <w:szCs w:val="24"/>
        </w:rPr>
        <w:t xml:space="preserve">] </w:t>
      </w:r>
      <w:proofErr w:type="spellStart"/>
      <w:r w:rsidRPr="001F75A3">
        <w:rPr>
          <w:rFonts w:ascii="Bell MT" w:hAnsi="Bell MT"/>
          <w:color w:val="000000"/>
          <w:sz w:val="24"/>
          <w:szCs w:val="24"/>
        </w:rPr>
        <w:t>GDPR</w:t>
      </w:r>
      <w:proofErr w:type="gramStart"/>
      <w:r w:rsidRPr="001F75A3">
        <w:rPr>
          <w:rFonts w:ascii="Bell MT" w:hAnsi="Bell MT"/>
          <w:color w:val="000000"/>
          <w:sz w:val="24"/>
          <w:szCs w:val="24"/>
        </w:rPr>
        <w:t>:Report</w:t>
      </w:r>
      <w:proofErr w:type="spellEnd"/>
      <w:proofErr w:type="gramEnd"/>
      <w:r w:rsidRPr="001F75A3">
        <w:rPr>
          <w:rFonts w:ascii="Bell MT" w:hAnsi="Bell MT"/>
          <w:color w:val="000000"/>
          <w:sz w:val="24"/>
          <w:szCs w:val="24"/>
        </w:rPr>
        <w:t>. Available at: https://gdpr.report/news/2017/12/18/five-added-benefits-gdpr-compliance/ [Accessed 13 May 2018].</w:t>
      </w:r>
    </w:p>
    <w:p w:rsidR="001F75A3" w:rsidRPr="001F75A3" w:rsidRDefault="001F75A3" w:rsidP="001F75A3">
      <w:pPr>
        <w:spacing w:after="180"/>
        <w:ind w:left="450" w:hanging="450"/>
        <w:rPr>
          <w:rFonts w:ascii="Bell MT" w:hAnsi="Bell MT"/>
          <w:color w:val="000000"/>
          <w:sz w:val="24"/>
          <w:szCs w:val="24"/>
        </w:rPr>
      </w:pPr>
      <w:r w:rsidRPr="001F75A3">
        <w:rPr>
          <w:rFonts w:ascii="Bell MT" w:hAnsi="Bell MT"/>
          <w:color w:val="000000"/>
          <w:sz w:val="24"/>
          <w:szCs w:val="24"/>
        </w:rPr>
        <w:t>Wood, S. (2017). GDPR Is An Evolution In Data Protection. [Blog] </w:t>
      </w:r>
      <w:proofErr w:type="gramStart"/>
      <w:r w:rsidRPr="001F75A3">
        <w:rPr>
          <w:rFonts w:ascii="Bell MT" w:hAnsi="Bell MT"/>
          <w:i/>
          <w:iCs/>
          <w:color w:val="000000"/>
          <w:sz w:val="24"/>
          <w:szCs w:val="24"/>
        </w:rPr>
        <w:t>Information Commissioner's Office Blog</w:t>
      </w:r>
      <w:r w:rsidRPr="001F75A3">
        <w:rPr>
          <w:rFonts w:ascii="Bell MT" w:hAnsi="Bell MT"/>
          <w:color w:val="000000"/>
          <w:sz w:val="24"/>
          <w:szCs w:val="24"/>
        </w:rPr>
        <w:t>.</w:t>
      </w:r>
      <w:proofErr w:type="gramEnd"/>
      <w:r w:rsidRPr="001F75A3">
        <w:rPr>
          <w:rFonts w:ascii="Bell MT" w:hAnsi="Bell MT"/>
          <w:color w:val="000000"/>
          <w:sz w:val="24"/>
          <w:szCs w:val="24"/>
        </w:rPr>
        <w:t xml:space="preserve"> Available at: https://iconewsblog.org.uk/2017/08/25/gdpr-is-an-evolution-in-data-protection-not-a-burdensome-revolution/ [Accessed 13 May 2018].</w:t>
      </w:r>
    </w:p>
    <w:p w:rsidR="0089165B" w:rsidRPr="00C06873" w:rsidRDefault="0089165B" w:rsidP="005146B4">
      <w:pPr>
        <w:shd w:val="clear" w:color="auto" w:fill="FFFFFF"/>
        <w:spacing w:after="300" w:line="288" w:lineRule="atLeast"/>
        <w:rPr>
          <w:rFonts w:ascii="Bell MT" w:hAnsi="Bell MT"/>
          <w:color w:val="000000"/>
          <w:sz w:val="24"/>
          <w:szCs w:val="24"/>
        </w:rPr>
      </w:pPr>
    </w:p>
    <w:p w:rsidR="00DE2C44" w:rsidRPr="00C06873" w:rsidRDefault="00DE2C44" w:rsidP="005146B4">
      <w:pPr>
        <w:shd w:val="clear" w:color="auto" w:fill="FFFFFF"/>
        <w:spacing w:after="300" w:line="288" w:lineRule="atLeast"/>
        <w:rPr>
          <w:rFonts w:ascii="Bell MT" w:hAnsi="Bell MT"/>
          <w:color w:val="000000"/>
          <w:sz w:val="24"/>
          <w:szCs w:val="24"/>
        </w:rPr>
      </w:pPr>
    </w:p>
    <w:p w:rsidR="00EF43A3" w:rsidRPr="00C06873" w:rsidRDefault="00EF43A3">
      <w:pPr>
        <w:rPr>
          <w:rFonts w:ascii="Bell MT" w:hAnsi="Bell MT"/>
        </w:rPr>
      </w:pPr>
    </w:p>
    <w:sectPr w:rsidR="00EF43A3" w:rsidRPr="00C06873" w:rsidSect="00EF43A3">
      <w:headerReference w:type="default" r:id="rId7"/>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AD0411" w:rsidRDefault="00AD0411" w:rsidP="00B71E59">
      <w:r>
        <w:separator/>
      </w:r>
    </w:p>
  </w:endnote>
  <w:endnote w:type="continuationSeparator" w:id="0">
    <w:p w:rsidR="00AD0411" w:rsidRDefault="00AD0411" w:rsidP="00B71E59">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Bell MT">
    <w:panose1 w:val="02020503060305020303"/>
    <w:charset w:val="00"/>
    <w:family w:val="roman"/>
    <w:pitch w:val="variable"/>
    <w:sig w:usb0="0000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AD0411" w:rsidRDefault="00AD0411" w:rsidP="00B71E59">
      <w:r>
        <w:separator/>
      </w:r>
    </w:p>
  </w:footnote>
  <w:footnote w:type="continuationSeparator" w:id="0">
    <w:p w:rsidR="00AD0411" w:rsidRDefault="00AD0411" w:rsidP="00B71E59">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B71E59" w:rsidRDefault="00B71E59">
    <w:pPr>
      <w:pStyle w:val="Header"/>
    </w:pPr>
    <w:r>
      <w:t>P151975</w:t>
    </w:r>
  </w:p>
</w:hdr>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isplayBackgroundShape/>
  <w:proofState w:spelling="clean" w:grammar="clean"/>
  <w:defaultTabStop w:val="720"/>
  <w:characterSpacingControl w:val="doNotCompress"/>
  <w:footnotePr>
    <w:footnote w:id="-1"/>
    <w:footnote w:id="0"/>
  </w:footnotePr>
  <w:endnotePr>
    <w:endnote w:id="-1"/>
    <w:endnote w:id="0"/>
  </w:endnotePr>
  <w:compat/>
  <w:docVars>
    <w:docVar w:name="__Grammarly_42____i" w:val="H4sIAAAAAAAEAKtWckksSQxILCpxzi/NK1GyMqwFAAEhoTITAAAA"/>
    <w:docVar w:name="__Grammarly_42___1" w:val="H4sIAAAAAAAEAKtWcslP9kxRslIyNDY0NzA1Njc3Mrc0NTI3MjRX0lEKTi0uzszPAykwqgUA6l2u8iwAAAA="/>
  </w:docVars>
  <w:rsids>
    <w:rsidRoot w:val="005146B4"/>
    <w:rsid w:val="001F24DB"/>
    <w:rsid w:val="001F75A3"/>
    <w:rsid w:val="00234C82"/>
    <w:rsid w:val="00344C1B"/>
    <w:rsid w:val="00404B73"/>
    <w:rsid w:val="00451B57"/>
    <w:rsid w:val="00477E31"/>
    <w:rsid w:val="005146B4"/>
    <w:rsid w:val="005E7A80"/>
    <w:rsid w:val="006347BC"/>
    <w:rsid w:val="006C55EE"/>
    <w:rsid w:val="006F7FE2"/>
    <w:rsid w:val="007173A6"/>
    <w:rsid w:val="00762F5C"/>
    <w:rsid w:val="00770295"/>
    <w:rsid w:val="00821B8C"/>
    <w:rsid w:val="0089165B"/>
    <w:rsid w:val="00895781"/>
    <w:rsid w:val="00932BCD"/>
    <w:rsid w:val="009571CE"/>
    <w:rsid w:val="009D3617"/>
    <w:rsid w:val="009F5957"/>
    <w:rsid w:val="00AD0411"/>
    <w:rsid w:val="00B57DC9"/>
    <w:rsid w:val="00B71E59"/>
    <w:rsid w:val="00BE003C"/>
    <w:rsid w:val="00C06873"/>
    <w:rsid w:val="00DE2C44"/>
    <w:rsid w:val="00DE31F4"/>
    <w:rsid w:val="00DE7A55"/>
    <w:rsid w:val="00E91338"/>
    <w:rsid w:val="00E968B9"/>
    <w:rsid w:val="00EC07DB"/>
    <w:rsid w:val="00EF43A3"/>
    <w:rsid w:val="00F205D2"/>
    <w:rsid w:val="00F31480"/>
    <w:rsid w:val="00F62958"/>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146B4"/>
    <w:pPr>
      <w:spacing w:after="0" w:line="240" w:lineRule="auto"/>
    </w:pPr>
    <w:rPr>
      <w:rFonts w:ascii="Arial" w:eastAsia="Times New Roman" w:hAnsi="Arial" w:cs="Times New Roman"/>
      <w:szCs w:val="20"/>
      <w:lang w:eastAsia="en-GB"/>
    </w:rPr>
  </w:style>
  <w:style w:type="paragraph" w:styleId="Heading2">
    <w:name w:val="heading 2"/>
    <w:basedOn w:val="Normal"/>
    <w:link w:val="Heading2Char"/>
    <w:uiPriority w:val="9"/>
    <w:qFormat/>
    <w:rsid w:val="001F75A3"/>
    <w:pPr>
      <w:spacing w:before="100" w:beforeAutospacing="1" w:after="100" w:afterAutospacing="1"/>
      <w:outlineLvl w:val="1"/>
    </w:pPr>
    <w:rPr>
      <w:rFonts w:ascii="Times New Roman" w:hAnsi="Times New Roman"/>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ibliography">
    <w:name w:val="Bibliography"/>
    <w:basedOn w:val="Normal"/>
    <w:next w:val="Normal"/>
    <w:uiPriority w:val="37"/>
    <w:unhideWhenUsed/>
    <w:rsid w:val="0089165B"/>
    <w:pPr>
      <w:spacing w:after="160" w:line="259" w:lineRule="auto"/>
    </w:pPr>
    <w:rPr>
      <w:rFonts w:asciiTheme="minorHAnsi" w:eastAsiaTheme="minorHAnsi" w:hAnsiTheme="minorHAnsi" w:cstheme="minorBidi"/>
      <w:szCs w:val="22"/>
      <w:lang w:eastAsia="en-US"/>
    </w:rPr>
  </w:style>
  <w:style w:type="paragraph" w:customStyle="1" w:styleId="para">
    <w:name w:val="para"/>
    <w:basedOn w:val="Normal"/>
    <w:rsid w:val="00451B57"/>
    <w:pPr>
      <w:spacing w:before="100" w:beforeAutospacing="1" w:after="100" w:afterAutospacing="1"/>
    </w:pPr>
    <w:rPr>
      <w:rFonts w:ascii="Times New Roman" w:hAnsi="Times New Roman"/>
      <w:sz w:val="24"/>
      <w:szCs w:val="24"/>
    </w:rPr>
  </w:style>
  <w:style w:type="character" w:styleId="Emphasis">
    <w:name w:val="Emphasis"/>
    <w:basedOn w:val="DefaultParagraphFont"/>
    <w:uiPriority w:val="20"/>
    <w:qFormat/>
    <w:rsid w:val="00451B57"/>
    <w:rPr>
      <w:i/>
      <w:iCs/>
    </w:rPr>
  </w:style>
  <w:style w:type="character" w:customStyle="1" w:styleId="citationref">
    <w:name w:val="citationref"/>
    <w:basedOn w:val="DefaultParagraphFont"/>
    <w:rsid w:val="00451B57"/>
  </w:style>
  <w:style w:type="character" w:styleId="Hyperlink">
    <w:name w:val="Hyperlink"/>
    <w:basedOn w:val="DefaultParagraphFont"/>
    <w:uiPriority w:val="99"/>
    <w:semiHidden/>
    <w:unhideWhenUsed/>
    <w:rsid w:val="00451B57"/>
    <w:rPr>
      <w:color w:val="0000FF"/>
      <w:u w:val="single"/>
    </w:rPr>
  </w:style>
  <w:style w:type="paragraph" w:styleId="BalloonText">
    <w:name w:val="Balloon Text"/>
    <w:basedOn w:val="Normal"/>
    <w:link w:val="BalloonTextChar"/>
    <w:uiPriority w:val="99"/>
    <w:semiHidden/>
    <w:unhideWhenUsed/>
    <w:rsid w:val="009D3617"/>
    <w:rPr>
      <w:rFonts w:ascii="Tahoma" w:hAnsi="Tahoma" w:cs="Tahoma"/>
      <w:sz w:val="16"/>
      <w:szCs w:val="16"/>
    </w:rPr>
  </w:style>
  <w:style w:type="character" w:customStyle="1" w:styleId="BalloonTextChar">
    <w:name w:val="Balloon Text Char"/>
    <w:basedOn w:val="DefaultParagraphFont"/>
    <w:link w:val="BalloonText"/>
    <w:uiPriority w:val="99"/>
    <w:semiHidden/>
    <w:rsid w:val="009D3617"/>
    <w:rPr>
      <w:rFonts w:ascii="Tahoma" w:eastAsia="Times New Roman" w:hAnsi="Tahoma" w:cs="Tahoma"/>
      <w:sz w:val="16"/>
      <w:szCs w:val="16"/>
      <w:lang w:eastAsia="en-GB"/>
    </w:rPr>
  </w:style>
  <w:style w:type="paragraph" w:styleId="NormalWeb">
    <w:name w:val="Normal (Web)"/>
    <w:basedOn w:val="Normal"/>
    <w:uiPriority w:val="99"/>
    <w:unhideWhenUsed/>
    <w:rsid w:val="00DE31F4"/>
    <w:pPr>
      <w:spacing w:before="100" w:beforeAutospacing="1" w:after="100" w:afterAutospacing="1"/>
    </w:pPr>
    <w:rPr>
      <w:rFonts w:ascii="Times New Roman" w:hAnsi="Times New Roman"/>
      <w:sz w:val="24"/>
      <w:szCs w:val="24"/>
    </w:rPr>
  </w:style>
  <w:style w:type="character" w:customStyle="1" w:styleId="Heading2Char">
    <w:name w:val="Heading 2 Char"/>
    <w:basedOn w:val="DefaultParagraphFont"/>
    <w:link w:val="Heading2"/>
    <w:uiPriority w:val="9"/>
    <w:rsid w:val="001F75A3"/>
    <w:rPr>
      <w:rFonts w:ascii="Times New Roman" w:eastAsia="Times New Roman" w:hAnsi="Times New Roman" w:cs="Times New Roman"/>
      <w:b/>
      <w:bCs/>
      <w:sz w:val="36"/>
      <w:szCs w:val="36"/>
      <w:lang w:eastAsia="en-GB"/>
    </w:rPr>
  </w:style>
  <w:style w:type="paragraph" w:styleId="Header">
    <w:name w:val="header"/>
    <w:basedOn w:val="Normal"/>
    <w:link w:val="HeaderChar"/>
    <w:uiPriority w:val="99"/>
    <w:semiHidden/>
    <w:unhideWhenUsed/>
    <w:rsid w:val="00B71E59"/>
    <w:pPr>
      <w:tabs>
        <w:tab w:val="center" w:pos="4513"/>
        <w:tab w:val="right" w:pos="9026"/>
      </w:tabs>
    </w:pPr>
  </w:style>
  <w:style w:type="character" w:customStyle="1" w:styleId="HeaderChar">
    <w:name w:val="Header Char"/>
    <w:basedOn w:val="DefaultParagraphFont"/>
    <w:link w:val="Header"/>
    <w:uiPriority w:val="99"/>
    <w:semiHidden/>
    <w:rsid w:val="00B71E59"/>
    <w:rPr>
      <w:rFonts w:ascii="Arial" w:eastAsia="Times New Roman" w:hAnsi="Arial" w:cs="Times New Roman"/>
      <w:szCs w:val="20"/>
      <w:lang w:eastAsia="en-GB"/>
    </w:rPr>
  </w:style>
  <w:style w:type="paragraph" w:styleId="Footer">
    <w:name w:val="footer"/>
    <w:basedOn w:val="Normal"/>
    <w:link w:val="FooterChar"/>
    <w:uiPriority w:val="99"/>
    <w:semiHidden/>
    <w:unhideWhenUsed/>
    <w:rsid w:val="00B71E59"/>
    <w:pPr>
      <w:tabs>
        <w:tab w:val="center" w:pos="4513"/>
        <w:tab w:val="right" w:pos="9026"/>
      </w:tabs>
    </w:pPr>
  </w:style>
  <w:style w:type="character" w:customStyle="1" w:styleId="FooterChar">
    <w:name w:val="Footer Char"/>
    <w:basedOn w:val="DefaultParagraphFont"/>
    <w:link w:val="Footer"/>
    <w:uiPriority w:val="99"/>
    <w:semiHidden/>
    <w:rsid w:val="00B71E59"/>
    <w:rPr>
      <w:rFonts w:ascii="Arial" w:eastAsia="Times New Roman" w:hAnsi="Arial" w:cs="Times New Roman"/>
      <w:szCs w:val="20"/>
      <w:lang w:eastAsia="en-GB"/>
    </w:rPr>
  </w:style>
</w:styles>
</file>

<file path=word/webSettings.xml><?xml version="1.0" encoding="utf-8"?>
<w:webSettings xmlns:r="http://schemas.openxmlformats.org/officeDocument/2006/relationships" xmlns:w="http://schemas.openxmlformats.org/wordprocessingml/2006/main">
  <w:divs>
    <w:div w:id="1551185304">
      <w:bodyDiv w:val="1"/>
      <w:marLeft w:val="0"/>
      <w:marRight w:val="0"/>
      <w:marTop w:val="0"/>
      <w:marBottom w:val="0"/>
      <w:divBdr>
        <w:top w:val="none" w:sz="0" w:space="0" w:color="auto"/>
        <w:left w:val="none" w:sz="0" w:space="0" w:color="auto"/>
        <w:bottom w:val="none" w:sz="0" w:space="0" w:color="auto"/>
        <w:right w:val="none" w:sz="0" w:space="0" w:color="auto"/>
      </w:divBdr>
    </w:div>
    <w:div w:id="1800295869">
      <w:bodyDiv w:val="1"/>
      <w:marLeft w:val="0"/>
      <w:marRight w:val="0"/>
      <w:marTop w:val="0"/>
      <w:marBottom w:val="0"/>
      <w:divBdr>
        <w:top w:val="none" w:sz="0" w:space="0" w:color="auto"/>
        <w:left w:val="none" w:sz="0" w:space="0" w:color="auto"/>
        <w:bottom w:val="none" w:sz="0" w:space="0" w:color="auto"/>
        <w:right w:val="none" w:sz="0" w:space="0" w:color="auto"/>
      </w:divBdr>
    </w:div>
    <w:div w:id="18203457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b:Source>
    <b:Tag>Ksh14</b:Tag>
    <b:SourceType>JournalArticle</b:SourceType>
    <b:Guid>{D3DC78BB-06A9-46A6-9B3D-A0715E0837BB}</b:Guid>
    <b:Title>Big data's impact on privacy, security and consumer welfare</b:Title>
    <b:Year>2014</b:Year>
    <b:JournalName>Science Direct</b:JournalName>
    <b:Pages>1134-1145</b:Pages>
    <b:Author>
      <b:Author>
        <b:NameList>
          <b:Person>
            <b:Last>Kshetri</b:Last>
            <b:First>Nir </b:First>
          </b:Person>
        </b:NameList>
      </b:Author>
    </b:Author>
    <b:RefOrder>1</b:RefOrder>
  </b:Source>
  <b:Source>
    <b:Tag>Man11</b:Tag>
    <b:SourceType>JournalArticle</b:SourceType>
    <b:Guid>{BB74FC54-AEB6-4C36-A924-D75DB6C263E6}</b:Guid>
    <b:Title>Big data: The next frontier for innovation, competition, and productivity</b:Title>
    <b:JournalName>The McKinsey Global Institute </b:JournalName>
    <b:Year>2011</b:Year>
    <b:Author>
      <b:Author>
        <b:NameList>
          <b:Person>
            <b:Last>Manyika</b:Last>
            <b:First>James </b:First>
          </b:Person>
          <b:Person>
            <b:Last>Chui</b:Last>
            <b:First>Michael </b:First>
          </b:Person>
          <b:Person>
            <b:Last>Brown</b:Last>
            <b:First>Brad </b:First>
          </b:Person>
          <b:Person>
            <b:Last>Bughin</b:Last>
            <b:First>Jacques </b:First>
          </b:Person>
          <b:Person>
            <b:Last>Dobbs</b:Last>
            <b:First>Richard </b:First>
          </b:Person>
          <b:Person>
            <b:Last>Roxburgh</b:Last>
            <b:First>Charles </b:First>
          </b:Person>
          <b:Person>
            <b:Last>Byers</b:Last>
            <b:First>Angela Hung</b:First>
          </b:Person>
        </b:NameList>
      </b:Author>
    </b:Author>
    <b:RefOrder>2</b:RefOrder>
  </b:Source>
  <b:Source>
    <b:Tag>Sch12</b:Tag>
    <b:SourceType>JournalArticle</b:SourceType>
    <b:Guid>{FD77B6A0-F830-40B4-BDDA-B69657817A22}</b:Guid>
    <b:Title>The changing privacy landscape in the era of big data</b:Title>
    <b:JournalName>EMBO and Macmillan Publishers Limited</b:JournalName>
    <b:Year>2012</b:Year>
    <b:Author>
      <b:Author>
        <b:NameList>
          <b:Person>
            <b:Last> Schadt</b:Last>
            <b:First>Eric E</b:First>
          </b:Person>
        </b:NameList>
      </b:Author>
    </b:Author>
    <b:YearAccessed>2016</b:YearAccessed>
    <b:MonthAccessed>May</b:MonthAccessed>
    <b:DayAccessed>4</b:DayAccessed>
    <b:URL>http://msb.embopress.org/content/8/1/612</b:URL>
    <b:RefOrder>3</b:RefOrder>
  </b:Source>
</b:Sources>
</file>

<file path=customXml/itemProps1.xml><?xml version="1.0" encoding="utf-8"?>
<ds:datastoreItem xmlns:ds="http://schemas.openxmlformats.org/officeDocument/2006/customXml" ds:itemID="{1982B8B9-760E-4583-8FB7-64D8F59CDCE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329</TotalTime>
  <Pages>3</Pages>
  <Words>1095</Words>
  <Characters>6247</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7328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Penelope Harrow</dc:creator>
  <cp:keywords/>
  <dc:description/>
  <cp:lastModifiedBy>Penelope Harrow</cp:lastModifiedBy>
  <cp:revision>21</cp:revision>
  <dcterms:created xsi:type="dcterms:W3CDTF">2018-05-11T18:42:00Z</dcterms:created>
  <dcterms:modified xsi:type="dcterms:W3CDTF">2018-05-14T00:11:00Z</dcterms:modified>
</cp:coreProperties>
</file>