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57B68" w14:textId="77777777" w:rsidR="003250E8" w:rsidRPr="00367152" w:rsidRDefault="003250E8" w:rsidP="003250E8">
      <w:pPr>
        <w:spacing w:line="360" w:lineRule="auto"/>
        <w:rPr>
          <w:rFonts w:ascii="Arial" w:hAnsi="Arial" w:cs="Arial"/>
        </w:rPr>
      </w:pPr>
      <w:r w:rsidRPr="00367152">
        <w:rPr>
          <w:rFonts w:ascii="Arial" w:hAnsi="Arial" w:cs="Arial"/>
          <w:noProof/>
          <w:sz w:val="20"/>
          <w:lang w:eastAsia="en-GB"/>
        </w:rPr>
        <w:drawing>
          <wp:anchor distT="0" distB="0" distL="114300" distR="114300" simplePos="0" relativeHeight="251659264" behindDoc="1" locked="0" layoutInCell="1" allowOverlap="1" wp14:anchorId="74623707" wp14:editId="76E5FE3B">
            <wp:simplePos x="0" y="0"/>
            <wp:positionH relativeFrom="column">
              <wp:posOffset>-327661</wp:posOffset>
            </wp:positionH>
            <wp:positionV relativeFrom="paragraph">
              <wp:posOffset>-441960</wp:posOffset>
            </wp:positionV>
            <wp:extent cx="2137229" cy="708660"/>
            <wp:effectExtent l="0" t="0" r="0" b="0"/>
            <wp:wrapNone/>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39849" cy="709529"/>
                    </a:xfrm>
                    <a:prstGeom prst="rect">
                      <a:avLst/>
                    </a:prstGeom>
                  </pic:spPr>
                </pic:pic>
              </a:graphicData>
            </a:graphic>
            <wp14:sizeRelH relativeFrom="page">
              <wp14:pctWidth>0</wp14:pctWidth>
            </wp14:sizeRelH>
            <wp14:sizeRelV relativeFrom="page">
              <wp14:pctHeight>0</wp14:pctHeight>
            </wp14:sizeRelV>
          </wp:anchor>
        </w:drawing>
      </w:r>
    </w:p>
    <w:p w14:paraId="4A4BFD6D" w14:textId="77777777" w:rsidR="003250E8" w:rsidRPr="00367152" w:rsidRDefault="003250E8" w:rsidP="003250E8">
      <w:pPr>
        <w:spacing w:line="360" w:lineRule="auto"/>
        <w:rPr>
          <w:rFonts w:ascii="Arial" w:hAnsi="Arial" w:cs="Arial"/>
        </w:rPr>
      </w:pPr>
    </w:p>
    <w:p w14:paraId="604624B9" w14:textId="77777777" w:rsidR="003250E8" w:rsidRPr="00367152" w:rsidRDefault="003250E8" w:rsidP="003250E8">
      <w:pPr>
        <w:spacing w:line="360" w:lineRule="auto"/>
        <w:rPr>
          <w:rFonts w:ascii="Arial" w:hAnsi="Arial" w:cs="Arial"/>
        </w:rPr>
      </w:pPr>
    </w:p>
    <w:tbl>
      <w:tblPr>
        <w:tblW w:w="992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049"/>
        <w:gridCol w:w="2268"/>
        <w:gridCol w:w="2514"/>
      </w:tblGrid>
      <w:tr w:rsidR="003250E8" w:rsidRPr="00367152" w14:paraId="7BD6971D" w14:textId="77777777" w:rsidTr="00643C3C">
        <w:trPr>
          <w:trHeight w:val="493"/>
          <w:jc w:val="center"/>
        </w:trPr>
        <w:tc>
          <w:tcPr>
            <w:tcW w:w="2096" w:type="dxa"/>
            <w:shd w:val="clear" w:color="auto" w:fill="D9D9D9"/>
            <w:vAlign w:val="center"/>
          </w:tcPr>
          <w:p w14:paraId="7DFBBD25" w14:textId="77777777" w:rsidR="003250E8" w:rsidRPr="00367152" w:rsidRDefault="003250E8" w:rsidP="00643C3C">
            <w:pPr>
              <w:pStyle w:val="TableParagraph"/>
              <w:spacing w:before="120" w:line="360" w:lineRule="auto"/>
              <w:ind w:left="110"/>
              <w:rPr>
                <w:b/>
              </w:rPr>
            </w:pPr>
            <w:r w:rsidRPr="00367152">
              <w:rPr>
                <w:b/>
              </w:rPr>
              <w:t>Student name:</w:t>
            </w:r>
          </w:p>
        </w:tc>
        <w:tc>
          <w:tcPr>
            <w:tcW w:w="7831" w:type="dxa"/>
            <w:gridSpan w:val="3"/>
            <w:vAlign w:val="center"/>
          </w:tcPr>
          <w:p w14:paraId="3D9442E1" w14:textId="77777777" w:rsidR="003250E8" w:rsidRPr="00367152" w:rsidRDefault="003250E8" w:rsidP="00643C3C">
            <w:pPr>
              <w:pStyle w:val="TableParagraph"/>
              <w:spacing w:before="120" w:line="360" w:lineRule="auto"/>
              <w:ind w:left="107"/>
              <w:rPr>
                <w:b/>
              </w:rPr>
            </w:pPr>
            <w:r w:rsidRPr="00367152">
              <w:rPr>
                <w:b/>
              </w:rPr>
              <w:t>Teodor Katrandzhiev</w:t>
            </w:r>
          </w:p>
        </w:tc>
      </w:tr>
      <w:tr w:rsidR="003250E8" w:rsidRPr="00367152" w14:paraId="554DD4CA" w14:textId="77777777" w:rsidTr="00643C3C">
        <w:trPr>
          <w:trHeight w:val="493"/>
          <w:jc w:val="center"/>
        </w:trPr>
        <w:tc>
          <w:tcPr>
            <w:tcW w:w="2096" w:type="dxa"/>
            <w:shd w:val="clear" w:color="auto" w:fill="D9D9D9"/>
            <w:vAlign w:val="center"/>
          </w:tcPr>
          <w:p w14:paraId="72702A85" w14:textId="77777777" w:rsidR="003250E8" w:rsidRPr="00367152" w:rsidRDefault="003250E8" w:rsidP="00643C3C">
            <w:pPr>
              <w:pStyle w:val="TableParagraph"/>
              <w:spacing w:before="120" w:line="360" w:lineRule="auto"/>
              <w:ind w:left="110"/>
              <w:rPr>
                <w:b/>
              </w:rPr>
            </w:pPr>
            <w:r w:rsidRPr="00367152">
              <w:rPr>
                <w:b/>
              </w:rPr>
              <w:t>Student number</w:t>
            </w:r>
          </w:p>
        </w:tc>
        <w:tc>
          <w:tcPr>
            <w:tcW w:w="7831" w:type="dxa"/>
            <w:gridSpan w:val="3"/>
            <w:vAlign w:val="center"/>
          </w:tcPr>
          <w:p w14:paraId="541C1B3D" w14:textId="77777777" w:rsidR="003250E8" w:rsidRPr="00367152" w:rsidRDefault="003250E8" w:rsidP="00643C3C">
            <w:pPr>
              <w:pStyle w:val="TableParagraph"/>
              <w:spacing w:before="120" w:line="360" w:lineRule="auto"/>
              <w:ind w:left="107"/>
              <w:rPr>
                <w:b/>
              </w:rPr>
            </w:pPr>
            <w:r w:rsidRPr="00367152">
              <w:rPr>
                <w:b/>
              </w:rPr>
              <w:t>2124415</w:t>
            </w:r>
          </w:p>
        </w:tc>
      </w:tr>
      <w:tr w:rsidR="003250E8" w:rsidRPr="00367152" w14:paraId="16DAD1B1" w14:textId="77777777" w:rsidTr="00643C3C">
        <w:trPr>
          <w:trHeight w:val="493"/>
          <w:jc w:val="center"/>
        </w:trPr>
        <w:tc>
          <w:tcPr>
            <w:tcW w:w="209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5E93D39" w14:textId="77777777" w:rsidR="003250E8" w:rsidRPr="00367152" w:rsidRDefault="003250E8" w:rsidP="00643C3C">
            <w:pPr>
              <w:pStyle w:val="TableParagraph"/>
              <w:spacing w:before="120" w:line="360" w:lineRule="auto"/>
              <w:ind w:left="110"/>
              <w:rPr>
                <w:b/>
              </w:rPr>
            </w:pPr>
            <w:proofErr w:type="spellStart"/>
            <w:r w:rsidRPr="00367152">
              <w:rPr>
                <w:b/>
              </w:rPr>
              <w:t>Programme</w:t>
            </w:r>
            <w:proofErr w:type="spellEnd"/>
            <w:r w:rsidRPr="00367152">
              <w:rPr>
                <w:b/>
              </w:rPr>
              <w:t>:</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7FDE8680" w14:textId="77777777" w:rsidR="003250E8" w:rsidRPr="00367152" w:rsidRDefault="003250E8" w:rsidP="00643C3C">
            <w:pPr>
              <w:pStyle w:val="TableParagraph"/>
              <w:spacing w:before="120" w:line="360" w:lineRule="auto"/>
              <w:ind w:left="107"/>
              <w:rPr>
                <w:b/>
              </w:rPr>
            </w:pPr>
            <w:r w:rsidRPr="00367152">
              <w:rPr>
                <w:b/>
              </w:rPr>
              <w:t>BA (Hons) Business Management</w:t>
            </w:r>
          </w:p>
        </w:tc>
      </w:tr>
      <w:tr w:rsidR="003250E8" w:rsidRPr="00367152" w14:paraId="386A1D4F" w14:textId="77777777" w:rsidTr="00643C3C">
        <w:trPr>
          <w:trHeight w:val="492"/>
          <w:jc w:val="center"/>
        </w:trPr>
        <w:tc>
          <w:tcPr>
            <w:tcW w:w="2096" w:type="dxa"/>
            <w:shd w:val="clear" w:color="auto" w:fill="D9D9D9"/>
            <w:vAlign w:val="center"/>
          </w:tcPr>
          <w:p w14:paraId="63AB2A12" w14:textId="77777777" w:rsidR="003250E8" w:rsidRPr="00367152" w:rsidRDefault="003250E8" w:rsidP="00643C3C">
            <w:pPr>
              <w:pStyle w:val="TableParagraph"/>
              <w:spacing w:before="120" w:line="360" w:lineRule="auto"/>
              <w:ind w:left="110"/>
              <w:rPr>
                <w:b/>
              </w:rPr>
            </w:pPr>
            <w:r w:rsidRPr="00367152">
              <w:rPr>
                <w:b/>
              </w:rPr>
              <w:t>Module:</w:t>
            </w:r>
          </w:p>
        </w:tc>
        <w:tc>
          <w:tcPr>
            <w:tcW w:w="7831" w:type="dxa"/>
            <w:gridSpan w:val="3"/>
            <w:vAlign w:val="center"/>
          </w:tcPr>
          <w:p w14:paraId="3879EC46" w14:textId="77777777" w:rsidR="003250E8" w:rsidRPr="00367152" w:rsidRDefault="003250E8" w:rsidP="00643C3C">
            <w:pPr>
              <w:pStyle w:val="TableParagraph"/>
              <w:spacing w:before="120" w:line="360" w:lineRule="auto"/>
              <w:ind w:left="107"/>
              <w:rPr>
                <w:b/>
              </w:rPr>
            </w:pPr>
            <w:r w:rsidRPr="00367152">
              <w:rPr>
                <w:b/>
              </w:rPr>
              <w:t>Dissertation</w:t>
            </w:r>
          </w:p>
        </w:tc>
      </w:tr>
      <w:tr w:rsidR="003250E8" w:rsidRPr="00367152" w14:paraId="498C8EAE" w14:textId="77777777" w:rsidTr="00643C3C">
        <w:trPr>
          <w:trHeight w:val="584"/>
          <w:jc w:val="center"/>
        </w:trPr>
        <w:tc>
          <w:tcPr>
            <w:tcW w:w="2096" w:type="dxa"/>
            <w:shd w:val="clear" w:color="auto" w:fill="D9D9D9"/>
            <w:vAlign w:val="center"/>
          </w:tcPr>
          <w:p w14:paraId="59F33E68" w14:textId="77777777" w:rsidR="003250E8" w:rsidRPr="00367152" w:rsidRDefault="003250E8" w:rsidP="00643C3C">
            <w:pPr>
              <w:pStyle w:val="TableParagraph"/>
              <w:spacing w:before="120" w:line="360" w:lineRule="auto"/>
              <w:ind w:left="110"/>
              <w:rPr>
                <w:b/>
              </w:rPr>
            </w:pPr>
            <w:r w:rsidRPr="00367152">
              <w:rPr>
                <w:b/>
              </w:rPr>
              <w:t>Module code:</w:t>
            </w:r>
          </w:p>
        </w:tc>
        <w:tc>
          <w:tcPr>
            <w:tcW w:w="3049" w:type="dxa"/>
            <w:vAlign w:val="center"/>
          </w:tcPr>
          <w:p w14:paraId="63AE0C66" w14:textId="77777777" w:rsidR="003250E8" w:rsidRPr="00367152" w:rsidRDefault="003250E8" w:rsidP="00643C3C">
            <w:pPr>
              <w:pStyle w:val="TableParagraph"/>
              <w:spacing w:before="120" w:line="360" w:lineRule="auto"/>
              <w:ind w:left="107"/>
              <w:rPr>
                <w:b/>
              </w:rPr>
            </w:pPr>
            <w:r w:rsidRPr="00367152">
              <w:rPr>
                <w:b/>
              </w:rPr>
              <w:t>LCBB6000</w:t>
            </w:r>
          </w:p>
        </w:tc>
        <w:tc>
          <w:tcPr>
            <w:tcW w:w="2268" w:type="dxa"/>
            <w:shd w:val="clear" w:color="auto" w:fill="D9D9D9"/>
            <w:vAlign w:val="center"/>
          </w:tcPr>
          <w:p w14:paraId="271E7F1F" w14:textId="77777777" w:rsidR="003250E8" w:rsidRPr="00367152" w:rsidRDefault="003250E8" w:rsidP="00643C3C">
            <w:pPr>
              <w:pStyle w:val="TableParagraph"/>
              <w:spacing w:line="360" w:lineRule="auto"/>
              <w:ind w:left="107"/>
              <w:rPr>
                <w:b/>
              </w:rPr>
            </w:pPr>
            <w:r w:rsidRPr="00367152">
              <w:rPr>
                <w:b/>
              </w:rPr>
              <w:t>Contribution to</w:t>
            </w:r>
          </w:p>
          <w:p w14:paraId="57FF8879" w14:textId="77777777" w:rsidR="003250E8" w:rsidRPr="00367152" w:rsidRDefault="003250E8" w:rsidP="00643C3C">
            <w:pPr>
              <w:pStyle w:val="TableParagraph"/>
              <w:spacing w:before="6" w:line="360" w:lineRule="auto"/>
              <w:ind w:left="107" w:right="359"/>
              <w:rPr>
                <w:b/>
              </w:rPr>
            </w:pPr>
            <w:r w:rsidRPr="00367152">
              <w:rPr>
                <w:b/>
              </w:rPr>
              <w:t>Overall Module Assessment (%):</w:t>
            </w:r>
          </w:p>
        </w:tc>
        <w:tc>
          <w:tcPr>
            <w:tcW w:w="2514" w:type="dxa"/>
            <w:vAlign w:val="center"/>
          </w:tcPr>
          <w:p w14:paraId="01237D5A" w14:textId="769B88B6" w:rsidR="003250E8" w:rsidRPr="00367152" w:rsidRDefault="003250E8" w:rsidP="00643C3C">
            <w:pPr>
              <w:pStyle w:val="TableParagraph"/>
              <w:spacing w:before="120" w:line="360" w:lineRule="auto"/>
              <w:ind w:left="106"/>
              <w:rPr>
                <w:b/>
              </w:rPr>
            </w:pPr>
            <w:r>
              <w:rPr>
                <w:b/>
              </w:rPr>
              <w:t>90</w:t>
            </w:r>
            <w:r w:rsidRPr="00367152">
              <w:rPr>
                <w:b/>
              </w:rPr>
              <w:t>%</w:t>
            </w:r>
          </w:p>
        </w:tc>
      </w:tr>
      <w:tr w:rsidR="003250E8" w:rsidRPr="00367152" w14:paraId="20D6894A" w14:textId="77777777" w:rsidTr="00643C3C">
        <w:trPr>
          <w:trHeight w:val="492"/>
          <w:jc w:val="center"/>
        </w:trPr>
        <w:tc>
          <w:tcPr>
            <w:tcW w:w="2096" w:type="dxa"/>
            <w:shd w:val="clear" w:color="auto" w:fill="D9D9D9"/>
            <w:vAlign w:val="center"/>
          </w:tcPr>
          <w:p w14:paraId="304A90C4" w14:textId="77777777" w:rsidR="003250E8" w:rsidRPr="00367152" w:rsidRDefault="003250E8" w:rsidP="00643C3C">
            <w:pPr>
              <w:pStyle w:val="TableParagraph"/>
              <w:spacing w:before="120" w:line="360" w:lineRule="auto"/>
              <w:ind w:left="110"/>
              <w:rPr>
                <w:b/>
              </w:rPr>
            </w:pPr>
            <w:r w:rsidRPr="00367152">
              <w:rPr>
                <w:b/>
              </w:rPr>
              <w:t>Lecturer:</w:t>
            </w:r>
          </w:p>
        </w:tc>
        <w:tc>
          <w:tcPr>
            <w:tcW w:w="7831" w:type="dxa"/>
            <w:gridSpan w:val="3"/>
            <w:vAlign w:val="center"/>
          </w:tcPr>
          <w:p w14:paraId="37A06F31" w14:textId="77777777" w:rsidR="003250E8" w:rsidRPr="00367152" w:rsidRDefault="003250E8" w:rsidP="00643C3C">
            <w:pPr>
              <w:pStyle w:val="TableParagraph"/>
              <w:spacing w:before="120" w:line="360" w:lineRule="auto"/>
              <w:ind w:left="107"/>
              <w:rPr>
                <w:b/>
              </w:rPr>
            </w:pPr>
            <w:r w:rsidRPr="00367152">
              <w:rPr>
                <w:b/>
              </w:rPr>
              <w:t>Dr Sampath Liyanage Rodrigo</w:t>
            </w:r>
          </w:p>
        </w:tc>
      </w:tr>
      <w:tr w:rsidR="003250E8" w:rsidRPr="00367152" w14:paraId="21996509" w14:textId="77777777" w:rsidTr="00643C3C">
        <w:trPr>
          <w:trHeight w:val="745"/>
          <w:jc w:val="center"/>
        </w:trPr>
        <w:tc>
          <w:tcPr>
            <w:tcW w:w="2096" w:type="dxa"/>
            <w:shd w:val="clear" w:color="auto" w:fill="D9D9D9"/>
            <w:vAlign w:val="center"/>
          </w:tcPr>
          <w:p w14:paraId="615D913B" w14:textId="77777777" w:rsidR="003250E8" w:rsidRPr="00367152" w:rsidRDefault="003250E8" w:rsidP="00643C3C">
            <w:pPr>
              <w:pStyle w:val="TableParagraph"/>
              <w:spacing w:before="120" w:line="360" w:lineRule="auto"/>
              <w:ind w:left="110"/>
              <w:rPr>
                <w:b/>
              </w:rPr>
            </w:pPr>
            <w:r w:rsidRPr="00367152">
              <w:rPr>
                <w:b/>
              </w:rPr>
              <w:t>Assignment Title:</w:t>
            </w:r>
          </w:p>
        </w:tc>
        <w:tc>
          <w:tcPr>
            <w:tcW w:w="3049" w:type="dxa"/>
            <w:vAlign w:val="center"/>
          </w:tcPr>
          <w:p w14:paraId="5D996ADC" w14:textId="77777777" w:rsidR="003250E8" w:rsidRPr="00367152" w:rsidRDefault="003250E8" w:rsidP="00643C3C">
            <w:pPr>
              <w:pStyle w:val="TableParagraph"/>
              <w:spacing w:before="120" w:line="360" w:lineRule="auto"/>
              <w:ind w:left="107"/>
              <w:rPr>
                <w:b/>
              </w:rPr>
            </w:pPr>
            <w:r w:rsidRPr="00442ED4">
              <w:rPr>
                <w:b/>
              </w:rPr>
              <w:t>Component 2: Coursework: Individual Dissertation</w:t>
            </w:r>
          </w:p>
        </w:tc>
        <w:tc>
          <w:tcPr>
            <w:tcW w:w="2268" w:type="dxa"/>
            <w:shd w:val="clear" w:color="auto" w:fill="D9D9D9"/>
            <w:vAlign w:val="center"/>
          </w:tcPr>
          <w:p w14:paraId="61A55F60" w14:textId="77777777" w:rsidR="003250E8" w:rsidRPr="00367152" w:rsidRDefault="003250E8" w:rsidP="00643C3C">
            <w:pPr>
              <w:pStyle w:val="TableParagraph"/>
              <w:spacing w:before="120" w:line="360" w:lineRule="auto"/>
              <w:ind w:left="107" w:right="555"/>
              <w:rPr>
                <w:b/>
              </w:rPr>
            </w:pPr>
            <w:r w:rsidRPr="00367152">
              <w:rPr>
                <w:b/>
              </w:rPr>
              <w:t>Word count (or equivalent):</w:t>
            </w:r>
          </w:p>
        </w:tc>
        <w:tc>
          <w:tcPr>
            <w:tcW w:w="2514" w:type="dxa"/>
            <w:vAlign w:val="center"/>
          </w:tcPr>
          <w:p w14:paraId="2048BD78" w14:textId="77777777" w:rsidR="003250E8" w:rsidRPr="00367152" w:rsidRDefault="003250E8" w:rsidP="00643C3C">
            <w:pPr>
              <w:pStyle w:val="TableParagraph"/>
              <w:spacing w:before="120" w:line="360" w:lineRule="auto"/>
              <w:ind w:left="106"/>
              <w:rPr>
                <w:b/>
              </w:rPr>
            </w:pPr>
            <w:r w:rsidRPr="00442ED4">
              <w:rPr>
                <w:b/>
              </w:rPr>
              <w:t>6000 words (+/- 10% words)</w:t>
            </w:r>
          </w:p>
        </w:tc>
      </w:tr>
    </w:tbl>
    <w:p w14:paraId="14C5C5D7" w14:textId="77777777" w:rsidR="003250E8" w:rsidRPr="00367152" w:rsidRDefault="003250E8" w:rsidP="003250E8">
      <w:pPr>
        <w:spacing w:after="0" w:line="360" w:lineRule="auto"/>
        <w:jc w:val="both"/>
        <w:rPr>
          <w:rFonts w:ascii="Arial" w:eastAsia="Times New Roman" w:hAnsi="Arial" w:cs="Arial"/>
          <w:b/>
          <w:bCs/>
          <w:color w:val="0E101A"/>
          <w:sz w:val="36"/>
          <w:szCs w:val="36"/>
          <w:lang w:eastAsia="en-GB"/>
        </w:rPr>
      </w:pPr>
    </w:p>
    <w:p w14:paraId="02438C18" w14:textId="77777777" w:rsidR="003250E8" w:rsidRPr="00367152" w:rsidRDefault="003250E8" w:rsidP="003250E8">
      <w:pPr>
        <w:spacing w:after="0" w:line="360" w:lineRule="auto"/>
        <w:jc w:val="both"/>
        <w:rPr>
          <w:rFonts w:ascii="Arial" w:eastAsia="Times New Roman" w:hAnsi="Arial" w:cs="Arial"/>
          <w:b/>
          <w:bCs/>
          <w:color w:val="0E101A"/>
          <w:sz w:val="36"/>
          <w:szCs w:val="36"/>
          <w:lang w:eastAsia="en-GB"/>
        </w:rPr>
      </w:pPr>
    </w:p>
    <w:p w14:paraId="7DA1A874" w14:textId="3DC85F07" w:rsidR="006E548C" w:rsidRDefault="006E548C" w:rsidP="006E548C"/>
    <w:p w14:paraId="4AF2772B" w14:textId="52D28E7A" w:rsidR="006E548C" w:rsidRDefault="006E548C" w:rsidP="006E548C"/>
    <w:p w14:paraId="72B0C0B3" w14:textId="01DD7FD4" w:rsidR="006E548C" w:rsidRDefault="006E548C" w:rsidP="006E548C"/>
    <w:p w14:paraId="297D919A" w14:textId="51479385" w:rsidR="006E548C" w:rsidRDefault="006E548C" w:rsidP="006E548C"/>
    <w:p w14:paraId="41F3263D" w14:textId="280ED298" w:rsidR="006E548C" w:rsidRDefault="006E548C" w:rsidP="006E548C"/>
    <w:p w14:paraId="5BB1E24A" w14:textId="52431F40" w:rsidR="006E548C" w:rsidRDefault="006E548C" w:rsidP="006E548C"/>
    <w:p w14:paraId="7412C971" w14:textId="0FC6E32C" w:rsidR="006E548C" w:rsidRDefault="006E548C" w:rsidP="006E548C"/>
    <w:p w14:paraId="5C05D0D8" w14:textId="6629E1B5" w:rsidR="006E548C" w:rsidRDefault="006E548C" w:rsidP="006E548C"/>
    <w:p w14:paraId="6FC4C487" w14:textId="6AB45ED5" w:rsidR="006E548C" w:rsidRDefault="006E548C" w:rsidP="006E548C"/>
    <w:p w14:paraId="24A711E2" w14:textId="282A08B2" w:rsidR="006E548C" w:rsidRDefault="006E548C" w:rsidP="006E548C"/>
    <w:p w14:paraId="1E76190C" w14:textId="33AB9AC1" w:rsidR="006E548C" w:rsidRDefault="006E548C" w:rsidP="006E548C"/>
    <w:p w14:paraId="757EA4D5" w14:textId="3CBD3836" w:rsidR="003250E8" w:rsidRPr="003250E8" w:rsidRDefault="003250E8" w:rsidP="003250E8">
      <w:pPr>
        <w:pStyle w:val="Title"/>
        <w:rPr>
          <w:rFonts w:cs="Arial"/>
        </w:rPr>
      </w:pPr>
      <w:r>
        <w:lastRenderedPageBreak/>
        <w:t>Brexit and Beyond: Analyzing Growth, Employment, and Sustainability Challenges for UK SMEs</w:t>
      </w:r>
    </w:p>
    <w:p w14:paraId="3574E130" w14:textId="77777777" w:rsidR="003250E8" w:rsidRDefault="003250E8" w:rsidP="006E548C">
      <w:pPr>
        <w:pStyle w:val="Heading1"/>
        <w:spacing w:line="480" w:lineRule="auto"/>
      </w:pPr>
    </w:p>
    <w:p w14:paraId="4544AB71" w14:textId="422235C0" w:rsidR="006E548C" w:rsidRDefault="006E548C" w:rsidP="006E548C">
      <w:pPr>
        <w:pStyle w:val="Heading1"/>
        <w:spacing w:line="480" w:lineRule="auto"/>
      </w:pPr>
      <w:bookmarkStart w:id="0" w:name="_Toc182937992"/>
      <w:r>
        <w:t>Abstract</w:t>
      </w:r>
      <w:bookmarkEnd w:id="0"/>
    </w:p>
    <w:p w14:paraId="595CBD32" w14:textId="032B9FF1" w:rsidR="006E548C" w:rsidRPr="006E548C" w:rsidRDefault="006E548C" w:rsidP="006E548C">
      <w:pPr>
        <w:spacing w:line="360" w:lineRule="auto"/>
        <w:rPr>
          <w:rFonts w:ascii="Arial" w:hAnsi="Arial" w:cs="Arial"/>
        </w:rPr>
      </w:pPr>
      <w:r w:rsidRPr="006E548C">
        <w:rPr>
          <w:rFonts w:ascii="Arial" w:hAnsi="Arial" w:cs="Arial"/>
        </w:rPr>
        <w:t xml:space="preserve">This dissertation explores how Brexit has affected small and medium-sized enterprises (SMEs) in the UK, which </w:t>
      </w:r>
      <w:r w:rsidR="003250E8">
        <w:rPr>
          <w:rFonts w:ascii="Arial" w:hAnsi="Arial" w:cs="Arial"/>
        </w:rPr>
        <w:t>comprise</w:t>
      </w:r>
      <w:r w:rsidRPr="006E548C">
        <w:rPr>
          <w:rFonts w:ascii="Arial" w:hAnsi="Arial" w:cs="Arial"/>
        </w:rPr>
        <w:t xml:space="preserve"> more than 99% of the country’s businesses and are crucial for employment and innovation. </w:t>
      </w:r>
      <w:r w:rsidR="003250E8">
        <w:rPr>
          <w:rFonts w:ascii="Arial" w:hAnsi="Arial" w:cs="Arial"/>
        </w:rPr>
        <w:t>A quantitative analysis of secondary data</w:t>
      </w:r>
      <w:r w:rsidRPr="006E548C">
        <w:rPr>
          <w:rFonts w:ascii="Arial" w:hAnsi="Arial" w:cs="Arial"/>
        </w:rPr>
        <w:t xml:space="preserve"> looks at changes in SME growth, employment trends, and the number of VAT-registered businesses between 2014 and 2024. The findings show that Brexit has brought significant challenges, such as labour shortages, higher operational costs, and limited </w:t>
      </w:r>
      <w:r w:rsidR="003250E8">
        <w:rPr>
          <w:rFonts w:ascii="Arial" w:hAnsi="Arial" w:cs="Arial"/>
        </w:rPr>
        <w:t>market access</w:t>
      </w:r>
      <w:r w:rsidRPr="006E548C">
        <w:rPr>
          <w:rFonts w:ascii="Arial" w:hAnsi="Arial" w:cs="Arial"/>
        </w:rPr>
        <w:t xml:space="preserve">. These issues have led to more job vacancies, fewer business registrations, and </w:t>
      </w:r>
      <w:r w:rsidR="003250E8">
        <w:rPr>
          <w:rFonts w:ascii="Arial" w:hAnsi="Arial" w:cs="Arial"/>
        </w:rPr>
        <w:t>increased</w:t>
      </w:r>
      <w:r w:rsidRPr="006E548C">
        <w:rPr>
          <w:rFonts w:ascii="Arial" w:hAnsi="Arial" w:cs="Arial"/>
        </w:rPr>
        <w:t xml:space="preserve"> business closures. </w:t>
      </w:r>
      <w:r w:rsidR="003250E8">
        <w:rPr>
          <w:rFonts w:ascii="Arial" w:hAnsi="Arial" w:cs="Arial"/>
        </w:rPr>
        <w:t xml:space="preserve">The study highlights how Brexit has exacerbated existing weaknesses in the SME sector by applying </w:t>
      </w:r>
      <w:proofErr w:type="spellStart"/>
      <w:r w:rsidR="003250E8">
        <w:rPr>
          <w:rFonts w:ascii="Arial" w:hAnsi="Arial" w:cs="Arial"/>
        </w:rPr>
        <w:t>Rajan’s</w:t>
      </w:r>
      <w:proofErr w:type="spellEnd"/>
      <w:r w:rsidR="003250E8">
        <w:rPr>
          <w:rFonts w:ascii="Arial" w:hAnsi="Arial" w:cs="Arial"/>
        </w:rPr>
        <w:t xml:space="preserve"> "fault lines" theory and other socio-economic models (</w:t>
      </w:r>
      <w:r w:rsidR="003250E8" w:rsidRPr="003250E8">
        <w:rPr>
          <w:rFonts w:ascii="Arial" w:hAnsi="Arial" w:cs="Arial"/>
        </w:rPr>
        <w:t>Rajan</w:t>
      </w:r>
      <w:r w:rsidR="003250E8">
        <w:rPr>
          <w:rFonts w:ascii="Arial" w:hAnsi="Arial" w:cs="Arial"/>
        </w:rPr>
        <w:t xml:space="preserve">, </w:t>
      </w:r>
      <w:r w:rsidR="003250E8" w:rsidRPr="003250E8">
        <w:rPr>
          <w:rFonts w:ascii="Arial" w:hAnsi="Arial" w:cs="Arial"/>
        </w:rPr>
        <w:t>2010)</w:t>
      </w:r>
      <w:r w:rsidRPr="006E548C">
        <w:rPr>
          <w:rFonts w:ascii="Arial" w:hAnsi="Arial" w:cs="Arial"/>
        </w:rPr>
        <w:t>. It concludes with practical recommendations for policymakers, including reforms to the labour market, reducing regulatory hurdles, and providing better financial support to help SMEs adapt and thrive in the post-Brexit economy.</w:t>
      </w:r>
    </w:p>
    <w:p w14:paraId="1DBD13CD" w14:textId="79AD618E" w:rsidR="006E548C" w:rsidRDefault="006E548C" w:rsidP="006E548C"/>
    <w:p w14:paraId="0B848CBC" w14:textId="7717BD6B" w:rsidR="006E548C" w:rsidRDefault="006E548C" w:rsidP="006E548C"/>
    <w:p w14:paraId="64CAA9C1" w14:textId="4DDF42EE" w:rsidR="006E548C" w:rsidRDefault="006E548C" w:rsidP="006E548C"/>
    <w:p w14:paraId="09177AEF" w14:textId="64D3C776" w:rsidR="006E548C" w:rsidRDefault="006E548C" w:rsidP="006E548C"/>
    <w:p w14:paraId="2B97F341" w14:textId="7F5BC1FA" w:rsidR="006E548C" w:rsidRDefault="006E548C" w:rsidP="006E548C"/>
    <w:p w14:paraId="546FF9D1" w14:textId="77777777" w:rsidR="006E548C" w:rsidRPr="006E548C" w:rsidRDefault="006E548C" w:rsidP="006E548C"/>
    <w:sdt>
      <w:sdtPr>
        <w:rPr>
          <w:rFonts w:asciiTheme="minorHAnsi" w:eastAsiaTheme="minorEastAsia" w:hAnsiTheme="minorHAnsi" w:cs="Arial"/>
          <w:b w:val="0"/>
          <w:bCs w:val="0"/>
          <w:color w:val="auto"/>
          <w:sz w:val="22"/>
          <w:szCs w:val="22"/>
        </w:rPr>
        <w:id w:val="695117890"/>
        <w:docPartObj>
          <w:docPartGallery w:val="Table of Contents"/>
          <w:docPartUnique/>
        </w:docPartObj>
      </w:sdtPr>
      <w:sdtEndPr>
        <w:rPr>
          <w:noProof/>
        </w:rPr>
      </w:sdtEndPr>
      <w:sdtContent>
        <w:p w14:paraId="7820685E" w14:textId="07A2D9D7" w:rsidR="0020798A" w:rsidRPr="0020798A" w:rsidRDefault="0020798A" w:rsidP="0020798A">
          <w:pPr>
            <w:pStyle w:val="TOCHeading"/>
            <w:spacing w:line="480" w:lineRule="auto"/>
            <w:rPr>
              <w:rFonts w:cs="Arial"/>
            </w:rPr>
          </w:pPr>
          <w:r w:rsidRPr="0020798A">
            <w:rPr>
              <w:rFonts w:cs="Arial"/>
            </w:rPr>
            <w:t>Table of Contents</w:t>
          </w:r>
        </w:p>
        <w:p w14:paraId="1C6B5B0C" w14:textId="2CB7DB3B" w:rsidR="003250E8" w:rsidRDefault="0020798A">
          <w:pPr>
            <w:pStyle w:val="TOC1"/>
            <w:tabs>
              <w:tab w:val="right" w:leader="dot" w:pos="8630"/>
            </w:tabs>
            <w:rPr>
              <w:noProof/>
              <w:lang w:val="en-GB" w:eastAsia="en-GB"/>
            </w:rPr>
          </w:pPr>
          <w:r w:rsidRPr="003250E8">
            <w:rPr>
              <w:rFonts w:ascii="Arial" w:hAnsi="Arial" w:cs="Arial"/>
              <w:b/>
              <w:bCs/>
            </w:rPr>
            <w:fldChar w:fldCharType="begin"/>
          </w:r>
          <w:r w:rsidRPr="003250E8">
            <w:rPr>
              <w:rFonts w:ascii="Arial" w:hAnsi="Arial" w:cs="Arial"/>
              <w:b/>
              <w:bCs/>
            </w:rPr>
            <w:instrText xml:space="preserve"> TOC \o "1-3" \h \z \u </w:instrText>
          </w:r>
          <w:r w:rsidRPr="003250E8">
            <w:rPr>
              <w:rFonts w:ascii="Arial" w:hAnsi="Arial" w:cs="Arial"/>
              <w:b/>
              <w:bCs/>
            </w:rPr>
            <w:fldChar w:fldCharType="separate"/>
          </w:r>
          <w:hyperlink w:anchor="_Toc182937992" w:history="1">
            <w:r w:rsidR="003250E8" w:rsidRPr="003250E8">
              <w:rPr>
                <w:rStyle w:val="Hyperlink"/>
                <w:b/>
                <w:bCs/>
                <w:noProof/>
              </w:rPr>
              <w:t>Abstract</w:t>
            </w:r>
            <w:r w:rsidR="003250E8">
              <w:rPr>
                <w:noProof/>
                <w:webHidden/>
              </w:rPr>
              <w:tab/>
            </w:r>
            <w:r w:rsidR="003250E8">
              <w:rPr>
                <w:noProof/>
                <w:webHidden/>
              </w:rPr>
              <w:fldChar w:fldCharType="begin"/>
            </w:r>
            <w:r w:rsidR="003250E8">
              <w:rPr>
                <w:noProof/>
                <w:webHidden/>
              </w:rPr>
              <w:instrText xml:space="preserve"> PAGEREF _Toc182937992 \h </w:instrText>
            </w:r>
            <w:r w:rsidR="003250E8">
              <w:rPr>
                <w:noProof/>
                <w:webHidden/>
              </w:rPr>
            </w:r>
            <w:r w:rsidR="003250E8">
              <w:rPr>
                <w:noProof/>
                <w:webHidden/>
              </w:rPr>
              <w:fldChar w:fldCharType="separate"/>
            </w:r>
            <w:r w:rsidR="003250E8">
              <w:rPr>
                <w:noProof/>
                <w:webHidden/>
              </w:rPr>
              <w:t>2</w:t>
            </w:r>
            <w:r w:rsidR="003250E8">
              <w:rPr>
                <w:noProof/>
                <w:webHidden/>
              </w:rPr>
              <w:fldChar w:fldCharType="end"/>
            </w:r>
          </w:hyperlink>
        </w:p>
        <w:p w14:paraId="5D908AB6" w14:textId="440C060A" w:rsidR="003250E8" w:rsidRDefault="003250E8">
          <w:pPr>
            <w:pStyle w:val="TOC1"/>
            <w:tabs>
              <w:tab w:val="right" w:leader="dot" w:pos="8630"/>
            </w:tabs>
            <w:rPr>
              <w:noProof/>
              <w:lang w:val="en-GB" w:eastAsia="en-GB"/>
            </w:rPr>
          </w:pPr>
          <w:hyperlink w:anchor="_Toc182937993" w:history="1">
            <w:r w:rsidRPr="003250E8">
              <w:rPr>
                <w:rStyle w:val="Hyperlink"/>
                <w:rFonts w:cs="Arial"/>
                <w:b/>
                <w:bCs/>
                <w:noProof/>
              </w:rPr>
              <w:t>Introduction</w:t>
            </w:r>
            <w:r>
              <w:rPr>
                <w:noProof/>
                <w:webHidden/>
              </w:rPr>
              <w:tab/>
            </w:r>
            <w:r>
              <w:rPr>
                <w:noProof/>
                <w:webHidden/>
              </w:rPr>
              <w:fldChar w:fldCharType="begin"/>
            </w:r>
            <w:r>
              <w:rPr>
                <w:noProof/>
                <w:webHidden/>
              </w:rPr>
              <w:instrText xml:space="preserve"> PAGEREF _Toc182937993 \h </w:instrText>
            </w:r>
            <w:r>
              <w:rPr>
                <w:noProof/>
                <w:webHidden/>
              </w:rPr>
            </w:r>
            <w:r>
              <w:rPr>
                <w:noProof/>
                <w:webHidden/>
              </w:rPr>
              <w:fldChar w:fldCharType="separate"/>
            </w:r>
            <w:r>
              <w:rPr>
                <w:noProof/>
                <w:webHidden/>
              </w:rPr>
              <w:t>4</w:t>
            </w:r>
            <w:r>
              <w:rPr>
                <w:noProof/>
                <w:webHidden/>
              </w:rPr>
              <w:fldChar w:fldCharType="end"/>
            </w:r>
          </w:hyperlink>
        </w:p>
        <w:p w14:paraId="0D266088" w14:textId="5A49B7A4" w:rsidR="003250E8" w:rsidRDefault="003250E8">
          <w:pPr>
            <w:pStyle w:val="TOC1"/>
            <w:tabs>
              <w:tab w:val="right" w:leader="dot" w:pos="8630"/>
            </w:tabs>
            <w:rPr>
              <w:noProof/>
              <w:lang w:val="en-GB" w:eastAsia="en-GB"/>
            </w:rPr>
          </w:pPr>
          <w:hyperlink w:anchor="_Toc182937994" w:history="1">
            <w:r w:rsidRPr="003250E8">
              <w:rPr>
                <w:rStyle w:val="Hyperlink"/>
                <w:rFonts w:cs="Arial"/>
                <w:b/>
                <w:bCs/>
                <w:noProof/>
              </w:rPr>
              <w:t>Literature</w:t>
            </w:r>
            <w:r w:rsidRPr="00C20683">
              <w:rPr>
                <w:rStyle w:val="Hyperlink"/>
                <w:rFonts w:cs="Arial"/>
                <w:noProof/>
              </w:rPr>
              <w:t xml:space="preserve"> </w:t>
            </w:r>
            <w:r w:rsidRPr="003250E8">
              <w:rPr>
                <w:rStyle w:val="Hyperlink"/>
                <w:rFonts w:cs="Arial"/>
                <w:b/>
                <w:bCs/>
                <w:noProof/>
              </w:rPr>
              <w:t>Review</w:t>
            </w:r>
            <w:r>
              <w:rPr>
                <w:noProof/>
                <w:webHidden/>
              </w:rPr>
              <w:tab/>
            </w:r>
            <w:r>
              <w:rPr>
                <w:noProof/>
                <w:webHidden/>
              </w:rPr>
              <w:fldChar w:fldCharType="begin"/>
            </w:r>
            <w:r>
              <w:rPr>
                <w:noProof/>
                <w:webHidden/>
              </w:rPr>
              <w:instrText xml:space="preserve"> PAGEREF _Toc182937994 \h </w:instrText>
            </w:r>
            <w:r>
              <w:rPr>
                <w:noProof/>
                <w:webHidden/>
              </w:rPr>
            </w:r>
            <w:r>
              <w:rPr>
                <w:noProof/>
                <w:webHidden/>
              </w:rPr>
              <w:fldChar w:fldCharType="separate"/>
            </w:r>
            <w:r>
              <w:rPr>
                <w:noProof/>
                <w:webHidden/>
              </w:rPr>
              <w:t>6</w:t>
            </w:r>
            <w:r>
              <w:rPr>
                <w:noProof/>
                <w:webHidden/>
              </w:rPr>
              <w:fldChar w:fldCharType="end"/>
            </w:r>
          </w:hyperlink>
        </w:p>
        <w:p w14:paraId="1451F0EA" w14:textId="45AAEB2F" w:rsidR="003250E8" w:rsidRDefault="003250E8">
          <w:pPr>
            <w:pStyle w:val="TOC2"/>
            <w:tabs>
              <w:tab w:val="right" w:leader="dot" w:pos="8630"/>
            </w:tabs>
            <w:rPr>
              <w:noProof/>
              <w:lang w:val="en-GB" w:eastAsia="en-GB"/>
            </w:rPr>
          </w:pPr>
          <w:hyperlink w:anchor="_Toc182937995" w:history="1">
            <w:r w:rsidRPr="00C20683">
              <w:rPr>
                <w:rStyle w:val="Hyperlink"/>
                <w:rFonts w:cs="Arial"/>
                <w:noProof/>
              </w:rPr>
              <w:t>Theoretical Framework and Relevance to Research Questions</w:t>
            </w:r>
            <w:r>
              <w:rPr>
                <w:noProof/>
                <w:webHidden/>
              </w:rPr>
              <w:tab/>
            </w:r>
            <w:r>
              <w:rPr>
                <w:noProof/>
                <w:webHidden/>
              </w:rPr>
              <w:fldChar w:fldCharType="begin"/>
            </w:r>
            <w:r>
              <w:rPr>
                <w:noProof/>
                <w:webHidden/>
              </w:rPr>
              <w:instrText xml:space="preserve"> PAGEREF _Toc182937995 \h </w:instrText>
            </w:r>
            <w:r>
              <w:rPr>
                <w:noProof/>
                <w:webHidden/>
              </w:rPr>
            </w:r>
            <w:r>
              <w:rPr>
                <w:noProof/>
                <w:webHidden/>
              </w:rPr>
              <w:fldChar w:fldCharType="separate"/>
            </w:r>
            <w:r>
              <w:rPr>
                <w:noProof/>
                <w:webHidden/>
              </w:rPr>
              <w:t>6</w:t>
            </w:r>
            <w:r>
              <w:rPr>
                <w:noProof/>
                <w:webHidden/>
              </w:rPr>
              <w:fldChar w:fldCharType="end"/>
            </w:r>
          </w:hyperlink>
        </w:p>
        <w:p w14:paraId="2693FAA1" w14:textId="5E894CAF" w:rsidR="003250E8" w:rsidRDefault="003250E8">
          <w:pPr>
            <w:pStyle w:val="TOC2"/>
            <w:tabs>
              <w:tab w:val="right" w:leader="dot" w:pos="8630"/>
            </w:tabs>
            <w:rPr>
              <w:noProof/>
              <w:lang w:val="en-GB" w:eastAsia="en-GB"/>
            </w:rPr>
          </w:pPr>
          <w:hyperlink w:anchor="_Toc182937996" w:history="1">
            <w:r w:rsidRPr="00C20683">
              <w:rPr>
                <w:rStyle w:val="Hyperlink"/>
                <w:rFonts w:cs="Arial"/>
                <w:noProof/>
              </w:rPr>
              <w:t>Socio-economic Divides and Structural Weaknesses in SMEs</w:t>
            </w:r>
            <w:r>
              <w:rPr>
                <w:noProof/>
                <w:webHidden/>
              </w:rPr>
              <w:tab/>
            </w:r>
            <w:r>
              <w:rPr>
                <w:noProof/>
                <w:webHidden/>
              </w:rPr>
              <w:fldChar w:fldCharType="begin"/>
            </w:r>
            <w:r>
              <w:rPr>
                <w:noProof/>
                <w:webHidden/>
              </w:rPr>
              <w:instrText xml:space="preserve"> PAGEREF _Toc182937996 \h </w:instrText>
            </w:r>
            <w:r>
              <w:rPr>
                <w:noProof/>
                <w:webHidden/>
              </w:rPr>
            </w:r>
            <w:r>
              <w:rPr>
                <w:noProof/>
                <w:webHidden/>
              </w:rPr>
              <w:fldChar w:fldCharType="separate"/>
            </w:r>
            <w:r>
              <w:rPr>
                <w:noProof/>
                <w:webHidden/>
              </w:rPr>
              <w:t>6</w:t>
            </w:r>
            <w:r>
              <w:rPr>
                <w:noProof/>
                <w:webHidden/>
              </w:rPr>
              <w:fldChar w:fldCharType="end"/>
            </w:r>
          </w:hyperlink>
        </w:p>
        <w:p w14:paraId="1602C01E" w14:textId="1176E9AD" w:rsidR="003250E8" w:rsidRDefault="003250E8">
          <w:pPr>
            <w:pStyle w:val="TOC2"/>
            <w:tabs>
              <w:tab w:val="right" w:leader="dot" w:pos="8630"/>
            </w:tabs>
            <w:rPr>
              <w:noProof/>
              <w:lang w:val="en-GB" w:eastAsia="en-GB"/>
            </w:rPr>
          </w:pPr>
          <w:hyperlink w:anchor="_Toc182937997" w:history="1">
            <w:r w:rsidRPr="00C20683">
              <w:rPr>
                <w:rStyle w:val="Hyperlink"/>
                <w:rFonts w:cs="Arial"/>
                <w:noProof/>
              </w:rPr>
              <w:t>Employment Implications for SMEs in the Post-Brexit Era</w:t>
            </w:r>
            <w:r>
              <w:rPr>
                <w:noProof/>
                <w:webHidden/>
              </w:rPr>
              <w:tab/>
            </w:r>
            <w:r>
              <w:rPr>
                <w:noProof/>
                <w:webHidden/>
              </w:rPr>
              <w:fldChar w:fldCharType="begin"/>
            </w:r>
            <w:r>
              <w:rPr>
                <w:noProof/>
                <w:webHidden/>
              </w:rPr>
              <w:instrText xml:space="preserve"> PAGEREF _Toc182937997 \h </w:instrText>
            </w:r>
            <w:r>
              <w:rPr>
                <w:noProof/>
                <w:webHidden/>
              </w:rPr>
            </w:r>
            <w:r>
              <w:rPr>
                <w:noProof/>
                <w:webHidden/>
              </w:rPr>
              <w:fldChar w:fldCharType="separate"/>
            </w:r>
            <w:r>
              <w:rPr>
                <w:noProof/>
                <w:webHidden/>
              </w:rPr>
              <w:t>7</w:t>
            </w:r>
            <w:r>
              <w:rPr>
                <w:noProof/>
                <w:webHidden/>
              </w:rPr>
              <w:fldChar w:fldCharType="end"/>
            </w:r>
          </w:hyperlink>
        </w:p>
        <w:p w14:paraId="0290F946" w14:textId="77F8C61A" w:rsidR="003250E8" w:rsidRDefault="003250E8">
          <w:pPr>
            <w:pStyle w:val="TOC2"/>
            <w:tabs>
              <w:tab w:val="right" w:leader="dot" w:pos="8630"/>
            </w:tabs>
            <w:rPr>
              <w:noProof/>
              <w:lang w:val="en-GB" w:eastAsia="en-GB"/>
            </w:rPr>
          </w:pPr>
          <w:hyperlink w:anchor="_Toc182937998" w:history="1">
            <w:r w:rsidRPr="00C20683">
              <w:rPr>
                <w:rStyle w:val="Hyperlink"/>
                <w:rFonts w:cs="Arial"/>
                <w:noProof/>
              </w:rPr>
              <w:t>Business Growth Metrics and Economic Instability</w:t>
            </w:r>
            <w:r>
              <w:rPr>
                <w:noProof/>
                <w:webHidden/>
              </w:rPr>
              <w:tab/>
            </w:r>
            <w:r>
              <w:rPr>
                <w:noProof/>
                <w:webHidden/>
              </w:rPr>
              <w:fldChar w:fldCharType="begin"/>
            </w:r>
            <w:r>
              <w:rPr>
                <w:noProof/>
                <w:webHidden/>
              </w:rPr>
              <w:instrText xml:space="preserve"> PAGEREF _Toc182937998 \h </w:instrText>
            </w:r>
            <w:r>
              <w:rPr>
                <w:noProof/>
                <w:webHidden/>
              </w:rPr>
            </w:r>
            <w:r>
              <w:rPr>
                <w:noProof/>
                <w:webHidden/>
              </w:rPr>
              <w:fldChar w:fldCharType="separate"/>
            </w:r>
            <w:r>
              <w:rPr>
                <w:noProof/>
                <w:webHidden/>
              </w:rPr>
              <w:t>8</w:t>
            </w:r>
            <w:r>
              <w:rPr>
                <w:noProof/>
                <w:webHidden/>
              </w:rPr>
              <w:fldChar w:fldCharType="end"/>
            </w:r>
          </w:hyperlink>
        </w:p>
        <w:p w14:paraId="0EB792A7" w14:textId="282FE666" w:rsidR="003250E8" w:rsidRDefault="003250E8">
          <w:pPr>
            <w:pStyle w:val="TOC2"/>
            <w:tabs>
              <w:tab w:val="right" w:leader="dot" w:pos="8630"/>
            </w:tabs>
            <w:rPr>
              <w:noProof/>
              <w:lang w:val="en-GB" w:eastAsia="en-GB"/>
            </w:rPr>
          </w:pPr>
          <w:hyperlink w:anchor="_Toc182937999" w:history="1">
            <w:r w:rsidRPr="00C20683">
              <w:rPr>
                <w:rStyle w:val="Hyperlink"/>
                <w:rFonts w:cs="Arial"/>
                <w:noProof/>
              </w:rPr>
              <w:t>Regulatory Challenges and Business Viability</w:t>
            </w:r>
            <w:r>
              <w:rPr>
                <w:noProof/>
                <w:webHidden/>
              </w:rPr>
              <w:tab/>
            </w:r>
            <w:r>
              <w:rPr>
                <w:noProof/>
                <w:webHidden/>
              </w:rPr>
              <w:fldChar w:fldCharType="begin"/>
            </w:r>
            <w:r>
              <w:rPr>
                <w:noProof/>
                <w:webHidden/>
              </w:rPr>
              <w:instrText xml:space="preserve"> PAGEREF _Toc182937999 \h </w:instrText>
            </w:r>
            <w:r>
              <w:rPr>
                <w:noProof/>
                <w:webHidden/>
              </w:rPr>
            </w:r>
            <w:r>
              <w:rPr>
                <w:noProof/>
                <w:webHidden/>
              </w:rPr>
              <w:fldChar w:fldCharType="separate"/>
            </w:r>
            <w:r>
              <w:rPr>
                <w:noProof/>
                <w:webHidden/>
              </w:rPr>
              <w:t>9</w:t>
            </w:r>
            <w:r>
              <w:rPr>
                <w:noProof/>
                <w:webHidden/>
              </w:rPr>
              <w:fldChar w:fldCharType="end"/>
            </w:r>
          </w:hyperlink>
        </w:p>
        <w:p w14:paraId="3381C831" w14:textId="7E738F22" w:rsidR="003250E8" w:rsidRDefault="003250E8">
          <w:pPr>
            <w:pStyle w:val="TOC2"/>
            <w:tabs>
              <w:tab w:val="right" w:leader="dot" w:pos="8630"/>
            </w:tabs>
            <w:rPr>
              <w:noProof/>
              <w:lang w:val="en-GB" w:eastAsia="en-GB"/>
            </w:rPr>
          </w:pPr>
          <w:hyperlink w:anchor="_Toc182938000" w:history="1">
            <w:r w:rsidRPr="00C20683">
              <w:rPr>
                <w:rStyle w:val="Hyperlink"/>
                <w:rFonts w:cs="Arial"/>
                <w:noProof/>
              </w:rPr>
              <w:t>Literature Gap and Need for Further Research</w:t>
            </w:r>
            <w:r>
              <w:rPr>
                <w:noProof/>
                <w:webHidden/>
              </w:rPr>
              <w:tab/>
            </w:r>
            <w:r>
              <w:rPr>
                <w:noProof/>
                <w:webHidden/>
              </w:rPr>
              <w:fldChar w:fldCharType="begin"/>
            </w:r>
            <w:r>
              <w:rPr>
                <w:noProof/>
                <w:webHidden/>
              </w:rPr>
              <w:instrText xml:space="preserve"> PAGEREF _Toc182938000 \h </w:instrText>
            </w:r>
            <w:r>
              <w:rPr>
                <w:noProof/>
                <w:webHidden/>
              </w:rPr>
            </w:r>
            <w:r>
              <w:rPr>
                <w:noProof/>
                <w:webHidden/>
              </w:rPr>
              <w:fldChar w:fldCharType="separate"/>
            </w:r>
            <w:r>
              <w:rPr>
                <w:noProof/>
                <w:webHidden/>
              </w:rPr>
              <w:t>9</w:t>
            </w:r>
            <w:r>
              <w:rPr>
                <w:noProof/>
                <w:webHidden/>
              </w:rPr>
              <w:fldChar w:fldCharType="end"/>
            </w:r>
          </w:hyperlink>
        </w:p>
        <w:p w14:paraId="14E9E123" w14:textId="1D0A66DE" w:rsidR="003250E8" w:rsidRDefault="003250E8">
          <w:pPr>
            <w:pStyle w:val="TOC2"/>
            <w:tabs>
              <w:tab w:val="right" w:leader="dot" w:pos="8630"/>
            </w:tabs>
            <w:rPr>
              <w:noProof/>
              <w:lang w:val="en-GB" w:eastAsia="en-GB"/>
            </w:rPr>
          </w:pPr>
          <w:hyperlink w:anchor="_Toc182938001" w:history="1">
            <w:r w:rsidRPr="00C20683">
              <w:rPr>
                <w:rStyle w:val="Hyperlink"/>
                <w:rFonts w:cs="Arial"/>
                <w:noProof/>
              </w:rPr>
              <w:t>Synthesis of Literature and Policy Implications</w:t>
            </w:r>
            <w:r>
              <w:rPr>
                <w:noProof/>
                <w:webHidden/>
              </w:rPr>
              <w:tab/>
            </w:r>
            <w:r>
              <w:rPr>
                <w:noProof/>
                <w:webHidden/>
              </w:rPr>
              <w:fldChar w:fldCharType="begin"/>
            </w:r>
            <w:r>
              <w:rPr>
                <w:noProof/>
                <w:webHidden/>
              </w:rPr>
              <w:instrText xml:space="preserve"> PAGEREF _Toc182938001 \h </w:instrText>
            </w:r>
            <w:r>
              <w:rPr>
                <w:noProof/>
                <w:webHidden/>
              </w:rPr>
            </w:r>
            <w:r>
              <w:rPr>
                <w:noProof/>
                <w:webHidden/>
              </w:rPr>
              <w:fldChar w:fldCharType="separate"/>
            </w:r>
            <w:r>
              <w:rPr>
                <w:noProof/>
                <w:webHidden/>
              </w:rPr>
              <w:t>10</w:t>
            </w:r>
            <w:r>
              <w:rPr>
                <w:noProof/>
                <w:webHidden/>
              </w:rPr>
              <w:fldChar w:fldCharType="end"/>
            </w:r>
          </w:hyperlink>
        </w:p>
        <w:p w14:paraId="6B6EAD51" w14:textId="3A6B890D" w:rsidR="003250E8" w:rsidRDefault="003250E8">
          <w:pPr>
            <w:pStyle w:val="TOC1"/>
            <w:tabs>
              <w:tab w:val="right" w:leader="dot" w:pos="8630"/>
            </w:tabs>
            <w:rPr>
              <w:noProof/>
              <w:lang w:val="en-GB" w:eastAsia="en-GB"/>
            </w:rPr>
          </w:pPr>
          <w:hyperlink w:anchor="_Toc182938002" w:history="1">
            <w:r w:rsidRPr="003250E8">
              <w:rPr>
                <w:rStyle w:val="Hyperlink"/>
                <w:rFonts w:cs="Arial"/>
                <w:b/>
                <w:bCs/>
                <w:noProof/>
              </w:rPr>
              <w:t>Methodology</w:t>
            </w:r>
            <w:r>
              <w:rPr>
                <w:noProof/>
                <w:webHidden/>
              </w:rPr>
              <w:tab/>
            </w:r>
            <w:r>
              <w:rPr>
                <w:noProof/>
                <w:webHidden/>
              </w:rPr>
              <w:fldChar w:fldCharType="begin"/>
            </w:r>
            <w:r>
              <w:rPr>
                <w:noProof/>
                <w:webHidden/>
              </w:rPr>
              <w:instrText xml:space="preserve"> PAGEREF _Toc182938002 \h </w:instrText>
            </w:r>
            <w:r>
              <w:rPr>
                <w:noProof/>
                <w:webHidden/>
              </w:rPr>
            </w:r>
            <w:r>
              <w:rPr>
                <w:noProof/>
                <w:webHidden/>
              </w:rPr>
              <w:fldChar w:fldCharType="separate"/>
            </w:r>
            <w:r>
              <w:rPr>
                <w:noProof/>
                <w:webHidden/>
              </w:rPr>
              <w:t>10</w:t>
            </w:r>
            <w:r>
              <w:rPr>
                <w:noProof/>
                <w:webHidden/>
              </w:rPr>
              <w:fldChar w:fldCharType="end"/>
            </w:r>
          </w:hyperlink>
        </w:p>
        <w:p w14:paraId="0FFBDFB6" w14:textId="2A5EA717" w:rsidR="003250E8" w:rsidRDefault="003250E8">
          <w:pPr>
            <w:pStyle w:val="TOC1"/>
            <w:tabs>
              <w:tab w:val="right" w:leader="dot" w:pos="8630"/>
            </w:tabs>
            <w:rPr>
              <w:noProof/>
              <w:lang w:val="en-GB" w:eastAsia="en-GB"/>
            </w:rPr>
          </w:pPr>
          <w:hyperlink w:anchor="_Toc182938003" w:history="1">
            <w:r w:rsidRPr="003250E8">
              <w:rPr>
                <w:rStyle w:val="Hyperlink"/>
                <w:rFonts w:cs="Arial"/>
                <w:b/>
                <w:bCs/>
                <w:noProof/>
              </w:rPr>
              <w:t>Findings and Analysis of SME Business Growth Metrics Post-Brexit</w:t>
            </w:r>
            <w:r>
              <w:rPr>
                <w:noProof/>
                <w:webHidden/>
              </w:rPr>
              <w:tab/>
            </w:r>
            <w:r>
              <w:rPr>
                <w:noProof/>
                <w:webHidden/>
              </w:rPr>
              <w:fldChar w:fldCharType="begin"/>
            </w:r>
            <w:r>
              <w:rPr>
                <w:noProof/>
                <w:webHidden/>
              </w:rPr>
              <w:instrText xml:space="preserve"> PAGEREF _Toc182938003 \h </w:instrText>
            </w:r>
            <w:r>
              <w:rPr>
                <w:noProof/>
                <w:webHidden/>
              </w:rPr>
            </w:r>
            <w:r>
              <w:rPr>
                <w:noProof/>
                <w:webHidden/>
              </w:rPr>
              <w:fldChar w:fldCharType="separate"/>
            </w:r>
            <w:r>
              <w:rPr>
                <w:noProof/>
                <w:webHidden/>
              </w:rPr>
              <w:t>13</w:t>
            </w:r>
            <w:r>
              <w:rPr>
                <w:noProof/>
                <w:webHidden/>
              </w:rPr>
              <w:fldChar w:fldCharType="end"/>
            </w:r>
          </w:hyperlink>
        </w:p>
        <w:p w14:paraId="4CC1F028" w14:textId="71AF745D" w:rsidR="003250E8" w:rsidRDefault="003250E8">
          <w:pPr>
            <w:pStyle w:val="TOC2"/>
            <w:tabs>
              <w:tab w:val="right" w:leader="dot" w:pos="8630"/>
            </w:tabs>
            <w:rPr>
              <w:noProof/>
              <w:lang w:val="en-GB" w:eastAsia="en-GB"/>
            </w:rPr>
          </w:pPr>
          <w:hyperlink w:anchor="_Toc182938004" w:history="1">
            <w:r w:rsidRPr="00C20683">
              <w:rPr>
                <w:rStyle w:val="Hyperlink"/>
                <w:rFonts w:cs="Arial"/>
                <w:noProof/>
              </w:rPr>
              <w:t>How have SMEs' business growth metrics changed post-Brexit?</w:t>
            </w:r>
            <w:r>
              <w:rPr>
                <w:noProof/>
                <w:webHidden/>
              </w:rPr>
              <w:tab/>
            </w:r>
            <w:r>
              <w:rPr>
                <w:noProof/>
                <w:webHidden/>
              </w:rPr>
              <w:fldChar w:fldCharType="begin"/>
            </w:r>
            <w:r>
              <w:rPr>
                <w:noProof/>
                <w:webHidden/>
              </w:rPr>
              <w:instrText xml:space="preserve"> PAGEREF _Toc182938004 \h </w:instrText>
            </w:r>
            <w:r>
              <w:rPr>
                <w:noProof/>
                <w:webHidden/>
              </w:rPr>
            </w:r>
            <w:r>
              <w:rPr>
                <w:noProof/>
                <w:webHidden/>
              </w:rPr>
              <w:fldChar w:fldCharType="separate"/>
            </w:r>
            <w:r>
              <w:rPr>
                <w:noProof/>
                <w:webHidden/>
              </w:rPr>
              <w:t>13</w:t>
            </w:r>
            <w:r>
              <w:rPr>
                <w:noProof/>
                <w:webHidden/>
              </w:rPr>
              <w:fldChar w:fldCharType="end"/>
            </w:r>
          </w:hyperlink>
        </w:p>
        <w:p w14:paraId="4726FA5C" w14:textId="2D32AB86" w:rsidR="003250E8" w:rsidRDefault="003250E8">
          <w:pPr>
            <w:pStyle w:val="TOC3"/>
            <w:tabs>
              <w:tab w:val="right" w:leader="dot" w:pos="8630"/>
            </w:tabs>
            <w:rPr>
              <w:noProof/>
              <w:lang w:val="en-GB" w:eastAsia="en-GB"/>
            </w:rPr>
          </w:pPr>
          <w:hyperlink w:anchor="_Toc182938005" w:history="1">
            <w:r w:rsidRPr="00C20683">
              <w:rPr>
                <w:rStyle w:val="Hyperlink"/>
                <w:rFonts w:cs="Arial"/>
                <w:noProof/>
              </w:rPr>
              <w:t>Presentation and Interpretation of Results</w:t>
            </w:r>
            <w:r>
              <w:rPr>
                <w:noProof/>
                <w:webHidden/>
              </w:rPr>
              <w:tab/>
            </w:r>
            <w:r>
              <w:rPr>
                <w:noProof/>
                <w:webHidden/>
              </w:rPr>
              <w:fldChar w:fldCharType="begin"/>
            </w:r>
            <w:r>
              <w:rPr>
                <w:noProof/>
                <w:webHidden/>
              </w:rPr>
              <w:instrText xml:space="preserve"> PAGEREF _Toc182938005 \h </w:instrText>
            </w:r>
            <w:r>
              <w:rPr>
                <w:noProof/>
                <w:webHidden/>
              </w:rPr>
            </w:r>
            <w:r>
              <w:rPr>
                <w:noProof/>
                <w:webHidden/>
              </w:rPr>
              <w:fldChar w:fldCharType="separate"/>
            </w:r>
            <w:r>
              <w:rPr>
                <w:noProof/>
                <w:webHidden/>
              </w:rPr>
              <w:t>14</w:t>
            </w:r>
            <w:r>
              <w:rPr>
                <w:noProof/>
                <w:webHidden/>
              </w:rPr>
              <w:fldChar w:fldCharType="end"/>
            </w:r>
          </w:hyperlink>
        </w:p>
        <w:p w14:paraId="3D5F6E5E" w14:textId="3A0380E2" w:rsidR="003250E8" w:rsidRDefault="003250E8">
          <w:pPr>
            <w:pStyle w:val="TOC3"/>
            <w:tabs>
              <w:tab w:val="right" w:leader="dot" w:pos="8630"/>
            </w:tabs>
            <w:rPr>
              <w:noProof/>
              <w:lang w:val="en-GB" w:eastAsia="en-GB"/>
            </w:rPr>
          </w:pPr>
          <w:hyperlink w:anchor="_Toc182938006" w:history="1">
            <w:r w:rsidRPr="00C20683">
              <w:rPr>
                <w:rStyle w:val="Hyperlink"/>
                <w:rFonts w:cs="Arial"/>
                <w:noProof/>
              </w:rPr>
              <w:t>Post-Brexit Trends in SME Growth Metrics</w:t>
            </w:r>
            <w:r>
              <w:rPr>
                <w:noProof/>
                <w:webHidden/>
              </w:rPr>
              <w:tab/>
            </w:r>
            <w:r>
              <w:rPr>
                <w:noProof/>
                <w:webHidden/>
              </w:rPr>
              <w:fldChar w:fldCharType="begin"/>
            </w:r>
            <w:r>
              <w:rPr>
                <w:noProof/>
                <w:webHidden/>
              </w:rPr>
              <w:instrText xml:space="preserve"> PAGEREF _Toc182938006 \h </w:instrText>
            </w:r>
            <w:r>
              <w:rPr>
                <w:noProof/>
                <w:webHidden/>
              </w:rPr>
            </w:r>
            <w:r>
              <w:rPr>
                <w:noProof/>
                <w:webHidden/>
              </w:rPr>
              <w:fldChar w:fldCharType="separate"/>
            </w:r>
            <w:r>
              <w:rPr>
                <w:noProof/>
                <w:webHidden/>
              </w:rPr>
              <w:t>15</w:t>
            </w:r>
            <w:r>
              <w:rPr>
                <w:noProof/>
                <w:webHidden/>
              </w:rPr>
              <w:fldChar w:fldCharType="end"/>
            </w:r>
          </w:hyperlink>
        </w:p>
        <w:p w14:paraId="1119E8EA" w14:textId="28AB82CA" w:rsidR="003250E8" w:rsidRDefault="003250E8">
          <w:pPr>
            <w:pStyle w:val="TOC3"/>
            <w:tabs>
              <w:tab w:val="right" w:leader="dot" w:pos="8630"/>
            </w:tabs>
            <w:rPr>
              <w:noProof/>
              <w:lang w:val="en-GB" w:eastAsia="en-GB"/>
            </w:rPr>
          </w:pPr>
          <w:hyperlink w:anchor="_Toc182938007" w:history="1">
            <w:r w:rsidRPr="00C20683">
              <w:rPr>
                <w:rStyle w:val="Hyperlink"/>
                <w:rFonts w:cs="Arial"/>
                <w:noProof/>
              </w:rPr>
              <w:t>Comparison with Literature and Discussion</w:t>
            </w:r>
            <w:r>
              <w:rPr>
                <w:noProof/>
                <w:webHidden/>
              </w:rPr>
              <w:tab/>
            </w:r>
            <w:r>
              <w:rPr>
                <w:noProof/>
                <w:webHidden/>
              </w:rPr>
              <w:fldChar w:fldCharType="begin"/>
            </w:r>
            <w:r>
              <w:rPr>
                <w:noProof/>
                <w:webHidden/>
              </w:rPr>
              <w:instrText xml:space="preserve"> PAGEREF _Toc182938007 \h </w:instrText>
            </w:r>
            <w:r>
              <w:rPr>
                <w:noProof/>
                <w:webHidden/>
              </w:rPr>
            </w:r>
            <w:r>
              <w:rPr>
                <w:noProof/>
                <w:webHidden/>
              </w:rPr>
              <w:fldChar w:fldCharType="separate"/>
            </w:r>
            <w:r>
              <w:rPr>
                <w:noProof/>
                <w:webHidden/>
              </w:rPr>
              <w:t>15</w:t>
            </w:r>
            <w:r>
              <w:rPr>
                <w:noProof/>
                <w:webHidden/>
              </w:rPr>
              <w:fldChar w:fldCharType="end"/>
            </w:r>
          </w:hyperlink>
        </w:p>
        <w:p w14:paraId="2A09078A" w14:textId="4A8CA5D4" w:rsidR="003250E8" w:rsidRDefault="003250E8">
          <w:pPr>
            <w:pStyle w:val="TOC2"/>
            <w:tabs>
              <w:tab w:val="right" w:leader="dot" w:pos="8630"/>
            </w:tabs>
            <w:rPr>
              <w:noProof/>
              <w:lang w:val="en-GB" w:eastAsia="en-GB"/>
            </w:rPr>
          </w:pPr>
          <w:hyperlink w:anchor="_Toc182938008" w:history="1">
            <w:r w:rsidRPr="00C20683">
              <w:rPr>
                <w:rStyle w:val="Hyperlink"/>
                <w:rFonts w:cs="Arial"/>
                <w:noProof/>
                <w:lang w:eastAsia="en-GB"/>
              </w:rPr>
              <w:t>How has Brexit affected employment levels for SMEs?</w:t>
            </w:r>
            <w:r>
              <w:rPr>
                <w:noProof/>
                <w:webHidden/>
              </w:rPr>
              <w:tab/>
            </w:r>
            <w:r>
              <w:rPr>
                <w:noProof/>
                <w:webHidden/>
              </w:rPr>
              <w:fldChar w:fldCharType="begin"/>
            </w:r>
            <w:r>
              <w:rPr>
                <w:noProof/>
                <w:webHidden/>
              </w:rPr>
              <w:instrText xml:space="preserve"> PAGEREF _Toc182938008 \h </w:instrText>
            </w:r>
            <w:r>
              <w:rPr>
                <w:noProof/>
                <w:webHidden/>
              </w:rPr>
            </w:r>
            <w:r>
              <w:rPr>
                <w:noProof/>
                <w:webHidden/>
              </w:rPr>
              <w:fldChar w:fldCharType="separate"/>
            </w:r>
            <w:r>
              <w:rPr>
                <w:noProof/>
                <w:webHidden/>
              </w:rPr>
              <w:t>16</w:t>
            </w:r>
            <w:r>
              <w:rPr>
                <w:noProof/>
                <w:webHidden/>
              </w:rPr>
              <w:fldChar w:fldCharType="end"/>
            </w:r>
          </w:hyperlink>
        </w:p>
        <w:p w14:paraId="37730B41" w14:textId="27BEB035" w:rsidR="003250E8" w:rsidRDefault="003250E8">
          <w:pPr>
            <w:pStyle w:val="TOC3"/>
            <w:tabs>
              <w:tab w:val="right" w:leader="dot" w:pos="8630"/>
            </w:tabs>
            <w:rPr>
              <w:noProof/>
              <w:lang w:val="en-GB" w:eastAsia="en-GB"/>
            </w:rPr>
          </w:pPr>
          <w:hyperlink w:anchor="_Toc182938009" w:history="1">
            <w:r w:rsidRPr="00C20683">
              <w:rPr>
                <w:rStyle w:val="Hyperlink"/>
                <w:rFonts w:cs="Arial"/>
                <w:noProof/>
              </w:rPr>
              <w:t>Analysis of SME Employment Trends Post-Brexit</w:t>
            </w:r>
            <w:r>
              <w:rPr>
                <w:noProof/>
                <w:webHidden/>
              </w:rPr>
              <w:tab/>
            </w:r>
            <w:r>
              <w:rPr>
                <w:noProof/>
                <w:webHidden/>
              </w:rPr>
              <w:fldChar w:fldCharType="begin"/>
            </w:r>
            <w:r>
              <w:rPr>
                <w:noProof/>
                <w:webHidden/>
              </w:rPr>
              <w:instrText xml:space="preserve"> PAGEREF _Toc182938009 \h </w:instrText>
            </w:r>
            <w:r>
              <w:rPr>
                <w:noProof/>
                <w:webHidden/>
              </w:rPr>
            </w:r>
            <w:r>
              <w:rPr>
                <w:noProof/>
                <w:webHidden/>
              </w:rPr>
              <w:fldChar w:fldCharType="separate"/>
            </w:r>
            <w:r>
              <w:rPr>
                <w:noProof/>
                <w:webHidden/>
              </w:rPr>
              <w:t>16</w:t>
            </w:r>
            <w:r>
              <w:rPr>
                <w:noProof/>
                <w:webHidden/>
              </w:rPr>
              <w:fldChar w:fldCharType="end"/>
            </w:r>
          </w:hyperlink>
        </w:p>
        <w:p w14:paraId="53839973" w14:textId="547DE12C" w:rsidR="003250E8" w:rsidRDefault="003250E8">
          <w:pPr>
            <w:pStyle w:val="TOC3"/>
            <w:tabs>
              <w:tab w:val="right" w:leader="dot" w:pos="8630"/>
            </w:tabs>
            <w:rPr>
              <w:noProof/>
              <w:lang w:val="en-GB" w:eastAsia="en-GB"/>
            </w:rPr>
          </w:pPr>
          <w:hyperlink w:anchor="_Toc182938010" w:history="1">
            <w:r w:rsidRPr="00C20683">
              <w:rPr>
                <w:rStyle w:val="Hyperlink"/>
                <w:rFonts w:cs="Arial"/>
                <w:noProof/>
              </w:rPr>
              <w:t>Presentation and Interpretation of Results</w:t>
            </w:r>
            <w:r>
              <w:rPr>
                <w:noProof/>
                <w:webHidden/>
              </w:rPr>
              <w:tab/>
            </w:r>
            <w:r>
              <w:rPr>
                <w:noProof/>
                <w:webHidden/>
              </w:rPr>
              <w:fldChar w:fldCharType="begin"/>
            </w:r>
            <w:r>
              <w:rPr>
                <w:noProof/>
                <w:webHidden/>
              </w:rPr>
              <w:instrText xml:space="preserve"> PAGEREF _Toc182938010 \h </w:instrText>
            </w:r>
            <w:r>
              <w:rPr>
                <w:noProof/>
                <w:webHidden/>
              </w:rPr>
            </w:r>
            <w:r>
              <w:rPr>
                <w:noProof/>
                <w:webHidden/>
              </w:rPr>
              <w:fldChar w:fldCharType="separate"/>
            </w:r>
            <w:r>
              <w:rPr>
                <w:noProof/>
                <w:webHidden/>
              </w:rPr>
              <w:t>17</w:t>
            </w:r>
            <w:r>
              <w:rPr>
                <w:noProof/>
                <w:webHidden/>
              </w:rPr>
              <w:fldChar w:fldCharType="end"/>
            </w:r>
          </w:hyperlink>
        </w:p>
        <w:p w14:paraId="7AA2ACA3" w14:textId="2BBADFE8" w:rsidR="003250E8" w:rsidRDefault="003250E8">
          <w:pPr>
            <w:pStyle w:val="TOC3"/>
            <w:tabs>
              <w:tab w:val="right" w:leader="dot" w:pos="8630"/>
            </w:tabs>
            <w:rPr>
              <w:noProof/>
              <w:lang w:val="en-GB" w:eastAsia="en-GB"/>
            </w:rPr>
          </w:pPr>
          <w:hyperlink w:anchor="_Toc182938011" w:history="1">
            <w:r w:rsidRPr="00C20683">
              <w:rPr>
                <w:rStyle w:val="Hyperlink"/>
                <w:rFonts w:cs="Arial"/>
                <w:noProof/>
              </w:rPr>
              <w:t>Post-Brexit Trends in Vacancy Levels</w:t>
            </w:r>
            <w:r>
              <w:rPr>
                <w:noProof/>
                <w:webHidden/>
              </w:rPr>
              <w:tab/>
            </w:r>
            <w:r>
              <w:rPr>
                <w:noProof/>
                <w:webHidden/>
              </w:rPr>
              <w:fldChar w:fldCharType="begin"/>
            </w:r>
            <w:r>
              <w:rPr>
                <w:noProof/>
                <w:webHidden/>
              </w:rPr>
              <w:instrText xml:space="preserve"> PAGEREF _Toc182938011 \h </w:instrText>
            </w:r>
            <w:r>
              <w:rPr>
                <w:noProof/>
                <w:webHidden/>
              </w:rPr>
            </w:r>
            <w:r>
              <w:rPr>
                <w:noProof/>
                <w:webHidden/>
              </w:rPr>
              <w:fldChar w:fldCharType="separate"/>
            </w:r>
            <w:r>
              <w:rPr>
                <w:noProof/>
                <w:webHidden/>
              </w:rPr>
              <w:t>19</w:t>
            </w:r>
            <w:r>
              <w:rPr>
                <w:noProof/>
                <w:webHidden/>
              </w:rPr>
              <w:fldChar w:fldCharType="end"/>
            </w:r>
          </w:hyperlink>
        </w:p>
        <w:p w14:paraId="4DC5DD94" w14:textId="566F182F" w:rsidR="003250E8" w:rsidRDefault="003250E8">
          <w:pPr>
            <w:pStyle w:val="TOC3"/>
            <w:tabs>
              <w:tab w:val="right" w:leader="dot" w:pos="8630"/>
            </w:tabs>
            <w:rPr>
              <w:noProof/>
              <w:lang w:val="en-GB" w:eastAsia="en-GB"/>
            </w:rPr>
          </w:pPr>
          <w:hyperlink w:anchor="_Toc182938012" w:history="1">
            <w:r w:rsidRPr="00C20683">
              <w:rPr>
                <w:rStyle w:val="Hyperlink"/>
                <w:rFonts w:cs="Arial"/>
                <w:noProof/>
              </w:rPr>
              <w:t>Comparison with Literature and Discussion</w:t>
            </w:r>
            <w:r>
              <w:rPr>
                <w:noProof/>
                <w:webHidden/>
              </w:rPr>
              <w:tab/>
            </w:r>
            <w:r>
              <w:rPr>
                <w:noProof/>
                <w:webHidden/>
              </w:rPr>
              <w:fldChar w:fldCharType="begin"/>
            </w:r>
            <w:r>
              <w:rPr>
                <w:noProof/>
                <w:webHidden/>
              </w:rPr>
              <w:instrText xml:space="preserve"> PAGEREF _Toc182938012 \h </w:instrText>
            </w:r>
            <w:r>
              <w:rPr>
                <w:noProof/>
                <w:webHidden/>
              </w:rPr>
            </w:r>
            <w:r>
              <w:rPr>
                <w:noProof/>
                <w:webHidden/>
              </w:rPr>
              <w:fldChar w:fldCharType="separate"/>
            </w:r>
            <w:r>
              <w:rPr>
                <w:noProof/>
                <w:webHidden/>
              </w:rPr>
              <w:t>19</w:t>
            </w:r>
            <w:r>
              <w:rPr>
                <w:noProof/>
                <w:webHidden/>
              </w:rPr>
              <w:fldChar w:fldCharType="end"/>
            </w:r>
          </w:hyperlink>
        </w:p>
        <w:p w14:paraId="3AD2540D" w14:textId="5516B98E" w:rsidR="003250E8" w:rsidRDefault="003250E8">
          <w:pPr>
            <w:pStyle w:val="TOC3"/>
            <w:tabs>
              <w:tab w:val="right" w:leader="dot" w:pos="8630"/>
            </w:tabs>
            <w:rPr>
              <w:noProof/>
              <w:lang w:val="en-GB" w:eastAsia="en-GB"/>
            </w:rPr>
          </w:pPr>
          <w:hyperlink w:anchor="_Toc182938013" w:history="1">
            <w:r w:rsidRPr="00C20683">
              <w:rPr>
                <w:rStyle w:val="Hyperlink"/>
                <w:rFonts w:cs="Arial"/>
                <w:noProof/>
              </w:rPr>
              <w:t>Implications of Findings</w:t>
            </w:r>
            <w:r>
              <w:rPr>
                <w:noProof/>
                <w:webHidden/>
              </w:rPr>
              <w:tab/>
            </w:r>
            <w:r>
              <w:rPr>
                <w:noProof/>
                <w:webHidden/>
              </w:rPr>
              <w:fldChar w:fldCharType="begin"/>
            </w:r>
            <w:r>
              <w:rPr>
                <w:noProof/>
                <w:webHidden/>
              </w:rPr>
              <w:instrText xml:space="preserve"> PAGEREF _Toc182938013 \h </w:instrText>
            </w:r>
            <w:r>
              <w:rPr>
                <w:noProof/>
                <w:webHidden/>
              </w:rPr>
            </w:r>
            <w:r>
              <w:rPr>
                <w:noProof/>
                <w:webHidden/>
              </w:rPr>
              <w:fldChar w:fldCharType="separate"/>
            </w:r>
            <w:r>
              <w:rPr>
                <w:noProof/>
                <w:webHidden/>
              </w:rPr>
              <w:t>20</w:t>
            </w:r>
            <w:r>
              <w:rPr>
                <w:noProof/>
                <w:webHidden/>
              </w:rPr>
              <w:fldChar w:fldCharType="end"/>
            </w:r>
          </w:hyperlink>
        </w:p>
        <w:p w14:paraId="31EF5608" w14:textId="1142E5F4" w:rsidR="003250E8" w:rsidRDefault="003250E8">
          <w:pPr>
            <w:pStyle w:val="TOC2"/>
            <w:tabs>
              <w:tab w:val="right" w:leader="dot" w:pos="8630"/>
            </w:tabs>
            <w:rPr>
              <w:noProof/>
              <w:lang w:val="en-GB" w:eastAsia="en-GB"/>
            </w:rPr>
          </w:pPr>
          <w:hyperlink w:anchor="_Toc182938014" w:history="1">
            <w:r w:rsidRPr="003250E8">
              <w:rPr>
                <w:rStyle w:val="Hyperlink"/>
                <w:rFonts w:cs="Arial"/>
                <w:noProof/>
                <w:lang w:eastAsia="en-GB"/>
              </w:rPr>
              <w:t>What</w:t>
            </w:r>
            <w:r w:rsidRPr="003250E8">
              <w:rPr>
                <w:rStyle w:val="Hyperlink"/>
                <w:rFonts w:cs="Arial"/>
                <w:b/>
                <w:bCs/>
                <w:noProof/>
                <w:lang w:eastAsia="en-GB"/>
              </w:rPr>
              <w:t xml:space="preserve"> </w:t>
            </w:r>
            <w:r w:rsidRPr="003250E8">
              <w:rPr>
                <w:rStyle w:val="Hyperlink"/>
                <w:rFonts w:cs="Arial"/>
                <w:noProof/>
                <w:lang w:eastAsia="en-GB"/>
              </w:rPr>
              <w:t>has been the impact of Brexit on the number of VAT-registered businesses and businesses' birth and death rates in the UK?</w:t>
            </w:r>
            <w:r>
              <w:rPr>
                <w:noProof/>
                <w:webHidden/>
              </w:rPr>
              <w:tab/>
            </w:r>
            <w:r>
              <w:rPr>
                <w:noProof/>
                <w:webHidden/>
              </w:rPr>
              <w:fldChar w:fldCharType="begin"/>
            </w:r>
            <w:r>
              <w:rPr>
                <w:noProof/>
                <w:webHidden/>
              </w:rPr>
              <w:instrText xml:space="preserve"> PAGEREF _Toc182938014 \h </w:instrText>
            </w:r>
            <w:r>
              <w:rPr>
                <w:noProof/>
                <w:webHidden/>
              </w:rPr>
            </w:r>
            <w:r>
              <w:rPr>
                <w:noProof/>
                <w:webHidden/>
              </w:rPr>
              <w:fldChar w:fldCharType="separate"/>
            </w:r>
            <w:r>
              <w:rPr>
                <w:noProof/>
                <w:webHidden/>
              </w:rPr>
              <w:t>20</w:t>
            </w:r>
            <w:r>
              <w:rPr>
                <w:noProof/>
                <w:webHidden/>
              </w:rPr>
              <w:fldChar w:fldCharType="end"/>
            </w:r>
          </w:hyperlink>
        </w:p>
        <w:p w14:paraId="45C44C8B" w14:textId="31CC701B" w:rsidR="003250E8" w:rsidRDefault="003250E8">
          <w:pPr>
            <w:pStyle w:val="TOC3"/>
            <w:tabs>
              <w:tab w:val="right" w:leader="dot" w:pos="8630"/>
            </w:tabs>
            <w:rPr>
              <w:noProof/>
              <w:lang w:val="en-GB" w:eastAsia="en-GB"/>
            </w:rPr>
          </w:pPr>
          <w:hyperlink w:anchor="_Toc182938015" w:history="1">
            <w:r w:rsidRPr="00C20683">
              <w:rPr>
                <w:rStyle w:val="Hyperlink"/>
                <w:rFonts w:cs="Arial"/>
                <w:noProof/>
              </w:rPr>
              <w:t>Analysis of VAT-Registered Businesses and Business Entry/Exit Rates Post-Brexit</w:t>
            </w:r>
            <w:r>
              <w:rPr>
                <w:noProof/>
                <w:webHidden/>
              </w:rPr>
              <w:tab/>
            </w:r>
            <w:r>
              <w:rPr>
                <w:noProof/>
                <w:webHidden/>
              </w:rPr>
              <w:fldChar w:fldCharType="begin"/>
            </w:r>
            <w:r>
              <w:rPr>
                <w:noProof/>
                <w:webHidden/>
              </w:rPr>
              <w:instrText xml:space="preserve"> PAGEREF _Toc182938015 \h </w:instrText>
            </w:r>
            <w:r>
              <w:rPr>
                <w:noProof/>
                <w:webHidden/>
              </w:rPr>
            </w:r>
            <w:r>
              <w:rPr>
                <w:noProof/>
                <w:webHidden/>
              </w:rPr>
              <w:fldChar w:fldCharType="separate"/>
            </w:r>
            <w:r>
              <w:rPr>
                <w:noProof/>
                <w:webHidden/>
              </w:rPr>
              <w:t>20</w:t>
            </w:r>
            <w:r>
              <w:rPr>
                <w:noProof/>
                <w:webHidden/>
              </w:rPr>
              <w:fldChar w:fldCharType="end"/>
            </w:r>
          </w:hyperlink>
        </w:p>
        <w:p w14:paraId="16B94FF5" w14:textId="6785F7B3" w:rsidR="003250E8" w:rsidRDefault="003250E8">
          <w:pPr>
            <w:pStyle w:val="TOC3"/>
            <w:tabs>
              <w:tab w:val="right" w:leader="dot" w:pos="8630"/>
            </w:tabs>
            <w:rPr>
              <w:noProof/>
              <w:lang w:val="en-GB" w:eastAsia="en-GB"/>
            </w:rPr>
          </w:pPr>
          <w:hyperlink w:anchor="_Toc182938016" w:history="1">
            <w:r w:rsidRPr="00C20683">
              <w:rPr>
                <w:rStyle w:val="Hyperlink"/>
                <w:rFonts w:cs="Arial"/>
                <w:noProof/>
              </w:rPr>
              <w:t>Presentation and Interpretation of Results</w:t>
            </w:r>
            <w:r>
              <w:rPr>
                <w:noProof/>
                <w:webHidden/>
              </w:rPr>
              <w:tab/>
            </w:r>
            <w:r>
              <w:rPr>
                <w:noProof/>
                <w:webHidden/>
              </w:rPr>
              <w:fldChar w:fldCharType="begin"/>
            </w:r>
            <w:r>
              <w:rPr>
                <w:noProof/>
                <w:webHidden/>
              </w:rPr>
              <w:instrText xml:space="preserve"> PAGEREF _Toc182938016 \h </w:instrText>
            </w:r>
            <w:r>
              <w:rPr>
                <w:noProof/>
                <w:webHidden/>
              </w:rPr>
            </w:r>
            <w:r>
              <w:rPr>
                <w:noProof/>
                <w:webHidden/>
              </w:rPr>
              <w:fldChar w:fldCharType="separate"/>
            </w:r>
            <w:r>
              <w:rPr>
                <w:noProof/>
                <w:webHidden/>
              </w:rPr>
              <w:t>22</w:t>
            </w:r>
            <w:r>
              <w:rPr>
                <w:noProof/>
                <w:webHidden/>
              </w:rPr>
              <w:fldChar w:fldCharType="end"/>
            </w:r>
          </w:hyperlink>
        </w:p>
        <w:p w14:paraId="5E3D2D37" w14:textId="39593EF3" w:rsidR="003250E8" w:rsidRDefault="003250E8">
          <w:pPr>
            <w:pStyle w:val="TOC3"/>
            <w:tabs>
              <w:tab w:val="right" w:leader="dot" w:pos="8630"/>
            </w:tabs>
            <w:rPr>
              <w:noProof/>
              <w:lang w:val="en-GB" w:eastAsia="en-GB"/>
            </w:rPr>
          </w:pPr>
          <w:hyperlink w:anchor="_Toc182938017" w:history="1">
            <w:r w:rsidRPr="00C20683">
              <w:rPr>
                <w:rStyle w:val="Hyperlink"/>
                <w:rFonts w:cs="Arial"/>
                <w:noProof/>
              </w:rPr>
              <w:t>Comparative Analysis and Linkage with Literature</w:t>
            </w:r>
            <w:r>
              <w:rPr>
                <w:noProof/>
                <w:webHidden/>
              </w:rPr>
              <w:tab/>
            </w:r>
            <w:r>
              <w:rPr>
                <w:noProof/>
                <w:webHidden/>
              </w:rPr>
              <w:fldChar w:fldCharType="begin"/>
            </w:r>
            <w:r>
              <w:rPr>
                <w:noProof/>
                <w:webHidden/>
              </w:rPr>
              <w:instrText xml:space="preserve"> PAGEREF _Toc182938017 \h </w:instrText>
            </w:r>
            <w:r>
              <w:rPr>
                <w:noProof/>
                <w:webHidden/>
              </w:rPr>
            </w:r>
            <w:r>
              <w:rPr>
                <w:noProof/>
                <w:webHidden/>
              </w:rPr>
              <w:fldChar w:fldCharType="separate"/>
            </w:r>
            <w:r>
              <w:rPr>
                <w:noProof/>
                <w:webHidden/>
              </w:rPr>
              <w:t>23</w:t>
            </w:r>
            <w:r>
              <w:rPr>
                <w:noProof/>
                <w:webHidden/>
              </w:rPr>
              <w:fldChar w:fldCharType="end"/>
            </w:r>
          </w:hyperlink>
        </w:p>
        <w:p w14:paraId="6BFC6E32" w14:textId="06236F31" w:rsidR="003250E8" w:rsidRDefault="003250E8">
          <w:pPr>
            <w:pStyle w:val="TOC1"/>
            <w:tabs>
              <w:tab w:val="right" w:leader="dot" w:pos="8630"/>
            </w:tabs>
            <w:rPr>
              <w:noProof/>
              <w:lang w:val="en-GB" w:eastAsia="en-GB"/>
            </w:rPr>
          </w:pPr>
          <w:hyperlink w:anchor="_Toc182938018" w:history="1">
            <w:r w:rsidRPr="003250E8">
              <w:rPr>
                <w:rStyle w:val="Hyperlink"/>
                <w:rFonts w:cs="Arial"/>
                <w:b/>
                <w:bCs/>
                <w:noProof/>
              </w:rPr>
              <w:t>Conclusion</w:t>
            </w:r>
            <w:r w:rsidRPr="00C20683">
              <w:rPr>
                <w:rStyle w:val="Hyperlink"/>
                <w:rFonts w:cs="Arial"/>
                <w:noProof/>
              </w:rPr>
              <w:t xml:space="preserve"> </w:t>
            </w:r>
            <w:r w:rsidRPr="003250E8">
              <w:rPr>
                <w:rStyle w:val="Hyperlink"/>
                <w:rFonts w:cs="Arial"/>
                <w:b/>
                <w:bCs/>
                <w:noProof/>
              </w:rPr>
              <w:t>and</w:t>
            </w:r>
            <w:r w:rsidRPr="00C20683">
              <w:rPr>
                <w:rStyle w:val="Hyperlink"/>
                <w:rFonts w:cs="Arial"/>
                <w:noProof/>
              </w:rPr>
              <w:t xml:space="preserve"> </w:t>
            </w:r>
            <w:r w:rsidRPr="003250E8">
              <w:rPr>
                <w:rStyle w:val="Hyperlink"/>
                <w:rFonts w:cs="Arial"/>
                <w:b/>
                <w:bCs/>
                <w:noProof/>
              </w:rPr>
              <w:t>Recommendations</w:t>
            </w:r>
            <w:r>
              <w:rPr>
                <w:noProof/>
                <w:webHidden/>
              </w:rPr>
              <w:tab/>
            </w:r>
            <w:r>
              <w:rPr>
                <w:noProof/>
                <w:webHidden/>
              </w:rPr>
              <w:fldChar w:fldCharType="begin"/>
            </w:r>
            <w:r>
              <w:rPr>
                <w:noProof/>
                <w:webHidden/>
              </w:rPr>
              <w:instrText xml:space="preserve"> PAGEREF _Toc182938018 \h </w:instrText>
            </w:r>
            <w:r>
              <w:rPr>
                <w:noProof/>
                <w:webHidden/>
              </w:rPr>
            </w:r>
            <w:r>
              <w:rPr>
                <w:noProof/>
                <w:webHidden/>
              </w:rPr>
              <w:fldChar w:fldCharType="separate"/>
            </w:r>
            <w:r>
              <w:rPr>
                <w:noProof/>
                <w:webHidden/>
              </w:rPr>
              <w:t>24</w:t>
            </w:r>
            <w:r>
              <w:rPr>
                <w:noProof/>
                <w:webHidden/>
              </w:rPr>
              <w:fldChar w:fldCharType="end"/>
            </w:r>
          </w:hyperlink>
        </w:p>
        <w:p w14:paraId="4E1C5E7D" w14:textId="344EF969" w:rsidR="003250E8" w:rsidRDefault="003250E8">
          <w:pPr>
            <w:pStyle w:val="TOC1"/>
            <w:tabs>
              <w:tab w:val="right" w:leader="dot" w:pos="8630"/>
            </w:tabs>
            <w:rPr>
              <w:noProof/>
              <w:lang w:val="en-GB" w:eastAsia="en-GB"/>
            </w:rPr>
          </w:pPr>
          <w:hyperlink w:anchor="_Toc182938019" w:history="1">
            <w:r w:rsidRPr="003250E8">
              <w:rPr>
                <w:rStyle w:val="Hyperlink"/>
                <w:b/>
                <w:bCs/>
                <w:noProof/>
              </w:rPr>
              <w:t>Reference</w:t>
            </w:r>
            <w:r w:rsidRPr="00C20683">
              <w:rPr>
                <w:rStyle w:val="Hyperlink"/>
                <w:noProof/>
              </w:rPr>
              <w:t xml:space="preserve"> </w:t>
            </w:r>
            <w:r w:rsidRPr="003250E8">
              <w:rPr>
                <w:rStyle w:val="Hyperlink"/>
                <w:b/>
                <w:bCs/>
                <w:noProof/>
              </w:rPr>
              <w:t>list</w:t>
            </w:r>
            <w:r>
              <w:rPr>
                <w:noProof/>
                <w:webHidden/>
              </w:rPr>
              <w:tab/>
            </w:r>
            <w:r>
              <w:rPr>
                <w:noProof/>
                <w:webHidden/>
              </w:rPr>
              <w:fldChar w:fldCharType="begin"/>
            </w:r>
            <w:r>
              <w:rPr>
                <w:noProof/>
                <w:webHidden/>
              </w:rPr>
              <w:instrText xml:space="preserve"> PAGEREF _Toc182938019 \h </w:instrText>
            </w:r>
            <w:r>
              <w:rPr>
                <w:noProof/>
                <w:webHidden/>
              </w:rPr>
            </w:r>
            <w:r>
              <w:rPr>
                <w:noProof/>
                <w:webHidden/>
              </w:rPr>
              <w:fldChar w:fldCharType="separate"/>
            </w:r>
            <w:r>
              <w:rPr>
                <w:noProof/>
                <w:webHidden/>
              </w:rPr>
              <w:t>27</w:t>
            </w:r>
            <w:r>
              <w:rPr>
                <w:noProof/>
                <w:webHidden/>
              </w:rPr>
              <w:fldChar w:fldCharType="end"/>
            </w:r>
          </w:hyperlink>
        </w:p>
        <w:p w14:paraId="0E50D331" w14:textId="3161B1A9" w:rsidR="0020798A" w:rsidRPr="0020798A" w:rsidRDefault="0020798A">
          <w:pPr>
            <w:rPr>
              <w:rFonts w:ascii="Arial" w:hAnsi="Arial" w:cs="Arial"/>
            </w:rPr>
          </w:pPr>
          <w:r w:rsidRPr="0020798A">
            <w:rPr>
              <w:rFonts w:ascii="Arial" w:hAnsi="Arial" w:cs="Arial"/>
              <w:b/>
              <w:bCs/>
              <w:noProof/>
            </w:rPr>
            <w:fldChar w:fldCharType="end"/>
          </w:r>
        </w:p>
      </w:sdtContent>
    </w:sdt>
    <w:p w14:paraId="6CA44162" w14:textId="72BA51D0" w:rsidR="005C25C2" w:rsidRPr="0020798A" w:rsidRDefault="00E53E42" w:rsidP="005C25C2">
      <w:pPr>
        <w:pStyle w:val="Heading1"/>
        <w:spacing w:line="600" w:lineRule="auto"/>
        <w:rPr>
          <w:rFonts w:cs="Arial"/>
        </w:rPr>
      </w:pPr>
      <w:bookmarkStart w:id="1" w:name="_Hlk182933203"/>
      <w:bookmarkStart w:id="2" w:name="_Toc182937993"/>
      <w:r w:rsidRPr="0020798A">
        <w:rPr>
          <w:rFonts w:cs="Arial"/>
        </w:rPr>
        <w:lastRenderedPageBreak/>
        <w:t>Introduction</w:t>
      </w:r>
      <w:bookmarkEnd w:id="2"/>
    </w:p>
    <w:p w14:paraId="4A8E1684" w14:textId="79060874" w:rsidR="00EB70B1" w:rsidRPr="0020798A" w:rsidRDefault="00E53E42" w:rsidP="005C25C2">
      <w:pPr>
        <w:spacing w:line="360" w:lineRule="auto"/>
        <w:jc w:val="both"/>
        <w:rPr>
          <w:rFonts w:ascii="Arial" w:hAnsi="Arial" w:cs="Arial"/>
        </w:rPr>
      </w:pPr>
      <w:r w:rsidRPr="0020798A">
        <w:rPr>
          <w:rFonts w:ascii="Arial" w:hAnsi="Arial" w:cs="Arial"/>
        </w:rPr>
        <w:t xml:space="preserve">The 2016 Brexit referendum marks a transformative moment in the United Kingdom's socio-economic landscape, with profound effects on the small and medium-sized enterprise (SME) sector, which comprises over 99% of UK businesses and employs roughly 61% of the private sector workforce </w:t>
      </w:r>
      <w:r w:rsidR="00BD4B7D" w:rsidRPr="00BD4B7D">
        <w:rPr>
          <w:rFonts w:ascii="Arial" w:hAnsi="Arial" w:cs="Arial"/>
        </w:rPr>
        <w:t>(ONS, 2024</w:t>
      </w:r>
      <w:r w:rsidR="005946C3">
        <w:rPr>
          <w:rFonts w:ascii="Arial" w:hAnsi="Arial" w:cs="Arial"/>
        </w:rPr>
        <w:t>b</w:t>
      </w:r>
      <w:r w:rsidR="00BD4B7D">
        <w:rPr>
          <w:rFonts w:ascii="Arial" w:hAnsi="Arial" w:cs="Arial"/>
        </w:rPr>
        <w:t>;</w:t>
      </w:r>
      <w:r w:rsidR="00BD4B7D" w:rsidRPr="00BD4B7D">
        <w:t xml:space="preserve"> </w:t>
      </w:r>
      <w:r w:rsidR="00BD4B7D" w:rsidRPr="00BD4B7D">
        <w:rPr>
          <w:rFonts w:ascii="Arial" w:hAnsi="Arial" w:cs="Arial"/>
        </w:rPr>
        <w:t>BEIS, 2022</w:t>
      </w:r>
      <w:r w:rsidRPr="0020798A">
        <w:rPr>
          <w:rFonts w:ascii="Arial" w:hAnsi="Arial" w:cs="Arial"/>
        </w:rPr>
        <w:t xml:space="preserve">). As central drivers of employment, innovation, and regional economic resilience, SMEs are </w:t>
      </w:r>
      <w:r w:rsidR="008E7A2E" w:rsidRPr="0020798A">
        <w:rPr>
          <w:rFonts w:ascii="Arial" w:hAnsi="Arial" w:cs="Arial"/>
        </w:rPr>
        <w:t>susceptible</w:t>
      </w:r>
      <w:r w:rsidRPr="0020798A">
        <w:rPr>
          <w:rFonts w:ascii="Arial" w:hAnsi="Arial" w:cs="Arial"/>
        </w:rPr>
        <w:t xml:space="preserve"> to </w:t>
      </w:r>
      <w:r w:rsidR="008E7A2E" w:rsidRPr="0020798A">
        <w:rPr>
          <w:rFonts w:ascii="Arial" w:hAnsi="Arial" w:cs="Arial"/>
        </w:rPr>
        <w:t>disruptions caused</w:t>
      </w:r>
      <w:r w:rsidRPr="0020798A">
        <w:rPr>
          <w:rFonts w:ascii="Arial" w:hAnsi="Arial" w:cs="Arial"/>
        </w:rPr>
        <w:t xml:space="preserve"> by significant political and economic shifts</w:t>
      </w:r>
      <w:r w:rsidR="00BD4B7D" w:rsidRPr="00BD4B7D">
        <w:t xml:space="preserve"> </w:t>
      </w:r>
      <w:r w:rsidR="00BD4B7D" w:rsidRPr="00BD4B7D">
        <w:rPr>
          <w:rFonts w:ascii="Arial" w:hAnsi="Arial" w:cs="Arial"/>
        </w:rPr>
        <w:t>(</w:t>
      </w:r>
      <w:proofErr w:type="spellStart"/>
      <w:r w:rsidR="00C51E17" w:rsidRPr="00C51E17">
        <w:rPr>
          <w:rFonts w:ascii="Arial" w:hAnsi="Arial" w:cs="Arial"/>
        </w:rPr>
        <w:t>Blundel</w:t>
      </w:r>
      <w:proofErr w:type="spellEnd"/>
      <w:r w:rsidR="00C51E17" w:rsidRPr="00C51E17">
        <w:rPr>
          <w:rFonts w:ascii="Arial" w:hAnsi="Arial" w:cs="Arial"/>
        </w:rPr>
        <w:t>, Lockett and Wang, 2017</w:t>
      </w:r>
      <w:r w:rsidR="00C51E17">
        <w:rPr>
          <w:rFonts w:ascii="Arial" w:hAnsi="Arial" w:cs="Arial"/>
        </w:rPr>
        <w:t xml:space="preserve">; </w:t>
      </w:r>
      <w:proofErr w:type="spellStart"/>
      <w:r w:rsidR="00BD4B7D" w:rsidRPr="00BD4B7D">
        <w:rPr>
          <w:rFonts w:ascii="Arial" w:hAnsi="Arial" w:cs="Arial"/>
        </w:rPr>
        <w:t>Bayraktar</w:t>
      </w:r>
      <w:proofErr w:type="spellEnd"/>
      <w:r w:rsidR="00BD4B7D" w:rsidRPr="00BD4B7D">
        <w:rPr>
          <w:rFonts w:ascii="Arial" w:hAnsi="Arial" w:cs="Arial"/>
        </w:rPr>
        <w:t xml:space="preserve"> and </w:t>
      </w:r>
      <w:proofErr w:type="spellStart"/>
      <w:r w:rsidR="00BD4B7D" w:rsidRPr="00BD4B7D">
        <w:rPr>
          <w:rFonts w:ascii="Arial" w:hAnsi="Arial" w:cs="Arial"/>
        </w:rPr>
        <w:t>Algan</w:t>
      </w:r>
      <w:proofErr w:type="spellEnd"/>
      <w:r w:rsidR="00BD4B7D" w:rsidRPr="00BD4B7D">
        <w:rPr>
          <w:rFonts w:ascii="Arial" w:hAnsi="Arial" w:cs="Arial"/>
        </w:rPr>
        <w:t>, 2019)</w:t>
      </w:r>
      <w:r w:rsidRPr="0020798A">
        <w:rPr>
          <w:rFonts w:ascii="Arial" w:hAnsi="Arial" w:cs="Arial"/>
        </w:rPr>
        <w:t xml:space="preserve">. Brexit's impact on SMEs has been extensive, creating new trade barriers, regulatory hurdles, and </w:t>
      </w:r>
      <w:r w:rsidR="008E7A2E" w:rsidRPr="0020798A">
        <w:rPr>
          <w:rFonts w:ascii="Arial" w:hAnsi="Arial" w:cs="Arial"/>
        </w:rPr>
        <w:t>labour</w:t>
      </w:r>
      <w:r w:rsidRPr="0020798A">
        <w:rPr>
          <w:rFonts w:ascii="Arial" w:hAnsi="Arial" w:cs="Arial"/>
        </w:rPr>
        <w:t xml:space="preserve"> market constraints that complicate their operational and growth potential</w:t>
      </w:r>
      <w:r w:rsidR="00BD4B7D" w:rsidRPr="00BD4B7D">
        <w:t xml:space="preserve"> </w:t>
      </w:r>
      <w:r w:rsidR="00BD4B7D" w:rsidRPr="00BD4B7D">
        <w:rPr>
          <w:rFonts w:ascii="Arial" w:hAnsi="Arial" w:cs="Arial"/>
        </w:rPr>
        <w:t>(</w:t>
      </w:r>
      <w:proofErr w:type="spellStart"/>
      <w:r w:rsidR="00BD4B7D" w:rsidRPr="00BD4B7D">
        <w:rPr>
          <w:rFonts w:ascii="Arial" w:hAnsi="Arial" w:cs="Arial"/>
        </w:rPr>
        <w:t>Martill</w:t>
      </w:r>
      <w:proofErr w:type="spellEnd"/>
      <w:r w:rsidR="00BD4B7D" w:rsidRPr="00BD4B7D">
        <w:rPr>
          <w:rFonts w:ascii="Arial" w:hAnsi="Arial" w:cs="Arial"/>
        </w:rPr>
        <w:t xml:space="preserve"> and </w:t>
      </w:r>
      <w:proofErr w:type="spellStart"/>
      <w:r w:rsidR="00BD4B7D" w:rsidRPr="00BD4B7D">
        <w:rPr>
          <w:rFonts w:ascii="Arial" w:hAnsi="Arial" w:cs="Arial"/>
        </w:rPr>
        <w:t>Staiger</w:t>
      </w:r>
      <w:proofErr w:type="spellEnd"/>
      <w:r w:rsidR="00BD4B7D" w:rsidRPr="00BD4B7D">
        <w:rPr>
          <w:rFonts w:ascii="Arial" w:hAnsi="Arial" w:cs="Arial"/>
        </w:rPr>
        <w:t>, 2018)</w:t>
      </w:r>
      <w:r w:rsidRPr="0020798A">
        <w:rPr>
          <w:rFonts w:ascii="Arial" w:hAnsi="Arial" w:cs="Arial"/>
        </w:rPr>
        <w:t>.</w:t>
      </w:r>
    </w:p>
    <w:p w14:paraId="4802A0C4" w14:textId="27DD9C4A" w:rsidR="00EB70B1" w:rsidRPr="0020798A" w:rsidRDefault="00E53E42" w:rsidP="005C25C2">
      <w:pPr>
        <w:spacing w:line="360" w:lineRule="auto"/>
        <w:jc w:val="both"/>
        <w:rPr>
          <w:rFonts w:ascii="Arial" w:hAnsi="Arial" w:cs="Arial"/>
        </w:rPr>
      </w:pPr>
      <w:r w:rsidRPr="0020798A">
        <w:rPr>
          <w:rFonts w:ascii="Arial" w:hAnsi="Arial" w:cs="Arial"/>
        </w:rPr>
        <w:t xml:space="preserve">One of Brexit's most immediate impacts </w:t>
      </w:r>
      <w:r w:rsidR="005C25C2" w:rsidRPr="0020798A">
        <w:rPr>
          <w:rFonts w:ascii="Arial" w:hAnsi="Arial" w:cs="Arial"/>
        </w:rPr>
        <w:t>was</w:t>
      </w:r>
      <w:r w:rsidRPr="0020798A">
        <w:rPr>
          <w:rFonts w:ascii="Arial" w:hAnsi="Arial" w:cs="Arial"/>
        </w:rPr>
        <w:t xml:space="preserve"> in employment and </w:t>
      </w:r>
      <w:r w:rsidR="008E7A2E" w:rsidRPr="0020798A">
        <w:rPr>
          <w:rFonts w:ascii="Arial" w:hAnsi="Arial" w:cs="Arial"/>
        </w:rPr>
        <w:t>labour</w:t>
      </w:r>
      <w:r w:rsidRPr="0020798A">
        <w:rPr>
          <w:rFonts w:ascii="Arial" w:hAnsi="Arial" w:cs="Arial"/>
        </w:rPr>
        <w:t xml:space="preserve"> costs. SMEs that previously depended on a flexible EU workforce now face restricted </w:t>
      </w:r>
      <w:r w:rsidR="008E7A2E" w:rsidRPr="0020798A">
        <w:rPr>
          <w:rFonts w:ascii="Arial" w:hAnsi="Arial" w:cs="Arial"/>
        </w:rPr>
        <w:t>labour mobility, worsening labour</w:t>
      </w:r>
      <w:r w:rsidRPr="0020798A">
        <w:rPr>
          <w:rFonts w:ascii="Arial" w:hAnsi="Arial" w:cs="Arial"/>
        </w:rPr>
        <w:t xml:space="preserve"> shortages, and intensifying competition for skilled workers</w:t>
      </w:r>
      <w:r w:rsidR="00BD4B7D" w:rsidRPr="00BD4B7D">
        <w:t xml:space="preserve"> </w:t>
      </w:r>
      <w:r w:rsidR="00BD4B7D" w:rsidRPr="00BD4B7D">
        <w:rPr>
          <w:rFonts w:ascii="Arial" w:hAnsi="Arial" w:cs="Arial"/>
        </w:rPr>
        <w:t>(</w:t>
      </w:r>
      <w:proofErr w:type="spellStart"/>
      <w:r w:rsidR="00BD4B7D" w:rsidRPr="00BD4B7D">
        <w:rPr>
          <w:rFonts w:ascii="Arial" w:hAnsi="Arial" w:cs="Arial"/>
        </w:rPr>
        <w:t>Oehler</w:t>
      </w:r>
      <w:proofErr w:type="spellEnd"/>
      <w:r w:rsidR="00BD4B7D" w:rsidRPr="00BD4B7D">
        <w:rPr>
          <w:rFonts w:ascii="Arial" w:hAnsi="Arial" w:cs="Arial"/>
        </w:rPr>
        <w:t>, Horn and Wendt, 2017</w:t>
      </w:r>
      <w:r w:rsidR="00BD4B7D">
        <w:rPr>
          <w:rFonts w:ascii="Arial" w:hAnsi="Arial" w:cs="Arial"/>
        </w:rPr>
        <w:t xml:space="preserve">; </w:t>
      </w:r>
      <w:r w:rsidR="00BD4B7D" w:rsidRPr="00BD4B7D">
        <w:rPr>
          <w:rFonts w:ascii="Arial" w:hAnsi="Arial" w:cs="Arial"/>
        </w:rPr>
        <w:t>MAC, 2023)</w:t>
      </w:r>
      <w:r w:rsidRPr="0020798A">
        <w:rPr>
          <w:rFonts w:ascii="Arial" w:hAnsi="Arial" w:cs="Arial"/>
        </w:rPr>
        <w:t xml:space="preserve">. This dynamic has </w:t>
      </w:r>
      <w:r w:rsidR="008E7A2E" w:rsidRPr="0020798A">
        <w:rPr>
          <w:rFonts w:ascii="Arial" w:hAnsi="Arial" w:cs="Arial"/>
        </w:rPr>
        <w:t>increased</w:t>
      </w:r>
      <w:r w:rsidRPr="0020798A">
        <w:rPr>
          <w:rFonts w:ascii="Arial" w:hAnsi="Arial" w:cs="Arial"/>
        </w:rPr>
        <w:t xml:space="preserve"> wages and operating costs, placing additional pressure on SMEs, which often function with limited resources and narrow profit margins (</w:t>
      </w:r>
      <w:r w:rsidR="00C51E17" w:rsidRPr="00C51E17">
        <w:rPr>
          <w:rFonts w:ascii="Arial" w:hAnsi="Arial" w:cs="Arial"/>
        </w:rPr>
        <w:t>Warhurst and Nickson, 2020</w:t>
      </w:r>
      <w:r w:rsidR="00C51E17">
        <w:t xml:space="preserve">; </w:t>
      </w:r>
      <w:r w:rsidR="00C51E17" w:rsidRPr="00C51E17">
        <w:rPr>
          <w:rFonts w:ascii="Arial" w:hAnsi="Arial" w:cs="Arial"/>
        </w:rPr>
        <w:t>FSB, 2023)</w:t>
      </w:r>
      <w:r w:rsidR="00C51E17">
        <w:rPr>
          <w:rFonts w:ascii="Arial" w:hAnsi="Arial" w:cs="Arial"/>
        </w:rPr>
        <w:t>.</w:t>
      </w:r>
      <w:r w:rsidRPr="0020798A">
        <w:rPr>
          <w:rFonts w:ascii="Arial" w:hAnsi="Arial" w:cs="Arial"/>
        </w:rPr>
        <w:t xml:space="preserve"> </w:t>
      </w:r>
      <w:r w:rsidR="005C25C2" w:rsidRPr="0020798A">
        <w:rPr>
          <w:rFonts w:ascii="Arial" w:hAnsi="Arial" w:cs="Arial"/>
        </w:rPr>
        <w:t>In addition to</w:t>
      </w:r>
      <w:r w:rsidRPr="0020798A">
        <w:rPr>
          <w:rFonts w:ascii="Arial" w:hAnsi="Arial" w:cs="Arial"/>
        </w:rPr>
        <w:t xml:space="preserve"> these challenges, SMEs are now grappling with increased administrative requirements related to VAT registration and compliance, </w:t>
      </w:r>
      <w:r w:rsidR="008E7A2E" w:rsidRPr="0020798A">
        <w:rPr>
          <w:rFonts w:ascii="Arial" w:hAnsi="Arial" w:cs="Arial"/>
        </w:rPr>
        <w:t xml:space="preserve">affecting their ability to stay competitive in </w:t>
      </w:r>
      <w:r w:rsidRPr="0020798A">
        <w:rPr>
          <w:rFonts w:ascii="Arial" w:hAnsi="Arial" w:cs="Arial"/>
        </w:rPr>
        <w:t>domestic and global markets (</w:t>
      </w:r>
      <w:r w:rsidR="00C51E17" w:rsidRPr="00C51E17">
        <w:rPr>
          <w:rFonts w:ascii="Arial" w:hAnsi="Arial" w:cs="Arial"/>
        </w:rPr>
        <w:t>Carter and Jones-Evans, 2000)</w:t>
      </w:r>
      <w:r w:rsidRPr="0020798A">
        <w:rPr>
          <w:rFonts w:ascii="Arial" w:hAnsi="Arial" w:cs="Arial"/>
        </w:rPr>
        <w:t xml:space="preserve">. These conditions prompt critical questions about how SMEs </w:t>
      </w:r>
      <w:r w:rsidR="008E7A2E" w:rsidRPr="0020798A">
        <w:rPr>
          <w:rFonts w:ascii="Arial" w:hAnsi="Arial" w:cs="Arial"/>
        </w:rPr>
        <w:t>adapt to the post-Brexit environment, particularly concerning</w:t>
      </w:r>
      <w:r w:rsidRPr="0020798A">
        <w:rPr>
          <w:rFonts w:ascii="Arial" w:hAnsi="Arial" w:cs="Arial"/>
        </w:rPr>
        <w:t xml:space="preserve"> business growth indicators, employment stability, and sustainability metrics such as the number of VAT-registered businesses and business birth and death rates</w:t>
      </w:r>
      <w:r w:rsidR="00CD3A99">
        <w:rPr>
          <w:rFonts w:ascii="Arial" w:hAnsi="Arial" w:cs="Arial"/>
        </w:rPr>
        <w:t xml:space="preserve"> </w:t>
      </w:r>
      <w:r w:rsidR="00CD3A99" w:rsidRPr="00CD3A99">
        <w:rPr>
          <w:rFonts w:ascii="Arial" w:hAnsi="Arial" w:cs="Arial"/>
        </w:rPr>
        <w:t>(Blackburn and Schaper, 2016)</w:t>
      </w:r>
      <w:r w:rsidR="00CD3A99">
        <w:rPr>
          <w:rFonts w:ascii="Arial" w:hAnsi="Arial" w:cs="Arial"/>
        </w:rPr>
        <w:t>.</w:t>
      </w:r>
    </w:p>
    <w:p w14:paraId="27DE5EBD" w14:textId="35E52D26" w:rsidR="00EB70B1" w:rsidRPr="0020798A" w:rsidRDefault="00E53E42" w:rsidP="005C25C2">
      <w:pPr>
        <w:spacing w:line="360" w:lineRule="auto"/>
        <w:jc w:val="both"/>
        <w:rPr>
          <w:rFonts w:ascii="Arial" w:hAnsi="Arial" w:cs="Arial"/>
        </w:rPr>
      </w:pPr>
      <w:r w:rsidRPr="0020798A">
        <w:rPr>
          <w:rFonts w:ascii="Arial" w:hAnsi="Arial" w:cs="Arial"/>
        </w:rPr>
        <w:t xml:space="preserve">This dissertation addresses three core research questions central to understanding the broader economic implications for UK SMEs: How have SMEs’ growth metrics shifted post-Brexit? How has Brexit impacted employment levels for SMEs? What are the effects of Brexit on VAT registrations and </w:t>
      </w:r>
      <w:r w:rsidR="008E7A2E" w:rsidRPr="0020798A">
        <w:rPr>
          <w:rFonts w:ascii="Arial" w:hAnsi="Arial" w:cs="Arial"/>
        </w:rPr>
        <w:t>UK businesses' birth and death rates</w:t>
      </w:r>
      <w:r w:rsidRPr="0020798A">
        <w:rPr>
          <w:rFonts w:ascii="Arial" w:hAnsi="Arial" w:cs="Arial"/>
        </w:rPr>
        <w:t xml:space="preserve">? To investigate these questions, this study will </w:t>
      </w:r>
      <w:r w:rsidR="008E7A2E" w:rsidRPr="0020798A">
        <w:rPr>
          <w:rFonts w:ascii="Arial" w:hAnsi="Arial" w:cs="Arial"/>
        </w:rPr>
        <w:t>analyse</w:t>
      </w:r>
      <w:r w:rsidRPr="0020798A">
        <w:rPr>
          <w:rFonts w:ascii="Arial" w:hAnsi="Arial" w:cs="Arial"/>
        </w:rPr>
        <w:t xml:space="preserve"> secondary data from </w:t>
      </w:r>
      <w:r w:rsidR="005C25C2" w:rsidRPr="0020798A">
        <w:rPr>
          <w:rFonts w:ascii="Arial" w:hAnsi="Arial" w:cs="Arial"/>
        </w:rPr>
        <w:t>reliable</w:t>
      </w:r>
      <w:r w:rsidRPr="0020798A">
        <w:rPr>
          <w:rFonts w:ascii="Arial" w:hAnsi="Arial" w:cs="Arial"/>
        </w:rPr>
        <w:t xml:space="preserve"> sources like the ONS, focusing on quantitative metrics that reveal trends in SME performance since Brexit</w:t>
      </w:r>
      <w:r w:rsidR="00CD3A99" w:rsidRPr="00CD3A99">
        <w:t xml:space="preserve"> </w:t>
      </w:r>
      <w:r w:rsidR="00CD3A99" w:rsidRPr="00CD3A99">
        <w:rPr>
          <w:rFonts w:ascii="Arial" w:hAnsi="Arial" w:cs="Arial"/>
        </w:rPr>
        <w:t>(</w:t>
      </w:r>
      <w:proofErr w:type="spellStart"/>
      <w:r w:rsidR="00CD3A99" w:rsidRPr="00CD3A99">
        <w:rPr>
          <w:rFonts w:ascii="Arial" w:hAnsi="Arial" w:cs="Arial"/>
        </w:rPr>
        <w:t>Nachmias</w:t>
      </w:r>
      <w:proofErr w:type="spellEnd"/>
      <w:r w:rsidR="00CD3A99" w:rsidRPr="00CD3A99">
        <w:rPr>
          <w:rFonts w:ascii="Arial" w:hAnsi="Arial" w:cs="Arial"/>
        </w:rPr>
        <w:t xml:space="preserve">, </w:t>
      </w:r>
      <w:proofErr w:type="spellStart"/>
      <w:r w:rsidR="00CD3A99" w:rsidRPr="00CD3A99">
        <w:rPr>
          <w:rFonts w:ascii="Arial" w:hAnsi="Arial" w:cs="Arial"/>
        </w:rPr>
        <w:t>Nachmias</w:t>
      </w:r>
      <w:proofErr w:type="spellEnd"/>
      <w:r w:rsidR="00CD3A99" w:rsidRPr="00CD3A99">
        <w:rPr>
          <w:rFonts w:ascii="Arial" w:hAnsi="Arial" w:cs="Arial"/>
        </w:rPr>
        <w:t xml:space="preserve"> and </w:t>
      </w:r>
      <w:proofErr w:type="spellStart"/>
      <w:r w:rsidR="00CD3A99" w:rsidRPr="00CD3A99">
        <w:rPr>
          <w:rFonts w:ascii="Arial" w:hAnsi="Arial" w:cs="Arial"/>
        </w:rPr>
        <w:t>Dewaard</w:t>
      </w:r>
      <w:proofErr w:type="spellEnd"/>
      <w:r w:rsidR="00CD3A99" w:rsidRPr="00CD3A99">
        <w:rPr>
          <w:rFonts w:ascii="Arial" w:hAnsi="Arial" w:cs="Arial"/>
        </w:rPr>
        <w:t>, 2022)</w:t>
      </w:r>
      <w:r w:rsidRPr="0020798A">
        <w:rPr>
          <w:rFonts w:ascii="Arial" w:hAnsi="Arial" w:cs="Arial"/>
        </w:rPr>
        <w:t xml:space="preserve">. Following a positivist research philosophy, this dissertation employs a hypothesis-driven approach, drawing on socio-economic theories such as </w:t>
      </w:r>
      <w:proofErr w:type="spellStart"/>
      <w:r w:rsidRPr="0020798A">
        <w:rPr>
          <w:rFonts w:ascii="Arial" w:hAnsi="Arial" w:cs="Arial"/>
        </w:rPr>
        <w:t>Rajan’s</w:t>
      </w:r>
      <w:proofErr w:type="spellEnd"/>
      <w:r w:rsidRPr="0020798A">
        <w:rPr>
          <w:rFonts w:ascii="Arial" w:hAnsi="Arial" w:cs="Arial"/>
        </w:rPr>
        <w:t xml:space="preserve"> (2010) “fault lines” theory, which suggests that socio-economic </w:t>
      </w:r>
      <w:r w:rsidR="005C25C2" w:rsidRPr="0020798A">
        <w:rPr>
          <w:rFonts w:ascii="Arial" w:hAnsi="Arial" w:cs="Arial"/>
        </w:rPr>
        <w:lastRenderedPageBreak/>
        <w:t>changes</w:t>
      </w:r>
      <w:r w:rsidRPr="0020798A">
        <w:rPr>
          <w:rFonts w:ascii="Arial" w:hAnsi="Arial" w:cs="Arial"/>
        </w:rPr>
        <w:t xml:space="preserve"> magnify pre-existing structural vulnerabilities, and </w:t>
      </w:r>
      <w:r w:rsidR="00CD3A99" w:rsidRPr="00CD3A99">
        <w:rPr>
          <w:rFonts w:ascii="Arial" w:hAnsi="Arial" w:cs="Arial"/>
        </w:rPr>
        <w:t>Danny Dorling</w:t>
      </w:r>
      <w:r w:rsidR="00CD3A99">
        <w:rPr>
          <w:rFonts w:ascii="Arial" w:hAnsi="Arial" w:cs="Arial"/>
        </w:rPr>
        <w:t>`s</w:t>
      </w:r>
      <w:r w:rsidR="00CD3A99" w:rsidRPr="00CD3A99">
        <w:rPr>
          <w:rFonts w:ascii="Arial" w:hAnsi="Arial" w:cs="Arial"/>
        </w:rPr>
        <w:t xml:space="preserve"> </w:t>
      </w:r>
      <w:r w:rsidR="00CD3A99">
        <w:rPr>
          <w:rFonts w:ascii="Arial" w:hAnsi="Arial" w:cs="Arial"/>
        </w:rPr>
        <w:t>(</w:t>
      </w:r>
      <w:r w:rsidR="00CD3A99" w:rsidRPr="00CD3A99">
        <w:rPr>
          <w:rFonts w:ascii="Arial" w:hAnsi="Arial" w:cs="Arial"/>
        </w:rPr>
        <w:t>2020)</w:t>
      </w:r>
      <w:r w:rsidR="00CD3A99">
        <w:rPr>
          <w:rFonts w:ascii="Arial" w:hAnsi="Arial" w:cs="Arial"/>
        </w:rPr>
        <w:t xml:space="preserve"> </w:t>
      </w:r>
      <w:r w:rsidRPr="0020798A">
        <w:rPr>
          <w:rFonts w:ascii="Arial" w:hAnsi="Arial" w:cs="Arial"/>
        </w:rPr>
        <w:t xml:space="preserve">model of democratic capitalism, which interprets Brexit as a response to the perceived failure of </w:t>
      </w:r>
      <w:r w:rsidR="008E7A2E" w:rsidRPr="0020798A">
        <w:rPr>
          <w:rFonts w:ascii="Arial" w:hAnsi="Arial" w:cs="Arial"/>
        </w:rPr>
        <w:t>globalisation</w:t>
      </w:r>
      <w:r w:rsidRPr="0020798A">
        <w:rPr>
          <w:rFonts w:ascii="Arial" w:hAnsi="Arial" w:cs="Arial"/>
        </w:rPr>
        <w:t xml:space="preserve"> in safeguarding local business interests</w:t>
      </w:r>
      <w:r w:rsidR="00CD3A99" w:rsidRPr="00CD3A99">
        <w:t xml:space="preserve"> </w:t>
      </w:r>
      <w:r w:rsidR="00CD3A99" w:rsidRPr="00CD3A99">
        <w:rPr>
          <w:rFonts w:ascii="Arial" w:hAnsi="Arial" w:cs="Arial"/>
        </w:rPr>
        <w:t>(</w:t>
      </w:r>
      <w:r w:rsidR="00204FD6" w:rsidRPr="00204FD6">
        <w:rPr>
          <w:rFonts w:ascii="Arial" w:hAnsi="Arial" w:cs="Arial"/>
        </w:rPr>
        <w:t xml:space="preserve">Jacobs and </w:t>
      </w:r>
      <w:proofErr w:type="spellStart"/>
      <w:r w:rsidR="00204FD6" w:rsidRPr="00204FD6">
        <w:rPr>
          <w:rFonts w:ascii="Arial" w:hAnsi="Arial" w:cs="Arial"/>
        </w:rPr>
        <w:t>Mazzucato</w:t>
      </w:r>
      <w:proofErr w:type="spellEnd"/>
      <w:r w:rsidR="00204FD6" w:rsidRPr="00204FD6">
        <w:rPr>
          <w:rFonts w:ascii="Arial" w:hAnsi="Arial" w:cs="Arial"/>
        </w:rPr>
        <w:t>, 2016</w:t>
      </w:r>
      <w:r w:rsidR="00204FD6">
        <w:rPr>
          <w:rFonts w:ascii="Arial" w:hAnsi="Arial" w:cs="Arial"/>
        </w:rPr>
        <w:t xml:space="preserve">; </w:t>
      </w:r>
      <w:r w:rsidR="00CD3A99" w:rsidRPr="00CD3A99">
        <w:rPr>
          <w:rFonts w:ascii="Arial" w:hAnsi="Arial" w:cs="Arial"/>
        </w:rPr>
        <w:t>Stiglitz, 2017)</w:t>
      </w:r>
      <w:r w:rsidRPr="0020798A">
        <w:rPr>
          <w:rFonts w:ascii="Arial" w:hAnsi="Arial" w:cs="Arial"/>
        </w:rPr>
        <w:t>.</w:t>
      </w:r>
    </w:p>
    <w:p w14:paraId="18E542D8" w14:textId="12DE71B2" w:rsidR="00EB70B1" w:rsidRPr="0020798A" w:rsidRDefault="00E53E42" w:rsidP="005C25C2">
      <w:pPr>
        <w:spacing w:line="360" w:lineRule="auto"/>
        <w:jc w:val="both"/>
        <w:rPr>
          <w:rFonts w:ascii="Arial" w:hAnsi="Arial" w:cs="Arial"/>
        </w:rPr>
      </w:pPr>
      <w:r w:rsidRPr="0020798A">
        <w:rPr>
          <w:rFonts w:ascii="Arial" w:hAnsi="Arial" w:cs="Arial"/>
        </w:rPr>
        <w:t xml:space="preserve">The study's primary hypothesis </w:t>
      </w:r>
      <w:r w:rsidR="005C25C2" w:rsidRPr="0020798A">
        <w:rPr>
          <w:rFonts w:ascii="Arial" w:hAnsi="Arial" w:cs="Arial"/>
        </w:rPr>
        <w:t>is</w:t>
      </w:r>
      <w:r w:rsidRPr="0020798A">
        <w:rPr>
          <w:rFonts w:ascii="Arial" w:hAnsi="Arial" w:cs="Arial"/>
        </w:rPr>
        <w:t xml:space="preserve"> that Brexit has created substantial employment challenges for SMEs, leading to higher vacancy rates and </w:t>
      </w:r>
      <w:r w:rsidR="005C25C2" w:rsidRPr="0020798A">
        <w:rPr>
          <w:rFonts w:ascii="Arial" w:hAnsi="Arial" w:cs="Arial"/>
        </w:rPr>
        <w:t>increased</w:t>
      </w:r>
      <w:r w:rsidRPr="0020798A">
        <w:rPr>
          <w:rFonts w:ascii="Arial" w:hAnsi="Arial" w:cs="Arial"/>
        </w:rPr>
        <w:t xml:space="preserve"> employment costs</w:t>
      </w:r>
      <w:r w:rsidR="008E7A2E" w:rsidRPr="0020798A">
        <w:rPr>
          <w:rFonts w:ascii="Arial" w:hAnsi="Arial" w:cs="Arial"/>
        </w:rPr>
        <w:t>. In contrast,</w:t>
      </w:r>
      <w:r w:rsidRPr="0020798A">
        <w:rPr>
          <w:rFonts w:ascii="Arial" w:hAnsi="Arial" w:cs="Arial"/>
        </w:rPr>
        <w:t xml:space="preserve"> the null hypothesis proposes that Brexit has not produced measurable changes in SME employment metrics</w:t>
      </w:r>
      <w:r w:rsidR="00EF3A40" w:rsidRPr="00EF3A40">
        <w:t xml:space="preserve"> </w:t>
      </w:r>
      <w:r w:rsidR="00A95415" w:rsidRPr="00A95415">
        <w:rPr>
          <w:rFonts w:ascii="Arial" w:hAnsi="Arial" w:cs="Arial"/>
        </w:rPr>
        <w:t>(Field, 2017)</w:t>
      </w:r>
      <w:r w:rsidR="00A95415">
        <w:rPr>
          <w:rFonts w:ascii="Arial" w:hAnsi="Arial" w:cs="Arial"/>
        </w:rPr>
        <w:t xml:space="preserve">. </w:t>
      </w:r>
      <w:r w:rsidRPr="0020798A">
        <w:rPr>
          <w:rFonts w:ascii="Arial" w:hAnsi="Arial" w:cs="Arial"/>
        </w:rPr>
        <w:t xml:space="preserve">Through statistical analysis, including descriptive and </w:t>
      </w:r>
      <w:r w:rsidR="00776FAC" w:rsidRPr="0020798A">
        <w:rPr>
          <w:rFonts w:ascii="Arial" w:hAnsi="Arial" w:cs="Arial"/>
        </w:rPr>
        <w:t>t-</w:t>
      </w:r>
      <w:r w:rsidRPr="0020798A">
        <w:rPr>
          <w:rFonts w:ascii="Arial" w:hAnsi="Arial" w:cs="Arial"/>
        </w:rPr>
        <w:t xml:space="preserve">testing, this research aims to quantify Brexit’s influence on SME performance, offering insights into how SMEs </w:t>
      </w:r>
      <w:r w:rsidR="008E7A2E" w:rsidRPr="0020798A">
        <w:rPr>
          <w:rFonts w:ascii="Arial" w:hAnsi="Arial" w:cs="Arial"/>
        </w:rPr>
        <w:t>navigate</w:t>
      </w:r>
      <w:r w:rsidRPr="0020798A">
        <w:rPr>
          <w:rFonts w:ascii="Arial" w:hAnsi="Arial" w:cs="Arial"/>
        </w:rPr>
        <w:t xml:space="preserve"> the post-Brexit business climate. Alongside its academic contributions to understanding Brexit’s economic impacts, this study intends to present evidence-based recommendations for policymakers to support SMEs in overcoming these challenges, fostering their resilience and ongoing role in the UK economy</w:t>
      </w:r>
      <w:r w:rsidR="00EF3A40" w:rsidRPr="00EF3A40">
        <w:t xml:space="preserve"> </w:t>
      </w:r>
      <w:r w:rsidR="00EF3A40" w:rsidRPr="00EF3A40">
        <w:rPr>
          <w:rFonts w:ascii="Arial" w:hAnsi="Arial" w:cs="Arial"/>
        </w:rPr>
        <w:t>(Burns, 2016)</w:t>
      </w:r>
      <w:r w:rsidRPr="0020798A">
        <w:rPr>
          <w:rFonts w:ascii="Arial" w:hAnsi="Arial" w:cs="Arial"/>
        </w:rPr>
        <w:t>.</w:t>
      </w:r>
    </w:p>
    <w:p w14:paraId="2E420534" w14:textId="61C497DC" w:rsidR="00EB70B1" w:rsidRPr="0020798A" w:rsidRDefault="008E7A2E" w:rsidP="005C25C2">
      <w:pPr>
        <w:spacing w:line="360" w:lineRule="auto"/>
        <w:jc w:val="both"/>
        <w:rPr>
          <w:rFonts w:ascii="Arial" w:hAnsi="Arial" w:cs="Arial"/>
        </w:rPr>
      </w:pPr>
      <w:r w:rsidRPr="0020798A">
        <w:rPr>
          <w:rFonts w:ascii="Arial" w:hAnsi="Arial" w:cs="Arial"/>
        </w:rPr>
        <w:t>Organised</w:t>
      </w:r>
      <w:r w:rsidR="00E53E42" w:rsidRPr="0020798A">
        <w:rPr>
          <w:rFonts w:ascii="Arial" w:hAnsi="Arial" w:cs="Arial"/>
        </w:rPr>
        <w:t xml:space="preserve"> into five chapters, this dissertation will provide a comprehensive literature review, outline the research methodology, present a detailed analysis of findings, and discuss potential policy responses based on these results. This research aims to expand the </w:t>
      </w:r>
      <w:r w:rsidR="00776FAC" w:rsidRPr="0020798A">
        <w:rPr>
          <w:rFonts w:ascii="Arial" w:hAnsi="Arial" w:cs="Arial"/>
        </w:rPr>
        <w:t>literature</w:t>
      </w:r>
      <w:r w:rsidR="00E53E42" w:rsidRPr="0020798A">
        <w:rPr>
          <w:rFonts w:ascii="Arial" w:hAnsi="Arial" w:cs="Arial"/>
        </w:rPr>
        <w:t xml:space="preserve"> on SME adaptability and sustainability in </w:t>
      </w:r>
      <w:r w:rsidRPr="0020798A">
        <w:rPr>
          <w:rFonts w:ascii="Arial" w:hAnsi="Arial" w:cs="Arial"/>
        </w:rPr>
        <w:t xml:space="preserve">the context of rising economic </w:t>
      </w:r>
      <w:r w:rsidR="00776FAC" w:rsidRPr="0020798A">
        <w:rPr>
          <w:rFonts w:ascii="Arial" w:hAnsi="Arial" w:cs="Arial"/>
        </w:rPr>
        <w:t>challenges</w:t>
      </w:r>
      <w:r w:rsidRPr="0020798A">
        <w:rPr>
          <w:rFonts w:ascii="Arial" w:hAnsi="Arial" w:cs="Arial"/>
        </w:rPr>
        <w:t>, regulatory complexity, and labour</w:t>
      </w:r>
      <w:r w:rsidR="00E53E42" w:rsidRPr="0020798A">
        <w:rPr>
          <w:rFonts w:ascii="Arial" w:hAnsi="Arial" w:cs="Arial"/>
        </w:rPr>
        <w:t xml:space="preserve"> constraints</w:t>
      </w:r>
      <w:r w:rsidR="00EF3A40" w:rsidRPr="00EF3A40">
        <w:t xml:space="preserve"> </w:t>
      </w:r>
      <w:r w:rsidR="00EF3A40" w:rsidRPr="00EF3A40">
        <w:rPr>
          <w:rFonts w:ascii="Arial" w:hAnsi="Arial" w:cs="Arial"/>
        </w:rPr>
        <w:t xml:space="preserve">(Per </w:t>
      </w:r>
      <w:proofErr w:type="spellStart"/>
      <w:r w:rsidR="00EF3A40" w:rsidRPr="00EF3A40">
        <w:rPr>
          <w:rFonts w:ascii="Arial" w:hAnsi="Arial" w:cs="Arial"/>
        </w:rPr>
        <w:t>Davidsson</w:t>
      </w:r>
      <w:proofErr w:type="spellEnd"/>
      <w:r w:rsidR="00EF3A40" w:rsidRPr="00EF3A40">
        <w:rPr>
          <w:rFonts w:ascii="Arial" w:hAnsi="Arial" w:cs="Arial"/>
        </w:rPr>
        <w:t>, 2004)</w:t>
      </w:r>
      <w:r w:rsidR="00E53E42" w:rsidRPr="0020798A">
        <w:rPr>
          <w:rFonts w:ascii="Arial" w:hAnsi="Arial" w:cs="Arial"/>
        </w:rPr>
        <w:t xml:space="preserve">. By systematically examining these pivotal issues, the study will contribute to </w:t>
      </w:r>
      <w:r w:rsidR="00776FAC" w:rsidRPr="0020798A">
        <w:rPr>
          <w:rFonts w:ascii="Arial" w:hAnsi="Arial" w:cs="Arial"/>
        </w:rPr>
        <w:t xml:space="preserve">understanding </w:t>
      </w:r>
      <w:r w:rsidRPr="0020798A">
        <w:rPr>
          <w:rFonts w:ascii="Arial" w:hAnsi="Arial" w:cs="Arial"/>
        </w:rPr>
        <w:t>SMEs' distinctive challenges</w:t>
      </w:r>
      <w:r w:rsidR="00E53E42" w:rsidRPr="0020798A">
        <w:rPr>
          <w:rFonts w:ascii="Arial" w:hAnsi="Arial" w:cs="Arial"/>
        </w:rPr>
        <w:t xml:space="preserve"> in the post-Brexit era and propose actionable recommendations to sustain this vital sector </w:t>
      </w:r>
      <w:r w:rsidR="00776FAC" w:rsidRPr="0020798A">
        <w:rPr>
          <w:rFonts w:ascii="Arial" w:hAnsi="Arial" w:cs="Arial"/>
        </w:rPr>
        <w:t>of the UK economy.</w:t>
      </w:r>
    </w:p>
    <w:p w14:paraId="2DBA76E0" w14:textId="77777777" w:rsidR="00776FAC" w:rsidRPr="0020798A" w:rsidRDefault="00776FAC" w:rsidP="005C25C2">
      <w:pPr>
        <w:spacing w:line="360" w:lineRule="auto"/>
        <w:jc w:val="both"/>
        <w:rPr>
          <w:rFonts w:ascii="Arial" w:hAnsi="Arial" w:cs="Arial"/>
        </w:rPr>
      </w:pPr>
    </w:p>
    <w:p w14:paraId="35CE603A" w14:textId="77777777" w:rsidR="00EB70B1" w:rsidRPr="0020798A" w:rsidRDefault="00E53E42" w:rsidP="00776FAC">
      <w:pPr>
        <w:pStyle w:val="Heading1"/>
        <w:spacing w:line="600" w:lineRule="auto"/>
        <w:rPr>
          <w:rFonts w:cs="Arial"/>
        </w:rPr>
      </w:pPr>
      <w:bookmarkStart w:id="3" w:name="_Toc182937994"/>
      <w:r w:rsidRPr="0020798A">
        <w:rPr>
          <w:rFonts w:cs="Arial"/>
        </w:rPr>
        <w:t>Literature Review</w:t>
      </w:r>
      <w:bookmarkEnd w:id="3"/>
    </w:p>
    <w:p w14:paraId="494E5DB9" w14:textId="77777777" w:rsidR="00EB70B1" w:rsidRPr="0020798A" w:rsidRDefault="00E53E42" w:rsidP="00776FAC">
      <w:pPr>
        <w:pStyle w:val="Heading2"/>
        <w:rPr>
          <w:rFonts w:cs="Arial"/>
        </w:rPr>
      </w:pPr>
      <w:bookmarkStart w:id="4" w:name="_Toc182937995"/>
      <w:r w:rsidRPr="0020798A">
        <w:rPr>
          <w:rFonts w:cs="Arial"/>
        </w:rPr>
        <w:t>Theoretical Framework and Relevance to Research Questions</w:t>
      </w:r>
      <w:bookmarkEnd w:id="4"/>
    </w:p>
    <w:p w14:paraId="5E6E5514" w14:textId="777F526F" w:rsidR="00EB70B1" w:rsidRPr="0020798A" w:rsidRDefault="00E53E42" w:rsidP="005C25C2">
      <w:pPr>
        <w:spacing w:line="360" w:lineRule="auto"/>
        <w:jc w:val="both"/>
        <w:rPr>
          <w:rFonts w:ascii="Arial" w:hAnsi="Arial" w:cs="Arial"/>
        </w:rPr>
      </w:pPr>
      <w:r w:rsidRPr="0020798A">
        <w:rPr>
          <w:rFonts w:ascii="Arial" w:hAnsi="Arial" w:cs="Arial"/>
        </w:rPr>
        <w:t xml:space="preserve">The Brexit referendum stands as </w:t>
      </w:r>
      <w:r w:rsidR="00776FAC" w:rsidRPr="0020798A">
        <w:rPr>
          <w:rFonts w:ascii="Arial" w:hAnsi="Arial" w:cs="Arial"/>
        </w:rPr>
        <w:t>one of the most significant</w:t>
      </w:r>
      <w:r w:rsidRPr="0020798A">
        <w:rPr>
          <w:rFonts w:ascii="Arial" w:hAnsi="Arial" w:cs="Arial"/>
        </w:rPr>
        <w:t xml:space="preserve"> event</w:t>
      </w:r>
      <w:r w:rsidR="00776FAC" w:rsidRPr="0020798A">
        <w:rPr>
          <w:rFonts w:ascii="Arial" w:hAnsi="Arial" w:cs="Arial"/>
        </w:rPr>
        <w:t>s</w:t>
      </w:r>
      <w:r w:rsidRPr="0020798A">
        <w:rPr>
          <w:rFonts w:ascii="Arial" w:hAnsi="Arial" w:cs="Arial"/>
        </w:rPr>
        <w:t xml:space="preserve"> in the UK’s socio-economic and political landscape, especially for small and medium-sized enterprises (SMEs), which are fundamental to the UK economy (</w:t>
      </w:r>
      <w:proofErr w:type="spellStart"/>
      <w:r w:rsidR="00EF3A40" w:rsidRPr="00EF3A40">
        <w:rPr>
          <w:rFonts w:ascii="Arial" w:hAnsi="Arial" w:cs="Arial"/>
        </w:rPr>
        <w:t>Blundel</w:t>
      </w:r>
      <w:proofErr w:type="spellEnd"/>
      <w:r w:rsidR="00EF3A40" w:rsidRPr="00EF3A40">
        <w:rPr>
          <w:rFonts w:ascii="Arial" w:hAnsi="Arial" w:cs="Arial"/>
        </w:rPr>
        <w:t>, Lockett and Wang, 2017</w:t>
      </w:r>
      <w:r w:rsidR="00EF3A40">
        <w:rPr>
          <w:rFonts w:ascii="Arial" w:hAnsi="Arial" w:cs="Arial"/>
        </w:rPr>
        <w:t xml:space="preserve">; </w:t>
      </w:r>
      <w:r w:rsidR="00EF3A40" w:rsidRPr="00EF3A40">
        <w:rPr>
          <w:rFonts w:ascii="Arial" w:hAnsi="Arial" w:cs="Arial"/>
        </w:rPr>
        <w:lastRenderedPageBreak/>
        <w:t>ONS, 2024</w:t>
      </w:r>
      <w:r w:rsidR="005946C3">
        <w:rPr>
          <w:rFonts w:ascii="Arial" w:hAnsi="Arial" w:cs="Arial"/>
        </w:rPr>
        <w:t>b</w:t>
      </w:r>
      <w:r w:rsidR="00EF3A40" w:rsidRPr="00EF3A40">
        <w:rPr>
          <w:rFonts w:ascii="Arial" w:hAnsi="Arial" w:cs="Arial"/>
        </w:rPr>
        <w:t>)</w:t>
      </w:r>
      <w:r w:rsidR="00EF3A40">
        <w:rPr>
          <w:rFonts w:ascii="Arial" w:hAnsi="Arial" w:cs="Arial"/>
        </w:rPr>
        <w:t xml:space="preserve"> </w:t>
      </w:r>
      <w:r w:rsidRPr="0020798A">
        <w:rPr>
          <w:rFonts w:ascii="Arial" w:hAnsi="Arial" w:cs="Arial"/>
        </w:rPr>
        <w:t xml:space="preserve">This study investigates Brexit’s impact on SMEs by </w:t>
      </w:r>
      <w:r w:rsidR="008E7A2E" w:rsidRPr="0020798A">
        <w:rPr>
          <w:rFonts w:ascii="Arial" w:hAnsi="Arial" w:cs="Arial"/>
        </w:rPr>
        <w:t>analysing</w:t>
      </w:r>
      <w:r w:rsidRPr="0020798A">
        <w:rPr>
          <w:rFonts w:ascii="Arial" w:hAnsi="Arial" w:cs="Arial"/>
        </w:rPr>
        <w:t xml:space="preserve"> key aspects: business growth metrics, employment levels, VAT registrations, and business birth and death rates. Socio-economic theories provide a strong foundation for this analysis, using concepts such as economic fault lines and market volatility to </w:t>
      </w:r>
      <w:r w:rsidR="00776FAC" w:rsidRPr="0020798A">
        <w:rPr>
          <w:rFonts w:ascii="Arial" w:hAnsi="Arial" w:cs="Arial"/>
        </w:rPr>
        <w:t xml:space="preserve">examine </w:t>
      </w:r>
      <w:r w:rsidR="008E7A2E" w:rsidRPr="0020798A">
        <w:rPr>
          <w:rFonts w:ascii="Arial" w:hAnsi="Arial" w:cs="Arial"/>
        </w:rPr>
        <w:t>SMEs' unique challenges</w:t>
      </w:r>
      <w:r w:rsidRPr="0020798A">
        <w:rPr>
          <w:rFonts w:ascii="Arial" w:hAnsi="Arial" w:cs="Arial"/>
        </w:rPr>
        <w:t xml:space="preserve"> in the post-Brexit period</w:t>
      </w:r>
      <w:r w:rsidR="00EF3A40" w:rsidRPr="00EF3A40">
        <w:t xml:space="preserve"> </w:t>
      </w:r>
      <w:r w:rsidR="00EF3A40" w:rsidRPr="00EF3A40">
        <w:rPr>
          <w:rFonts w:ascii="Arial" w:hAnsi="Arial" w:cs="Arial"/>
        </w:rPr>
        <w:t>(</w:t>
      </w:r>
      <w:proofErr w:type="spellStart"/>
      <w:r w:rsidR="00EF3A40" w:rsidRPr="00EF3A40">
        <w:rPr>
          <w:rFonts w:ascii="Arial" w:hAnsi="Arial" w:cs="Arial"/>
        </w:rPr>
        <w:t>Martill</w:t>
      </w:r>
      <w:proofErr w:type="spellEnd"/>
      <w:r w:rsidR="00EF3A40" w:rsidRPr="00EF3A40">
        <w:rPr>
          <w:rFonts w:ascii="Arial" w:hAnsi="Arial" w:cs="Arial"/>
        </w:rPr>
        <w:t xml:space="preserve"> and </w:t>
      </w:r>
      <w:proofErr w:type="spellStart"/>
      <w:r w:rsidR="00EF3A40" w:rsidRPr="00EF3A40">
        <w:rPr>
          <w:rFonts w:ascii="Arial" w:hAnsi="Arial" w:cs="Arial"/>
        </w:rPr>
        <w:t>Staiger</w:t>
      </w:r>
      <w:proofErr w:type="spellEnd"/>
      <w:r w:rsidR="00EF3A40" w:rsidRPr="00EF3A40">
        <w:rPr>
          <w:rFonts w:ascii="Arial" w:hAnsi="Arial" w:cs="Arial"/>
        </w:rPr>
        <w:t>, 2018)</w:t>
      </w:r>
      <w:r w:rsidRPr="0020798A">
        <w:rPr>
          <w:rFonts w:ascii="Arial" w:hAnsi="Arial" w:cs="Arial"/>
        </w:rPr>
        <w:t>.</w:t>
      </w:r>
    </w:p>
    <w:p w14:paraId="49C2B60F" w14:textId="4D0FCBA5" w:rsidR="00EB70B1" w:rsidRPr="0020798A" w:rsidRDefault="00E53E42" w:rsidP="005C25C2">
      <w:pPr>
        <w:spacing w:line="360" w:lineRule="auto"/>
        <w:jc w:val="both"/>
        <w:rPr>
          <w:rFonts w:ascii="Arial" w:hAnsi="Arial" w:cs="Arial"/>
        </w:rPr>
      </w:pPr>
      <w:r w:rsidRPr="0020798A">
        <w:rPr>
          <w:rFonts w:ascii="Arial" w:hAnsi="Arial" w:cs="Arial"/>
        </w:rPr>
        <w:t>A central component of this analysis is Rajan’s (2010) “fault lines” theory, which</w:t>
      </w:r>
      <w:r w:rsidR="00776FAC" w:rsidRPr="0020798A">
        <w:rPr>
          <w:rFonts w:ascii="Arial" w:hAnsi="Arial" w:cs="Arial"/>
        </w:rPr>
        <w:t xml:space="preserve"> stipulates </w:t>
      </w:r>
      <w:proofErr w:type="gramStart"/>
      <w:r w:rsidRPr="0020798A">
        <w:rPr>
          <w:rFonts w:ascii="Arial" w:hAnsi="Arial" w:cs="Arial"/>
        </w:rPr>
        <w:t>that underlying vulnerabilities</w:t>
      </w:r>
      <w:proofErr w:type="gramEnd"/>
      <w:r w:rsidRPr="0020798A">
        <w:rPr>
          <w:rFonts w:ascii="Arial" w:hAnsi="Arial" w:cs="Arial"/>
        </w:rPr>
        <w:t xml:space="preserve"> in financial and social systems amplify the impact of disruptive events, thereby revealing and worsening existing weaknesses. </w:t>
      </w:r>
      <w:r w:rsidR="006E548C">
        <w:rPr>
          <w:rFonts w:ascii="Arial" w:hAnsi="Arial" w:cs="Arial"/>
        </w:rPr>
        <w:t>Brexit has introduced substantial risks for SMEs that rely on cross-border operations</w:t>
      </w:r>
      <w:r w:rsidR="00204FD6" w:rsidRPr="00204FD6">
        <w:t xml:space="preserve"> </w:t>
      </w:r>
      <w:r w:rsidR="00204FD6" w:rsidRPr="00204FD6">
        <w:rPr>
          <w:rFonts w:ascii="Arial" w:hAnsi="Arial" w:cs="Arial"/>
        </w:rPr>
        <w:t>(</w:t>
      </w:r>
      <w:proofErr w:type="spellStart"/>
      <w:r w:rsidR="00204FD6" w:rsidRPr="00204FD6">
        <w:rPr>
          <w:rFonts w:ascii="Arial" w:hAnsi="Arial" w:cs="Arial"/>
        </w:rPr>
        <w:t>Duda-Mikulin</w:t>
      </w:r>
      <w:proofErr w:type="spellEnd"/>
      <w:r w:rsidR="00204FD6" w:rsidRPr="00204FD6">
        <w:rPr>
          <w:rFonts w:ascii="Arial" w:hAnsi="Arial" w:cs="Arial"/>
        </w:rPr>
        <w:t>, 2019</w:t>
      </w:r>
      <w:r w:rsidR="00204FD6">
        <w:rPr>
          <w:rFonts w:ascii="Arial" w:hAnsi="Arial" w:cs="Arial"/>
        </w:rPr>
        <w:t xml:space="preserve">; </w:t>
      </w:r>
      <w:r w:rsidR="00204FD6">
        <w:rPr>
          <w:rFonts w:ascii="Arial" w:hAnsi="Arial" w:cs="Arial"/>
        </w:rPr>
        <w:tab/>
      </w:r>
      <w:r w:rsidR="00204FD6" w:rsidRPr="00204FD6">
        <w:rPr>
          <w:rFonts w:ascii="Arial" w:hAnsi="Arial" w:cs="Arial"/>
        </w:rPr>
        <w:t>Bailey and Budd, 2017)</w:t>
      </w:r>
      <w:r w:rsidRPr="0020798A">
        <w:rPr>
          <w:rFonts w:ascii="Arial" w:hAnsi="Arial" w:cs="Arial"/>
        </w:rPr>
        <w:t xml:space="preserve">. </w:t>
      </w:r>
      <w:r w:rsidR="008E7A2E" w:rsidRPr="0020798A">
        <w:rPr>
          <w:rFonts w:ascii="Arial" w:hAnsi="Arial" w:cs="Arial"/>
        </w:rPr>
        <w:t>Labour mobility restrictions have driven up labour</w:t>
      </w:r>
      <w:r w:rsidRPr="0020798A">
        <w:rPr>
          <w:rFonts w:ascii="Arial" w:hAnsi="Arial" w:cs="Arial"/>
        </w:rPr>
        <w:t xml:space="preserve"> costs and created uncertainty in employment, directly impacting SME growth metrics and employment stability </w:t>
      </w:r>
      <w:r w:rsidR="00EF3A40" w:rsidRPr="00EF3A40">
        <w:rPr>
          <w:rFonts w:ascii="Arial" w:hAnsi="Arial" w:cs="Arial"/>
        </w:rPr>
        <w:t>(</w:t>
      </w:r>
      <w:proofErr w:type="spellStart"/>
      <w:r w:rsidR="00EF3A40" w:rsidRPr="00EF3A40">
        <w:rPr>
          <w:rFonts w:ascii="Arial" w:hAnsi="Arial" w:cs="Arial"/>
        </w:rPr>
        <w:t>Hantrais</w:t>
      </w:r>
      <w:proofErr w:type="spellEnd"/>
      <w:r w:rsidR="00EF3A40" w:rsidRPr="00EF3A40">
        <w:rPr>
          <w:rFonts w:ascii="Arial" w:hAnsi="Arial" w:cs="Arial"/>
        </w:rPr>
        <w:t>, 2019</w:t>
      </w:r>
      <w:r w:rsidRPr="0020798A">
        <w:rPr>
          <w:rFonts w:ascii="Arial" w:hAnsi="Arial" w:cs="Arial"/>
        </w:rPr>
        <w:t xml:space="preserve">; </w:t>
      </w:r>
      <w:r w:rsidR="00EF3A40" w:rsidRPr="00EF3A40">
        <w:rPr>
          <w:rFonts w:ascii="Arial" w:hAnsi="Arial" w:cs="Arial"/>
        </w:rPr>
        <w:t>Warhurst and Nickson, 2020)</w:t>
      </w:r>
      <w:r w:rsidR="00EF3A40">
        <w:rPr>
          <w:rFonts w:ascii="Arial" w:hAnsi="Arial" w:cs="Arial"/>
        </w:rPr>
        <w:t xml:space="preserve">. </w:t>
      </w:r>
      <w:r w:rsidRPr="0020798A">
        <w:rPr>
          <w:rFonts w:ascii="Arial" w:hAnsi="Arial" w:cs="Arial"/>
        </w:rPr>
        <w:t xml:space="preserve">According to the Federation of Small Businesses </w:t>
      </w:r>
      <w:r w:rsidR="002B0470" w:rsidRPr="002B0470">
        <w:rPr>
          <w:rFonts w:ascii="Arial" w:hAnsi="Arial" w:cs="Arial"/>
        </w:rPr>
        <w:t>(FSB, 2021)</w:t>
      </w:r>
      <w:r w:rsidR="002B0470">
        <w:rPr>
          <w:rFonts w:ascii="Arial" w:hAnsi="Arial" w:cs="Arial"/>
        </w:rPr>
        <w:t xml:space="preserve">, </w:t>
      </w:r>
      <w:r w:rsidRPr="0020798A">
        <w:rPr>
          <w:rFonts w:ascii="Arial" w:hAnsi="Arial" w:cs="Arial"/>
        </w:rPr>
        <w:t xml:space="preserve">these increased </w:t>
      </w:r>
      <w:r w:rsidR="008E7A2E" w:rsidRPr="0020798A">
        <w:rPr>
          <w:rFonts w:ascii="Arial" w:hAnsi="Arial" w:cs="Arial"/>
        </w:rPr>
        <w:t>labour and operational costs have undermined the competitiveness of SMEs, particularly those reliant on EU trade and skilled labour</w:t>
      </w:r>
      <w:r w:rsidRPr="0020798A">
        <w:rPr>
          <w:rFonts w:ascii="Arial" w:hAnsi="Arial" w:cs="Arial"/>
        </w:rPr>
        <w:t>. Rajan’s theory, therefore, serves as a valuable framework for understanding the increased financial and operational challenges SMEs face due to Brexit.</w:t>
      </w:r>
    </w:p>
    <w:p w14:paraId="4DCF3677" w14:textId="77777777" w:rsidR="00EB70B1" w:rsidRPr="0020798A" w:rsidRDefault="00E53E42" w:rsidP="00266BDB">
      <w:pPr>
        <w:pStyle w:val="Heading2"/>
        <w:rPr>
          <w:rFonts w:cs="Arial"/>
        </w:rPr>
      </w:pPr>
      <w:bookmarkStart w:id="5" w:name="_Toc182937996"/>
      <w:r w:rsidRPr="0020798A">
        <w:rPr>
          <w:rFonts w:cs="Arial"/>
        </w:rPr>
        <w:t>Socio-economic Divides and Structural Weaknesses in SMEs</w:t>
      </w:r>
      <w:bookmarkEnd w:id="5"/>
    </w:p>
    <w:p w14:paraId="216944FB" w14:textId="2B772B5E" w:rsidR="00EB70B1" w:rsidRPr="0020798A" w:rsidRDefault="00E53E42" w:rsidP="005C25C2">
      <w:pPr>
        <w:spacing w:line="360" w:lineRule="auto"/>
        <w:jc w:val="both"/>
        <w:rPr>
          <w:rFonts w:ascii="Arial" w:hAnsi="Arial" w:cs="Arial"/>
        </w:rPr>
      </w:pPr>
      <w:r w:rsidRPr="0020798A">
        <w:rPr>
          <w:rFonts w:ascii="Arial" w:hAnsi="Arial" w:cs="Arial"/>
        </w:rPr>
        <w:t xml:space="preserve">Research by </w:t>
      </w:r>
      <w:r w:rsidR="00023DDC" w:rsidRPr="00023DDC">
        <w:rPr>
          <w:rFonts w:ascii="Arial" w:hAnsi="Arial" w:cs="Arial"/>
        </w:rPr>
        <w:t xml:space="preserve">Evans and Menon </w:t>
      </w:r>
      <w:r w:rsidR="00023DDC">
        <w:rPr>
          <w:rFonts w:ascii="Arial" w:hAnsi="Arial" w:cs="Arial"/>
        </w:rPr>
        <w:t>(</w:t>
      </w:r>
      <w:r w:rsidR="00023DDC" w:rsidRPr="00023DDC">
        <w:rPr>
          <w:rFonts w:ascii="Arial" w:hAnsi="Arial" w:cs="Arial"/>
        </w:rPr>
        <w:t>2017)</w:t>
      </w:r>
      <w:r w:rsidR="00023DDC">
        <w:rPr>
          <w:rFonts w:ascii="Arial" w:hAnsi="Arial" w:cs="Arial"/>
        </w:rPr>
        <w:t xml:space="preserve"> </w:t>
      </w:r>
      <w:r w:rsidRPr="0020798A">
        <w:rPr>
          <w:rFonts w:ascii="Arial" w:hAnsi="Arial" w:cs="Arial"/>
        </w:rPr>
        <w:t xml:space="preserve">and </w:t>
      </w:r>
      <w:r w:rsidR="002B0470" w:rsidRPr="002B0470">
        <w:rPr>
          <w:rFonts w:ascii="Arial" w:hAnsi="Arial" w:cs="Arial"/>
        </w:rPr>
        <w:t>McCann</w:t>
      </w:r>
      <w:r w:rsidR="002B0470">
        <w:rPr>
          <w:rFonts w:ascii="Arial" w:hAnsi="Arial" w:cs="Arial"/>
        </w:rPr>
        <w:t xml:space="preserve"> (</w:t>
      </w:r>
      <w:r w:rsidR="002B0470" w:rsidRPr="002B0470">
        <w:rPr>
          <w:rFonts w:ascii="Arial" w:hAnsi="Arial" w:cs="Arial"/>
        </w:rPr>
        <w:t>2016</w:t>
      </w:r>
      <w:r w:rsidR="002B0470">
        <w:rPr>
          <w:rFonts w:ascii="Arial" w:hAnsi="Arial" w:cs="Arial"/>
        </w:rPr>
        <w:t>)</w:t>
      </w:r>
      <w:r w:rsidRPr="0020798A">
        <w:rPr>
          <w:rFonts w:ascii="Arial" w:hAnsi="Arial" w:cs="Arial"/>
        </w:rPr>
        <w:t xml:space="preserve"> further illustrates how Brexit has deepened existing </w:t>
      </w:r>
      <w:r w:rsidR="008E7A2E" w:rsidRPr="0020798A">
        <w:rPr>
          <w:rFonts w:ascii="Arial" w:hAnsi="Arial" w:cs="Arial"/>
        </w:rPr>
        <w:t>socioeconomic</w:t>
      </w:r>
      <w:r w:rsidRPr="0020798A">
        <w:rPr>
          <w:rFonts w:ascii="Arial" w:hAnsi="Arial" w:cs="Arial"/>
        </w:rPr>
        <w:t xml:space="preserve"> divides, leading to shifts in regional and income-based inequalities that disproportionately impact SMEs. These scholars argue that Brexit has exposed and intensified structural weaknesses within the SME sector, </w:t>
      </w:r>
      <w:r w:rsidR="008E7A2E" w:rsidRPr="0020798A">
        <w:rPr>
          <w:rFonts w:ascii="Arial" w:hAnsi="Arial" w:cs="Arial"/>
        </w:rPr>
        <w:t>which aligns</w:t>
      </w:r>
      <w:r w:rsidRPr="0020798A">
        <w:rPr>
          <w:rFonts w:ascii="Arial" w:hAnsi="Arial" w:cs="Arial"/>
        </w:rPr>
        <w:t xml:space="preserve"> with Piketty’s (2014) findings on economic </w:t>
      </w:r>
      <w:r w:rsidR="008E7A2E" w:rsidRPr="0020798A">
        <w:rPr>
          <w:rFonts w:ascii="Arial" w:hAnsi="Arial" w:cs="Arial"/>
        </w:rPr>
        <w:t>polarisation</w:t>
      </w:r>
      <w:r w:rsidRPr="0020798A">
        <w:rPr>
          <w:rFonts w:ascii="Arial" w:hAnsi="Arial" w:cs="Arial"/>
        </w:rPr>
        <w:t xml:space="preserve"> in capitalist systems. Piketty’s analysis suggests that the imbalance between capital returns and economic growth aggravates inequality—a trend intensified by Brexit as SMEs </w:t>
      </w:r>
      <w:r w:rsidR="00266BDB" w:rsidRPr="0020798A">
        <w:rPr>
          <w:rFonts w:ascii="Arial" w:hAnsi="Arial" w:cs="Arial"/>
        </w:rPr>
        <w:t xml:space="preserve">struggle </w:t>
      </w:r>
      <w:r w:rsidRPr="0020798A">
        <w:rPr>
          <w:rFonts w:ascii="Arial" w:hAnsi="Arial" w:cs="Arial"/>
        </w:rPr>
        <w:t xml:space="preserve">with higher operational costs and </w:t>
      </w:r>
      <w:r w:rsidR="008E7A2E" w:rsidRPr="0020798A">
        <w:rPr>
          <w:rFonts w:ascii="Arial" w:hAnsi="Arial" w:cs="Arial"/>
        </w:rPr>
        <w:t>labour</w:t>
      </w:r>
      <w:r w:rsidRPr="0020798A">
        <w:rPr>
          <w:rFonts w:ascii="Arial" w:hAnsi="Arial" w:cs="Arial"/>
        </w:rPr>
        <w:t xml:space="preserve"> shortages. </w:t>
      </w:r>
      <w:r w:rsidR="00023DDC" w:rsidRPr="00023DDC">
        <w:rPr>
          <w:rFonts w:ascii="Arial" w:hAnsi="Arial" w:cs="Arial"/>
        </w:rPr>
        <w:t xml:space="preserve">Evans and Menon </w:t>
      </w:r>
      <w:r w:rsidR="00023DDC">
        <w:rPr>
          <w:rFonts w:ascii="Arial" w:hAnsi="Arial" w:cs="Arial"/>
        </w:rPr>
        <w:t>(</w:t>
      </w:r>
      <w:r w:rsidR="00023DDC" w:rsidRPr="00023DDC">
        <w:rPr>
          <w:rFonts w:ascii="Arial" w:hAnsi="Arial" w:cs="Arial"/>
        </w:rPr>
        <w:t>2017)</w:t>
      </w:r>
      <w:r w:rsidR="00023DDC">
        <w:rPr>
          <w:rFonts w:ascii="Arial" w:hAnsi="Arial" w:cs="Arial"/>
        </w:rPr>
        <w:t xml:space="preserve"> </w:t>
      </w:r>
      <w:r w:rsidRPr="0020798A">
        <w:rPr>
          <w:rFonts w:ascii="Arial" w:hAnsi="Arial" w:cs="Arial"/>
        </w:rPr>
        <w:t xml:space="preserve">also </w:t>
      </w:r>
      <w:r w:rsidR="00266BDB" w:rsidRPr="0020798A">
        <w:rPr>
          <w:rFonts w:ascii="Arial" w:hAnsi="Arial" w:cs="Arial"/>
        </w:rPr>
        <w:t>highlight</w:t>
      </w:r>
      <w:r w:rsidRPr="0020798A">
        <w:rPr>
          <w:rFonts w:ascii="Arial" w:hAnsi="Arial" w:cs="Arial"/>
        </w:rPr>
        <w:t xml:space="preserve"> </w:t>
      </w:r>
      <w:proofErr w:type="gramStart"/>
      <w:r w:rsidRPr="0020798A">
        <w:rPr>
          <w:rFonts w:ascii="Arial" w:hAnsi="Arial" w:cs="Arial"/>
        </w:rPr>
        <w:t>that regions</w:t>
      </w:r>
      <w:proofErr w:type="gramEnd"/>
      <w:r w:rsidRPr="0020798A">
        <w:rPr>
          <w:rFonts w:ascii="Arial" w:hAnsi="Arial" w:cs="Arial"/>
        </w:rPr>
        <w:t xml:space="preserve"> </w:t>
      </w:r>
      <w:r w:rsidR="006E548C">
        <w:rPr>
          <w:rFonts w:ascii="Arial" w:hAnsi="Arial" w:cs="Arial"/>
        </w:rPr>
        <w:t>heavily</w:t>
      </w:r>
      <w:r w:rsidRPr="0020798A">
        <w:rPr>
          <w:rFonts w:ascii="Arial" w:hAnsi="Arial" w:cs="Arial"/>
        </w:rPr>
        <w:t xml:space="preserve"> dependent on SME-driven economies, particularly those outside London, are especially vulnerable to Brexit-induced disruptions in trade and </w:t>
      </w:r>
      <w:r w:rsidR="008E7A2E" w:rsidRPr="0020798A">
        <w:rPr>
          <w:rFonts w:ascii="Arial" w:hAnsi="Arial" w:cs="Arial"/>
        </w:rPr>
        <w:t>labour</w:t>
      </w:r>
      <w:r w:rsidRPr="0020798A">
        <w:rPr>
          <w:rFonts w:ascii="Arial" w:hAnsi="Arial" w:cs="Arial"/>
        </w:rPr>
        <w:t xml:space="preserve"> markets.</w:t>
      </w:r>
    </w:p>
    <w:p w14:paraId="5E880B2D" w14:textId="05510785" w:rsidR="00EB70B1" w:rsidRPr="0020798A" w:rsidRDefault="00023DDC" w:rsidP="005C25C2">
      <w:pPr>
        <w:spacing w:line="360" w:lineRule="auto"/>
        <w:jc w:val="both"/>
        <w:rPr>
          <w:rFonts w:ascii="Arial" w:hAnsi="Arial" w:cs="Arial"/>
        </w:rPr>
      </w:pPr>
      <w:proofErr w:type="spellStart"/>
      <w:r w:rsidRPr="00023DDC">
        <w:rPr>
          <w:rFonts w:ascii="Arial" w:hAnsi="Arial" w:cs="Arial"/>
        </w:rPr>
        <w:t>Carles</w:t>
      </w:r>
      <w:proofErr w:type="spellEnd"/>
      <w:r w:rsidRPr="00023DDC">
        <w:rPr>
          <w:rFonts w:ascii="Arial" w:hAnsi="Arial" w:cs="Arial"/>
        </w:rPr>
        <w:t xml:space="preserve"> </w:t>
      </w:r>
      <w:proofErr w:type="spellStart"/>
      <w:r w:rsidR="008250E7">
        <w:rPr>
          <w:rFonts w:ascii="Arial" w:hAnsi="Arial" w:cs="Arial"/>
        </w:rPr>
        <w:t>Boix's</w:t>
      </w:r>
      <w:proofErr w:type="spellEnd"/>
      <w:r>
        <w:rPr>
          <w:rFonts w:ascii="Arial" w:hAnsi="Arial" w:cs="Arial"/>
        </w:rPr>
        <w:t xml:space="preserve"> (</w:t>
      </w:r>
      <w:r w:rsidRPr="00023DDC">
        <w:rPr>
          <w:rFonts w:ascii="Arial" w:hAnsi="Arial" w:cs="Arial"/>
        </w:rPr>
        <w:t>2019)</w:t>
      </w:r>
      <w:r>
        <w:rPr>
          <w:rFonts w:ascii="Arial" w:hAnsi="Arial" w:cs="Arial"/>
        </w:rPr>
        <w:t xml:space="preserve"> </w:t>
      </w:r>
      <w:r w:rsidR="00E53E42" w:rsidRPr="0020798A">
        <w:rPr>
          <w:rFonts w:ascii="Arial" w:hAnsi="Arial" w:cs="Arial"/>
        </w:rPr>
        <w:t xml:space="preserve">theory of democratic capitalism offers further insight, framing Brexit as a reaction to growing </w:t>
      </w:r>
      <w:r w:rsidR="00266BDB" w:rsidRPr="0020798A">
        <w:rPr>
          <w:rFonts w:ascii="Arial" w:hAnsi="Arial" w:cs="Arial"/>
        </w:rPr>
        <w:t>dissatisfaction</w:t>
      </w:r>
      <w:r w:rsidR="00E53E42" w:rsidRPr="0020798A">
        <w:rPr>
          <w:rFonts w:ascii="Arial" w:hAnsi="Arial" w:cs="Arial"/>
        </w:rPr>
        <w:t xml:space="preserve"> with democratic and capitalist systems that fail to protect local businesses from global competition. Brexit has fueled a turn toward economic </w:t>
      </w:r>
      <w:r w:rsidR="00E53E42" w:rsidRPr="0020798A">
        <w:rPr>
          <w:rFonts w:ascii="Arial" w:hAnsi="Arial" w:cs="Arial"/>
        </w:rPr>
        <w:lastRenderedPageBreak/>
        <w:t xml:space="preserve">nationalism, restricting SMEs' access to EU markets and reshaping trade and </w:t>
      </w:r>
      <w:r w:rsidR="008E7A2E" w:rsidRPr="0020798A">
        <w:rPr>
          <w:rFonts w:ascii="Arial" w:hAnsi="Arial" w:cs="Arial"/>
        </w:rPr>
        <w:t>labour</w:t>
      </w:r>
      <w:r w:rsidR="00E53E42" w:rsidRPr="0020798A">
        <w:rPr>
          <w:rFonts w:ascii="Arial" w:hAnsi="Arial" w:cs="Arial"/>
        </w:rPr>
        <w:t xml:space="preserve"> policies that previously supported their growth. </w:t>
      </w:r>
      <w:r w:rsidRPr="00023DDC">
        <w:rPr>
          <w:rFonts w:ascii="Arial" w:hAnsi="Arial" w:cs="Arial"/>
        </w:rPr>
        <w:t xml:space="preserve">Jacobs and </w:t>
      </w:r>
      <w:proofErr w:type="spellStart"/>
      <w:r w:rsidRPr="00023DDC">
        <w:rPr>
          <w:rFonts w:ascii="Arial" w:hAnsi="Arial" w:cs="Arial"/>
        </w:rPr>
        <w:t>Mazzucato</w:t>
      </w:r>
      <w:proofErr w:type="spellEnd"/>
      <w:r w:rsidRPr="00023DDC">
        <w:rPr>
          <w:rFonts w:ascii="Arial" w:hAnsi="Arial" w:cs="Arial"/>
        </w:rPr>
        <w:t xml:space="preserve"> </w:t>
      </w:r>
      <w:r>
        <w:rPr>
          <w:rFonts w:ascii="Arial" w:hAnsi="Arial" w:cs="Arial"/>
        </w:rPr>
        <w:t>(</w:t>
      </w:r>
      <w:r w:rsidRPr="00023DDC">
        <w:rPr>
          <w:rFonts w:ascii="Arial" w:hAnsi="Arial" w:cs="Arial"/>
        </w:rPr>
        <w:t>2016)</w:t>
      </w:r>
      <w:r>
        <w:rPr>
          <w:rFonts w:ascii="Arial" w:hAnsi="Arial" w:cs="Arial"/>
        </w:rPr>
        <w:t xml:space="preserve"> </w:t>
      </w:r>
      <w:r w:rsidR="00E53E42" w:rsidRPr="0020798A">
        <w:rPr>
          <w:rFonts w:ascii="Arial" w:hAnsi="Arial" w:cs="Arial"/>
        </w:rPr>
        <w:t xml:space="preserve">observe that this shift introduces new regulatory and operational </w:t>
      </w:r>
      <w:r w:rsidR="00266BDB" w:rsidRPr="0020798A">
        <w:rPr>
          <w:rFonts w:ascii="Arial" w:hAnsi="Arial" w:cs="Arial"/>
        </w:rPr>
        <w:t>challenges</w:t>
      </w:r>
      <w:r w:rsidR="00E53E42" w:rsidRPr="0020798A">
        <w:rPr>
          <w:rFonts w:ascii="Arial" w:hAnsi="Arial" w:cs="Arial"/>
        </w:rPr>
        <w:t xml:space="preserve">, further straining SMEs’ ability to compete in a post-Brexit economy with rising costs and uncertainties. </w:t>
      </w:r>
      <w:proofErr w:type="spellStart"/>
      <w:r w:rsidRPr="00023DDC">
        <w:rPr>
          <w:rFonts w:ascii="Arial" w:hAnsi="Arial" w:cs="Arial"/>
        </w:rPr>
        <w:t>Whyman</w:t>
      </w:r>
      <w:proofErr w:type="spellEnd"/>
      <w:r w:rsidRPr="00023DDC">
        <w:rPr>
          <w:rFonts w:ascii="Arial" w:hAnsi="Arial" w:cs="Arial"/>
        </w:rPr>
        <w:t xml:space="preserve"> and Petrescu</w:t>
      </w:r>
      <w:r>
        <w:rPr>
          <w:rFonts w:ascii="Arial" w:hAnsi="Arial" w:cs="Arial"/>
        </w:rPr>
        <w:t xml:space="preserve"> (</w:t>
      </w:r>
      <w:r w:rsidRPr="00023DDC">
        <w:rPr>
          <w:rFonts w:ascii="Arial" w:hAnsi="Arial" w:cs="Arial"/>
        </w:rPr>
        <w:t>2017)</w:t>
      </w:r>
      <w:r>
        <w:rPr>
          <w:rFonts w:ascii="Arial" w:hAnsi="Arial" w:cs="Arial"/>
        </w:rPr>
        <w:t xml:space="preserve"> add</w:t>
      </w:r>
      <w:r w:rsidR="00E53E42" w:rsidRPr="0020798A">
        <w:rPr>
          <w:rFonts w:ascii="Arial" w:hAnsi="Arial" w:cs="Arial"/>
        </w:rPr>
        <w:t xml:space="preserve"> that Brexit’s economic nationalism has compounded these regulatory and operational challenges, particularly for SMEs in trade-dependent regions. Data from the ONS (2022) reinforces these points, indicating </w:t>
      </w:r>
      <w:r w:rsidR="008E7A2E" w:rsidRPr="0020798A">
        <w:rPr>
          <w:rFonts w:ascii="Arial" w:hAnsi="Arial" w:cs="Arial"/>
        </w:rPr>
        <w:t>increased</w:t>
      </w:r>
      <w:r w:rsidR="00E53E42" w:rsidRPr="0020798A">
        <w:rPr>
          <w:rFonts w:ascii="Arial" w:hAnsi="Arial" w:cs="Arial"/>
        </w:rPr>
        <w:t xml:space="preserve"> administrative costs associated with trade compliance, which is especially </w:t>
      </w:r>
      <w:r w:rsidR="00266BDB" w:rsidRPr="0020798A">
        <w:rPr>
          <w:rFonts w:ascii="Arial" w:hAnsi="Arial" w:cs="Arial"/>
        </w:rPr>
        <w:t>straining</w:t>
      </w:r>
      <w:r w:rsidR="00E53E42" w:rsidRPr="0020798A">
        <w:rPr>
          <w:rFonts w:ascii="Arial" w:hAnsi="Arial" w:cs="Arial"/>
        </w:rPr>
        <w:t xml:space="preserve"> for smaller firms.</w:t>
      </w:r>
    </w:p>
    <w:p w14:paraId="2421ADD1" w14:textId="77777777" w:rsidR="00EB70B1" w:rsidRPr="0020798A" w:rsidRDefault="00E53E42" w:rsidP="00266BDB">
      <w:pPr>
        <w:pStyle w:val="Heading2"/>
        <w:rPr>
          <w:rFonts w:cs="Arial"/>
        </w:rPr>
      </w:pPr>
      <w:bookmarkStart w:id="6" w:name="_Toc182937997"/>
      <w:r w:rsidRPr="0020798A">
        <w:rPr>
          <w:rFonts w:cs="Arial"/>
        </w:rPr>
        <w:t>Employment Implications for SMEs in the Post-Brexit Era</w:t>
      </w:r>
      <w:bookmarkEnd w:id="6"/>
    </w:p>
    <w:p w14:paraId="3B15F70E" w14:textId="0EE0A8F6" w:rsidR="00EB70B1" w:rsidRPr="0020798A" w:rsidRDefault="00E53E42" w:rsidP="005C25C2">
      <w:pPr>
        <w:spacing w:line="360" w:lineRule="auto"/>
        <w:jc w:val="both"/>
        <w:rPr>
          <w:rFonts w:ascii="Arial" w:hAnsi="Arial" w:cs="Arial"/>
        </w:rPr>
      </w:pPr>
      <w:r w:rsidRPr="0020798A">
        <w:rPr>
          <w:rFonts w:ascii="Arial" w:hAnsi="Arial" w:cs="Arial"/>
        </w:rPr>
        <w:t xml:space="preserve">The employment landscape for SMEs has become increasingly unstable since Brexit, with significant effects on job security and </w:t>
      </w:r>
      <w:r w:rsidR="008E7A2E" w:rsidRPr="0020798A">
        <w:rPr>
          <w:rFonts w:ascii="Arial" w:hAnsi="Arial" w:cs="Arial"/>
        </w:rPr>
        <w:t>labour</w:t>
      </w:r>
      <w:r w:rsidRPr="0020798A">
        <w:rPr>
          <w:rFonts w:ascii="Arial" w:hAnsi="Arial" w:cs="Arial"/>
        </w:rPr>
        <w:t xml:space="preserve"> costs. </w:t>
      </w:r>
      <w:r w:rsidR="00023DDC" w:rsidRPr="00023DDC">
        <w:rPr>
          <w:rFonts w:ascii="Arial" w:hAnsi="Arial" w:cs="Arial"/>
        </w:rPr>
        <w:t>Taylo</w:t>
      </w:r>
      <w:r w:rsidR="00023DDC">
        <w:rPr>
          <w:rFonts w:ascii="Arial" w:hAnsi="Arial" w:cs="Arial"/>
        </w:rPr>
        <w:t>r</w:t>
      </w:r>
      <w:r w:rsidR="00023DDC" w:rsidRPr="00023DDC">
        <w:rPr>
          <w:rFonts w:ascii="Arial" w:hAnsi="Arial" w:cs="Arial"/>
        </w:rPr>
        <w:t xml:space="preserve"> </w:t>
      </w:r>
      <w:r w:rsidR="00023DDC">
        <w:rPr>
          <w:rFonts w:ascii="Arial" w:hAnsi="Arial" w:cs="Arial"/>
        </w:rPr>
        <w:t>(</w:t>
      </w:r>
      <w:r w:rsidR="00023DDC" w:rsidRPr="00023DDC">
        <w:rPr>
          <w:rFonts w:ascii="Arial" w:hAnsi="Arial" w:cs="Arial"/>
        </w:rPr>
        <w:t>2017)</w:t>
      </w:r>
      <w:r w:rsidRPr="0020798A">
        <w:rPr>
          <w:rFonts w:ascii="Arial" w:hAnsi="Arial" w:cs="Arial"/>
        </w:rPr>
        <w:t xml:space="preserve"> suggests that Brexit may worsen trends toward </w:t>
      </w:r>
      <w:r w:rsidR="00266BDB" w:rsidRPr="0020798A">
        <w:rPr>
          <w:rFonts w:ascii="Arial" w:hAnsi="Arial" w:cs="Arial"/>
        </w:rPr>
        <w:t>uncertain</w:t>
      </w:r>
      <w:r w:rsidRPr="0020798A">
        <w:rPr>
          <w:rFonts w:ascii="Arial" w:hAnsi="Arial" w:cs="Arial"/>
        </w:rPr>
        <w:t xml:space="preserve"> employment within SMEs, as many businesses rely on flexible workforce arrangements to navigate economic </w:t>
      </w:r>
      <w:r w:rsidR="00266BDB" w:rsidRPr="0020798A">
        <w:rPr>
          <w:rFonts w:ascii="Arial" w:hAnsi="Arial" w:cs="Arial"/>
        </w:rPr>
        <w:t>risk</w:t>
      </w:r>
      <w:r w:rsidRPr="0020798A">
        <w:rPr>
          <w:rFonts w:ascii="Arial" w:hAnsi="Arial" w:cs="Arial"/>
        </w:rPr>
        <w:t xml:space="preserve">. </w:t>
      </w:r>
      <w:r w:rsidR="00023DDC">
        <w:rPr>
          <w:rFonts w:ascii="Arial" w:hAnsi="Arial" w:cs="Arial"/>
        </w:rPr>
        <w:t>Taylor</w:t>
      </w:r>
      <w:r w:rsidRPr="0020798A">
        <w:rPr>
          <w:rFonts w:ascii="Arial" w:hAnsi="Arial" w:cs="Arial"/>
        </w:rPr>
        <w:t xml:space="preserve">’s findings align with those of </w:t>
      </w:r>
      <w:r w:rsidR="00600741" w:rsidRPr="00600741">
        <w:rPr>
          <w:rFonts w:ascii="Arial" w:hAnsi="Arial" w:cs="Arial"/>
        </w:rPr>
        <w:t>Gennard et al.</w:t>
      </w:r>
      <w:r w:rsidR="00600741">
        <w:rPr>
          <w:rFonts w:ascii="Arial" w:hAnsi="Arial" w:cs="Arial"/>
        </w:rPr>
        <w:t xml:space="preserve"> (2016), who note</w:t>
      </w:r>
      <w:r w:rsidRPr="0020798A">
        <w:rPr>
          <w:rFonts w:ascii="Arial" w:hAnsi="Arial" w:cs="Arial"/>
        </w:rPr>
        <w:t xml:space="preserve"> that geopolitical uncertainties like Brexit erode business confidence, reducing investment in growth and innovation among SMEs. The move toward zero-hour contracts and self-employment, documented by </w:t>
      </w:r>
      <w:r w:rsidR="00600741" w:rsidRPr="00600741">
        <w:rPr>
          <w:rFonts w:ascii="Arial" w:hAnsi="Arial" w:cs="Arial"/>
        </w:rPr>
        <w:t>Taylor</w:t>
      </w:r>
      <w:r w:rsidR="00600741">
        <w:rPr>
          <w:rFonts w:ascii="Arial" w:hAnsi="Arial" w:cs="Arial"/>
        </w:rPr>
        <w:t xml:space="preserve"> (</w:t>
      </w:r>
      <w:r w:rsidR="00600741" w:rsidRPr="00600741">
        <w:rPr>
          <w:rFonts w:ascii="Arial" w:hAnsi="Arial" w:cs="Arial"/>
        </w:rPr>
        <w:t>2017)</w:t>
      </w:r>
      <w:r w:rsidR="00600741">
        <w:rPr>
          <w:rFonts w:ascii="Arial" w:hAnsi="Arial" w:cs="Arial"/>
        </w:rPr>
        <w:t xml:space="preserve"> </w:t>
      </w:r>
      <w:r w:rsidRPr="0020798A">
        <w:rPr>
          <w:rFonts w:ascii="Arial" w:hAnsi="Arial" w:cs="Arial"/>
        </w:rPr>
        <w:t xml:space="preserve">and supported by </w:t>
      </w:r>
      <w:proofErr w:type="spellStart"/>
      <w:r w:rsidR="00600741" w:rsidRPr="00600741">
        <w:rPr>
          <w:rFonts w:ascii="Arial" w:hAnsi="Arial" w:cs="Arial"/>
        </w:rPr>
        <w:t>Whyman</w:t>
      </w:r>
      <w:proofErr w:type="spellEnd"/>
      <w:r w:rsidR="00600741" w:rsidRPr="00600741">
        <w:rPr>
          <w:rFonts w:ascii="Arial" w:hAnsi="Arial" w:cs="Arial"/>
        </w:rPr>
        <w:t xml:space="preserve"> and Petrescu</w:t>
      </w:r>
      <w:r w:rsidR="00600741">
        <w:rPr>
          <w:rFonts w:ascii="Arial" w:hAnsi="Arial" w:cs="Arial"/>
        </w:rPr>
        <w:t xml:space="preserve"> (</w:t>
      </w:r>
      <w:r w:rsidR="00600741" w:rsidRPr="00600741">
        <w:rPr>
          <w:rFonts w:ascii="Arial" w:hAnsi="Arial" w:cs="Arial"/>
        </w:rPr>
        <w:t>2020)</w:t>
      </w:r>
      <w:r w:rsidR="008250E7">
        <w:rPr>
          <w:rFonts w:ascii="Arial" w:hAnsi="Arial" w:cs="Arial"/>
        </w:rPr>
        <w:t>,</w:t>
      </w:r>
      <w:r w:rsidR="00600741">
        <w:rPr>
          <w:rFonts w:ascii="Arial" w:hAnsi="Arial" w:cs="Arial"/>
        </w:rPr>
        <w:t xml:space="preserve"> </w:t>
      </w:r>
      <w:r w:rsidRPr="0020798A">
        <w:rPr>
          <w:rFonts w:ascii="Arial" w:hAnsi="Arial" w:cs="Arial"/>
        </w:rPr>
        <w:t>suggests that Brexit-induced uncertainties are creating a “bad jobs trap,” with low-wage, insecure jobs becoming more common in SMEs. This trend contributes to higher turnover and increased costs, potentially undermining SME growth and sustainability in the post-Brexit landscape.</w:t>
      </w:r>
    </w:p>
    <w:p w14:paraId="54B39C8A" w14:textId="48ECBB59" w:rsidR="00EB70B1" w:rsidRPr="0020798A" w:rsidRDefault="00E53E42" w:rsidP="005C25C2">
      <w:pPr>
        <w:spacing w:line="360" w:lineRule="auto"/>
        <w:jc w:val="both"/>
        <w:rPr>
          <w:rFonts w:ascii="Arial" w:hAnsi="Arial" w:cs="Arial"/>
        </w:rPr>
      </w:pPr>
      <w:r w:rsidRPr="0020798A">
        <w:rPr>
          <w:rFonts w:ascii="Arial" w:hAnsi="Arial" w:cs="Arial"/>
        </w:rPr>
        <w:t xml:space="preserve">Data from the </w:t>
      </w:r>
      <w:r w:rsidR="00600741" w:rsidRPr="00600741">
        <w:rPr>
          <w:rFonts w:ascii="Arial" w:hAnsi="Arial" w:cs="Arial"/>
        </w:rPr>
        <w:t xml:space="preserve">ONS </w:t>
      </w:r>
      <w:r w:rsidR="00600741">
        <w:rPr>
          <w:rFonts w:ascii="Arial" w:hAnsi="Arial" w:cs="Arial"/>
        </w:rPr>
        <w:t>(</w:t>
      </w:r>
      <w:r w:rsidR="00600741" w:rsidRPr="00600741">
        <w:rPr>
          <w:rFonts w:ascii="Arial" w:hAnsi="Arial" w:cs="Arial"/>
        </w:rPr>
        <w:t>2024a)</w:t>
      </w:r>
      <w:r w:rsidR="008250E7">
        <w:rPr>
          <w:rFonts w:ascii="Arial" w:hAnsi="Arial" w:cs="Arial"/>
        </w:rPr>
        <w:t xml:space="preserve"> </w:t>
      </w:r>
      <w:r w:rsidRPr="0020798A">
        <w:rPr>
          <w:rFonts w:ascii="Arial" w:hAnsi="Arial" w:cs="Arial"/>
        </w:rPr>
        <w:t xml:space="preserve">shows a 12% rise in SMEs adopting flexible </w:t>
      </w:r>
      <w:r w:rsidR="008E7A2E" w:rsidRPr="0020798A">
        <w:rPr>
          <w:rFonts w:ascii="Arial" w:hAnsi="Arial" w:cs="Arial"/>
        </w:rPr>
        <w:t>labour</w:t>
      </w:r>
      <w:r w:rsidRPr="0020798A">
        <w:rPr>
          <w:rFonts w:ascii="Arial" w:hAnsi="Arial" w:cs="Arial"/>
        </w:rPr>
        <w:t xml:space="preserve"> contracts post-Brexit, indicating the strain on employment practices. Although current studies acknowledge the challenges posed by </w:t>
      </w:r>
      <w:r w:rsidR="008E7A2E" w:rsidRPr="0020798A">
        <w:rPr>
          <w:rFonts w:ascii="Arial" w:hAnsi="Arial" w:cs="Arial"/>
        </w:rPr>
        <w:t>labour</w:t>
      </w:r>
      <w:r w:rsidRPr="0020798A">
        <w:rPr>
          <w:rFonts w:ascii="Arial" w:hAnsi="Arial" w:cs="Arial"/>
        </w:rPr>
        <w:t xml:space="preserve"> instability, there </w:t>
      </w:r>
      <w:r w:rsidR="008E7A2E" w:rsidRPr="0020798A">
        <w:rPr>
          <w:rFonts w:ascii="Arial" w:hAnsi="Arial" w:cs="Arial"/>
        </w:rPr>
        <w:t>needs to be more</w:t>
      </w:r>
      <w:r w:rsidRPr="0020798A">
        <w:rPr>
          <w:rFonts w:ascii="Arial" w:hAnsi="Arial" w:cs="Arial"/>
        </w:rPr>
        <w:t xml:space="preserve"> literature regarding the adaptive strategies SMEs may use to address these challenges. Further research should focus on specific employment metrics, such as job retention and wage growth within SMEs, to fully capture the impact of Brexit on the sector’s employment dynamics </w:t>
      </w:r>
      <w:r w:rsidR="008250E7" w:rsidRPr="008250E7">
        <w:rPr>
          <w:rFonts w:ascii="Arial" w:hAnsi="Arial" w:cs="Arial"/>
        </w:rPr>
        <w:t>(Parker, 2018)</w:t>
      </w:r>
      <w:r w:rsidR="008250E7">
        <w:rPr>
          <w:rFonts w:ascii="Arial" w:hAnsi="Arial" w:cs="Arial"/>
        </w:rPr>
        <w:t>.</w:t>
      </w:r>
    </w:p>
    <w:p w14:paraId="09894CC7" w14:textId="77777777" w:rsidR="00EB70B1" w:rsidRPr="0020798A" w:rsidRDefault="00E53E42" w:rsidP="00266BDB">
      <w:pPr>
        <w:pStyle w:val="Heading2"/>
        <w:rPr>
          <w:rFonts w:cs="Arial"/>
        </w:rPr>
      </w:pPr>
      <w:bookmarkStart w:id="7" w:name="_Toc182937998"/>
      <w:r w:rsidRPr="0020798A">
        <w:rPr>
          <w:rFonts w:cs="Arial"/>
        </w:rPr>
        <w:lastRenderedPageBreak/>
        <w:t>Business Growth Metrics and Economic Instability</w:t>
      </w:r>
      <w:bookmarkEnd w:id="7"/>
    </w:p>
    <w:p w14:paraId="73531E52" w14:textId="73722D22" w:rsidR="00EB70B1" w:rsidRPr="0020798A" w:rsidRDefault="00E53E42" w:rsidP="005C25C2">
      <w:pPr>
        <w:spacing w:line="360" w:lineRule="auto"/>
        <w:jc w:val="both"/>
        <w:rPr>
          <w:rFonts w:ascii="Arial" w:hAnsi="Arial" w:cs="Arial"/>
        </w:rPr>
      </w:pPr>
      <w:r w:rsidRPr="0020798A">
        <w:rPr>
          <w:rFonts w:ascii="Arial" w:hAnsi="Arial" w:cs="Arial"/>
        </w:rPr>
        <w:t xml:space="preserve">The economic instability brought about by Brexit has sparked considerable debate on </w:t>
      </w:r>
      <w:r w:rsidR="008E7A2E" w:rsidRPr="0020798A">
        <w:rPr>
          <w:rFonts w:ascii="Arial" w:hAnsi="Arial" w:cs="Arial"/>
        </w:rPr>
        <w:t>UK SMEs' financial performance, market share, and long-term viability</w:t>
      </w:r>
      <w:r w:rsidRPr="0020798A">
        <w:rPr>
          <w:rFonts w:ascii="Arial" w:hAnsi="Arial" w:cs="Arial"/>
        </w:rPr>
        <w:t xml:space="preserve">. </w:t>
      </w:r>
      <w:r w:rsidR="008250E7" w:rsidRPr="008250E7">
        <w:rPr>
          <w:rFonts w:ascii="Arial" w:hAnsi="Arial" w:cs="Arial"/>
        </w:rPr>
        <w:t>Burns</w:t>
      </w:r>
      <w:r w:rsidR="008250E7">
        <w:rPr>
          <w:rFonts w:ascii="Arial" w:hAnsi="Arial" w:cs="Arial"/>
        </w:rPr>
        <w:t xml:space="preserve"> (</w:t>
      </w:r>
      <w:r w:rsidR="008250E7" w:rsidRPr="008250E7">
        <w:rPr>
          <w:rFonts w:ascii="Arial" w:hAnsi="Arial" w:cs="Arial"/>
        </w:rPr>
        <w:t>2018)</w:t>
      </w:r>
      <w:r w:rsidR="008250E7">
        <w:rPr>
          <w:rFonts w:ascii="Arial" w:hAnsi="Arial" w:cs="Arial"/>
        </w:rPr>
        <w:t xml:space="preserve"> </w:t>
      </w:r>
      <w:r w:rsidRPr="0020798A">
        <w:rPr>
          <w:rFonts w:ascii="Arial" w:hAnsi="Arial" w:cs="Arial"/>
        </w:rPr>
        <w:t>argues that trade restrictions and the loss of EU market access have created revenue challenges, with SMEs in export-driven industries like manufacturing and finance experiencing revenue declines of up to 15%. This finding is co</w:t>
      </w:r>
      <w:r w:rsidR="00266BDB" w:rsidRPr="0020798A">
        <w:rPr>
          <w:rFonts w:ascii="Arial" w:hAnsi="Arial" w:cs="Arial"/>
        </w:rPr>
        <w:t>nfirmed</w:t>
      </w:r>
      <w:r w:rsidRPr="0020798A">
        <w:rPr>
          <w:rFonts w:ascii="Arial" w:hAnsi="Arial" w:cs="Arial"/>
        </w:rPr>
        <w:t xml:space="preserve"> by</w:t>
      </w:r>
      <w:r w:rsidR="001423F7">
        <w:rPr>
          <w:rFonts w:ascii="Arial" w:hAnsi="Arial" w:cs="Arial"/>
        </w:rPr>
        <w:t xml:space="preserve"> the </w:t>
      </w:r>
      <w:r w:rsidR="001423F7" w:rsidRPr="001423F7">
        <w:rPr>
          <w:rFonts w:ascii="Arial" w:hAnsi="Arial" w:cs="Arial"/>
        </w:rPr>
        <w:t xml:space="preserve">Office for Budget Responsibility </w:t>
      </w:r>
      <w:r w:rsidR="001423F7">
        <w:rPr>
          <w:rFonts w:ascii="Arial" w:hAnsi="Arial" w:cs="Arial"/>
        </w:rPr>
        <w:t>(</w:t>
      </w:r>
      <w:r w:rsidR="001423F7" w:rsidRPr="001423F7">
        <w:rPr>
          <w:rFonts w:ascii="Arial" w:hAnsi="Arial" w:cs="Arial"/>
        </w:rPr>
        <w:t>2023)</w:t>
      </w:r>
      <w:r w:rsidRPr="0020798A">
        <w:rPr>
          <w:rFonts w:ascii="Arial" w:hAnsi="Arial" w:cs="Arial"/>
        </w:rPr>
        <w:t xml:space="preserve">, </w:t>
      </w:r>
      <w:r w:rsidR="008E7A2E" w:rsidRPr="0020798A">
        <w:rPr>
          <w:rFonts w:ascii="Arial" w:hAnsi="Arial" w:cs="Arial"/>
        </w:rPr>
        <w:t>highlighting</w:t>
      </w:r>
      <w:r w:rsidRPr="0020798A">
        <w:rPr>
          <w:rFonts w:ascii="Arial" w:hAnsi="Arial" w:cs="Arial"/>
        </w:rPr>
        <w:t xml:space="preserve"> the increased vulnerability of SMEs that depend on EU markets. For those SMEs that previously relied on EU trade, </w:t>
      </w:r>
      <w:r w:rsidR="008E7A2E" w:rsidRPr="0020798A">
        <w:rPr>
          <w:rFonts w:ascii="Arial" w:hAnsi="Arial" w:cs="Arial"/>
        </w:rPr>
        <w:t>losing</w:t>
      </w:r>
      <w:r w:rsidRPr="0020798A">
        <w:rPr>
          <w:rFonts w:ascii="Arial" w:hAnsi="Arial" w:cs="Arial"/>
        </w:rPr>
        <w:t xml:space="preserve"> access to the single market has resulted in new costs and operational </w:t>
      </w:r>
      <w:r w:rsidR="00266BDB" w:rsidRPr="0020798A">
        <w:rPr>
          <w:rFonts w:ascii="Arial" w:hAnsi="Arial" w:cs="Arial"/>
        </w:rPr>
        <w:t xml:space="preserve">problems </w:t>
      </w:r>
      <w:r w:rsidR="001423F7" w:rsidRPr="001423F7">
        <w:rPr>
          <w:rFonts w:ascii="Arial" w:hAnsi="Arial" w:cs="Arial"/>
        </w:rPr>
        <w:t>(Parker, 2018)</w:t>
      </w:r>
      <w:r w:rsidR="001423F7">
        <w:rPr>
          <w:rFonts w:ascii="Arial" w:hAnsi="Arial" w:cs="Arial"/>
        </w:rPr>
        <w:t>.</w:t>
      </w:r>
    </w:p>
    <w:p w14:paraId="56BF1A30" w14:textId="45507FE5" w:rsidR="00EB70B1" w:rsidRPr="0020798A" w:rsidRDefault="001423F7" w:rsidP="005C25C2">
      <w:pPr>
        <w:spacing w:line="360" w:lineRule="auto"/>
        <w:jc w:val="both"/>
        <w:rPr>
          <w:rFonts w:ascii="Arial" w:hAnsi="Arial" w:cs="Arial"/>
        </w:rPr>
      </w:pPr>
      <w:r w:rsidRPr="001423F7">
        <w:rPr>
          <w:rFonts w:ascii="Arial" w:hAnsi="Arial" w:cs="Arial"/>
        </w:rPr>
        <w:t xml:space="preserve">Gamble </w:t>
      </w:r>
      <w:r>
        <w:rPr>
          <w:rFonts w:ascii="Arial" w:hAnsi="Arial" w:cs="Arial"/>
        </w:rPr>
        <w:t>(</w:t>
      </w:r>
      <w:r w:rsidRPr="001423F7">
        <w:rPr>
          <w:rFonts w:ascii="Arial" w:hAnsi="Arial" w:cs="Arial"/>
        </w:rPr>
        <w:t>2018)</w:t>
      </w:r>
      <w:r w:rsidR="00EC5A7F">
        <w:rPr>
          <w:rFonts w:ascii="Arial" w:hAnsi="Arial" w:cs="Arial"/>
        </w:rPr>
        <w:t>,</w:t>
      </w:r>
      <w:r w:rsidRPr="001423F7">
        <w:rPr>
          <w:rFonts w:ascii="Arial" w:hAnsi="Arial" w:cs="Arial"/>
        </w:rPr>
        <w:t xml:space="preserve"> </w:t>
      </w:r>
      <w:r w:rsidR="00E53E42" w:rsidRPr="0020798A">
        <w:rPr>
          <w:rFonts w:ascii="Arial" w:hAnsi="Arial" w:cs="Arial"/>
        </w:rPr>
        <w:t xml:space="preserve">however, suggests that Brexit could </w:t>
      </w:r>
      <w:r w:rsidR="00266BDB" w:rsidRPr="0020798A">
        <w:rPr>
          <w:rFonts w:ascii="Arial" w:hAnsi="Arial" w:cs="Arial"/>
        </w:rPr>
        <w:t>present</w:t>
      </w:r>
      <w:r w:rsidR="00E53E42" w:rsidRPr="0020798A">
        <w:rPr>
          <w:rFonts w:ascii="Arial" w:hAnsi="Arial" w:cs="Arial"/>
        </w:rPr>
        <w:t xml:space="preserve"> opportunities for some SMEs by refocusing their efforts on local markets and reducing reliance on complex EU supply chains. </w:t>
      </w:r>
      <w:r w:rsidR="00EC5A7F">
        <w:rPr>
          <w:rFonts w:ascii="Arial" w:hAnsi="Arial" w:cs="Arial"/>
        </w:rPr>
        <w:t>Empirical</w:t>
      </w:r>
      <w:r w:rsidR="00E53E42" w:rsidRPr="0020798A">
        <w:rPr>
          <w:rFonts w:ascii="Arial" w:hAnsi="Arial" w:cs="Arial"/>
        </w:rPr>
        <w:t xml:space="preserve"> data from </w:t>
      </w:r>
      <w:r w:rsidRPr="001423F7">
        <w:rPr>
          <w:rFonts w:ascii="Arial" w:hAnsi="Arial" w:cs="Arial"/>
        </w:rPr>
        <w:t xml:space="preserve">Gupta et al. </w:t>
      </w:r>
      <w:r>
        <w:rPr>
          <w:rFonts w:ascii="Arial" w:hAnsi="Arial" w:cs="Arial"/>
        </w:rPr>
        <w:t>(</w:t>
      </w:r>
      <w:r w:rsidRPr="001423F7">
        <w:rPr>
          <w:rFonts w:ascii="Arial" w:hAnsi="Arial" w:cs="Arial"/>
        </w:rPr>
        <w:t>2023</w:t>
      </w:r>
      <w:r>
        <w:rPr>
          <w:rFonts w:ascii="Arial" w:hAnsi="Arial" w:cs="Arial"/>
        </w:rPr>
        <w:t xml:space="preserve">) </w:t>
      </w:r>
      <w:r w:rsidR="00E53E42" w:rsidRPr="0020798A">
        <w:rPr>
          <w:rFonts w:ascii="Arial" w:hAnsi="Arial" w:cs="Arial"/>
        </w:rPr>
        <w:t xml:space="preserve">shows that while some domestically focused SMEs benefit from reduced competition, most experience higher operational costs that negatively affect profitability. Brexit’s impact on business growth and SME sustainability is further reflected in changes to VAT registration and business birth and death rates. </w:t>
      </w:r>
      <w:r w:rsidR="00EC5A7F">
        <w:rPr>
          <w:rFonts w:ascii="Arial" w:hAnsi="Arial" w:cs="Arial"/>
        </w:rPr>
        <w:t xml:space="preserve">The BEIS (2023) data </w:t>
      </w:r>
      <w:r w:rsidR="00E53E42" w:rsidRPr="0020798A">
        <w:rPr>
          <w:rFonts w:ascii="Arial" w:hAnsi="Arial" w:cs="Arial"/>
        </w:rPr>
        <w:t xml:space="preserve">reveals a decrease in SME startups post-Brexit, as SMEs face financial and regulatory barriers that may </w:t>
      </w:r>
      <w:r w:rsidR="00613679" w:rsidRPr="0020798A">
        <w:rPr>
          <w:rFonts w:ascii="Arial" w:hAnsi="Arial" w:cs="Arial"/>
        </w:rPr>
        <w:t>negatively impact</w:t>
      </w:r>
      <w:r w:rsidR="00E53E42" w:rsidRPr="0020798A">
        <w:rPr>
          <w:rFonts w:ascii="Arial" w:hAnsi="Arial" w:cs="Arial"/>
        </w:rPr>
        <w:t xml:space="preserve"> entrepreneurial </w:t>
      </w:r>
      <w:r w:rsidR="00613679" w:rsidRPr="0020798A">
        <w:rPr>
          <w:rFonts w:ascii="Arial" w:hAnsi="Arial" w:cs="Arial"/>
        </w:rPr>
        <w:t>efforts</w:t>
      </w:r>
      <w:r w:rsidR="00E53E42" w:rsidRPr="0020798A">
        <w:rPr>
          <w:rFonts w:ascii="Arial" w:hAnsi="Arial" w:cs="Arial"/>
        </w:rPr>
        <w:t>.</w:t>
      </w:r>
    </w:p>
    <w:p w14:paraId="7C5C7A93" w14:textId="6C05D914" w:rsidR="00EB70B1" w:rsidRPr="0020798A" w:rsidRDefault="00E53E42" w:rsidP="005C25C2">
      <w:pPr>
        <w:spacing w:line="360" w:lineRule="auto"/>
        <w:jc w:val="both"/>
        <w:rPr>
          <w:rFonts w:ascii="Arial" w:hAnsi="Arial" w:cs="Arial"/>
        </w:rPr>
      </w:pPr>
      <w:r w:rsidRPr="0020798A">
        <w:rPr>
          <w:rFonts w:ascii="Arial" w:hAnsi="Arial" w:cs="Arial"/>
        </w:rPr>
        <w:t xml:space="preserve">The decline in new SME startups, alongside increased closure rates, suggests that Brexit may be </w:t>
      </w:r>
      <w:r w:rsidR="00613679" w:rsidRPr="0020798A">
        <w:rPr>
          <w:rFonts w:ascii="Arial" w:hAnsi="Arial" w:cs="Arial"/>
        </w:rPr>
        <w:t>slowing down</w:t>
      </w:r>
      <w:r w:rsidRPr="0020798A">
        <w:rPr>
          <w:rFonts w:ascii="Arial" w:hAnsi="Arial" w:cs="Arial"/>
        </w:rPr>
        <w:t xml:space="preserve"> entrepreneurial momentum </w:t>
      </w:r>
      <w:r w:rsidR="00690928" w:rsidRPr="00690928">
        <w:rPr>
          <w:rFonts w:ascii="Arial" w:hAnsi="Arial" w:cs="Arial"/>
        </w:rPr>
        <w:t>(Hutton, 2024)</w:t>
      </w:r>
      <w:r w:rsidR="00B877A9">
        <w:rPr>
          <w:rFonts w:ascii="Arial" w:hAnsi="Arial" w:cs="Arial"/>
        </w:rPr>
        <w:t xml:space="preserve">. </w:t>
      </w:r>
      <w:r w:rsidRPr="0020798A">
        <w:rPr>
          <w:rFonts w:ascii="Arial" w:hAnsi="Arial" w:cs="Arial"/>
        </w:rPr>
        <w:t xml:space="preserve">This trend aligns with Piketty’s (2014) assertion that economic nationalism and protectionism can </w:t>
      </w:r>
      <w:r w:rsidR="00613679" w:rsidRPr="0020798A">
        <w:rPr>
          <w:rFonts w:ascii="Arial" w:hAnsi="Arial" w:cs="Arial"/>
        </w:rPr>
        <w:t>affect</w:t>
      </w:r>
      <w:r w:rsidRPr="0020798A">
        <w:rPr>
          <w:rFonts w:ascii="Arial" w:hAnsi="Arial" w:cs="Arial"/>
        </w:rPr>
        <w:t xml:space="preserve"> innovation by limiting access to foreign markets and reducing competitive pressures. Without targeted policy measures to encourage new business formation, this decline could diminish the dynamism of the SME sector.</w:t>
      </w:r>
    </w:p>
    <w:p w14:paraId="02D76320" w14:textId="77777777" w:rsidR="00EB70B1" w:rsidRPr="0020798A" w:rsidRDefault="00E53E42" w:rsidP="00613679">
      <w:pPr>
        <w:pStyle w:val="Heading2"/>
        <w:rPr>
          <w:rFonts w:cs="Arial"/>
        </w:rPr>
      </w:pPr>
      <w:bookmarkStart w:id="8" w:name="_Toc182937999"/>
      <w:r w:rsidRPr="0020798A">
        <w:rPr>
          <w:rFonts w:cs="Arial"/>
        </w:rPr>
        <w:t>Regulatory Challenges and Business Viability</w:t>
      </w:r>
      <w:bookmarkEnd w:id="8"/>
    </w:p>
    <w:p w14:paraId="1C0270B5" w14:textId="76FF5F70" w:rsidR="00EB70B1" w:rsidRPr="0020798A" w:rsidRDefault="00E53E42" w:rsidP="005C25C2">
      <w:pPr>
        <w:spacing w:line="360" w:lineRule="auto"/>
        <w:jc w:val="both"/>
        <w:rPr>
          <w:rFonts w:ascii="Arial" w:hAnsi="Arial" w:cs="Arial"/>
        </w:rPr>
      </w:pPr>
      <w:r w:rsidRPr="0020798A">
        <w:rPr>
          <w:rFonts w:ascii="Arial" w:hAnsi="Arial" w:cs="Arial"/>
        </w:rPr>
        <w:t xml:space="preserve">Brexit has introduced new regulatory complexities for SMEs, particularly those in sectors previously aligned with EU standards. </w:t>
      </w:r>
      <w:r w:rsidR="001A6E09" w:rsidRPr="001A6E09">
        <w:rPr>
          <w:rFonts w:ascii="Arial" w:hAnsi="Arial" w:cs="Arial"/>
        </w:rPr>
        <w:t>Hutton</w:t>
      </w:r>
      <w:r w:rsidR="001A6E09">
        <w:rPr>
          <w:rFonts w:ascii="Arial" w:hAnsi="Arial" w:cs="Arial"/>
        </w:rPr>
        <w:t xml:space="preserve"> (2024) notes </w:t>
      </w:r>
      <w:r w:rsidRPr="0020798A">
        <w:rPr>
          <w:rFonts w:ascii="Arial" w:hAnsi="Arial" w:cs="Arial"/>
        </w:rPr>
        <w:t xml:space="preserve">that Brexit’s turn towards economic nationalism has </w:t>
      </w:r>
      <w:r w:rsidR="00613679" w:rsidRPr="0020798A">
        <w:rPr>
          <w:rFonts w:ascii="Arial" w:hAnsi="Arial" w:cs="Arial"/>
        </w:rPr>
        <w:t>intensified</w:t>
      </w:r>
      <w:r w:rsidRPr="0020798A">
        <w:rPr>
          <w:rFonts w:ascii="Arial" w:hAnsi="Arial" w:cs="Arial"/>
        </w:rPr>
        <w:t xml:space="preserve"> these regulatory challenges, raising compliance costs for SMEs and threatening long-term sustainability. </w:t>
      </w:r>
      <w:r w:rsidR="001A6E09" w:rsidRPr="001A6E09">
        <w:rPr>
          <w:rFonts w:ascii="Arial" w:hAnsi="Arial" w:cs="Arial"/>
        </w:rPr>
        <w:t>British Chambers of Commerce</w:t>
      </w:r>
      <w:r w:rsidR="001A6E09">
        <w:rPr>
          <w:rFonts w:ascii="Arial" w:hAnsi="Arial" w:cs="Arial"/>
        </w:rPr>
        <w:t xml:space="preserve"> (</w:t>
      </w:r>
      <w:r w:rsidR="001A6E09" w:rsidRPr="001A6E09">
        <w:rPr>
          <w:rFonts w:ascii="Arial" w:hAnsi="Arial" w:cs="Arial"/>
        </w:rPr>
        <w:t>2021)</w:t>
      </w:r>
      <w:r w:rsidR="001A6E09">
        <w:rPr>
          <w:rFonts w:ascii="Arial" w:hAnsi="Arial" w:cs="Arial"/>
        </w:rPr>
        <w:t xml:space="preserve"> </w:t>
      </w:r>
      <w:r w:rsidR="001A6E09" w:rsidRPr="001A6E09">
        <w:rPr>
          <w:rFonts w:ascii="Arial" w:hAnsi="Arial" w:cs="Arial"/>
        </w:rPr>
        <w:t>further highlights</w:t>
      </w:r>
      <w:r w:rsidRPr="0020798A">
        <w:rPr>
          <w:rFonts w:ascii="Arial" w:hAnsi="Arial" w:cs="Arial"/>
        </w:rPr>
        <w:t xml:space="preserve"> </w:t>
      </w:r>
      <w:r w:rsidR="001A6E09">
        <w:rPr>
          <w:rFonts w:ascii="Arial" w:hAnsi="Arial" w:cs="Arial"/>
        </w:rPr>
        <w:t xml:space="preserve">that </w:t>
      </w:r>
      <w:r w:rsidRPr="0020798A">
        <w:rPr>
          <w:rFonts w:ascii="Arial" w:hAnsi="Arial" w:cs="Arial"/>
        </w:rPr>
        <w:t xml:space="preserve">increased compliance costs and administrative burdens pull </w:t>
      </w:r>
      <w:r w:rsidRPr="0020798A">
        <w:rPr>
          <w:rFonts w:ascii="Arial" w:hAnsi="Arial" w:cs="Arial"/>
        </w:rPr>
        <w:lastRenderedPageBreak/>
        <w:t>resources away from growth initiatives, making it more difficult for SMEs to adapt and compete.</w:t>
      </w:r>
    </w:p>
    <w:p w14:paraId="24AA9E6F" w14:textId="661DF3FC" w:rsidR="00EB70B1" w:rsidRPr="0020798A" w:rsidRDefault="00E53E42" w:rsidP="005C25C2">
      <w:pPr>
        <w:spacing w:line="360" w:lineRule="auto"/>
        <w:jc w:val="both"/>
        <w:rPr>
          <w:rFonts w:ascii="Arial" w:hAnsi="Arial" w:cs="Arial"/>
        </w:rPr>
      </w:pPr>
      <w:r w:rsidRPr="0020798A">
        <w:rPr>
          <w:rFonts w:ascii="Arial" w:hAnsi="Arial" w:cs="Arial"/>
        </w:rPr>
        <w:t xml:space="preserve">Research shows that SMEs across various industries face significant regulatory burdens that impact operational efficiency and financial resilience. </w:t>
      </w:r>
      <w:r w:rsidR="001A6E09" w:rsidRPr="001A6E09">
        <w:rPr>
          <w:rFonts w:ascii="Arial" w:hAnsi="Arial" w:cs="Arial"/>
        </w:rPr>
        <w:t xml:space="preserve">HM Revenue &amp; Customs </w:t>
      </w:r>
      <w:r w:rsidR="001A6E09">
        <w:rPr>
          <w:rFonts w:ascii="Arial" w:hAnsi="Arial" w:cs="Arial"/>
        </w:rPr>
        <w:t>(</w:t>
      </w:r>
      <w:r w:rsidR="001A6E09" w:rsidRPr="001A6E09">
        <w:rPr>
          <w:rFonts w:ascii="Arial" w:hAnsi="Arial" w:cs="Arial"/>
        </w:rPr>
        <w:t>2020)</w:t>
      </w:r>
      <w:r w:rsidR="001A6E09">
        <w:rPr>
          <w:rFonts w:ascii="Arial" w:hAnsi="Arial" w:cs="Arial"/>
        </w:rPr>
        <w:t xml:space="preserve"> show </w:t>
      </w:r>
      <w:r w:rsidRPr="0020798A">
        <w:rPr>
          <w:rFonts w:ascii="Arial" w:hAnsi="Arial" w:cs="Arial"/>
        </w:rPr>
        <w:t xml:space="preserve">that </w:t>
      </w:r>
      <w:r w:rsidR="008E7A2E" w:rsidRPr="0020798A">
        <w:rPr>
          <w:rFonts w:ascii="Arial" w:hAnsi="Arial" w:cs="Arial"/>
        </w:rPr>
        <w:t>manufacturing SMEs</w:t>
      </w:r>
      <w:r w:rsidRPr="0020798A">
        <w:rPr>
          <w:rFonts w:ascii="Arial" w:hAnsi="Arial" w:cs="Arial"/>
        </w:rPr>
        <w:t xml:space="preserve"> must navigate new documentation and customs requirements that delay operations and increase costs. This is supported by the</w:t>
      </w:r>
      <w:r w:rsidR="001A000F">
        <w:rPr>
          <w:rFonts w:ascii="Arial" w:hAnsi="Arial" w:cs="Arial"/>
        </w:rPr>
        <w:t xml:space="preserve"> </w:t>
      </w:r>
      <w:r w:rsidR="001A000F" w:rsidRPr="001A000F">
        <w:rPr>
          <w:rFonts w:ascii="Arial" w:hAnsi="Arial" w:cs="Arial"/>
        </w:rPr>
        <w:t>FSB</w:t>
      </w:r>
      <w:r w:rsidR="001A000F">
        <w:rPr>
          <w:rFonts w:ascii="Arial" w:hAnsi="Arial" w:cs="Arial"/>
        </w:rPr>
        <w:t xml:space="preserve"> (2023), </w:t>
      </w:r>
      <w:r w:rsidRPr="0020798A">
        <w:rPr>
          <w:rFonts w:ascii="Arial" w:hAnsi="Arial" w:cs="Arial"/>
        </w:rPr>
        <w:t>which reports that SMEs face increased compliance costs due to Brexit-related regulatory changes. However, sector-specific research on how these regulatory challenges vary across industries is limited, representing a gap that future studies should address.</w:t>
      </w:r>
    </w:p>
    <w:p w14:paraId="408CC82A" w14:textId="77777777" w:rsidR="00EB70B1" w:rsidRPr="0020798A" w:rsidRDefault="00E53E42" w:rsidP="00613679">
      <w:pPr>
        <w:pStyle w:val="Heading2"/>
        <w:rPr>
          <w:rFonts w:cs="Arial"/>
        </w:rPr>
      </w:pPr>
      <w:bookmarkStart w:id="9" w:name="_Toc182938000"/>
      <w:r w:rsidRPr="0020798A">
        <w:rPr>
          <w:rFonts w:cs="Arial"/>
        </w:rPr>
        <w:t>Literature Gap and Need for Further Research</w:t>
      </w:r>
      <w:bookmarkEnd w:id="9"/>
    </w:p>
    <w:p w14:paraId="73E7C3CE" w14:textId="44B15098" w:rsidR="00EB70B1" w:rsidRPr="0020798A" w:rsidRDefault="00E53E42" w:rsidP="005C25C2">
      <w:pPr>
        <w:spacing w:line="360" w:lineRule="auto"/>
        <w:jc w:val="both"/>
        <w:rPr>
          <w:rFonts w:ascii="Arial" w:hAnsi="Arial" w:cs="Arial"/>
        </w:rPr>
      </w:pPr>
      <w:r w:rsidRPr="0020798A">
        <w:rPr>
          <w:rFonts w:ascii="Arial" w:hAnsi="Arial" w:cs="Arial"/>
        </w:rPr>
        <w:t xml:space="preserve">Despite significant progress in understanding Brexit’s broader economic impact, several gaps remain in the literature on its specific effects on SMEs. Limited empirical research </w:t>
      </w:r>
      <w:r w:rsidR="00613679" w:rsidRPr="0020798A">
        <w:rPr>
          <w:rFonts w:ascii="Arial" w:hAnsi="Arial" w:cs="Arial"/>
        </w:rPr>
        <w:t>has examined the changes in SME growth metrics, such as the number of registered enterprises</w:t>
      </w:r>
      <w:r w:rsidRPr="0020798A">
        <w:rPr>
          <w:rFonts w:ascii="Arial" w:hAnsi="Arial" w:cs="Arial"/>
        </w:rPr>
        <w:t xml:space="preserve">, profitability, and expansion rates, since Brexit. While </w:t>
      </w:r>
      <w:r w:rsidR="001A000F" w:rsidRPr="001A000F">
        <w:rPr>
          <w:rFonts w:ascii="Arial" w:hAnsi="Arial" w:cs="Arial"/>
        </w:rPr>
        <w:t xml:space="preserve">Burns </w:t>
      </w:r>
      <w:r w:rsidR="001A000F">
        <w:rPr>
          <w:rFonts w:ascii="Arial" w:hAnsi="Arial" w:cs="Arial"/>
        </w:rPr>
        <w:t>(</w:t>
      </w:r>
      <w:r w:rsidR="001A000F" w:rsidRPr="001A000F">
        <w:rPr>
          <w:rFonts w:ascii="Arial" w:hAnsi="Arial" w:cs="Arial"/>
        </w:rPr>
        <w:t>2018)</w:t>
      </w:r>
      <w:r w:rsidR="001A000F">
        <w:rPr>
          <w:rFonts w:ascii="Arial" w:hAnsi="Arial" w:cs="Arial"/>
        </w:rPr>
        <w:t xml:space="preserve"> and </w:t>
      </w:r>
      <w:r w:rsidR="001A000F" w:rsidRPr="001A000F">
        <w:rPr>
          <w:rFonts w:ascii="Arial" w:hAnsi="Arial" w:cs="Arial"/>
        </w:rPr>
        <w:t>Parker</w:t>
      </w:r>
      <w:r w:rsidR="001A000F">
        <w:rPr>
          <w:rFonts w:ascii="Arial" w:hAnsi="Arial" w:cs="Arial"/>
        </w:rPr>
        <w:t xml:space="preserve"> (</w:t>
      </w:r>
      <w:r w:rsidR="001A000F" w:rsidRPr="001A000F">
        <w:rPr>
          <w:rFonts w:ascii="Arial" w:hAnsi="Arial" w:cs="Arial"/>
        </w:rPr>
        <w:t>2018)</w:t>
      </w:r>
      <w:r w:rsidRPr="0020798A">
        <w:rPr>
          <w:rFonts w:ascii="Arial" w:hAnsi="Arial" w:cs="Arial"/>
        </w:rPr>
        <w:t xml:space="preserve"> provide insights into the financial challenges facing export-dependent SMEs, there is insufficient quantitative analysis of Brexit’s impact on these metrics over time. Such analysis is essential for assessing SMEs' resilience and sustainability, especially in the face of restricted market access and higher operational costs </w:t>
      </w:r>
      <w:r w:rsidR="001A000F" w:rsidRPr="001A000F">
        <w:rPr>
          <w:rFonts w:ascii="Arial" w:hAnsi="Arial" w:cs="Arial"/>
        </w:rPr>
        <w:t>(</w:t>
      </w:r>
      <w:proofErr w:type="spellStart"/>
      <w:r w:rsidR="001A000F" w:rsidRPr="001A000F">
        <w:rPr>
          <w:rFonts w:ascii="Arial" w:hAnsi="Arial" w:cs="Arial"/>
        </w:rPr>
        <w:t>Biginas</w:t>
      </w:r>
      <w:proofErr w:type="spellEnd"/>
      <w:r w:rsidR="001A000F" w:rsidRPr="001A000F">
        <w:rPr>
          <w:rFonts w:ascii="Arial" w:hAnsi="Arial" w:cs="Arial"/>
        </w:rPr>
        <w:t xml:space="preserve"> et al., 2022)</w:t>
      </w:r>
      <w:r w:rsidR="001A000F">
        <w:rPr>
          <w:rFonts w:ascii="Arial" w:hAnsi="Arial" w:cs="Arial"/>
        </w:rPr>
        <w:t>.</w:t>
      </w:r>
    </w:p>
    <w:p w14:paraId="1D4F99CB" w14:textId="47B9EE8D" w:rsidR="00EB70B1" w:rsidRPr="0020798A" w:rsidRDefault="00E53E42" w:rsidP="005C25C2">
      <w:pPr>
        <w:spacing w:line="360" w:lineRule="auto"/>
        <w:jc w:val="both"/>
        <w:rPr>
          <w:rFonts w:ascii="Arial" w:hAnsi="Arial" w:cs="Arial"/>
        </w:rPr>
      </w:pPr>
      <w:r w:rsidRPr="0020798A">
        <w:rPr>
          <w:rFonts w:ascii="Arial" w:hAnsi="Arial" w:cs="Arial"/>
        </w:rPr>
        <w:t xml:space="preserve">Additionally, there </w:t>
      </w:r>
      <w:r w:rsidR="008E7A2E" w:rsidRPr="0020798A">
        <w:rPr>
          <w:rFonts w:ascii="Arial" w:hAnsi="Arial" w:cs="Arial"/>
        </w:rPr>
        <w:t>needs to be a more</w:t>
      </w:r>
      <w:r w:rsidRPr="0020798A">
        <w:rPr>
          <w:rFonts w:ascii="Arial" w:hAnsi="Arial" w:cs="Arial"/>
        </w:rPr>
        <w:t xml:space="preserve"> detailed analysis </w:t>
      </w:r>
      <w:r w:rsidR="008E7A2E" w:rsidRPr="0020798A">
        <w:rPr>
          <w:rFonts w:ascii="Arial" w:hAnsi="Arial" w:cs="Arial"/>
        </w:rPr>
        <w:t>of</w:t>
      </w:r>
      <w:r w:rsidRPr="0020798A">
        <w:rPr>
          <w:rFonts w:ascii="Arial" w:hAnsi="Arial" w:cs="Arial"/>
        </w:rPr>
        <w:t xml:space="preserve"> SME-specific employment metrics, with studies like </w:t>
      </w:r>
      <w:r w:rsidR="001A000F" w:rsidRPr="001A000F">
        <w:rPr>
          <w:rFonts w:ascii="Arial" w:hAnsi="Arial" w:cs="Arial"/>
        </w:rPr>
        <w:t xml:space="preserve">Taylor </w:t>
      </w:r>
      <w:r w:rsidR="001A000F">
        <w:rPr>
          <w:rFonts w:ascii="Arial" w:hAnsi="Arial" w:cs="Arial"/>
        </w:rPr>
        <w:t>(</w:t>
      </w:r>
      <w:r w:rsidR="001A000F" w:rsidRPr="001A000F">
        <w:rPr>
          <w:rFonts w:ascii="Arial" w:hAnsi="Arial" w:cs="Arial"/>
        </w:rPr>
        <w:t>2017)</w:t>
      </w:r>
      <w:r w:rsidR="001A000F">
        <w:rPr>
          <w:rFonts w:ascii="Arial" w:hAnsi="Arial" w:cs="Arial"/>
        </w:rPr>
        <w:t xml:space="preserve"> </w:t>
      </w:r>
      <w:r w:rsidRPr="0020798A">
        <w:rPr>
          <w:rFonts w:ascii="Arial" w:hAnsi="Arial" w:cs="Arial"/>
        </w:rPr>
        <w:t xml:space="preserve">and </w:t>
      </w:r>
      <w:proofErr w:type="spellStart"/>
      <w:r w:rsidR="00D56DD3" w:rsidRPr="00D56DD3">
        <w:rPr>
          <w:rFonts w:ascii="Arial" w:hAnsi="Arial" w:cs="Arial"/>
        </w:rPr>
        <w:t>Whyman</w:t>
      </w:r>
      <w:proofErr w:type="spellEnd"/>
      <w:r w:rsidR="00D56DD3" w:rsidRPr="00D56DD3">
        <w:rPr>
          <w:rFonts w:ascii="Arial" w:hAnsi="Arial" w:cs="Arial"/>
        </w:rPr>
        <w:t xml:space="preserve"> and Petrescu </w:t>
      </w:r>
      <w:r w:rsidR="00D56DD3">
        <w:rPr>
          <w:rFonts w:ascii="Arial" w:hAnsi="Arial" w:cs="Arial"/>
        </w:rPr>
        <w:t>(</w:t>
      </w:r>
      <w:r w:rsidR="00D56DD3" w:rsidRPr="00D56DD3">
        <w:rPr>
          <w:rFonts w:ascii="Arial" w:hAnsi="Arial" w:cs="Arial"/>
        </w:rPr>
        <w:t>2020)</w:t>
      </w:r>
      <w:r w:rsidR="00D56DD3">
        <w:rPr>
          <w:rFonts w:ascii="Arial" w:hAnsi="Arial" w:cs="Arial"/>
        </w:rPr>
        <w:t xml:space="preserve"> </w:t>
      </w:r>
      <w:r w:rsidRPr="0020798A">
        <w:rPr>
          <w:rFonts w:ascii="Arial" w:hAnsi="Arial" w:cs="Arial"/>
        </w:rPr>
        <w:t xml:space="preserve">offering only a broad perspective on precarious employment trends. </w:t>
      </w:r>
      <w:r w:rsidR="008E7A2E" w:rsidRPr="0020798A">
        <w:rPr>
          <w:rFonts w:ascii="Arial" w:hAnsi="Arial" w:cs="Arial"/>
        </w:rPr>
        <w:t>Given the labour challenges posed by Brexit, this highlights a need for focused research on employment stability, job retention, and labour costs within the SME sector</w:t>
      </w:r>
      <w:r w:rsidRPr="0020798A">
        <w:rPr>
          <w:rFonts w:ascii="Arial" w:hAnsi="Arial" w:cs="Arial"/>
        </w:rPr>
        <w:t>.</w:t>
      </w:r>
    </w:p>
    <w:p w14:paraId="11CBC037" w14:textId="0008A3C7" w:rsidR="00EB70B1" w:rsidRPr="0020798A" w:rsidRDefault="00E53E42" w:rsidP="005C25C2">
      <w:pPr>
        <w:spacing w:line="360" w:lineRule="auto"/>
        <w:jc w:val="both"/>
        <w:rPr>
          <w:rFonts w:ascii="Arial" w:hAnsi="Arial" w:cs="Arial"/>
        </w:rPr>
      </w:pPr>
      <w:r w:rsidRPr="0020798A">
        <w:rPr>
          <w:rFonts w:ascii="Arial" w:hAnsi="Arial" w:cs="Arial"/>
        </w:rPr>
        <w:t xml:space="preserve">Finally, there has been limited exploration of Brexit’s effects on VAT registrations and business birth and death rates among SMEs. </w:t>
      </w:r>
      <w:r w:rsidR="00D56DD3" w:rsidRPr="00D56DD3">
        <w:rPr>
          <w:rFonts w:ascii="Arial" w:hAnsi="Arial" w:cs="Arial"/>
        </w:rPr>
        <w:t xml:space="preserve">Hutton </w:t>
      </w:r>
      <w:r w:rsidR="00D56DD3">
        <w:rPr>
          <w:rFonts w:ascii="Arial" w:hAnsi="Arial" w:cs="Arial"/>
        </w:rPr>
        <w:t>(</w:t>
      </w:r>
      <w:r w:rsidR="00D56DD3" w:rsidRPr="00D56DD3">
        <w:rPr>
          <w:rFonts w:ascii="Arial" w:hAnsi="Arial" w:cs="Arial"/>
        </w:rPr>
        <w:t>2024)</w:t>
      </w:r>
      <w:r w:rsidR="00D56DD3">
        <w:rPr>
          <w:rFonts w:ascii="Arial" w:hAnsi="Arial" w:cs="Arial"/>
        </w:rPr>
        <w:t xml:space="preserve"> </w:t>
      </w:r>
      <w:r w:rsidRPr="0020798A">
        <w:rPr>
          <w:rFonts w:ascii="Arial" w:hAnsi="Arial" w:cs="Arial"/>
        </w:rPr>
        <w:t xml:space="preserve">and </w:t>
      </w:r>
      <w:r w:rsidR="00D56DD3" w:rsidRPr="00D56DD3">
        <w:rPr>
          <w:rFonts w:ascii="Arial" w:hAnsi="Arial" w:cs="Arial"/>
        </w:rPr>
        <w:t>British Chambers of Commerce</w:t>
      </w:r>
      <w:r w:rsidR="00D56DD3">
        <w:rPr>
          <w:rFonts w:ascii="Arial" w:hAnsi="Arial" w:cs="Arial"/>
        </w:rPr>
        <w:t xml:space="preserve"> (</w:t>
      </w:r>
      <w:r w:rsidR="00D56DD3" w:rsidRPr="00D56DD3">
        <w:rPr>
          <w:rFonts w:ascii="Arial" w:hAnsi="Arial" w:cs="Arial"/>
        </w:rPr>
        <w:t>2021)</w:t>
      </w:r>
      <w:r w:rsidR="00D56DD3">
        <w:rPr>
          <w:rFonts w:ascii="Arial" w:hAnsi="Arial" w:cs="Arial"/>
        </w:rPr>
        <w:t xml:space="preserve"> </w:t>
      </w:r>
      <w:r w:rsidRPr="0020798A">
        <w:rPr>
          <w:rFonts w:ascii="Arial" w:hAnsi="Arial" w:cs="Arial"/>
        </w:rPr>
        <w:t xml:space="preserve">address the regulatory burdens introduced by Brexit, but there is little evidence on how these changes affect business formation and closure rates. Data from </w:t>
      </w:r>
      <w:r w:rsidR="00D56DD3" w:rsidRPr="00D56DD3">
        <w:rPr>
          <w:rFonts w:ascii="Arial" w:hAnsi="Arial" w:cs="Arial"/>
        </w:rPr>
        <w:t>BEIS</w:t>
      </w:r>
      <w:r w:rsidR="00D56DD3">
        <w:rPr>
          <w:rFonts w:ascii="Arial" w:hAnsi="Arial" w:cs="Arial"/>
        </w:rPr>
        <w:t xml:space="preserve"> (</w:t>
      </w:r>
      <w:r w:rsidR="00D56DD3" w:rsidRPr="00D56DD3">
        <w:rPr>
          <w:rFonts w:ascii="Arial" w:hAnsi="Arial" w:cs="Arial"/>
        </w:rPr>
        <w:t>2022)</w:t>
      </w:r>
      <w:r w:rsidR="00D56DD3">
        <w:rPr>
          <w:rFonts w:ascii="Arial" w:hAnsi="Arial" w:cs="Arial"/>
        </w:rPr>
        <w:t xml:space="preserve"> </w:t>
      </w:r>
      <w:r w:rsidRPr="0020798A">
        <w:rPr>
          <w:rFonts w:ascii="Arial" w:hAnsi="Arial" w:cs="Arial"/>
        </w:rPr>
        <w:t>indicates a decline in SME startup rates, suggesting a need for more in-depth research on Brexit’s regulatory impact on SME entrepreneurship.</w:t>
      </w:r>
    </w:p>
    <w:p w14:paraId="5099ABB0" w14:textId="77777777" w:rsidR="00EB70B1" w:rsidRPr="0020798A" w:rsidRDefault="00E53E42" w:rsidP="00613679">
      <w:pPr>
        <w:pStyle w:val="Heading2"/>
        <w:rPr>
          <w:rFonts w:cs="Arial"/>
        </w:rPr>
      </w:pPr>
      <w:bookmarkStart w:id="10" w:name="_Toc182938001"/>
      <w:r w:rsidRPr="0020798A">
        <w:rPr>
          <w:rFonts w:cs="Arial"/>
        </w:rPr>
        <w:lastRenderedPageBreak/>
        <w:t>Synthesis of Literature and Policy Implications</w:t>
      </w:r>
      <w:bookmarkEnd w:id="10"/>
    </w:p>
    <w:p w14:paraId="325C5123" w14:textId="4120AADC" w:rsidR="00EB70B1" w:rsidRPr="0020798A" w:rsidRDefault="00E53E42" w:rsidP="005C25C2">
      <w:pPr>
        <w:spacing w:line="360" w:lineRule="auto"/>
        <w:jc w:val="both"/>
        <w:rPr>
          <w:rFonts w:ascii="Arial" w:hAnsi="Arial" w:cs="Arial"/>
        </w:rPr>
      </w:pPr>
      <w:r w:rsidRPr="0020798A">
        <w:rPr>
          <w:rFonts w:ascii="Arial" w:hAnsi="Arial" w:cs="Arial"/>
        </w:rPr>
        <w:t xml:space="preserve">The reviewed literature underscores Brexit’s </w:t>
      </w:r>
      <w:r w:rsidR="00613679" w:rsidRPr="0020798A">
        <w:rPr>
          <w:rFonts w:ascii="Arial" w:hAnsi="Arial" w:cs="Arial"/>
        </w:rPr>
        <w:t>varied</w:t>
      </w:r>
      <w:r w:rsidRPr="0020798A">
        <w:rPr>
          <w:rFonts w:ascii="Arial" w:hAnsi="Arial" w:cs="Arial"/>
        </w:rPr>
        <w:t xml:space="preserve"> impacts on SMEs, encompassing challenges related to business growth, employment, and regulatory compliance. Theories on economic fault lines </w:t>
      </w:r>
      <w:r w:rsidR="00EF213C" w:rsidRPr="00EF213C">
        <w:rPr>
          <w:rFonts w:ascii="Arial" w:hAnsi="Arial" w:cs="Arial"/>
        </w:rPr>
        <w:t>(Rajan, 2010)</w:t>
      </w:r>
      <w:r w:rsidR="00EF213C">
        <w:rPr>
          <w:rFonts w:ascii="Arial" w:hAnsi="Arial" w:cs="Arial"/>
        </w:rPr>
        <w:t xml:space="preserve"> </w:t>
      </w:r>
      <w:r w:rsidRPr="0020798A">
        <w:rPr>
          <w:rFonts w:ascii="Arial" w:hAnsi="Arial" w:cs="Arial"/>
        </w:rPr>
        <w:t xml:space="preserve">and democratic capitalism </w:t>
      </w:r>
      <w:r w:rsidR="00EF213C" w:rsidRPr="00EF213C">
        <w:rPr>
          <w:rFonts w:ascii="Arial" w:hAnsi="Arial" w:cs="Arial"/>
        </w:rPr>
        <w:t>(</w:t>
      </w:r>
      <w:proofErr w:type="spellStart"/>
      <w:r w:rsidR="00EF213C" w:rsidRPr="00EF213C">
        <w:rPr>
          <w:rFonts w:ascii="Arial" w:hAnsi="Arial" w:cs="Arial"/>
        </w:rPr>
        <w:t>Boix</w:t>
      </w:r>
      <w:proofErr w:type="spellEnd"/>
      <w:r w:rsidR="00EF213C" w:rsidRPr="00EF213C">
        <w:rPr>
          <w:rFonts w:ascii="Arial" w:hAnsi="Arial" w:cs="Arial"/>
        </w:rPr>
        <w:t>, 2019)</w:t>
      </w:r>
      <w:r w:rsidR="00EF213C">
        <w:rPr>
          <w:rFonts w:ascii="Arial" w:hAnsi="Arial" w:cs="Arial"/>
        </w:rPr>
        <w:t xml:space="preserve"> </w:t>
      </w:r>
      <w:r w:rsidRPr="0020798A">
        <w:rPr>
          <w:rFonts w:ascii="Arial" w:hAnsi="Arial" w:cs="Arial"/>
        </w:rPr>
        <w:t xml:space="preserve">provide a theoretical basis for understanding how Brexit has exposed vulnerabilities within the SME sector. </w:t>
      </w:r>
      <w:r w:rsidR="00613679" w:rsidRPr="0020798A">
        <w:rPr>
          <w:rFonts w:ascii="Arial" w:hAnsi="Arial" w:cs="Arial"/>
        </w:rPr>
        <w:t>S</w:t>
      </w:r>
      <w:r w:rsidRPr="0020798A">
        <w:rPr>
          <w:rFonts w:ascii="Arial" w:hAnsi="Arial" w:cs="Arial"/>
        </w:rPr>
        <w:t xml:space="preserve">tudies support these frameworks, demonstrating that Brexit has added economic constraints, particularly in startup rates, </w:t>
      </w:r>
      <w:r w:rsidR="008E7A2E" w:rsidRPr="0020798A">
        <w:rPr>
          <w:rFonts w:ascii="Arial" w:hAnsi="Arial" w:cs="Arial"/>
        </w:rPr>
        <w:t>labour</w:t>
      </w:r>
      <w:r w:rsidRPr="0020798A">
        <w:rPr>
          <w:rFonts w:ascii="Arial" w:hAnsi="Arial" w:cs="Arial"/>
        </w:rPr>
        <w:t xml:space="preserve"> costs, and revenue, especially within </w:t>
      </w:r>
      <w:r w:rsidR="008E7A2E" w:rsidRPr="0020798A">
        <w:rPr>
          <w:rFonts w:ascii="Arial" w:hAnsi="Arial" w:cs="Arial"/>
        </w:rPr>
        <w:t>industries</w:t>
      </w:r>
      <w:r w:rsidRPr="0020798A">
        <w:rPr>
          <w:rFonts w:ascii="Arial" w:hAnsi="Arial" w:cs="Arial"/>
        </w:rPr>
        <w:t xml:space="preserve"> integrated with the EU </w:t>
      </w:r>
      <w:r w:rsidR="00EF213C" w:rsidRPr="00EF213C">
        <w:rPr>
          <w:rFonts w:ascii="Arial" w:hAnsi="Arial" w:cs="Arial"/>
        </w:rPr>
        <w:t>(Gupta et al., 2023)</w:t>
      </w:r>
      <w:r w:rsidR="00EF213C">
        <w:rPr>
          <w:rFonts w:ascii="Arial" w:hAnsi="Arial" w:cs="Arial"/>
        </w:rPr>
        <w:t>.</w:t>
      </w:r>
    </w:p>
    <w:p w14:paraId="1AA16929" w14:textId="1A879C06" w:rsidR="00EB70B1" w:rsidRPr="0020798A" w:rsidRDefault="008E7A2E" w:rsidP="005C25C2">
      <w:pPr>
        <w:spacing w:line="360" w:lineRule="auto"/>
        <w:jc w:val="both"/>
        <w:rPr>
          <w:rFonts w:ascii="Arial" w:hAnsi="Arial" w:cs="Arial"/>
        </w:rPr>
      </w:pPr>
      <w:r w:rsidRPr="0020798A">
        <w:rPr>
          <w:rFonts w:ascii="Arial" w:hAnsi="Arial" w:cs="Arial"/>
        </w:rPr>
        <w:t>Proactive policy measures are essential to assist SMEs in adapting to the post-Brexit economy</w:t>
      </w:r>
      <w:r w:rsidR="00E53E42" w:rsidRPr="0020798A">
        <w:rPr>
          <w:rFonts w:ascii="Arial" w:hAnsi="Arial" w:cs="Arial"/>
        </w:rPr>
        <w:t xml:space="preserve">. </w:t>
      </w:r>
      <w:r w:rsidR="00EF213C" w:rsidRPr="00EF213C">
        <w:rPr>
          <w:rFonts w:ascii="Arial" w:hAnsi="Arial" w:cs="Arial"/>
        </w:rPr>
        <w:t xml:space="preserve">Bulmer and </w:t>
      </w:r>
      <w:proofErr w:type="spellStart"/>
      <w:r w:rsidR="00EF213C" w:rsidRPr="00EF213C">
        <w:rPr>
          <w:rFonts w:ascii="Arial" w:hAnsi="Arial" w:cs="Arial"/>
        </w:rPr>
        <w:t>Quaglia</w:t>
      </w:r>
      <w:proofErr w:type="spellEnd"/>
      <w:r w:rsidR="00EF213C" w:rsidRPr="00EF213C">
        <w:rPr>
          <w:rFonts w:ascii="Arial" w:hAnsi="Arial" w:cs="Arial"/>
        </w:rPr>
        <w:t xml:space="preserve"> </w:t>
      </w:r>
      <w:r w:rsidR="00EF213C">
        <w:rPr>
          <w:rFonts w:ascii="Arial" w:hAnsi="Arial" w:cs="Arial"/>
        </w:rPr>
        <w:t>(</w:t>
      </w:r>
      <w:r w:rsidR="00EF213C" w:rsidRPr="00EF213C">
        <w:rPr>
          <w:rFonts w:ascii="Arial" w:hAnsi="Arial" w:cs="Arial"/>
        </w:rPr>
        <w:t>2019)</w:t>
      </w:r>
      <w:r w:rsidR="00EF213C">
        <w:rPr>
          <w:rFonts w:ascii="Arial" w:hAnsi="Arial" w:cs="Arial"/>
        </w:rPr>
        <w:t xml:space="preserve"> </w:t>
      </w:r>
      <w:r w:rsidR="00E53E42" w:rsidRPr="0020798A">
        <w:rPr>
          <w:rFonts w:ascii="Arial" w:hAnsi="Arial" w:cs="Arial"/>
        </w:rPr>
        <w:t xml:space="preserve">advocate for initiatives to build resilience, such as expanding access to finance, improving digital skills, and simplifying regulatory processes. </w:t>
      </w:r>
      <w:r w:rsidR="00EF213C" w:rsidRPr="00EF213C">
        <w:rPr>
          <w:rFonts w:ascii="Arial" w:hAnsi="Arial" w:cs="Arial"/>
        </w:rPr>
        <w:t>(Hutton, 2024)</w:t>
      </w:r>
      <w:r w:rsidR="00EF213C">
        <w:rPr>
          <w:rFonts w:ascii="Arial" w:hAnsi="Arial" w:cs="Arial"/>
        </w:rPr>
        <w:t xml:space="preserve"> highlights</w:t>
      </w:r>
      <w:r w:rsidR="00E53E42" w:rsidRPr="0020798A">
        <w:rPr>
          <w:rFonts w:ascii="Arial" w:hAnsi="Arial" w:cs="Arial"/>
        </w:rPr>
        <w:t xml:space="preserve"> the importance of targeted support for export-dependent SMEs, while </w:t>
      </w:r>
      <w:r w:rsidR="00EF213C" w:rsidRPr="00EF213C">
        <w:rPr>
          <w:rFonts w:ascii="Arial" w:hAnsi="Arial" w:cs="Arial"/>
        </w:rPr>
        <w:t xml:space="preserve">Taylor </w:t>
      </w:r>
      <w:r w:rsidR="00EF213C">
        <w:rPr>
          <w:rFonts w:ascii="Arial" w:hAnsi="Arial" w:cs="Arial"/>
        </w:rPr>
        <w:t>(</w:t>
      </w:r>
      <w:r w:rsidR="00EF213C" w:rsidRPr="00EF213C">
        <w:rPr>
          <w:rFonts w:ascii="Arial" w:hAnsi="Arial" w:cs="Arial"/>
        </w:rPr>
        <w:t>2017)</w:t>
      </w:r>
      <w:r w:rsidR="00EF213C">
        <w:rPr>
          <w:rFonts w:ascii="Arial" w:hAnsi="Arial" w:cs="Arial"/>
        </w:rPr>
        <w:t xml:space="preserve"> </w:t>
      </w:r>
      <w:r w:rsidR="00E53E42" w:rsidRPr="0020798A">
        <w:rPr>
          <w:rFonts w:ascii="Arial" w:hAnsi="Arial" w:cs="Arial"/>
        </w:rPr>
        <w:t xml:space="preserve">calls for </w:t>
      </w:r>
      <w:r w:rsidRPr="0020798A">
        <w:rPr>
          <w:rFonts w:ascii="Arial" w:hAnsi="Arial" w:cs="Arial"/>
        </w:rPr>
        <w:t>labour</w:t>
      </w:r>
      <w:r w:rsidR="00E53E42" w:rsidRPr="0020798A">
        <w:rPr>
          <w:rFonts w:ascii="Arial" w:hAnsi="Arial" w:cs="Arial"/>
        </w:rPr>
        <w:t xml:space="preserve"> market reforms to reduce precarious employment. This synthesis suggests that as Brexit’s impact on SMEs </w:t>
      </w:r>
      <w:r w:rsidRPr="0020798A">
        <w:rPr>
          <w:rFonts w:ascii="Arial" w:hAnsi="Arial" w:cs="Arial"/>
        </w:rPr>
        <w:t>evolves</w:t>
      </w:r>
      <w:r w:rsidR="00E53E42" w:rsidRPr="0020798A">
        <w:rPr>
          <w:rFonts w:ascii="Arial" w:hAnsi="Arial" w:cs="Arial"/>
        </w:rPr>
        <w:t>, adaptive policies are crucial to helping SMEs navigate regulatory and market shifts, enabling the UK’s SME sector to remain competitive in the global economy.</w:t>
      </w:r>
    </w:p>
    <w:p w14:paraId="6E27FF95" w14:textId="77777777" w:rsidR="00613679" w:rsidRPr="0020798A" w:rsidRDefault="00613679" w:rsidP="005C25C2">
      <w:pPr>
        <w:spacing w:line="360" w:lineRule="auto"/>
        <w:jc w:val="both"/>
        <w:rPr>
          <w:rFonts w:ascii="Arial" w:hAnsi="Arial" w:cs="Arial"/>
        </w:rPr>
      </w:pPr>
    </w:p>
    <w:p w14:paraId="3D4BFB46" w14:textId="77777777" w:rsidR="00EB70B1" w:rsidRPr="0020798A" w:rsidRDefault="00E53E42" w:rsidP="00613679">
      <w:pPr>
        <w:pStyle w:val="Heading1"/>
        <w:spacing w:line="600" w:lineRule="auto"/>
        <w:rPr>
          <w:rFonts w:cs="Arial"/>
        </w:rPr>
      </w:pPr>
      <w:bookmarkStart w:id="11" w:name="_Toc182938002"/>
      <w:r w:rsidRPr="0020798A">
        <w:rPr>
          <w:rFonts w:cs="Arial"/>
        </w:rPr>
        <w:t>Methodology</w:t>
      </w:r>
      <w:bookmarkEnd w:id="11"/>
    </w:p>
    <w:p w14:paraId="26F37ACE" w14:textId="01E35401" w:rsidR="00EB70B1" w:rsidRPr="0020798A" w:rsidRDefault="00E53E42" w:rsidP="005C25C2">
      <w:pPr>
        <w:spacing w:line="360" w:lineRule="auto"/>
        <w:jc w:val="both"/>
        <w:rPr>
          <w:rFonts w:ascii="Arial" w:hAnsi="Arial" w:cs="Arial"/>
        </w:rPr>
      </w:pPr>
      <w:r w:rsidRPr="0020798A">
        <w:rPr>
          <w:rFonts w:ascii="Arial" w:hAnsi="Arial" w:cs="Arial"/>
        </w:rPr>
        <w:t>This study employs a positivist research philosophy</w:t>
      </w:r>
      <w:r w:rsidR="008E7A2E" w:rsidRPr="0020798A">
        <w:rPr>
          <w:rFonts w:ascii="Arial" w:hAnsi="Arial" w:cs="Arial"/>
        </w:rPr>
        <w:t xml:space="preserve"> emphasising</w:t>
      </w:r>
      <w:r w:rsidRPr="0020798A">
        <w:rPr>
          <w:rFonts w:ascii="Arial" w:hAnsi="Arial" w:cs="Arial"/>
        </w:rPr>
        <w:t xml:space="preserve"> objective, data-driven analysis to examine complex socio-economic issues. Following the principles of positivism, which derive knowledge from empirical evidence </w:t>
      </w:r>
      <w:r w:rsidR="00EF213C" w:rsidRPr="00EF213C">
        <w:rPr>
          <w:rFonts w:ascii="Arial" w:hAnsi="Arial" w:cs="Arial"/>
        </w:rPr>
        <w:t>(Bryman and Bell, 2015)</w:t>
      </w:r>
      <w:r w:rsidR="00EF213C">
        <w:rPr>
          <w:rFonts w:ascii="Arial" w:hAnsi="Arial" w:cs="Arial"/>
        </w:rPr>
        <w:t xml:space="preserve">, </w:t>
      </w:r>
      <w:r w:rsidRPr="0020798A">
        <w:rPr>
          <w:rFonts w:ascii="Arial" w:hAnsi="Arial" w:cs="Arial"/>
        </w:rPr>
        <w:t xml:space="preserve">the research </w:t>
      </w:r>
      <w:r w:rsidR="008E7A2E" w:rsidRPr="0020798A">
        <w:rPr>
          <w:rFonts w:ascii="Arial" w:hAnsi="Arial" w:cs="Arial"/>
        </w:rPr>
        <w:t xml:space="preserve">centres on the </w:t>
      </w:r>
      <w:r w:rsidRPr="0020798A">
        <w:rPr>
          <w:rFonts w:ascii="Arial" w:hAnsi="Arial" w:cs="Arial"/>
        </w:rPr>
        <w:t xml:space="preserve">measurable impacts of Brexit on UK SMEs, specifically </w:t>
      </w:r>
      <w:r w:rsidR="008E7A2E" w:rsidRPr="0020798A">
        <w:rPr>
          <w:rFonts w:ascii="Arial" w:hAnsi="Arial" w:cs="Arial"/>
        </w:rPr>
        <w:t>analysing</w:t>
      </w:r>
      <w:r w:rsidRPr="0020798A">
        <w:rPr>
          <w:rFonts w:ascii="Arial" w:hAnsi="Arial" w:cs="Arial"/>
        </w:rPr>
        <w:t xml:space="preserve"> business growth metrics, employment levels, VAT registrations, and </w:t>
      </w:r>
      <w:r w:rsidR="008E7A2E" w:rsidRPr="0020798A">
        <w:rPr>
          <w:rFonts w:ascii="Arial" w:hAnsi="Arial" w:cs="Arial"/>
        </w:rPr>
        <w:t>businesses' birth and death rates</w:t>
      </w:r>
      <w:r w:rsidRPr="0020798A">
        <w:rPr>
          <w:rFonts w:ascii="Arial" w:hAnsi="Arial" w:cs="Arial"/>
        </w:rPr>
        <w:t xml:space="preserve">. To ensure reliability and validity, the study </w:t>
      </w:r>
      <w:r w:rsidR="008E7A2E" w:rsidRPr="0020798A">
        <w:rPr>
          <w:rFonts w:ascii="Arial" w:hAnsi="Arial" w:cs="Arial"/>
        </w:rPr>
        <w:t>utilises</w:t>
      </w:r>
      <w:r w:rsidRPr="0020798A">
        <w:rPr>
          <w:rFonts w:ascii="Arial" w:hAnsi="Arial" w:cs="Arial"/>
        </w:rPr>
        <w:t xml:space="preserve"> secondary data primarily from the Office for National Statistics (ONS), known for its rigorous, </w:t>
      </w:r>
      <w:r w:rsidR="008E7A2E" w:rsidRPr="0020798A">
        <w:rPr>
          <w:rFonts w:ascii="Arial" w:hAnsi="Arial" w:cs="Arial"/>
        </w:rPr>
        <w:t>standardised</w:t>
      </w:r>
      <w:r w:rsidRPr="0020798A">
        <w:rPr>
          <w:rFonts w:ascii="Arial" w:hAnsi="Arial" w:cs="Arial"/>
        </w:rPr>
        <w:t xml:space="preserve"> methodologies </w:t>
      </w:r>
      <w:r w:rsidR="00EF213C" w:rsidRPr="00EF213C">
        <w:rPr>
          <w:rFonts w:ascii="Arial" w:hAnsi="Arial" w:cs="Arial"/>
        </w:rPr>
        <w:t>(ONS, 2023</w:t>
      </w:r>
      <w:r w:rsidR="00A55B12">
        <w:rPr>
          <w:rFonts w:ascii="Arial" w:hAnsi="Arial" w:cs="Arial"/>
        </w:rPr>
        <w:t>b</w:t>
      </w:r>
      <w:r w:rsidR="00EF213C" w:rsidRPr="00EF213C">
        <w:rPr>
          <w:rFonts w:ascii="Arial" w:hAnsi="Arial" w:cs="Arial"/>
        </w:rPr>
        <w:t>)</w:t>
      </w:r>
      <w:r w:rsidR="00EF213C">
        <w:rPr>
          <w:rFonts w:ascii="Arial" w:hAnsi="Arial" w:cs="Arial"/>
        </w:rPr>
        <w:t xml:space="preserve">. </w:t>
      </w:r>
      <w:r w:rsidRPr="0020798A">
        <w:rPr>
          <w:rFonts w:ascii="Arial" w:hAnsi="Arial" w:cs="Arial"/>
        </w:rPr>
        <w:t xml:space="preserve">The use of ONS data, as demonstrated in prior research </w:t>
      </w:r>
      <w:r w:rsidR="008E7A2E" w:rsidRPr="0020798A">
        <w:rPr>
          <w:rFonts w:ascii="Arial" w:hAnsi="Arial" w:cs="Arial"/>
        </w:rPr>
        <w:t>by</w:t>
      </w:r>
      <w:r w:rsidRPr="0020798A">
        <w:rPr>
          <w:rFonts w:ascii="Arial" w:hAnsi="Arial" w:cs="Arial"/>
        </w:rPr>
        <w:t xml:space="preserve"> </w:t>
      </w:r>
      <w:proofErr w:type="spellStart"/>
      <w:r w:rsidR="00A95415" w:rsidRPr="00A95415">
        <w:rPr>
          <w:rFonts w:ascii="Arial" w:hAnsi="Arial" w:cs="Arial"/>
        </w:rPr>
        <w:t>Brakman</w:t>
      </w:r>
      <w:proofErr w:type="spellEnd"/>
      <w:r w:rsidR="00A95415" w:rsidRPr="00A95415">
        <w:rPr>
          <w:rFonts w:ascii="Arial" w:hAnsi="Arial" w:cs="Arial"/>
        </w:rPr>
        <w:t xml:space="preserve">, </w:t>
      </w:r>
      <w:proofErr w:type="spellStart"/>
      <w:r w:rsidR="00A95415" w:rsidRPr="00A95415">
        <w:rPr>
          <w:rFonts w:ascii="Arial" w:hAnsi="Arial" w:cs="Arial"/>
        </w:rPr>
        <w:t>Garretsen</w:t>
      </w:r>
      <w:proofErr w:type="spellEnd"/>
      <w:r w:rsidR="00A95415" w:rsidRPr="00A95415">
        <w:rPr>
          <w:rFonts w:ascii="Arial" w:hAnsi="Arial" w:cs="Arial"/>
        </w:rPr>
        <w:t xml:space="preserve"> and Kohl </w:t>
      </w:r>
      <w:r w:rsidR="00A95415">
        <w:rPr>
          <w:rFonts w:ascii="Arial" w:hAnsi="Arial" w:cs="Arial"/>
        </w:rPr>
        <w:t>(</w:t>
      </w:r>
      <w:r w:rsidR="00A95415" w:rsidRPr="00A95415">
        <w:rPr>
          <w:rFonts w:ascii="Arial" w:hAnsi="Arial" w:cs="Arial"/>
        </w:rPr>
        <w:t>2023)</w:t>
      </w:r>
      <w:r w:rsidR="00A95415">
        <w:rPr>
          <w:rFonts w:ascii="Arial" w:hAnsi="Arial" w:cs="Arial"/>
        </w:rPr>
        <w:t xml:space="preserve">, </w:t>
      </w:r>
      <w:r w:rsidRPr="0020798A">
        <w:rPr>
          <w:rFonts w:ascii="Arial" w:hAnsi="Arial" w:cs="Arial"/>
        </w:rPr>
        <w:t xml:space="preserve">enhances the credibility of findings by grounding them </w:t>
      </w:r>
      <w:r w:rsidR="008E7A2E" w:rsidRPr="0020798A">
        <w:rPr>
          <w:rFonts w:ascii="Arial" w:hAnsi="Arial" w:cs="Arial"/>
        </w:rPr>
        <w:t>with accurate</w:t>
      </w:r>
      <w:r w:rsidRPr="0020798A">
        <w:rPr>
          <w:rFonts w:ascii="Arial" w:hAnsi="Arial" w:cs="Arial"/>
        </w:rPr>
        <w:t xml:space="preserve"> and transparent information, thereby supporting validity and replicability. By relying on robust secondary data, this study provides an objective view of SME performance metrics, </w:t>
      </w:r>
      <w:r w:rsidR="008E7A2E" w:rsidRPr="0020798A">
        <w:rPr>
          <w:rFonts w:ascii="Arial" w:hAnsi="Arial" w:cs="Arial"/>
        </w:rPr>
        <w:t>labour</w:t>
      </w:r>
      <w:r w:rsidRPr="0020798A">
        <w:rPr>
          <w:rFonts w:ascii="Arial" w:hAnsi="Arial" w:cs="Arial"/>
        </w:rPr>
        <w:t xml:space="preserve"> market changes, and demographic trends across the </w:t>
      </w:r>
      <w:r w:rsidRPr="0020798A">
        <w:rPr>
          <w:rFonts w:ascii="Arial" w:hAnsi="Arial" w:cs="Arial"/>
        </w:rPr>
        <w:lastRenderedPageBreak/>
        <w:t xml:space="preserve">UK, mirroring recent quantitative approaches in SME research </w:t>
      </w:r>
      <w:r w:rsidR="00A95415" w:rsidRPr="00A95415">
        <w:rPr>
          <w:rFonts w:ascii="Arial" w:hAnsi="Arial" w:cs="Arial"/>
        </w:rPr>
        <w:t>(Kitching, Hart and Wilson, 2013)</w:t>
      </w:r>
      <w:r w:rsidR="00A95415">
        <w:rPr>
          <w:rFonts w:ascii="Arial" w:hAnsi="Arial" w:cs="Arial"/>
        </w:rPr>
        <w:t>.</w:t>
      </w:r>
    </w:p>
    <w:p w14:paraId="65BB0A86" w14:textId="442EF58C" w:rsidR="00EB70B1" w:rsidRPr="0020798A" w:rsidRDefault="00E53E42" w:rsidP="005C25C2">
      <w:pPr>
        <w:spacing w:line="360" w:lineRule="auto"/>
        <w:jc w:val="both"/>
        <w:rPr>
          <w:rFonts w:ascii="Arial" w:hAnsi="Arial" w:cs="Arial"/>
        </w:rPr>
      </w:pPr>
      <w:r w:rsidRPr="0020798A">
        <w:rPr>
          <w:rFonts w:ascii="Arial" w:hAnsi="Arial" w:cs="Arial"/>
        </w:rPr>
        <w:t xml:space="preserve">The study follows a deductive approach to address the research questions, using theoretical frameworks to establish hypotheses about Brexit's effects on SME growth metrics, employment levels, and business formation rates. This deductive approach, based on the methods of </w:t>
      </w:r>
      <w:r w:rsidR="00A95415" w:rsidRPr="00A95415">
        <w:rPr>
          <w:rFonts w:ascii="Arial" w:hAnsi="Arial" w:cs="Arial"/>
        </w:rPr>
        <w:t>(Field, 2017)</w:t>
      </w:r>
      <w:r w:rsidR="00A95415">
        <w:rPr>
          <w:rFonts w:ascii="Arial" w:hAnsi="Arial" w:cs="Arial"/>
        </w:rPr>
        <w:t xml:space="preserve">, </w:t>
      </w:r>
      <w:r w:rsidRPr="0020798A">
        <w:rPr>
          <w:rFonts w:ascii="Arial" w:hAnsi="Arial" w:cs="Arial"/>
        </w:rPr>
        <w:t>enables the study to test theories in a post-Brexit context, drawing on Rajan’s (2010) “fault lines” theory and</w:t>
      </w:r>
      <w:r w:rsidR="00A95415">
        <w:rPr>
          <w:rFonts w:ascii="Arial" w:hAnsi="Arial" w:cs="Arial"/>
        </w:rPr>
        <w:t xml:space="preserve"> </w:t>
      </w:r>
      <w:proofErr w:type="spellStart"/>
      <w:r w:rsidR="00EC5A7F">
        <w:rPr>
          <w:rFonts w:ascii="Arial" w:hAnsi="Arial" w:cs="Arial"/>
        </w:rPr>
        <w:t>Boix's</w:t>
      </w:r>
      <w:proofErr w:type="spellEnd"/>
      <w:r w:rsidR="00A95415" w:rsidRPr="00A95415">
        <w:rPr>
          <w:rFonts w:ascii="Arial" w:hAnsi="Arial" w:cs="Arial"/>
        </w:rPr>
        <w:t xml:space="preserve"> </w:t>
      </w:r>
      <w:r w:rsidR="00A95415">
        <w:rPr>
          <w:rFonts w:ascii="Arial" w:hAnsi="Arial" w:cs="Arial"/>
        </w:rPr>
        <w:t>(</w:t>
      </w:r>
      <w:r w:rsidR="00A95415" w:rsidRPr="00A95415">
        <w:rPr>
          <w:rFonts w:ascii="Arial" w:hAnsi="Arial" w:cs="Arial"/>
        </w:rPr>
        <w:t>2019)</w:t>
      </w:r>
      <w:r w:rsidR="00A95415">
        <w:rPr>
          <w:rFonts w:ascii="Arial" w:hAnsi="Arial" w:cs="Arial"/>
        </w:rPr>
        <w:t xml:space="preserve"> </w:t>
      </w:r>
      <w:r w:rsidRPr="0020798A">
        <w:rPr>
          <w:rFonts w:ascii="Arial" w:hAnsi="Arial" w:cs="Arial"/>
        </w:rPr>
        <w:t>democratic capitalism theory, both of which help explain the vulnerabilities amplified by Brexit. A quantitative methodology underpins the research, with numerical data facilitating statistical analysis to reveal trends and</w:t>
      </w:r>
      <w:r w:rsidR="004B7B58" w:rsidRPr="0020798A">
        <w:rPr>
          <w:rFonts w:ascii="Arial" w:hAnsi="Arial" w:cs="Arial"/>
        </w:rPr>
        <w:t xml:space="preserve"> </w:t>
      </w:r>
      <w:r w:rsidRPr="0020798A">
        <w:rPr>
          <w:rFonts w:ascii="Arial" w:hAnsi="Arial" w:cs="Arial"/>
        </w:rPr>
        <w:t xml:space="preserve">relationships between Brexit and SME performance indicators. Previous studies, including the </w:t>
      </w:r>
      <w:r w:rsidR="00A95415" w:rsidRPr="00A95415">
        <w:rPr>
          <w:rFonts w:ascii="Arial" w:hAnsi="Arial" w:cs="Arial"/>
        </w:rPr>
        <w:t xml:space="preserve">Brown, </w:t>
      </w:r>
      <w:proofErr w:type="spellStart"/>
      <w:r w:rsidR="00A95415" w:rsidRPr="00A95415">
        <w:rPr>
          <w:rFonts w:ascii="Arial" w:hAnsi="Arial" w:cs="Arial"/>
        </w:rPr>
        <w:t>Liñares-Zegarra</w:t>
      </w:r>
      <w:proofErr w:type="spellEnd"/>
      <w:r w:rsidR="00A95415" w:rsidRPr="00A95415">
        <w:rPr>
          <w:rFonts w:ascii="Arial" w:hAnsi="Arial" w:cs="Arial"/>
        </w:rPr>
        <w:t xml:space="preserve"> and Wilson</w:t>
      </w:r>
      <w:r w:rsidR="00A95415">
        <w:rPr>
          <w:rFonts w:ascii="Arial" w:hAnsi="Arial" w:cs="Arial"/>
        </w:rPr>
        <w:t xml:space="preserve"> (2019) research, </w:t>
      </w:r>
      <w:r w:rsidRPr="0020798A">
        <w:rPr>
          <w:rFonts w:ascii="Arial" w:hAnsi="Arial" w:cs="Arial"/>
        </w:rPr>
        <w:t>have used similar quantitative methods to examine Brexit’s economic consequences, supporting the appropriateness of this approach for evaluating the SME sector.</w:t>
      </w:r>
    </w:p>
    <w:p w14:paraId="3B196559" w14:textId="77777777" w:rsidR="004C0321" w:rsidRDefault="00E53E42" w:rsidP="005C25C2">
      <w:pPr>
        <w:spacing w:line="360" w:lineRule="auto"/>
        <w:jc w:val="both"/>
        <w:rPr>
          <w:rFonts w:ascii="Arial" w:hAnsi="Arial" w:cs="Arial"/>
        </w:rPr>
      </w:pPr>
      <w:r w:rsidRPr="0020798A">
        <w:rPr>
          <w:rFonts w:ascii="Arial" w:hAnsi="Arial" w:cs="Arial"/>
        </w:rPr>
        <w:t xml:space="preserve">The research strategy </w:t>
      </w:r>
      <w:r w:rsidR="008E7A2E" w:rsidRPr="0020798A">
        <w:rPr>
          <w:rFonts w:ascii="Arial" w:hAnsi="Arial" w:cs="Arial"/>
        </w:rPr>
        <w:t>centres</w:t>
      </w:r>
      <w:r w:rsidRPr="0020798A">
        <w:rPr>
          <w:rFonts w:ascii="Arial" w:hAnsi="Arial" w:cs="Arial"/>
        </w:rPr>
        <w:t xml:space="preserve"> on archival research, systematically </w:t>
      </w:r>
      <w:r w:rsidR="008E7A2E" w:rsidRPr="0020798A">
        <w:rPr>
          <w:rFonts w:ascii="Arial" w:hAnsi="Arial" w:cs="Arial"/>
        </w:rPr>
        <w:t>analysing</w:t>
      </w:r>
      <w:r w:rsidRPr="0020798A">
        <w:rPr>
          <w:rFonts w:ascii="Arial" w:hAnsi="Arial" w:cs="Arial"/>
        </w:rPr>
        <w:t xml:space="preserve"> historical data on SME registrations, employment levels, and VAT trends to track Brexit's impact over time. Archival research </w:t>
      </w:r>
      <w:r w:rsidR="008E7A2E" w:rsidRPr="0020798A">
        <w:rPr>
          <w:rFonts w:ascii="Arial" w:hAnsi="Arial" w:cs="Arial"/>
        </w:rPr>
        <w:t>minimises</w:t>
      </w:r>
      <w:r w:rsidRPr="0020798A">
        <w:rPr>
          <w:rFonts w:ascii="Arial" w:hAnsi="Arial" w:cs="Arial"/>
        </w:rPr>
        <w:t xml:space="preserve"> the need for primary data collection using comprehensive datasets from credible sources like the ONS, Companies House, and financial databases </w:t>
      </w:r>
      <w:r w:rsidR="004C0321" w:rsidRPr="004C0321">
        <w:rPr>
          <w:rFonts w:ascii="Arial" w:hAnsi="Arial" w:cs="Arial"/>
        </w:rPr>
        <w:t>(Cowling et al., 2014)</w:t>
      </w:r>
      <w:r w:rsidR="004C0321">
        <w:rPr>
          <w:rFonts w:ascii="Arial" w:hAnsi="Arial" w:cs="Arial"/>
        </w:rPr>
        <w:t xml:space="preserve">. </w:t>
      </w:r>
      <w:r w:rsidRPr="0020798A">
        <w:rPr>
          <w:rFonts w:ascii="Arial" w:hAnsi="Arial" w:cs="Arial"/>
        </w:rPr>
        <w:t xml:space="preserve">This approach is particularly suitable for examining shifts in SME performance, as it enables a longitudinal perspective that </w:t>
      </w:r>
      <w:r w:rsidR="004B7B58" w:rsidRPr="0020798A">
        <w:rPr>
          <w:rFonts w:ascii="Arial" w:hAnsi="Arial" w:cs="Arial"/>
        </w:rPr>
        <w:t>represents</w:t>
      </w:r>
      <w:r w:rsidRPr="0020798A">
        <w:rPr>
          <w:rFonts w:ascii="Arial" w:hAnsi="Arial" w:cs="Arial"/>
        </w:rPr>
        <w:t xml:space="preserve"> changes in growth metrics and business formations before and after the Brexit referendum. </w:t>
      </w:r>
      <w:r w:rsidR="008E7A2E" w:rsidRPr="0020798A">
        <w:rPr>
          <w:rFonts w:ascii="Arial" w:hAnsi="Arial" w:cs="Arial"/>
        </w:rPr>
        <w:t>Focusing</w:t>
      </w:r>
      <w:r w:rsidRPr="0020798A">
        <w:rPr>
          <w:rFonts w:ascii="Arial" w:hAnsi="Arial" w:cs="Arial"/>
        </w:rPr>
        <w:t xml:space="preserve"> on data surrounding the Brexit vote in June 2016 and subsequent years, this cross-sectional analysis aims to capture immediate effects, shedding light on the evolving SME landscape </w:t>
      </w:r>
      <w:r w:rsidR="004C0321" w:rsidRPr="004C0321">
        <w:rPr>
          <w:rFonts w:ascii="Arial" w:hAnsi="Arial" w:cs="Arial"/>
        </w:rPr>
        <w:t>(Hutton, 2024)</w:t>
      </w:r>
      <w:r w:rsidR="004C0321">
        <w:rPr>
          <w:rFonts w:ascii="Arial" w:hAnsi="Arial" w:cs="Arial"/>
        </w:rPr>
        <w:t xml:space="preserve">. </w:t>
      </w:r>
    </w:p>
    <w:p w14:paraId="4817D3ED" w14:textId="091A65C9" w:rsidR="00EB70B1" w:rsidRPr="0020798A" w:rsidRDefault="00E53E42" w:rsidP="005C25C2">
      <w:pPr>
        <w:spacing w:line="360" w:lineRule="auto"/>
        <w:jc w:val="both"/>
        <w:rPr>
          <w:rFonts w:ascii="Arial" w:hAnsi="Arial" w:cs="Arial"/>
        </w:rPr>
      </w:pPr>
      <w:r w:rsidRPr="0020798A">
        <w:rPr>
          <w:rFonts w:ascii="Arial" w:hAnsi="Arial" w:cs="Arial"/>
        </w:rPr>
        <w:t xml:space="preserve">For data collection, ONS </w:t>
      </w:r>
      <w:r w:rsidR="008E7A2E" w:rsidRPr="0020798A">
        <w:rPr>
          <w:rFonts w:ascii="Arial" w:hAnsi="Arial" w:cs="Arial"/>
        </w:rPr>
        <w:t>is</w:t>
      </w:r>
      <w:r w:rsidRPr="0020798A">
        <w:rPr>
          <w:rFonts w:ascii="Arial" w:hAnsi="Arial" w:cs="Arial"/>
        </w:rPr>
        <w:t xml:space="preserve"> the </w:t>
      </w:r>
      <w:r w:rsidR="008E7A2E" w:rsidRPr="0020798A">
        <w:rPr>
          <w:rFonts w:ascii="Arial" w:hAnsi="Arial" w:cs="Arial"/>
        </w:rPr>
        <w:t>primary</w:t>
      </w:r>
      <w:r w:rsidRPr="0020798A">
        <w:rPr>
          <w:rFonts w:ascii="Arial" w:hAnsi="Arial" w:cs="Arial"/>
        </w:rPr>
        <w:t xml:space="preserve"> source of economic indicators, employment statistics, and VAT registration data, </w:t>
      </w:r>
      <w:r w:rsidR="008E7A2E" w:rsidRPr="0020798A">
        <w:rPr>
          <w:rFonts w:ascii="Arial" w:hAnsi="Arial" w:cs="Arial"/>
        </w:rPr>
        <w:t xml:space="preserve">which are </w:t>
      </w:r>
      <w:r w:rsidRPr="0020798A">
        <w:rPr>
          <w:rFonts w:ascii="Arial" w:hAnsi="Arial" w:cs="Arial"/>
        </w:rPr>
        <w:t xml:space="preserve">essential for identifying trends in SME performance post-Brexit. ONS data is widely regarded in </w:t>
      </w:r>
      <w:r w:rsidR="008E7A2E" w:rsidRPr="0020798A">
        <w:rPr>
          <w:rFonts w:ascii="Arial" w:hAnsi="Arial" w:cs="Arial"/>
        </w:rPr>
        <w:t>financial</w:t>
      </w:r>
      <w:r w:rsidRPr="0020798A">
        <w:rPr>
          <w:rFonts w:ascii="Arial" w:hAnsi="Arial" w:cs="Arial"/>
        </w:rPr>
        <w:t xml:space="preserve"> and business research for its consistency, </w:t>
      </w:r>
      <w:r w:rsidR="008E7A2E" w:rsidRPr="0020798A">
        <w:rPr>
          <w:rFonts w:ascii="Arial" w:hAnsi="Arial" w:cs="Arial"/>
        </w:rPr>
        <w:t>rigour</w:t>
      </w:r>
      <w:r w:rsidRPr="0020798A">
        <w:rPr>
          <w:rFonts w:ascii="Arial" w:hAnsi="Arial" w:cs="Arial"/>
        </w:rPr>
        <w:t xml:space="preserve">, and accessibility, attributes crucial for ensuring analytical depth and validity </w:t>
      </w:r>
      <w:r w:rsidR="004C0321" w:rsidRPr="004C0321">
        <w:rPr>
          <w:rFonts w:ascii="Arial" w:hAnsi="Arial" w:cs="Arial"/>
        </w:rPr>
        <w:t>(ONS, 2023</w:t>
      </w:r>
      <w:r w:rsidR="00A55B12">
        <w:rPr>
          <w:rFonts w:ascii="Arial" w:hAnsi="Arial" w:cs="Arial"/>
        </w:rPr>
        <w:t>b</w:t>
      </w:r>
      <w:r w:rsidR="004C0321" w:rsidRPr="004C0321">
        <w:rPr>
          <w:rFonts w:ascii="Arial" w:hAnsi="Arial" w:cs="Arial"/>
        </w:rPr>
        <w:t>)</w:t>
      </w:r>
      <w:r w:rsidR="004C0321">
        <w:rPr>
          <w:rFonts w:ascii="Arial" w:hAnsi="Arial" w:cs="Arial"/>
        </w:rPr>
        <w:t xml:space="preserve">. </w:t>
      </w:r>
      <w:r w:rsidRPr="0020798A">
        <w:rPr>
          <w:rFonts w:ascii="Arial" w:hAnsi="Arial" w:cs="Arial"/>
        </w:rPr>
        <w:t xml:space="preserve">To account for the diversity within the UK SME sector, the study examines a representative sample of SMEs across various </w:t>
      </w:r>
      <w:r w:rsidR="008E7A2E" w:rsidRPr="0020798A">
        <w:rPr>
          <w:rFonts w:ascii="Arial" w:hAnsi="Arial" w:cs="Arial"/>
        </w:rPr>
        <w:t>industries</w:t>
      </w:r>
      <w:r w:rsidRPr="0020798A">
        <w:rPr>
          <w:rFonts w:ascii="Arial" w:hAnsi="Arial" w:cs="Arial"/>
        </w:rPr>
        <w:t xml:space="preserve"> and regions, thereby capturing sectoral and regional variations in Brexit’s impact. This comprehensive </w:t>
      </w:r>
      <w:r w:rsidRPr="0020798A">
        <w:rPr>
          <w:rFonts w:ascii="Arial" w:hAnsi="Arial" w:cs="Arial"/>
        </w:rPr>
        <w:lastRenderedPageBreak/>
        <w:t xml:space="preserve">sample provides a holistic view of Brexit’s effects on SMEs across the UK </w:t>
      </w:r>
      <w:r w:rsidR="004C0321" w:rsidRPr="004C0321">
        <w:rPr>
          <w:rFonts w:ascii="Arial" w:hAnsi="Arial" w:cs="Arial"/>
        </w:rPr>
        <w:t xml:space="preserve">(Brown, </w:t>
      </w:r>
      <w:proofErr w:type="spellStart"/>
      <w:r w:rsidR="004C0321" w:rsidRPr="004C0321">
        <w:rPr>
          <w:rFonts w:ascii="Arial" w:hAnsi="Arial" w:cs="Arial"/>
        </w:rPr>
        <w:t>Liñares-Zegarra</w:t>
      </w:r>
      <w:proofErr w:type="spellEnd"/>
      <w:r w:rsidR="004C0321" w:rsidRPr="004C0321">
        <w:rPr>
          <w:rFonts w:ascii="Arial" w:hAnsi="Arial" w:cs="Arial"/>
        </w:rPr>
        <w:t xml:space="preserve"> and Wilson, 2019)</w:t>
      </w:r>
      <w:r w:rsidR="004C0321">
        <w:rPr>
          <w:rFonts w:ascii="Arial" w:hAnsi="Arial" w:cs="Arial"/>
        </w:rPr>
        <w:t>.</w:t>
      </w:r>
    </w:p>
    <w:p w14:paraId="5529F893" w14:textId="60466C18" w:rsidR="00EB70B1" w:rsidRPr="0020798A" w:rsidRDefault="00E53E42" w:rsidP="005C25C2">
      <w:pPr>
        <w:spacing w:line="360" w:lineRule="auto"/>
        <w:jc w:val="both"/>
        <w:rPr>
          <w:rFonts w:ascii="Arial" w:hAnsi="Arial" w:cs="Arial"/>
        </w:rPr>
      </w:pPr>
      <w:r w:rsidRPr="0020798A">
        <w:rPr>
          <w:rFonts w:ascii="Arial" w:hAnsi="Arial" w:cs="Arial"/>
        </w:rPr>
        <w:t xml:space="preserve">Data analysis involves both descriptive and inferential statistics. Descriptive statistics—such as measures of central tendency (mean, median) and variability (standard deviation)—will </w:t>
      </w:r>
      <w:r w:rsidR="008E7A2E" w:rsidRPr="0020798A">
        <w:rPr>
          <w:rFonts w:ascii="Arial" w:hAnsi="Arial" w:cs="Arial"/>
        </w:rPr>
        <w:t>summarise</w:t>
      </w:r>
      <w:r w:rsidRPr="0020798A">
        <w:rPr>
          <w:rFonts w:ascii="Arial" w:hAnsi="Arial" w:cs="Arial"/>
        </w:rPr>
        <w:t xml:space="preserve"> key variables, offering an initial overview of trends in business growth, employment levels, and VAT registrations</w:t>
      </w:r>
      <w:r w:rsidR="004C0321" w:rsidRPr="004C0321">
        <w:t xml:space="preserve"> </w:t>
      </w:r>
      <w:r w:rsidR="004C0321" w:rsidRPr="004C0321">
        <w:rPr>
          <w:rFonts w:ascii="Arial" w:hAnsi="Arial" w:cs="Arial"/>
        </w:rPr>
        <w:t>(Field, 2017)</w:t>
      </w:r>
      <w:r w:rsidRPr="0020798A">
        <w:rPr>
          <w:rFonts w:ascii="Arial" w:hAnsi="Arial" w:cs="Arial"/>
        </w:rPr>
        <w:t>. This foundation allows the study to explore changes in SMEs’ business metrics, such as revenue and profitability, in the post-Brexit environment. Additionally, a student’s t-test will compare pre- and post-Brexit means across these variables, enabling the study to determine whether observed changes in employment rates, business formations, and growth metrics are statistically significan</w:t>
      </w:r>
      <w:r w:rsidR="004C0321">
        <w:rPr>
          <w:rFonts w:ascii="Arial" w:hAnsi="Arial" w:cs="Arial"/>
        </w:rPr>
        <w:t>t</w:t>
      </w:r>
      <w:r w:rsidR="004C0321" w:rsidRPr="004C0321">
        <w:t xml:space="preserve"> </w:t>
      </w:r>
      <w:r w:rsidR="004C0321" w:rsidRPr="004C0321">
        <w:rPr>
          <w:rFonts w:ascii="Arial" w:hAnsi="Arial" w:cs="Arial"/>
        </w:rPr>
        <w:t>(Lista, 2023)</w:t>
      </w:r>
      <w:r w:rsidRPr="0020798A">
        <w:rPr>
          <w:rFonts w:ascii="Arial" w:hAnsi="Arial" w:cs="Arial"/>
        </w:rPr>
        <w:t xml:space="preserve">. The t-test’s role in identifying </w:t>
      </w:r>
      <w:r w:rsidR="008E7A2E" w:rsidRPr="0020798A">
        <w:rPr>
          <w:rFonts w:ascii="Arial" w:hAnsi="Arial" w:cs="Arial"/>
        </w:rPr>
        <w:t>substantial</w:t>
      </w:r>
      <w:r w:rsidRPr="0020798A">
        <w:rPr>
          <w:rFonts w:ascii="Arial" w:hAnsi="Arial" w:cs="Arial"/>
        </w:rPr>
        <w:t xml:space="preserve"> changes rather than random fluctuations aligns with established approaches in empirical economic research </w:t>
      </w:r>
      <w:r w:rsidR="00EC5A7F" w:rsidRPr="00EC5A7F">
        <w:rPr>
          <w:rFonts w:ascii="Arial" w:hAnsi="Arial" w:cs="Arial"/>
        </w:rPr>
        <w:t>(Field, 2017</w:t>
      </w:r>
      <w:r w:rsidR="00EC5A7F">
        <w:rPr>
          <w:rFonts w:ascii="Arial" w:hAnsi="Arial" w:cs="Arial"/>
        </w:rPr>
        <w:t xml:space="preserve">; </w:t>
      </w:r>
      <w:r w:rsidR="004C0321" w:rsidRPr="004C0321">
        <w:rPr>
          <w:rFonts w:ascii="Arial" w:hAnsi="Arial" w:cs="Arial"/>
        </w:rPr>
        <w:t>Cowling and Brown, 2024)</w:t>
      </w:r>
      <w:r w:rsidR="00EC5A7F">
        <w:rPr>
          <w:rFonts w:ascii="Arial" w:hAnsi="Arial" w:cs="Arial"/>
        </w:rPr>
        <w:t xml:space="preserve">. </w:t>
      </w:r>
      <w:r w:rsidRPr="0020798A">
        <w:rPr>
          <w:rFonts w:ascii="Arial" w:hAnsi="Arial" w:cs="Arial"/>
        </w:rPr>
        <w:t>By combining descriptive and inferential statistical analyses, the study offers a broad and in-depth examination of Brexit’s impact on SMEs, bolstering the robustness and credibility of its conclusions.</w:t>
      </w:r>
    </w:p>
    <w:p w14:paraId="4631F233" w14:textId="4179A975" w:rsidR="00EB70B1" w:rsidRPr="0020798A" w:rsidRDefault="00E53E42" w:rsidP="005C25C2">
      <w:pPr>
        <w:spacing w:line="360" w:lineRule="auto"/>
        <w:jc w:val="both"/>
        <w:rPr>
          <w:rFonts w:ascii="Arial" w:hAnsi="Arial" w:cs="Arial"/>
        </w:rPr>
      </w:pPr>
      <w:r w:rsidRPr="0020798A">
        <w:rPr>
          <w:rFonts w:ascii="Arial" w:hAnsi="Arial" w:cs="Arial"/>
        </w:rPr>
        <w:t xml:space="preserve">This methodology is structured to rigorously address each research question, providing insights into how SMEs’ business growth metrics, employment levels, and formation rates have shifted in the post-Brexit period. Through a structured, statistical approach grounded in positivism, this study seeks to capture the nuanced impacts of Brexit, delivering evidence-based conclusions on the challenges and opportunities </w:t>
      </w:r>
      <w:r w:rsidR="004B7B58" w:rsidRPr="0020798A">
        <w:rPr>
          <w:rFonts w:ascii="Arial" w:hAnsi="Arial" w:cs="Arial"/>
        </w:rPr>
        <w:t>SMEs face</w:t>
      </w:r>
      <w:r w:rsidR="00EC5A7F" w:rsidRPr="00EC5A7F">
        <w:t xml:space="preserve"> </w:t>
      </w:r>
      <w:r w:rsidR="00EC5A7F" w:rsidRPr="00EC5A7F">
        <w:rPr>
          <w:rFonts w:ascii="Arial" w:hAnsi="Arial" w:cs="Arial"/>
        </w:rPr>
        <w:t>(Saunders, Lewis and Thornhill, 2023)</w:t>
      </w:r>
      <w:r w:rsidRPr="0020798A">
        <w:rPr>
          <w:rFonts w:ascii="Arial" w:hAnsi="Arial" w:cs="Arial"/>
        </w:rPr>
        <w:t xml:space="preserve">. Limitations include potential sampling bias, reliance on secondary data </w:t>
      </w:r>
      <w:r w:rsidR="008E7A2E" w:rsidRPr="0020798A">
        <w:rPr>
          <w:rFonts w:ascii="Arial" w:hAnsi="Arial" w:cs="Arial"/>
        </w:rPr>
        <w:t xml:space="preserve">that </w:t>
      </w:r>
      <w:r w:rsidRPr="0020798A">
        <w:rPr>
          <w:rFonts w:ascii="Arial" w:hAnsi="Arial" w:cs="Arial"/>
        </w:rPr>
        <w:t xml:space="preserve">may underrepresent </w:t>
      </w:r>
      <w:r w:rsidR="008E7A2E" w:rsidRPr="0020798A">
        <w:rPr>
          <w:rFonts w:ascii="Arial" w:hAnsi="Arial" w:cs="Arial"/>
        </w:rPr>
        <w:t>specific</w:t>
      </w:r>
      <w:r w:rsidRPr="0020798A">
        <w:rPr>
          <w:rFonts w:ascii="Arial" w:hAnsi="Arial" w:cs="Arial"/>
        </w:rPr>
        <w:t xml:space="preserve"> sectors or regions, and discrepancies across data sources that could affect accuracy. Temporal constraints also exist, as the study focuses on </w:t>
      </w:r>
      <w:r w:rsidR="008E7A2E" w:rsidRPr="0020798A">
        <w:rPr>
          <w:rFonts w:ascii="Arial" w:hAnsi="Arial" w:cs="Arial"/>
        </w:rPr>
        <w:t>particular</w:t>
      </w:r>
      <w:r w:rsidRPr="0020798A">
        <w:rPr>
          <w:rFonts w:ascii="Arial" w:hAnsi="Arial" w:cs="Arial"/>
        </w:rPr>
        <w:t xml:space="preserve"> periods, which may not fully capture the long-term effects of Brexit on the SME sector </w:t>
      </w:r>
      <w:r w:rsidR="00EC5A7F" w:rsidRPr="00EC5A7F">
        <w:rPr>
          <w:rFonts w:ascii="Arial" w:hAnsi="Arial" w:cs="Arial"/>
        </w:rPr>
        <w:t>(Saunders, Lewis and Thornhill, 2023</w:t>
      </w:r>
      <w:r w:rsidR="00EC5A7F">
        <w:rPr>
          <w:rFonts w:ascii="Arial" w:hAnsi="Arial" w:cs="Arial"/>
        </w:rPr>
        <w:t xml:space="preserve">; </w:t>
      </w:r>
      <w:proofErr w:type="spellStart"/>
      <w:r w:rsidR="00EC5A7F" w:rsidRPr="00EC5A7F">
        <w:rPr>
          <w:rFonts w:ascii="Arial" w:hAnsi="Arial" w:cs="Arial"/>
        </w:rPr>
        <w:t>Nachmias</w:t>
      </w:r>
      <w:proofErr w:type="spellEnd"/>
      <w:r w:rsidR="00EC5A7F" w:rsidRPr="00EC5A7F">
        <w:rPr>
          <w:rFonts w:ascii="Arial" w:hAnsi="Arial" w:cs="Arial"/>
        </w:rPr>
        <w:t xml:space="preserve">, </w:t>
      </w:r>
      <w:proofErr w:type="spellStart"/>
      <w:r w:rsidR="00EC5A7F" w:rsidRPr="00EC5A7F">
        <w:rPr>
          <w:rFonts w:ascii="Arial" w:hAnsi="Arial" w:cs="Arial"/>
        </w:rPr>
        <w:t>Nachmias</w:t>
      </w:r>
      <w:proofErr w:type="spellEnd"/>
      <w:r w:rsidR="00EC5A7F" w:rsidRPr="00EC5A7F">
        <w:rPr>
          <w:rFonts w:ascii="Arial" w:hAnsi="Arial" w:cs="Arial"/>
        </w:rPr>
        <w:t xml:space="preserve"> and </w:t>
      </w:r>
      <w:proofErr w:type="spellStart"/>
      <w:r w:rsidR="00EC5A7F" w:rsidRPr="00EC5A7F">
        <w:rPr>
          <w:rFonts w:ascii="Arial" w:hAnsi="Arial" w:cs="Arial"/>
        </w:rPr>
        <w:t>Dewaard</w:t>
      </w:r>
      <w:proofErr w:type="spellEnd"/>
      <w:r w:rsidR="00EC5A7F" w:rsidRPr="00EC5A7F">
        <w:rPr>
          <w:rFonts w:ascii="Arial" w:hAnsi="Arial" w:cs="Arial"/>
        </w:rPr>
        <w:t>, 2022)</w:t>
      </w:r>
    </w:p>
    <w:p w14:paraId="05255D5B" w14:textId="720E6587" w:rsidR="00EB70B1" w:rsidRPr="0020798A" w:rsidRDefault="004B7B58" w:rsidP="005C25C2">
      <w:pPr>
        <w:spacing w:line="360" w:lineRule="auto"/>
        <w:jc w:val="both"/>
        <w:rPr>
          <w:rFonts w:ascii="Arial" w:hAnsi="Arial" w:cs="Arial"/>
        </w:rPr>
      </w:pPr>
      <w:r w:rsidRPr="0020798A">
        <w:rPr>
          <w:rFonts w:ascii="Arial" w:hAnsi="Arial" w:cs="Arial"/>
        </w:rPr>
        <w:t>This</w:t>
      </w:r>
      <w:r w:rsidR="00E53E42" w:rsidRPr="0020798A">
        <w:rPr>
          <w:rFonts w:ascii="Arial" w:hAnsi="Arial" w:cs="Arial"/>
        </w:rPr>
        <w:t xml:space="preserve"> methodology provides a systematic framework for assessing Brexit’s impact on UK SMEs through a quantitative strategy rooted in objective, empirical analysis. </w:t>
      </w:r>
      <w:r w:rsidR="008E7A2E" w:rsidRPr="0020798A">
        <w:rPr>
          <w:rFonts w:ascii="Arial" w:hAnsi="Arial" w:cs="Arial"/>
        </w:rPr>
        <w:t>Using</w:t>
      </w:r>
      <w:r w:rsidR="00E53E42" w:rsidRPr="0020798A">
        <w:rPr>
          <w:rFonts w:ascii="Arial" w:hAnsi="Arial" w:cs="Arial"/>
        </w:rPr>
        <w:t xml:space="preserve"> descriptive statistics and a student’s t-test enables the study to rigorously test hypotheses related to the research questions, yielding findings that can guide policy and inform business leaders</w:t>
      </w:r>
      <w:r w:rsidR="00EC5A7F" w:rsidRPr="00EC5A7F">
        <w:t xml:space="preserve"> </w:t>
      </w:r>
      <w:r w:rsidR="00EC5A7F" w:rsidRPr="00EC5A7F">
        <w:rPr>
          <w:rFonts w:ascii="Arial" w:hAnsi="Arial" w:cs="Arial"/>
        </w:rPr>
        <w:t>(Lista, 2023)</w:t>
      </w:r>
      <w:r w:rsidR="00E53E42" w:rsidRPr="0020798A">
        <w:rPr>
          <w:rFonts w:ascii="Arial" w:hAnsi="Arial" w:cs="Arial"/>
        </w:rPr>
        <w:t xml:space="preserve">. This approach aligns with prior studies that underscore the importance of quantitative analysis for understanding complex economic changes, </w:t>
      </w:r>
      <w:r w:rsidR="00E53E42" w:rsidRPr="0020798A">
        <w:rPr>
          <w:rFonts w:ascii="Arial" w:hAnsi="Arial" w:cs="Arial"/>
        </w:rPr>
        <w:lastRenderedPageBreak/>
        <w:t xml:space="preserve">offering a comprehensive view of SME resilience and adaptation in the challenging post-Brexit environment </w:t>
      </w:r>
      <w:r w:rsidR="00EC5A7F" w:rsidRPr="00EC5A7F">
        <w:rPr>
          <w:rFonts w:ascii="Arial" w:hAnsi="Arial" w:cs="Arial"/>
        </w:rPr>
        <w:t>(Field, 2017</w:t>
      </w:r>
      <w:r w:rsidR="00EC5A7F">
        <w:t xml:space="preserve">; </w:t>
      </w:r>
      <w:r w:rsidR="00EC5A7F" w:rsidRPr="00EC5A7F">
        <w:rPr>
          <w:rFonts w:ascii="Arial" w:hAnsi="Arial" w:cs="Arial"/>
        </w:rPr>
        <w:t>Cowling and Brown, 2024)</w:t>
      </w:r>
      <w:r w:rsidR="00EC5A7F">
        <w:rPr>
          <w:rFonts w:ascii="Arial" w:hAnsi="Arial" w:cs="Arial"/>
        </w:rPr>
        <w:t>.</w:t>
      </w:r>
    </w:p>
    <w:p w14:paraId="3720B943" w14:textId="77777777" w:rsidR="004B7B58" w:rsidRPr="0020798A" w:rsidRDefault="004B7B58" w:rsidP="005C25C2">
      <w:pPr>
        <w:spacing w:line="360" w:lineRule="auto"/>
        <w:jc w:val="both"/>
        <w:rPr>
          <w:rFonts w:ascii="Arial" w:hAnsi="Arial" w:cs="Arial"/>
        </w:rPr>
      </w:pPr>
    </w:p>
    <w:p w14:paraId="057B22D6" w14:textId="77777777" w:rsidR="00EB70B1" w:rsidRPr="0020798A" w:rsidRDefault="00E53E42" w:rsidP="004B7B58">
      <w:pPr>
        <w:pStyle w:val="Heading1"/>
        <w:rPr>
          <w:rFonts w:cs="Arial"/>
        </w:rPr>
      </w:pPr>
      <w:bookmarkStart w:id="12" w:name="_Toc182938003"/>
      <w:bookmarkEnd w:id="1"/>
      <w:r w:rsidRPr="0020798A">
        <w:rPr>
          <w:rFonts w:cs="Arial"/>
        </w:rPr>
        <w:t>Findings and Analysis of SME Business Growth Metrics Post-Brexit</w:t>
      </w:r>
      <w:bookmarkEnd w:id="12"/>
    </w:p>
    <w:p w14:paraId="044BCF3E" w14:textId="7BC0B991" w:rsidR="0081181D" w:rsidRPr="0020798A" w:rsidRDefault="0081181D" w:rsidP="004B7B58">
      <w:pPr>
        <w:pStyle w:val="Heading2"/>
        <w:rPr>
          <w:rFonts w:cs="Arial"/>
        </w:rPr>
      </w:pPr>
      <w:bookmarkStart w:id="13" w:name="_Toc182938004"/>
      <w:r w:rsidRPr="0020798A">
        <w:rPr>
          <w:rFonts w:cs="Arial"/>
        </w:rPr>
        <w:t>How have SMEs' business growth metrics changed post-Brexit?</w:t>
      </w:r>
      <w:bookmarkEnd w:id="13"/>
    </w:p>
    <w:p w14:paraId="1DA83E54" w14:textId="64562811" w:rsidR="00A34276" w:rsidRPr="0020798A" w:rsidRDefault="00E53E42" w:rsidP="005C25C2">
      <w:pPr>
        <w:spacing w:line="360" w:lineRule="auto"/>
        <w:jc w:val="both"/>
        <w:rPr>
          <w:rFonts w:ascii="Arial" w:hAnsi="Arial" w:cs="Arial"/>
        </w:rPr>
      </w:pPr>
      <w:r w:rsidRPr="0020798A">
        <w:rPr>
          <w:rFonts w:ascii="Arial" w:hAnsi="Arial" w:cs="Arial"/>
        </w:rPr>
        <w:t xml:space="preserve">The graph </w:t>
      </w:r>
      <w:r w:rsidR="0081181D" w:rsidRPr="0020798A">
        <w:rPr>
          <w:rFonts w:ascii="Arial" w:hAnsi="Arial" w:cs="Arial"/>
        </w:rPr>
        <w:t>below</w:t>
      </w:r>
      <w:r w:rsidRPr="0020798A">
        <w:rPr>
          <w:rFonts w:ascii="Arial" w:hAnsi="Arial" w:cs="Arial"/>
        </w:rPr>
        <w:t xml:space="preserve"> illustrates GDP growth and the growth rates of VAT- and PAYE-registered businesses in the UK from 2014 to 2024. This analysis uses pre-Brexit conditions as a benchmark, allowing us to assess the changes in SME growth metrics in the post-Brexit context</w:t>
      </w:r>
      <w:r w:rsidR="0076619A" w:rsidRPr="0076619A">
        <w:t xml:space="preserve"> </w:t>
      </w:r>
      <w:r w:rsidR="0076619A" w:rsidRPr="0076619A">
        <w:rPr>
          <w:rFonts w:ascii="Arial" w:hAnsi="Arial" w:cs="Arial"/>
        </w:rPr>
        <w:t>(ONS, 2024b)</w:t>
      </w:r>
      <w:r w:rsidRPr="0020798A">
        <w:rPr>
          <w:rFonts w:ascii="Arial" w:hAnsi="Arial" w:cs="Arial"/>
        </w:rPr>
        <w:t>.</w:t>
      </w:r>
    </w:p>
    <w:p w14:paraId="75C94CED" w14:textId="46DF2C33" w:rsidR="00A34276" w:rsidRPr="0020798A" w:rsidRDefault="00A34276" w:rsidP="005C25C2">
      <w:pPr>
        <w:spacing w:line="360" w:lineRule="auto"/>
        <w:jc w:val="both"/>
        <w:rPr>
          <w:rFonts w:ascii="Arial" w:hAnsi="Arial" w:cs="Arial"/>
        </w:rPr>
      </w:pPr>
      <w:r w:rsidRPr="0020798A">
        <w:rPr>
          <w:rFonts w:ascii="Arial" w:hAnsi="Arial" w:cs="Arial"/>
        </w:rPr>
        <w:t xml:space="preserve">Business growth of businesses that are registered for Value Added Tax (VAT) </w:t>
      </w:r>
      <w:r w:rsidR="004B2D63" w:rsidRPr="0020798A">
        <w:rPr>
          <w:rFonts w:ascii="Arial" w:hAnsi="Arial" w:cs="Arial"/>
        </w:rPr>
        <w:t>and</w:t>
      </w:r>
      <w:r w:rsidRPr="0020798A">
        <w:rPr>
          <w:rFonts w:ascii="Arial" w:hAnsi="Arial" w:cs="Arial"/>
        </w:rPr>
        <w:t xml:space="preserve"> Pay </w:t>
      </w:r>
      <w:proofErr w:type="gramStart"/>
      <w:r w:rsidRPr="0020798A">
        <w:rPr>
          <w:rFonts w:ascii="Arial" w:hAnsi="Arial" w:cs="Arial"/>
        </w:rPr>
        <w:t>As</w:t>
      </w:r>
      <w:proofErr w:type="gramEnd"/>
      <w:r w:rsidRPr="0020798A">
        <w:rPr>
          <w:rFonts w:ascii="Arial" w:hAnsi="Arial" w:cs="Arial"/>
        </w:rPr>
        <w:t xml:space="preserve"> You Earn (PAYE) - IDBR and economic growth GDP</w:t>
      </w:r>
    </w:p>
    <w:p w14:paraId="324C380D" w14:textId="53865F4A" w:rsidR="008E7A2E" w:rsidRPr="0020798A" w:rsidRDefault="008E7A2E" w:rsidP="005C25C2">
      <w:pPr>
        <w:spacing w:line="360" w:lineRule="auto"/>
        <w:jc w:val="both"/>
        <w:rPr>
          <w:rFonts w:ascii="Arial" w:hAnsi="Arial" w:cs="Arial"/>
        </w:rPr>
      </w:pPr>
      <w:r w:rsidRPr="0020798A">
        <w:rPr>
          <w:rFonts w:ascii="Arial" w:hAnsi="Arial" w:cs="Arial"/>
          <w:noProof/>
        </w:rPr>
        <w:drawing>
          <wp:inline distT="0" distB="0" distL="0" distR="0" wp14:anchorId="0605DFC4" wp14:editId="726D5FD8">
            <wp:extent cx="5463540" cy="3695700"/>
            <wp:effectExtent l="0" t="0" r="3810" b="0"/>
            <wp:docPr id="1" name="Chart 1" descr="%">
              <a:extLst xmlns:a="http://schemas.openxmlformats.org/drawingml/2006/main">
                <a:ext uri="{FF2B5EF4-FFF2-40B4-BE49-F238E27FC236}">
                  <a16:creationId xmlns:a16="http://schemas.microsoft.com/office/drawing/2014/main" id="{81ADE09D-FF4E-4AED-90FC-F6E5282054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50284F4" w14:textId="199C31F0" w:rsidR="0081181D" w:rsidRPr="0020798A" w:rsidRDefault="0081181D" w:rsidP="005C25C2">
      <w:pPr>
        <w:spacing w:line="360" w:lineRule="auto"/>
        <w:jc w:val="both"/>
        <w:rPr>
          <w:rFonts w:ascii="Arial" w:hAnsi="Arial" w:cs="Arial"/>
        </w:rPr>
      </w:pPr>
      <w:r w:rsidRPr="0020798A">
        <w:rPr>
          <w:rFonts w:ascii="Arial" w:hAnsi="Arial" w:cs="Arial"/>
        </w:rPr>
        <w:t xml:space="preserve">Figure 1. </w:t>
      </w:r>
      <w:r w:rsidR="0076619A" w:rsidRPr="0076619A">
        <w:rPr>
          <w:rFonts w:ascii="Arial" w:hAnsi="Arial" w:cs="Arial"/>
        </w:rPr>
        <w:t>(ONS, 2024b)</w:t>
      </w:r>
    </w:p>
    <w:p w14:paraId="1D40AA33" w14:textId="77777777" w:rsidR="00EB70B1" w:rsidRPr="0020798A" w:rsidRDefault="00E53E42" w:rsidP="004B7B58">
      <w:pPr>
        <w:pStyle w:val="Heading3"/>
        <w:spacing w:line="480" w:lineRule="auto"/>
        <w:rPr>
          <w:rFonts w:cs="Arial"/>
        </w:rPr>
      </w:pPr>
      <w:bookmarkStart w:id="14" w:name="_Toc182938005"/>
      <w:r w:rsidRPr="0020798A">
        <w:rPr>
          <w:rFonts w:cs="Arial"/>
        </w:rPr>
        <w:lastRenderedPageBreak/>
        <w:t>Presentation and Interpretation of Results</w:t>
      </w:r>
      <w:bookmarkEnd w:id="14"/>
    </w:p>
    <w:p w14:paraId="54CE30C8" w14:textId="6E26D58A" w:rsidR="00EB70B1" w:rsidRPr="0020798A" w:rsidRDefault="00E53E42" w:rsidP="005C25C2">
      <w:pPr>
        <w:spacing w:line="360" w:lineRule="auto"/>
        <w:jc w:val="both"/>
        <w:rPr>
          <w:rFonts w:ascii="Arial" w:hAnsi="Arial" w:cs="Arial"/>
        </w:rPr>
      </w:pPr>
      <w:r w:rsidRPr="0020798A">
        <w:rPr>
          <w:rFonts w:ascii="Arial" w:hAnsi="Arial" w:cs="Arial"/>
        </w:rPr>
        <w:t xml:space="preserve">Between 2014 and 2016, GDP growth decreased from 3.1% to 1.9%, while </w:t>
      </w:r>
      <w:bookmarkStart w:id="15" w:name="_Hlk182762151"/>
      <w:r w:rsidRPr="0020798A">
        <w:rPr>
          <w:rFonts w:ascii="Arial" w:hAnsi="Arial" w:cs="Arial"/>
        </w:rPr>
        <w:t>IDBR</w:t>
      </w:r>
      <w:bookmarkEnd w:id="15"/>
      <w:r w:rsidRPr="0020798A">
        <w:rPr>
          <w:rFonts w:ascii="Arial" w:hAnsi="Arial" w:cs="Arial"/>
        </w:rPr>
        <w:t xml:space="preserve"> (Inter-Departmental Business Register) growth remained consistently high, averaging over 4% annually</w:t>
      </w:r>
      <w:r w:rsidR="0076619A" w:rsidRPr="0076619A">
        <w:t xml:space="preserve"> </w:t>
      </w:r>
      <w:r w:rsidR="0076619A" w:rsidRPr="0076619A">
        <w:rPr>
          <w:rFonts w:ascii="Arial" w:hAnsi="Arial" w:cs="Arial"/>
        </w:rPr>
        <w:t>(ONS, 2024b)</w:t>
      </w:r>
      <w:r w:rsidRPr="0020798A">
        <w:rPr>
          <w:rFonts w:ascii="Arial" w:hAnsi="Arial" w:cs="Arial"/>
        </w:rPr>
        <w:t xml:space="preserve">. This period reflects a relatively stable environment conducive to SME growth, supported by </w:t>
      </w:r>
      <w:r w:rsidR="008E7A2E" w:rsidRPr="0020798A">
        <w:rPr>
          <w:rFonts w:ascii="Arial" w:hAnsi="Arial" w:cs="Arial"/>
        </w:rPr>
        <w:t>favourable</w:t>
      </w:r>
      <w:r w:rsidRPr="0020798A">
        <w:rPr>
          <w:rFonts w:ascii="Arial" w:hAnsi="Arial" w:cs="Arial"/>
        </w:rPr>
        <w:t xml:space="preserve"> regulatory and market conditions that encouraged new business registrations. These trends </w:t>
      </w:r>
      <w:r w:rsidR="008E7A2E" w:rsidRPr="0020798A">
        <w:rPr>
          <w:rFonts w:ascii="Arial" w:hAnsi="Arial" w:cs="Arial"/>
        </w:rPr>
        <w:t>align</w:t>
      </w:r>
      <w:r w:rsidRPr="0020798A">
        <w:rPr>
          <w:rFonts w:ascii="Arial" w:hAnsi="Arial" w:cs="Arial"/>
        </w:rPr>
        <w:t xml:space="preserve"> with findings by </w:t>
      </w:r>
      <w:proofErr w:type="spellStart"/>
      <w:r w:rsidR="00EC5A7F" w:rsidRPr="00EC5A7F">
        <w:rPr>
          <w:rFonts w:ascii="Arial" w:hAnsi="Arial" w:cs="Arial"/>
        </w:rPr>
        <w:t>Blundel</w:t>
      </w:r>
      <w:proofErr w:type="spellEnd"/>
      <w:r w:rsidR="00EC5A7F" w:rsidRPr="00EC5A7F">
        <w:rPr>
          <w:rFonts w:ascii="Arial" w:hAnsi="Arial" w:cs="Arial"/>
        </w:rPr>
        <w:t xml:space="preserve">, Lockett and Wang </w:t>
      </w:r>
      <w:r w:rsidR="00EC5A7F">
        <w:rPr>
          <w:rFonts w:ascii="Arial" w:hAnsi="Arial" w:cs="Arial"/>
        </w:rPr>
        <w:t>(</w:t>
      </w:r>
      <w:r w:rsidR="00EC5A7F" w:rsidRPr="00EC5A7F">
        <w:rPr>
          <w:rFonts w:ascii="Arial" w:hAnsi="Arial" w:cs="Arial"/>
        </w:rPr>
        <w:t>2017)</w:t>
      </w:r>
      <w:r w:rsidR="00EC5A7F">
        <w:rPr>
          <w:rFonts w:ascii="Arial" w:hAnsi="Arial" w:cs="Arial"/>
        </w:rPr>
        <w:t xml:space="preserve"> </w:t>
      </w:r>
      <w:r w:rsidRPr="0020798A">
        <w:rPr>
          <w:rFonts w:ascii="Arial" w:hAnsi="Arial" w:cs="Arial"/>
        </w:rPr>
        <w:t>who argued that pre-Brexit policies created a supportive climate for SMEs, enabling robust business expansion.</w:t>
      </w:r>
    </w:p>
    <w:p w14:paraId="053242B9" w14:textId="13CF45AF" w:rsidR="00EB70B1" w:rsidRPr="0020798A" w:rsidRDefault="00E53E42" w:rsidP="005C25C2">
      <w:pPr>
        <w:spacing w:line="360" w:lineRule="auto"/>
        <w:jc w:val="both"/>
        <w:rPr>
          <w:rFonts w:ascii="Arial" w:hAnsi="Arial" w:cs="Arial"/>
        </w:rPr>
      </w:pPr>
      <w:r w:rsidRPr="0020798A">
        <w:rPr>
          <w:rFonts w:ascii="Arial" w:hAnsi="Arial" w:cs="Arial"/>
        </w:rPr>
        <w:t xml:space="preserve">However, the onset of Brexit-related uncertainties in 2017 marked a significant turning point. Despite a slight increase in GDP growth to 2.4% in 2017, IDBR growth peaked at 4.5% before sharply declining to 0.0% in 2018, indicating a halt in new business registrations. This stagnation suggests growing hesitation among prospective SMEs, driven by the uncertain economic outlook and concerns over potential EU trade barriers </w:t>
      </w:r>
      <w:r w:rsidR="0076619A" w:rsidRPr="0076619A">
        <w:rPr>
          <w:rFonts w:ascii="Arial" w:hAnsi="Arial" w:cs="Arial"/>
        </w:rPr>
        <w:t>(</w:t>
      </w:r>
      <w:proofErr w:type="spellStart"/>
      <w:r w:rsidR="0076619A" w:rsidRPr="0076619A">
        <w:rPr>
          <w:rFonts w:ascii="Arial" w:hAnsi="Arial" w:cs="Arial"/>
        </w:rPr>
        <w:t>Martill</w:t>
      </w:r>
      <w:proofErr w:type="spellEnd"/>
      <w:r w:rsidR="0076619A" w:rsidRPr="0076619A">
        <w:rPr>
          <w:rFonts w:ascii="Arial" w:hAnsi="Arial" w:cs="Arial"/>
        </w:rPr>
        <w:t xml:space="preserve"> and </w:t>
      </w:r>
      <w:proofErr w:type="spellStart"/>
      <w:r w:rsidR="0076619A" w:rsidRPr="0076619A">
        <w:rPr>
          <w:rFonts w:ascii="Arial" w:hAnsi="Arial" w:cs="Arial"/>
        </w:rPr>
        <w:t>Staiger</w:t>
      </w:r>
      <w:proofErr w:type="spellEnd"/>
      <w:r w:rsidR="0076619A" w:rsidRPr="0076619A">
        <w:rPr>
          <w:rFonts w:ascii="Arial" w:hAnsi="Arial" w:cs="Arial"/>
        </w:rPr>
        <w:t>, 2018)</w:t>
      </w:r>
      <w:r w:rsidR="0076619A">
        <w:rPr>
          <w:rFonts w:ascii="Arial" w:hAnsi="Arial" w:cs="Arial"/>
        </w:rPr>
        <w:t xml:space="preserve">. </w:t>
      </w:r>
      <w:r w:rsidRPr="0020798A">
        <w:rPr>
          <w:rFonts w:ascii="Arial" w:hAnsi="Arial" w:cs="Arial"/>
        </w:rPr>
        <w:t xml:space="preserve">The dramatic drop in IDBR growth illustrates </w:t>
      </w:r>
      <w:r w:rsidR="008E7A2E" w:rsidRPr="0020798A">
        <w:rPr>
          <w:rFonts w:ascii="Arial" w:hAnsi="Arial" w:cs="Arial"/>
        </w:rPr>
        <w:t>SMEs' challenges</w:t>
      </w:r>
      <w:r w:rsidRPr="0020798A">
        <w:rPr>
          <w:rFonts w:ascii="Arial" w:hAnsi="Arial" w:cs="Arial"/>
        </w:rPr>
        <w:t xml:space="preserve"> as Brexit negotiations progressed, creating a cautious environment that discouraged new ventures.</w:t>
      </w:r>
    </w:p>
    <w:p w14:paraId="7436736B" w14:textId="77777777" w:rsidR="00EB70B1" w:rsidRPr="0020798A" w:rsidRDefault="00E53E42" w:rsidP="00EC2554">
      <w:pPr>
        <w:pStyle w:val="Heading3"/>
        <w:spacing w:line="480" w:lineRule="auto"/>
        <w:rPr>
          <w:rFonts w:cs="Arial"/>
        </w:rPr>
      </w:pPr>
      <w:bookmarkStart w:id="16" w:name="_Toc182938006"/>
      <w:r w:rsidRPr="0020798A">
        <w:rPr>
          <w:rFonts w:cs="Arial"/>
        </w:rPr>
        <w:t>Post-Brexit Trends in SME Growth Metrics</w:t>
      </w:r>
      <w:bookmarkEnd w:id="16"/>
    </w:p>
    <w:p w14:paraId="67F6C342" w14:textId="4FD8ACEC" w:rsidR="00EB70B1" w:rsidRPr="0020798A" w:rsidRDefault="00E53E42" w:rsidP="005C25C2">
      <w:pPr>
        <w:spacing w:line="360" w:lineRule="auto"/>
        <w:jc w:val="both"/>
        <w:rPr>
          <w:rFonts w:ascii="Arial" w:hAnsi="Arial" w:cs="Arial"/>
        </w:rPr>
      </w:pPr>
      <w:r w:rsidRPr="0020798A">
        <w:rPr>
          <w:rFonts w:ascii="Arial" w:hAnsi="Arial" w:cs="Arial"/>
        </w:rPr>
        <w:t xml:space="preserve">From 2019 onwards, the downward trend in both GDP and IDBR growth became more pronounced. GDP growth continued to fall, hitting -1.7% in 2020 and -6.7% in 2021, as the combined impact of Brexit and the COVID-19 pandemic took effect. The pandemic further </w:t>
      </w:r>
      <w:r w:rsidR="00EC2554" w:rsidRPr="0020798A">
        <w:rPr>
          <w:rFonts w:ascii="Arial" w:hAnsi="Arial" w:cs="Arial"/>
        </w:rPr>
        <w:t>aggravated</w:t>
      </w:r>
      <w:r w:rsidRPr="0020798A">
        <w:rPr>
          <w:rFonts w:ascii="Arial" w:hAnsi="Arial" w:cs="Arial"/>
        </w:rPr>
        <w:t xml:space="preserve"> Brexit-induced difficulties for SMEs, especially those dependent on international trade. </w:t>
      </w:r>
      <w:r w:rsidR="008E7A2E" w:rsidRPr="0020798A">
        <w:rPr>
          <w:rFonts w:ascii="Arial" w:hAnsi="Arial" w:cs="Arial"/>
        </w:rPr>
        <w:t>IDBR growth declined during this period</w:t>
      </w:r>
      <w:r w:rsidRPr="0020798A">
        <w:rPr>
          <w:rFonts w:ascii="Arial" w:hAnsi="Arial" w:cs="Arial"/>
        </w:rPr>
        <w:t xml:space="preserve">, reaching 1.2% in 2020 and 0.6% in 2021, highlighting </w:t>
      </w:r>
      <w:r w:rsidR="00266BDB" w:rsidRPr="0020798A">
        <w:rPr>
          <w:rFonts w:ascii="Arial" w:hAnsi="Arial" w:cs="Arial"/>
        </w:rPr>
        <w:t>SMEs' severe challenges</w:t>
      </w:r>
      <w:r w:rsidRPr="0020798A">
        <w:rPr>
          <w:rFonts w:ascii="Arial" w:hAnsi="Arial" w:cs="Arial"/>
        </w:rPr>
        <w:t xml:space="preserve"> </w:t>
      </w:r>
      <w:r w:rsidR="0076619A" w:rsidRPr="0076619A">
        <w:rPr>
          <w:rFonts w:ascii="Arial" w:hAnsi="Arial" w:cs="Arial"/>
        </w:rPr>
        <w:t>(Bryman and Bell, 2015</w:t>
      </w:r>
      <w:r w:rsidR="0076619A">
        <w:t xml:space="preserve">; </w:t>
      </w:r>
      <w:r w:rsidR="0076619A" w:rsidRPr="0076619A">
        <w:rPr>
          <w:rFonts w:ascii="Arial" w:hAnsi="Arial" w:cs="Arial"/>
        </w:rPr>
        <w:t>ONS, 2024b)</w:t>
      </w:r>
      <w:r w:rsidR="0076619A">
        <w:rPr>
          <w:rFonts w:ascii="Arial" w:hAnsi="Arial" w:cs="Arial"/>
        </w:rPr>
        <w:t xml:space="preserve">. </w:t>
      </w:r>
      <w:r w:rsidRPr="0020798A">
        <w:rPr>
          <w:rFonts w:ascii="Arial" w:hAnsi="Arial" w:cs="Arial"/>
        </w:rPr>
        <w:t xml:space="preserve">Although GDP rebounded to 11.4% in 2022, IDBR growth showed a minimal increase of 0.1%, indicating that the broader economic recovery had </w:t>
      </w:r>
      <w:r w:rsidR="008E7A2E" w:rsidRPr="0020798A">
        <w:rPr>
          <w:rFonts w:ascii="Arial" w:hAnsi="Arial" w:cs="Arial"/>
        </w:rPr>
        <w:t xml:space="preserve">a </w:t>
      </w:r>
      <w:r w:rsidRPr="0020798A">
        <w:rPr>
          <w:rFonts w:ascii="Arial" w:hAnsi="Arial" w:cs="Arial"/>
        </w:rPr>
        <w:t xml:space="preserve">limited impact on SME growth. This divergence suggests that while macroeconomic conditions </w:t>
      </w:r>
      <w:r w:rsidR="008E7A2E" w:rsidRPr="0020798A">
        <w:rPr>
          <w:rFonts w:ascii="Arial" w:hAnsi="Arial" w:cs="Arial"/>
        </w:rPr>
        <w:t>improved</w:t>
      </w:r>
      <w:r w:rsidRPr="0020798A">
        <w:rPr>
          <w:rFonts w:ascii="Arial" w:hAnsi="Arial" w:cs="Arial"/>
        </w:rPr>
        <w:t xml:space="preserve">, SMEs </w:t>
      </w:r>
      <w:r w:rsidR="008E7A2E" w:rsidRPr="0020798A">
        <w:rPr>
          <w:rFonts w:ascii="Arial" w:hAnsi="Arial" w:cs="Arial"/>
        </w:rPr>
        <w:t>struggled</w:t>
      </w:r>
      <w:r w:rsidRPr="0020798A">
        <w:rPr>
          <w:rFonts w:ascii="Arial" w:hAnsi="Arial" w:cs="Arial"/>
        </w:rPr>
        <w:t xml:space="preserve"> with the regulatory and operational burdens introduced by Brexit.</w:t>
      </w:r>
    </w:p>
    <w:p w14:paraId="00ADB0B1" w14:textId="07193B63" w:rsidR="00EB70B1" w:rsidRPr="0020798A" w:rsidRDefault="00E53E42" w:rsidP="005C25C2">
      <w:pPr>
        <w:spacing w:line="360" w:lineRule="auto"/>
        <w:jc w:val="both"/>
        <w:rPr>
          <w:rFonts w:ascii="Arial" w:hAnsi="Arial" w:cs="Arial"/>
        </w:rPr>
      </w:pPr>
      <w:r w:rsidRPr="0020798A">
        <w:rPr>
          <w:rFonts w:ascii="Arial" w:hAnsi="Arial" w:cs="Arial"/>
        </w:rPr>
        <w:t xml:space="preserve">In 2023 and 2024, GDP growth </w:t>
      </w:r>
      <w:r w:rsidR="008E7A2E" w:rsidRPr="0020798A">
        <w:rPr>
          <w:rFonts w:ascii="Arial" w:hAnsi="Arial" w:cs="Arial"/>
        </w:rPr>
        <w:t>stabilised</w:t>
      </w:r>
      <w:r w:rsidRPr="0020798A">
        <w:rPr>
          <w:rFonts w:ascii="Arial" w:hAnsi="Arial" w:cs="Arial"/>
        </w:rPr>
        <w:t xml:space="preserve"> at 0.3%, while IDBR growth turned negative, recording -1.5% in 2023 and -0.1% in 2024. This pattern aligns with Rajan’s (2010) "fault lines" theory, which proposes that </w:t>
      </w:r>
      <w:r w:rsidR="008E7A2E" w:rsidRPr="0020798A">
        <w:rPr>
          <w:rFonts w:ascii="Arial" w:hAnsi="Arial" w:cs="Arial"/>
        </w:rPr>
        <w:t>socioeconomic</w:t>
      </w:r>
      <w:r w:rsidRPr="0020798A">
        <w:rPr>
          <w:rFonts w:ascii="Arial" w:hAnsi="Arial" w:cs="Arial"/>
        </w:rPr>
        <w:t xml:space="preserve"> disruptions exacerbate existing vulnerabilities. </w:t>
      </w:r>
      <w:r w:rsidR="008E7A2E" w:rsidRPr="0020798A">
        <w:rPr>
          <w:rFonts w:ascii="Arial" w:hAnsi="Arial" w:cs="Arial"/>
        </w:rPr>
        <w:t>Brexit has intensified these vulnerabilities for SMEs reliant on EU markets and labour</w:t>
      </w:r>
      <w:r w:rsidRPr="0020798A">
        <w:rPr>
          <w:rFonts w:ascii="Arial" w:hAnsi="Arial" w:cs="Arial"/>
        </w:rPr>
        <w:t xml:space="preserve"> </w:t>
      </w:r>
      <w:r w:rsidR="0076619A" w:rsidRPr="0076619A">
        <w:rPr>
          <w:rFonts w:ascii="Arial" w:hAnsi="Arial" w:cs="Arial"/>
        </w:rPr>
        <w:t>(</w:t>
      </w:r>
      <w:proofErr w:type="spellStart"/>
      <w:r w:rsidR="0076619A" w:rsidRPr="0076619A">
        <w:rPr>
          <w:rFonts w:ascii="Arial" w:hAnsi="Arial" w:cs="Arial"/>
        </w:rPr>
        <w:t>Brakman</w:t>
      </w:r>
      <w:proofErr w:type="spellEnd"/>
      <w:r w:rsidR="0076619A" w:rsidRPr="0076619A">
        <w:rPr>
          <w:rFonts w:ascii="Arial" w:hAnsi="Arial" w:cs="Arial"/>
        </w:rPr>
        <w:t xml:space="preserve">, </w:t>
      </w:r>
      <w:proofErr w:type="spellStart"/>
      <w:r w:rsidR="0076619A" w:rsidRPr="0076619A">
        <w:rPr>
          <w:rFonts w:ascii="Arial" w:hAnsi="Arial" w:cs="Arial"/>
        </w:rPr>
        <w:t>Garretsen</w:t>
      </w:r>
      <w:proofErr w:type="spellEnd"/>
      <w:r w:rsidR="0076619A" w:rsidRPr="0076619A">
        <w:rPr>
          <w:rFonts w:ascii="Arial" w:hAnsi="Arial" w:cs="Arial"/>
        </w:rPr>
        <w:t xml:space="preserve"> and Kohl, 2023</w:t>
      </w:r>
      <w:proofErr w:type="gramStart"/>
      <w:r w:rsidR="0076619A" w:rsidRPr="0076619A">
        <w:rPr>
          <w:rFonts w:ascii="Arial" w:hAnsi="Arial" w:cs="Arial"/>
        </w:rPr>
        <w:t>)</w:t>
      </w:r>
      <w:r w:rsidR="0076619A">
        <w:rPr>
          <w:rFonts w:ascii="Arial" w:hAnsi="Arial" w:cs="Arial"/>
        </w:rPr>
        <w:t>.</w:t>
      </w:r>
      <w:r w:rsidRPr="0020798A">
        <w:rPr>
          <w:rFonts w:ascii="Arial" w:hAnsi="Arial" w:cs="Arial"/>
        </w:rPr>
        <w:t>The</w:t>
      </w:r>
      <w:proofErr w:type="gramEnd"/>
      <w:r w:rsidRPr="0020798A">
        <w:rPr>
          <w:rFonts w:ascii="Arial" w:hAnsi="Arial" w:cs="Arial"/>
        </w:rPr>
        <w:t xml:space="preserve"> sustained negative IDBR growth </w:t>
      </w:r>
      <w:r w:rsidRPr="0020798A">
        <w:rPr>
          <w:rFonts w:ascii="Arial" w:hAnsi="Arial" w:cs="Arial"/>
        </w:rPr>
        <w:lastRenderedPageBreak/>
        <w:t>suggests that business closures may now outpace new registrations, underscoring the difficulties SMEs face in adapting to the post-Brexit regulatory landscape.</w:t>
      </w:r>
    </w:p>
    <w:p w14:paraId="2260377E" w14:textId="77777777" w:rsidR="00EB70B1" w:rsidRPr="0020798A" w:rsidRDefault="00E53E42" w:rsidP="00EC2554">
      <w:pPr>
        <w:pStyle w:val="Heading3"/>
        <w:spacing w:line="480" w:lineRule="auto"/>
        <w:rPr>
          <w:rFonts w:cs="Arial"/>
        </w:rPr>
      </w:pPr>
      <w:bookmarkStart w:id="17" w:name="_Toc182938007"/>
      <w:r w:rsidRPr="0020798A">
        <w:rPr>
          <w:rFonts w:cs="Arial"/>
        </w:rPr>
        <w:t>Comparison with Literature and Discussion</w:t>
      </w:r>
      <w:bookmarkEnd w:id="17"/>
    </w:p>
    <w:p w14:paraId="603D914C" w14:textId="0DD1A7CD" w:rsidR="00EB70B1" w:rsidRPr="0020798A" w:rsidRDefault="00E53E42" w:rsidP="005C25C2">
      <w:pPr>
        <w:spacing w:line="360" w:lineRule="auto"/>
        <w:jc w:val="both"/>
        <w:rPr>
          <w:rFonts w:ascii="Arial" w:hAnsi="Arial" w:cs="Arial"/>
        </w:rPr>
      </w:pPr>
      <w:r w:rsidRPr="0020798A">
        <w:rPr>
          <w:rFonts w:ascii="Arial" w:hAnsi="Arial" w:cs="Arial"/>
        </w:rPr>
        <w:t xml:space="preserve">The data aligns with existing literature, which generally concludes that Brexit has adversely impacted SME growth. According to </w:t>
      </w:r>
      <w:r w:rsidR="00AB662C" w:rsidRPr="00AB662C">
        <w:rPr>
          <w:rFonts w:ascii="Arial" w:hAnsi="Arial" w:cs="Arial"/>
        </w:rPr>
        <w:t>(Blackburn and Schaper, 2016)</w:t>
      </w:r>
      <w:r w:rsidR="00AB662C">
        <w:rPr>
          <w:rFonts w:ascii="Arial" w:hAnsi="Arial" w:cs="Arial"/>
        </w:rPr>
        <w:t xml:space="preserve"> </w:t>
      </w:r>
      <w:r w:rsidRPr="0020798A">
        <w:rPr>
          <w:rFonts w:ascii="Arial" w:hAnsi="Arial" w:cs="Arial"/>
        </w:rPr>
        <w:t xml:space="preserve">the loss of EU market access introduced significant revenue and growth challenges for SMEs, an assertion supported by the sharp decline in IDBR growth rates post-2018. The initial stagnation in 2018, followed by low or negative growth rates, implies that SMEs </w:t>
      </w:r>
      <w:r w:rsidR="008E7A2E" w:rsidRPr="0020798A">
        <w:rPr>
          <w:rFonts w:ascii="Arial" w:hAnsi="Arial" w:cs="Arial"/>
        </w:rPr>
        <w:t>encounter</w:t>
      </w:r>
      <w:r w:rsidRPr="0020798A">
        <w:rPr>
          <w:rFonts w:ascii="Arial" w:hAnsi="Arial" w:cs="Arial"/>
        </w:rPr>
        <w:t xml:space="preserve"> significant barriers to entry and expansion, including regulatory complexity and </w:t>
      </w:r>
      <w:r w:rsidR="008E7A2E" w:rsidRPr="0020798A">
        <w:rPr>
          <w:rFonts w:ascii="Arial" w:hAnsi="Arial" w:cs="Arial"/>
        </w:rPr>
        <w:t>labour</w:t>
      </w:r>
      <w:r w:rsidRPr="0020798A">
        <w:rPr>
          <w:rFonts w:ascii="Arial" w:hAnsi="Arial" w:cs="Arial"/>
        </w:rPr>
        <w:t xml:space="preserve"> market constraints </w:t>
      </w:r>
      <w:r w:rsidR="0076619A" w:rsidRPr="0076619A">
        <w:rPr>
          <w:rFonts w:ascii="Arial" w:hAnsi="Arial" w:cs="Arial"/>
        </w:rPr>
        <w:t>(Gupta et al., 2023)</w:t>
      </w:r>
      <w:r w:rsidR="0076619A">
        <w:rPr>
          <w:rFonts w:ascii="Arial" w:hAnsi="Arial" w:cs="Arial"/>
        </w:rPr>
        <w:t xml:space="preserve">. </w:t>
      </w:r>
      <w:r w:rsidR="00DA42D1" w:rsidRPr="00DA42D1">
        <w:rPr>
          <w:rFonts w:ascii="Arial" w:hAnsi="Arial" w:cs="Arial"/>
        </w:rPr>
        <w:t>(Kitching, Hart and Wilson, 2013)</w:t>
      </w:r>
      <w:r w:rsidR="00DA42D1">
        <w:rPr>
          <w:rFonts w:ascii="Arial" w:hAnsi="Arial" w:cs="Arial"/>
        </w:rPr>
        <w:t xml:space="preserve"> </w:t>
      </w:r>
      <w:r w:rsidRPr="0020798A">
        <w:rPr>
          <w:rFonts w:ascii="Arial" w:hAnsi="Arial" w:cs="Arial"/>
        </w:rPr>
        <w:t>similarly argue that the geopolitical uncertainty of Brexit has undermined financial stability in the SME sector, prompting caution in investment and growth decisions.</w:t>
      </w:r>
    </w:p>
    <w:p w14:paraId="34FC029D" w14:textId="3D0606E2" w:rsidR="00EB70B1" w:rsidRPr="0020798A" w:rsidRDefault="00E53E42" w:rsidP="005C25C2">
      <w:pPr>
        <w:spacing w:line="360" w:lineRule="auto"/>
        <w:jc w:val="both"/>
        <w:rPr>
          <w:rFonts w:ascii="Arial" w:hAnsi="Arial" w:cs="Arial"/>
        </w:rPr>
      </w:pPr>
      <w:r w:rsidRPr="0020798A">
        <w:rPr>
          <w:rFonts w:ascii="Arial" w:hAnsi="Arial" w:cs="Arial"/>
        </w:rPr>
        <w:t xml:space="preserve">Contrary to earlier predictions that Brexit might encourage SMEs to shift focus to local markets </w:t>
      </w:r>
      <w:r w:rsidR="00DA42D1" w:rsidRPr="00DA42D1">
        <w:rPr>
          <w:rFonts w:ascii="Arial" w:hAnsi="Arial" w:cs="Arial"/>
        </w:rPr>
        <w:t>(</w:t>
      </w:r>
      <w:proofErr w:type="spellStart"/>
      <w:r w:rsidR="00DA42D1" w:rsidRPr="00DA42D1">
        <w:rPr>
          <w:rFonts w:ascii="Arial" w:hAnsi="Arial" w:cs="Arial"/>
        </w:rPr>
        <w:t>Brakman</w:t>
      </w:r>
      <w:proofErr w:type="spellEnd"/>
      <w:r w:rsidR="00DA42D1" w:rsidRPr="00DA42D1">
        <w:rPr>
          <w:rFonts w:ascii="Arial" w:hAnsi="Arial" w:cs="Arial"/>
        </w:rPr>
        <w:t xml:space="preserve">, </w:t>
      </w:r>
      <w:proofErr w:type="spellStart"/>
      <w:r w:rsidR="00DA42D1" w:rsidRPr="00DA42D1">
        <w:rPr>
          <w:rFonts w:ascii="Arial" w:hAnsi="Arial" w:cs="Arial"/>
        </w:rPr>
        <w:t>Garretsen</w:t>
      </w:r>
      <w:proofErr w:type="spellEnd"/>
      <w:r w:rsidR="00DA42D1" w:rsidRPr="00DA42D1">
        <w:rPr>
          <w:rFonts w:ascii="Arial" w:hAnsi="Arial" w:cs="Arial"/>
        </w:rPr>
        <w:t xml:space="preserve"> and Kohl, 2023</w:t>
      </w:r>
      <w:r w:rsidR="00204FD6">
        <w:t xml:space="preserve">; </w:t>
      </w:r>
      <w:r w:rsidR="00204FD6" w:rsidRPr="00204FD6">
        <w:rPr>
          <w:rFonts w:ascii="Arial" w:hAnsi="Arial" w:cs="Arial"/>
        </w:rPr>
        <w:t>Evans and Menon, 2017</w:t>
      </w:r>
      <w:r w:rsidR="00DA42D1" w:rsidRPr="00DA42D1">
        <w:rPr>
          <w:rFonts w:ascii="Arial" w:hAnsi="Arial" w:cs="Arial"/>
        </w:rPr>
        <w:t>)</w:t>
      </w:r>
      <w:r w:rsidR="00DA42D1">
        <w:rPr>
          <w:rFonts w:ascii="Arial" w:hAnsi="Arial" w:cs="Arial"/>
        </w:rPr>
        <w:t xml:space="preserve">, </w:t>
      </w:r>
      <w:r w:rsidRPr="0020798A">
        <w:rPr>
          <w:rFonts w:ascii="Arial" w:hAnsi="Arial" w:cs="Arial"/>
        </w:rPr>
        <w:t xml:space="preserve">the sustained negative IDBR growth from 2023 onwards suggests that </w:t>
      </w:r>
      <w:r w:rsidR="008E7A2E" w:rsidRPr="0020798A">
        <w:rPr>
          <w:rFonts w:ascii="Arial" w:hAnsi="Arial" w:cs="Arial"/>
        </w:rPr>
        <w:t>rising operational costs and regulatory burdens have outweighed any potential benefits</w:t>
      </w:r>
      <w:r w:rsidRPr="0020798A">
        <w:rPr>
          <w:rFonts w:ascii="Arial" w:hAnsi="Arial" w:cs="Arial"/>
        </w:rPr>
        <w:t xml:space="preserve">. </w:t>
      </w:r>
      <w:r w:rsidR="00AB662C" w:rsidRPr="00AB662C">
        <w:rPr>
          <w:rFonts w:ascii="Arial" w:hAnsi="Arial" w:cs="Arial"/>
        </w:rPr>
        <w:t xml:space="preserve">Cowling and Brown </w:t>
      </w:r>
      <w:r w:rsidR="00AB662C">
        <w:rPr>
          <w:rFonts w:ascii="Arial" w:hAnsi="Arial" w:cs="Arial"/>
        </w:rPr>
        <w:t>(</w:t>
      </w:r>
      <w:r w:rsidR="00AB662C" w:rsidRPr="00AB662C">
        <w:rPr>
          <w:rFonts w:ascii="Arial" w:hAnsi="Arial" w:cs="Arial"/>
        </w:rPr>
        <w:t>2024)</w:t>
      </w:r>
      <w:r w:rsidR="00AB662C">
        <w:rPr>
          <w:rFonts w:ascii="Arial" w:hAnsi="Arial" w:cs="Arial"/>
        </w:rPr>
        <w:t xml:space="preserve"> </w:t>
      </w:r>
      <w:r w:rsidRPr="0020798A">
        <w:rPr>
          <w:rFonts w:ascii="Arial" w:hAnsi="Arial" w:cs="Arial"/>
        </w:rPr>
        <w:t xml:space="preserve">observed that Brexit-induced economic nationalism has placed additional strain on SMEs, reducing their competitiveness in the post-Brexit economy. Moreover, </w:t>
      </w:r>
      <w:r w:rsidR="00AB662C" w:rsidRPr="00AB662C">
        <w:rPr>
          <w:rFonts w:ascii="Arial" w:hAnsi="Arial" w:cs="Arial"/>
        </w:rPr>
        <w:t xml:space="preserve">FSB </w:t>
      </w:r>
      <w:r w:rsidR="00AB662C">
        <w:rPr>
          <w:rFonts w:ascii="Arial" w:hAnsi="Arial" w:cs="Arial"/>
        </w:rPr>
        <w:t>(</w:t>
      </w:r>
      <w:r w:rsidR="00AB662C" w:rsidRPr="00AB662C">
        <w:rPr>
          <w:rFonts w:ascii="Arial" w:hAnsi="Arial" w:cs="Arial"/>
        </w:rPr>
        <w:t>2023)</w:t>
      </w:r>
      <w:r w:rsidR="00AB662C">
        <w:rPr>
          <w:rFonts w:ascii="Arial" w:hAnsi="Arial" w:cs="Arial"/>
        </w:rPr>
        <w:t xml:space="preserve"> discusses</w:t>
      </w:r>
      <w:r w:rsidRPr="0020798A">
        <w:rPr>
          <w:rFonts w:ascii="Arial" w:hAnsi="Arial" w:cs="Arial"/>
        </w:rPr>
        <w:t xml:space="preserve"> how Brexit has worsened socio-economic divides, disproportionately affecting SME viability, as evidenced by the persistently low or negative IDBR growth rates.</w:t>
      </w:r>
    </w:p>
    <w:p w14:paraId="02367DF9" w14:textId="2E774CFA" w:rsidR="00EB70B1" w:rsidRPr="0020798A" w:rsidRDefault="00E53E42" w:rsidP="005C25C2">
      <w:pPr>
        <w:spacing w:line="360" w:lineRule="auto"/>
        <w:jc w:val="both"/>
        <w:rPr>
          <w:rFonts w:ascii="Arial" w:hAnsi="Arial" w:cs="Arial"/>
        </w:rPr>
      </w:pPr>
      <w:r w:rsidRPr="0020798A">
        <w:rPr>
          <w:rFonts w:ascii="Arial" w:hAnsi="Arial" w:cs="Arial"/>
        </w:rPr>
        <w:t xml:space="preserve">The analysis of GDP and IDBR growth metrics from 2014 to 2024 demonstrates </w:t>
      </w:r>
      <w:r w:rsidR="008E7A2E" w:rsidRPr="0020798A">
        <w:rPr>
          <w:rFonts w:ascii="Arial" w:hAnsi="Arial" w:cs="Arial"/>
        </w:rPr>
        <w:t>an apparent</w:t>
      </w:r>
      <w:r w:rsidRPr="0020798A">
        <w:rPr>
          <w:rFonts w:ascii="Arial" w:hAnsi="Arial" w:cs="Arial"/>
        </w:rPr>
        <w:t xml:space="preserve"> decline in SME growth metrics following Brexit. The stable pre-Brexit period was disrupted by Brexit-induced uncertainties, leading to fluctuating and eventually declining growth rates. While broader economic indicators such as GDP showed some recovery post-pandemic, IDBR growth did not experience a comparable rebound, highlighting </w:t>
      </w:r>
      <w:r w:rsidR="008E7A2E" w:rsidRPr="0020798A">
        <w:rPr>
          <w:rFonts w:ascii="Arial" w:hAnsi="Arial" w:cs="Arial"/>
        </w:rPr>
        <w:t>SMEs' unique challenges</w:t>
      </w:r>
      <w:r w:rsidRPr="0020798A">
        <w:rPr>
          <w:rFonts w:ascii="Arial" w:hAnsi="Arial" w:cs="Arial"/>
        </w:rPr>
        <w:t xml:space="preserve"> in the post-Brexit environment. These findings align with Rajan’s (2010) "fault lines" theory and </w:t>
      </w:r>
      <w:r w:rsidR="00AB662C">
        <w:rPr>
          <w:rFonts w:ascii="Arial" w:hAnsi="Arial" w:cs="Arial"/>
        </w:rPr>
        <w:t>the British Chambers of Commerce's</w:t>
      </w:r>
      <w:r w:rsidR="00AB662C" w:rsidRPr="00AB662C">
        <w:rPr>
          <w:rFonts w:ascii="Arial" w:hAnsi="Arial" w:cs="Arial"/>
        </w:rPr>
        <w:t xml:space="preserve"> </w:t>
      </w:r>
      <w:r w:rsidR="00AB662C">
        <w:rPr>
          <w:rFonts w:ascii="Arial" w:hAnsi="Arial" w:cs="Arial"/>
        </w:rPr>
        <w:t>(</w:t>
      </w:r>
      <w:r w:rsidR="00AB662C" w:rsidRPr="00AB662C">
        <w:rPr>
          <w:rFonts w:ascii="Arial" w:hAnsi="Arial" w:cs="Arial"/>
        </w:rPr>
        <w:t>2021)</w:t>
      </w:r>
      <w:r w:rsidR="00AB662C">
        <w:rPr>
          <w:rFonts w:ascii="Arial" w:hAnsi="Arial" w:cs="Arial"/>
        </w:rPr>
        <w:t xml:space="preserve"> </w:t>
      </w:r>
      <w:r w:rsidRPr="0020798A">
        <w:rPr>
          <w:rFonts w:ascii="Arial" w:hAnsi="Arial" w:cs="Arial"/>
        </w:rPr>
        <w:t>observations on Brexit’s regulatory challenges. Overall, the results offer a comprehensive view of the challenges SMEs must navigate within this transformed economic landscape, underscoring the need for targeted policies and support to bolster the resilience of the UK’s SME sector.</w:t>
      </w:r>
    </w:p>
    <w:p w14:paraId="281E7C20" w14:textId="1C2168E6" w:rsidR="0081181D" w:rsidRPr="0020798A" w:rsidRDefault="0081181D" w:rsidP="00EC2554">
      <w:pPr>
        <w:pStyle w:val="Heading2"/>
        <w:rPr>
          <w:rFonts w:cs="Arial"/>
          <w:lang w:eastAsia="en-GB"/>
        </w:rPr>
      </w:pPr>
      <w:bookmarkStart w:id="18" w:name="_Toc182938008"/>
      <w:r w:rsidRPr="0020798A">
        <w:rPr>
          <w:rFonts w:cs="Arial"/>
          <w:lang w:eastAsia="en-GB"/>
        </w:rPr>
        <w:lastRenderedPageBreak/>
        <w:t>How has Brexit affected employment levels for SMEs?</w:t>
      </w:r>
      <w:bookmarkEnd w:id="18"/>
    </w:p>
    <w:p w14:paraId="252C23FD" w14:textId="55E0B221" w:rsidR="00EB70B1" w:rsidRPr="0020798A" w:rsidRDefault="00E53E42" w:rsidP="00EC2554">
      <w:pPr>
        <w:pStyle w:val="Heading3"/>
        <w:spacing w:line="480" w:lineRule="auto"/>
        <w:rPr>
          <w:rFonts w:cs="Arial"/>
        </w:rPr>
      </w:pPr>
      <w:bookmarkStart w:id="19" w:name="_Toc182938009"/>
      <w:r w:rsidRPr="0020798A">
        <w:rPr>
          <w:rFonts w:cs="Arial"/>
        </w:rPr>
        <w:t>Analysis of SME Employment Trends Post-Brexit</w:t>
      </w:r>
      <w:bookmarkEnd w:id="19"/>
    </w:p>
    <w:p w14:paraId="296D6A1E" w14:textId="4E8451C5" w:rsidR="00EB70B1" w:rsidRPr="0020798A" w:rsidRDefault="00E53E42" w:rsidP="005C25C2">
      <w:pPr>
        <w:spacing w:line="360" w:lineRule="auto"/>
        <w:jc w:val="both"/>
        <w:rPr>
          <w:rFonts w:ascii="Arial" w:hAnsi="Arial" w:cs="Arial"/>
        </w:rPr>
      </w:pPr>
      <w:r w:rsidRPr="0020798A">
        <w:rPr>
          <w:rFonts w:ascii="Arial" w:hAnsi="Arial" w:cs="Arial"/>
        </w:rPr>
        <w:t xml:space="preserve">This section explores the impact of Brexit on employment levels within UK SMEs, using vacancy rates as an indicator of </w:t>
      </w:r>
      <w:r w:rsidR="008E7A2E" w:rsidRPr="0020798A">
        <w:rPr>
          <w:rFonts w:ascii="Arial" w:hAnsi="Arial" w:cs="Arial"/>
        </w:rPr>
        <w:t>labour</w:t>
      </w:r>
      <w:r w:rsidRPr="0020798A">
        <w:rPr>
          <w:rFonts w:ascii="Arial" w:hAnsi="Arial" w:cs="Arial"/>
        </w:rPr>
        <w:t xml:space="preserve"> demand. Data covering the period from 2014 to 2024 provides a pre- and post-Brexit comparison, enabling an assessment of how shifts in the UK job market have affected SME employment. Statistical metrics—such as mean, standard deviation, and median</w:t>
      </w:r>
      <w:r w:rsidR="00EC2554" w:rsidRPr="0020798A">
        <w:rPr>
          <w:rFonts w:ascii="Arial" w:hAnsi="Arial" w:cs="Arial"/>
        </w:rPr>
        <w:t xml:space="preserve"> </w:t>
      </w:r>
      <w:r w:rsidRPr="0020798A">
        <w:rPr>
          <w:rFonts w:ascii="Arial" w:hAnsi="Arial" w:cs="Arial"/>
        </w:rPr>
        <w:t xml:space="preserve">alongside a t-test for significance are used to test the hypothesis that Brexit has intensified employment challenges for SMEs, leading to higher vacancy rates and rising employment costs due to restricted </w:t>
      </w:r>
      <w:r w:rsidR="008E7A2E" w:rsidRPr="0020798A">
        <w:rPr>
          <w:rFonts w:ascii="Arial" w:hAnsi="Arial" w:cs="Arial"/>
        </w:rPr>
        <w:t>labour</w:t>
      </w:r>
      <w:r w:rsidRPr="0020798A">
        <w:rPr>
          <w:rFonts w:ascii="Arial" w:hAnsi="Arial" w:cs="Arial"/>
        </w:rPr>
        <w:t xml:space="preserve"> mobility. The null hypothesis assumes that Brexit has had no measurable effect on these employment metrics.</w:t>
      </w:r>
    </w:p>
    <w:p w14:paraId="4B177828" w14:textId="369DA9D3" w:rsidR="0081181D" w:rsidRPr="0020798A" w:rsidRDefault="00E53E42" w:rsidP="00EC2554">
      <w:pPr>
        <w:pStyle w:val="Heading3"/>
        <w:spacing w:line="480" w:lineRule="auto"/>
        <w:rPr>
          <w:rFonts w:cs="Arial"/>
        </w:rPr>
      </w:pPr>
      <w:bookmarkStart w:id="20" w:name="_Toc182938010"/>
      <w:r w:rsidRPr="0020798A">
        <w:rPr>
          <w:rFonts w:cs="Arial"/>
        </w:rPr>
        <w:t>Presentation and Interpretation of Results</w:t>
      </w:r>
      <w:bookmarkEnd w:id="20"/>
    </w:p>
    <w:p w14:paraId="6499D9E5" w14:textId="561FB4A2" w:rsidR="00EB70B1" w:rsidRPr="0020798A" w:rsidRDefault="00E53E42" w:rsidP="005C25C2">
      <w:pPr>
        <w:spacing w:line="360" w:lineRule="auto"/>
        <w:jc w:val="both"/>
        <w:rPr>
          <w:rFonts w:ascii="Arial" w:hAnsi="Arial" w:cs="Arial"/>
        </w:rPr>
      </w:pPr>
      <w:r w:rsidRPr="0020798A">
        <w:rPr>
          <w:rFonts w:ascii="Arial" w:hAnsi="Arial" w:cs="Arial"/>
        </w:rPr>
        <w:t xml:space="preserve">In the pre-Brexit period (2014–2016), the mean number of job vacancies was 794.6, with a standard deviation of 39.47, indicating relatively stable </w:t>
      </w:r>
      <w:r w:rsidR="008E7A2E" w:rsidRPr="0020798A">
        <w:rPr>
          <w:rFonts w:ascii="Arial" w:hAnsi="Arial" w:cs="Arial"/>
        </w:rPr>
        <w:t>labour</w:t>
      </w:r>
      <w:r w:rsidRPr="0020798A">
        <w:rPr>
          <w:rFonts w:ascii="Arial" w:hAnsi="Arial" w:cs="Arial"/>
        </w:rPr>
        <w:t xml:space="preserve"> demand in a steady job market</w:t>
      </w:r>
      <w:r w:rsidR="005946C3" w:rsidRPr="005946C3">
        <w:t xml:space="preserve"> </w:t>
      </w:r>
      <w:r w:rsidR="005946C3" w:rsidRPr="005946C3">
        <w:rPr>
          <w:rFonts w:ascii="Arial" w:hAnsi="Arial" w:cs="Arial"/>
        </w:rPr>
        <w:t>(ONS, 2024a)</w:t>
      </w:r>
      <w:r w:rsidRPr="0020798A">
        <w:rPr>
          <w:rFonts w:ascii="Arial" w:hAnsi="Arial" w:cs="Arial"/>
        </w:rPr>
        <w:t xml:space="preserve">. The median vacancy count during this period was 807, suggesting consistent </w:t>
      </w:r>
      <w:r w:rsidR="008E7A2E" w:rsidRPr="0020798A">
        <w:rPr>
          <w:rFonts w:ascii="Arial" w:hAnsi="Arial" w:cs="Arial"/>
        </w:rPr>
        <w:t>labour</w:t>
      </w:r>
      <w:r w:rsidRPr="0020798A">
        <w:rPr>
          <w:rFonts w:ascii="Arial" w:hAnsi="Arial" w:cs="Arial"/>
        </w:rPr>
        <w:t xml:space="preserve"> availability for SMEs. Post-Brexit (2017–2024), however, the mean vacancy count increased significantly to 938.3, with a much higher standard deviation of 272.6. This rise in mean and variability suggests a more volatile </w:t>
      </w:r>
      <w:r w:rsidR="008E7A2E" w:rsidRPr="0020798A">
        <w:rPr>
          <w:rFonts w:ascii="Arial" w:hAnsi="Arial" w:cs="Arial"/>
        </w:rPr>
        <w:t>labour</w:t>
      </w:r>
      <w:r w:rsidRPr="0020798A">
        <w:rPr>
          <w:rFonts w:ascii="Arial" w:hAnsi="Arial" w:cs="Arial"/>
        </w:rPr>
        <w:t xml:space="preserve"> market, with periods of high demand interspersed with sudden declines. The trend </w:t>
      </w:r>
      <w:r w:rsidR="008E7A2E" w:rsidRPr="0020798A">
        <w:rPr>
          <w:rFonts w:ascii="Arial" w:hAnsi="Arial" w:cs="Arial"/>
        </w:rPr>
        <w:t>was</w:t>
      </w:r>
      <w:r w:rsidRPr="0020798A">
        <w:rPr>
          <w:rFonts w:ascii="Arial" w:hAnsi="Arial" w:cs="Arial"/>
        </w:rPr>
        <w:t xml:space="preserve"> particularly stark during the COVID-19 pandemic in 2020, when vacancies dropped sharply from 819,000 in early 2020 to 328,000 by mid-2020, demonstrating the compounded effect of Brexit and the pandemic on SME employment dynamics</w:t>
      </w:r>
      <w:r w:rsidR="005946C3" w:rsidRPr="005946C3">
        <w:t xml:space="preserve"> </w:t>
      </w:r>
      <w:r w:rsidR="005946C3" w:rsidRPr="005946C3">
        <w:rPr>
          <w:rFonts w:ascii="Arial" w:hAnsi="Arial" w:cs="Arial"/>
        </w:rPr>
        <w:t>(ONS, 2024a)</w:t>
      </w:r>
      <w:r w:rsidR="005946C3">
        <w:rPr>
          <w:rFonts w:ascii="Arial" w:hAnsi="Arial" w:cs="Arial"/>
        </w:rPr>
        <w:t>.</w:t>
      </w:r>
    </w:p>
    <w:tbl>
      <w:tblPr>
        <w:tblW w:w="8710" w:type="dxa"/>
        <w:tblInd w:w="113" w:type="dxa"/>
        <w:tblLook w:val="04A0" w:firstRow="1" w:lastRow="0" w:firstColumn="1" w:lastColumn="0" w:noHBand="0" w:noVBand="1"/>
      </w:tblPr>
      <w:tblGrid>
        <w:gridCol w:w="2386"/>
        <w:gridCol w:w="1969"/>
        <w:gridCol w:w="2386"/>
        <w:gridCol w:w="1969"/>
      </w:tblGrid>
      <w:tr w:rsidR="00194E90" w:rsidRPr="00194E90" w14:paraId="266A6620" w14:textId="77777777" w:rsidTr="00EC2554">
        <w:trPr>
          <w:trHeight w:val="319"/>
        </w:trPr>
        <w:tc>
          <w:tcPr>
            <w:tcW w:w="435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EFBB97" w14:textId="77777777" w:rsidR="00194E90" w:rsidRPr="00194E90" w:rsidRDefault="00194E90" w:rsidP="005C25C2">
            <w:pPr>
              <w:spacing w:after="0" w:line="360" w:lineRule="auto"/>
              <w:jc w:val="both"/>
              <w:rPr>
                <w:rFonts w:ascii="Arial" w:eastAsia="Times New Roman" w:hAnsi="Arial" w:cs="Arial"/>
                <w:b/>
                <w:bCs/>
                <w:i/>
                <w:iCs/>
                <w:lang w:val="en-GB" w:eastAsia="en-GB"/>
              </w:rPr>
            </w:pPr>
            <w:r w:rsidRPr="00194E90">
              <w:rPr>
                <w:rFonts w:ascii="Arial" w:eastAsia="Times New Roman" w:hAnsi="Arial" w:cs="Arial"/>
                <w:b/>
                <w:bCs/>
                <w:i/>
                <w:iCs/>
                <w:lang w:val="en-GB" w:eastAsia="en-GB"/>
              </w:rPr>
              <w:t>Before Brexit</w:t>
            </w:r>
          </w:p>
        </w:tc>
        <w:tc>
          <w:tcPr>
            <w:tcW w:w="4355" w:type="dxa"/>
            <w:gridSpan w:val="2"/>
            <w:tcBorders>
              <w:top w:val="single" w:sz="4" w:space="0" w:color="auto"/>
              <w:left w:val="nil"/>
              <w:bottom w:val="single" w:sz="4" w:space="0" w:color="auto"/>
              <w:right w:val="single" w:sz="4" w:space="0" w:color="auto"/>
            </w:tcBorders>
            <w:shd w:val="clear" w:color="auto" w:fill="auto"/>
            <w:noWrap/>
            <w:vAlign w:val="bottom"/>
            <w:hideMark/>
          </w:tcPr>
          <w:p w14:paraId="77FC5589" w14:textId="77777777" w:rsidR="00194E90" w:rsidRPr="00194E90" w:rsidRDefault="00194E90" w:rsidP="005C25C2">
            <w:pPr>
              <w:spacing w:after="0" w:line="360" w:lineRule="auto"/>
              <w:jc w:val="both"/>
              <w:rPr>
                <w:rFonts w:ascii="Arial" w:eastAsia="Times New Roman" w:hAnsi="Arial" w:cs="Arial"/>
                <w:b/>
                <w:bCs/>
                <w:i/>
                <w:iCs/>
                <w:lang w:val="en-GB" w:eastAsia="en-GB"/>
              </w:rPr>
            </w:pPr>
            <w:r w:rsidRPr="00194E90">
              <w:rPr>
                <w:rFonts w:ascii="Arial" w:eastAsia="Times New Roman" w:hAnsi="Arial" w:cs="Arial"/>
                <w:b/>
                <w:bCs/>
                <w:i/>
                <w:iCs/>
                <w:lang w:val="en-GB" w:eastAsia="en-GB"/>
              </w:rPr>
              <w:t>After Brexit</w:t>
            </w:r>
          </w:p>
        </w:tc>
      </w:tr>
      <w:tr w:rsidR="00EC2554" w:rsidRPr="0020798A" w14:paraId="6CA6E872"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5ADCAF1E"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 </w:t>
            </w:r>
          </w:p>
        </w:tc>
        <w:tc>
          <w:tcPr>
            <w:tcW w:w="1968" w:type="dxa"/>
            <w:tcBorders>
              <w:top w:val="nil"/>
              <w:left w:val="nil"/>
              <w:bottom w:val="single" w:sz="4" w:space="0" w:color="auto"/>
              <w:right w:val="single" w:sz="4" w:space="0" w:color="auto"/>
            </w:tcBorders>
            <w:shd w:val="clear" w:color="auto" w:fill="auto"/>
            <w:noWrap/>
            <w:vAlign w:val="bottom"/>
            <w:hideMark/>
          </w:tcPr>
          <w:p w14:paraId="5F36F56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 </w:t>
            </w:r>
          </w:p>
        </w:tc>
        <w:tc>
          <w:tcPr>
            <w:tcW w:w="2386" w:type="dxa"/>
            <w:tcBorders>
              <w:top w:val="nil"/>
              <w:left w:val="nil"/>
              <w:bottom w:val="single" w:sz="4" w:space="0" w:color="auto"/>
              <w:right w:val="single" w:sz="4" w:space="0" w:color="auto"/>
            </w:tcBorders>
            <w:shd w:val="clear" w:color="auto" w:fill="auto"/>
            <w:noWrap/>
            <w:vAlign w:val="bottom"/>
            <w:hideMark/>
          </w:tcPr>
          <w:p w14:paraId="5A7152A6"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 </w:t>
            </w:r>
          </w:p>
        </w:tc>
        <w:tc>
          <w:tcPr>
            <w:tcW w:w="1968" w:type="dxa"/>
            <w:tcBorders>
              <w:top w:val="nil"/>
              <w:left w:val="nil"/>
              <w:bottom w:val="single" w:sz="4" w:space="0" w:color="auto"/>
              <w:right w:val="single" w:sz="4" w:space="0" w:color="auto"/>
            </w:tcBorders>
            <w:shd w:val="clear" w:color="auto" w:fill="auto"/>
            <w:noWrap/>
            <w:vAlign w:val="bottom"/>
            <w:hideMark/>
          </w:tcPr>
          <w:p w14:paraId="487C892A"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 </w:t>
            </w:r>
          </w:p>
        </w:tc>
      </w:tr>
      <w:tr w:rsidR="00EC2554" w:rsidRPr="0020798A" w14:paraId="45014A35"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5A305599"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Mean</w:t>
            </w:r>
          </w:p>
        </w:tc>
        <w:tc>
          <w:tcPr>
            <w:tcW w:w="1968" w:type="dxa"/>
            <w:tcBorders>
              <w:top w:val="nil"/>
              <w:left w:val="nil"/>
              <w:bottom w:val="single" w:sz="4" w:space="0" w:color="auto"/>
              <w:right w:val="single" w:sz="4" w:space="0" w:color="auto"/>
            </w:tcBorders>
            <w:shd w:val="clear" w:color="auto" w:fill="auto"/>
            <w:noWrap/>
            <w:vAlign w:val="bottom"/>
            <w:hideMark/>
          </w:tcPr>
          <w:p w14:paraId="0B50B5E9"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794.6</w:t>
            </w:r>
          </w:p>
        </w:tc>
        <w:tc>
          <w:tcPr>
            <w:tcW w:w="2386" w:type="dxa"/>
            <w:tcBorders>
              <w:top w:val="nil"/>
              <w:left w:val="nil"/>
              <w:bottom w:val="single" w:sz="4" w:space="0" w:color="auto"/>
              <w:right w:val="single" w:sz="4" w:space="0" w:color="auto"/>
            </w:tcBorders>
            <w:shd w:val="clear" w:color="auto" w:fill="auto"/>
            <w:noWrap/>
            <w:vAlign w:val="bottom"/>
            <w:hideMark/>
          </w:tcPr>
          <w:p w14:paraId="325F71A1"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Mean</w:t>
            </w:r>
          </w:p>
        </w:tc>
        <w:tc>
          <w:tcPr>
            <w:tcW w:w="1968" w:type="dxa"/>
            <w:tcBorders>
              <w:top w:val="nil"/>
              <w:left w:val="nil"/>
              <w:bottom w:val="single" w:sz="4" w:space="0" w:color="auto"/>
              <w:right w:val="single" w:sz="4" w:space="0" w:color="auto"/>
            </w:tcBorders>
            <w:shd w:val="clear" w:color="auto" w:fill="auto"/>
            <w:noWrap/>
            <w:vAlign w:val="bottom"/>
            <w:hideMark/>
          </w:tcPr>
          <w:p w14:paraId="1296F9FE"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938.3090909</w:t>
            </w:r>
          </w:p>
        </w:tc>
      </w:tr>
      <w:tr w:rsidR="00EC2554" w:rsidRPr="0020798A" w14:paraId="5CBD63F4"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5D88B14A"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Standard Error</w:t>
            </w:r>
          </w:p>
        </w:tc>
        <w:tc>
          <w:tcPr>
            <w:tcW w:w="1968" w:type="dxa"/>
            <w:tcBorders>
              <w:top w:val="nil"/>
              <w:left w:val="nil"/>
              <w:bottom w:val="single" w:sz="4" w:space="0" w:color="auto"/>
              <w:right w:val="single" w:sz="4" w:space="0" w:color="auto"/>
            </w:tcBorders>
            <w:shd w:val="clear" w:color="auto" w:fill="auto"/>
            <w:noWrap/>
            <w:vAlign w:val="bottom"/>
            <w:hideMark/>
          </w:tcPr>
          <w:p w14:paraId="60063C26"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5.322248582</w:t>
            </w:r>
          </w:p>
        </w:tc>
        <w:tc>
          <w:tcPr>
            <w:tcW w:w="2386" w:type="dxa"/>
            <w:tcBorders>
              <w:top w:val="nil"/>
              <w:left w:val="nil"/>
              <w:bottom w:val="single" w:sz="4" w:space="0" w:color="auto"/>
              <w:right w:val="single" w:sz="4" w:space="0" w:color="auto"/>
            </w:tcBorders>
            <w:shd w:val="clear" w:color="auto" w:fill="auto"/>
            <w:noWrap/>
            <w:vAlign w:val="bottom"/>
            <w:hideMark/>
          </w:tcPr>
          <w:p w14:paraId="6A3E5698"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Standard Error</w:t>
            </w:r>
          </w:p>
        </w:tc>
        <w:tc>
          <w:tcPr>
            <w:tcW w:w="1968" w:type="dxa"/>
            <w:tcBorders>
              <w:top w:val="nil"/>
              <w:left w:val="nil"/>
              <w:bottom w:val="single" w:sz="4" w:space="0" w:color="auto"/>
              <w:right w:val="single" w:sz="4" w:space="0" w:color="auto"/>
            </w:tcBorders>
            <w:shd w:val="clear" w:color="auto" w:fill="auto"/>
            <w:noWrap/>
            <w:vAlign w:val="bottom"/>
            <w:hideMark/>
          </w:tcPr>
          <w:p w14:paraId="748CE86C"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36.76282041</w:t>
            </w:r>
          </w:p>
        </w:tc>
      </w:tr>
      <w:tr w:rsidR="00EC2554" w:rsidRPr="0020798A" w14:paraId="795EAB62"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68B0770F"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Median</w:t>
            </w:r>
          </w:p>
        </w:tc>
        <w:tc>
          <w:tcPr>
            <w:tcW w:w="1968" w:type="dxa"/>
            <w:tcBorders>
              <w:top w:val="nil"/>
              <w:left w:val="nil"/>
              <w:bottom w:val="single" w:sz="4" w:space="0" w:color="auto"/>
              <w:right w:val="single" w:sz="4" w:space="0" w:color="auto"/>
            </w:tcBorders>
            <w:shd w:val="clear" w:color="auto" w:fill="auto"/>
            <w:noWrap/>
            <w:vAlign w:val="bottom"/>
            <w:hideMark/>
          </w:tcPr>
          <w:p w14:paraId="54D4581C"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807</w:t>
            </w:r>
          </w:p>
        </w:tc>
        <w:tc>
          <w:tcPr>
            <w:tcW w:w="2386" w:type="dxa"/>
            <w:tcBorders>
              <w:top w:val="nil"/>
              <w:left w:val="nil"/>
              <w:bottom w:val="single" w:sz="4" w:space="0" w:color="auto"/>
              <w:right w:val="single" w:sz="4" w:space="0" w:color="auto"/>
            </w:tcBorders>
            <w:shd w:val="clear" w:color="auto" w:fill="auto"/>
            <w:noWrap/>
            <w:vAlign w:val="bottom"/>
            <w:hideMark/>
          </w:tcPr>
          <w:p w14:paraId="714505F5"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Median</w:t>
            </w:r>
          </w:p>
        </w:tc>
        <w:tc>
          <w:tcPr>
            <w:tcW w:w="1968" w:type="dxa"/>
            <w:tcBorders>
              <w:top w:val="nil"/>
              <w:left w:val="nil"/>
              <w:bottom w:val="single" w:sz="4" w:space="0" w:color="auto"/>
              <w:right w:val="single" w:sz="4" w:space="0" w:color="auto"/>
            </w:tcBorders>
            <w:shd w:val="clear" w:color="auto" w:fill="auto"/>
            <w:noWrap/>
            <w:vAlign w:val="bottom"/>
            <w:hideMark/>
          </w:tcPr>
          <w:p w14:paraId="0002756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959</w:t>
            </w:r>
          </w:p>
        </w:tc>
      </w:tr>
      <w:tr w:rsidR="00EC2554" w:rsidRPr="0020798A" w14:paraId="7260445D"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3FE1CCEF"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Mode</w:t>
            </w:r>
          </w:p>
        </w:tc>
        <w:tc>
          <w:tcPr>
            <w:tcW w:w="1968" w:type="dxa"/>
            <w:tcBorders>
              <w:top w:val="nil"/>
              <w:left w:val="nil"/>
              <w:bottom w:val="single" w:sz="4" w:space="0" w:color="auto"/>
              <w:right w:val="single" w:sz="4" w:space="0" w:color="auto"/>
            </w:tcBorders>
            <w:shd w:val="clear" w:color="auto" w:fill="auto"/>
            <w:noWrap/>
            <w:vAlign w:val="bottom"/>
            <w:hideMark/>
          </w:tcPr>
          <w:p w14:paraId="547FB7AD"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742</w:t>
            </w:r>
          </w:p>
        </w:tc>
        <w:tc>
          <w:tcPr>
            <w:tcW w:w="2386" w:type="dxa"/>
            <w:tcBorders>
              <w:top w:val="nil"/>
              <w:left w:val="nil"/>
              <w:bottom w:val="single" w:sz="4" w:space="0" w:color="auto"/>
              <w:right w:val="single" w:sz="4" w:space="0" w:color="auto"/>
            </w:tcBorders>
            <w:shd w:val="clear" w:color="auto" w:fill="auto"/>
            <w:noWrap/>
            <w:vAlign w:val="bottom"/>
            <w:hideMark/>
          </w:tcPr>
          <w:p w14:paraId="42B6534C"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Mode</w:t>
            </w:r>
          </w:p>
        </w:tc>
        <w:tc>
          <w:tcPr>
            <w:tcW w:w="1968" w:type="dxa"/>
            <w:tcBorders>
              <w:top w:val="nil"/>
              <w:left w:val="nil"/>
              <w:bottom w:val="single" w:sz="4" w:space="0" w:color="auto"/>
              <w:right w:val="single" w:sz="4" w:space="0" w:color="auto"/>
            </w:tcBorders>
            <w:shd w:val="clear" w:color="auto" w:fill="auto"/>
            <w:noWrap/>
            <w:vAlign w:val="bottom"/>
            <w:hideMark/>
          </w:tcPr>
          <w:p w14:paraId="67A6503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N/A</w:t>
            </w:r>
          </w:p>
        </w:tc>
      </w:tr>
      <w:tr w:rsidR="00EC2554" w:rsidRPr="0020798A" w14:paraId="721F57DD"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722BA3AF"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Standard Deviation</w:t>
            </w:r>
          </w:p>
        </w:tc>
        <w:tc>
          <w:tcPr>
            <w:tcW w:w="1968" w:type="dxa"/>
            <w:tcBorders>
              <w:top w:val="nil"/>
              <w:left w:val="nil"/>
              <w:bottom w:val="single" w:sz="4" w:space="0" w:color="auto"/>
              <w:right w:val="single" w:sz="4" w:space="0" w:color="auto"/>
            </w:tcBorders>
            <w:shd w:val="clear" w:color="auto" w:fill="auto"/>
            <w:noWrap/>
            <w:vAlign w:val="bottom"/>
            <w:hideMark/>
          </w:tcPr>
          <w:p w14:paraId="0F33732D"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39.47085188</w:t>
            </w:r>
          </w:p>
        </w:tc>
        <w:tc>
          <w:tcPr>
            <w:tcW w:w="2386" w:type="dxa"/>
            <w:tcBorders>
              <w:top w:val="nil"/>
              <w:left w:val="nil"/>
              <w:bottom w:val="single" w:sz="4" w:space="0" w:color="auto"/>
              <w:right w:val="single" w:sz="4" w:space="0" w:color="auto"/>
            </w:tcBorders>
            <w:shd w:val="clear" w:color="auto" w:fill="auto"/>
            <w:noWrap/>
            <w:vAlign w:val="bottom"/>
            <w:hideMark/>
          </w:tcPr>
          <w:p w14:paraId="43D64FE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Standard Deviation</w:t>
            </w:r>
          </w:p>
        </w:tc>
        <w:tc>
          <w:tcPr>
            <w:tcW w:w="1968" w:type="dxa"/>
            <w:tcBorders>
              <w:top w:val="nil"/>
              <w:left w:val="nil"/>
              <w:bottom w:val="single" w:sz="4" w:space="0" w:color="auto"/>
              <w:right w:val="single" w:sz="4" w:space="0" w:color="auto"/>
            </w:tcBorders>
            <w:shd w:val="clear" w:color="auto" w:fill="auto"/>
            <w:noWrap/>
            <w:vAlign w:val="bottom"/>
            <w:hideMark/>
          </w:tcPr>
          <w:p w14:paraId="0FC4207F"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272.6403731</w:t>
            </w:r>
          </w:p>
        </w:tc>
      </w:tr>
      <w:tr w:rsidR="00EC2554" w:rsidRPr="0020798A" w14:paraId="096DBFC6"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377AAE2D"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Sample Variance</w:t>
            </w:r>
          </w:p>
        </w:tc>
        <w:tc>
          <w:tcPr>
            <w:tcW w:w="1968" w:type="dxa"/>
            <w:tcBorders>
              <w:top w:val="nil"/>
              <w:left w:val="nil"/>
              <w:bottom w:val="single" w:sz="4" w:space="0" w:color="auto"/>
              <w:right w:val="single" w:sz="4" w:space="0" w:color="auto"/>
            </w:tcBorders>
            <w:shd w:val="clear" w:color="auto" w:fill="auto"/>
            <w:noWrap/>
            <w:vAlign w:val="bottom"/>
            <w:hideMark/>
          </w:tcPr>
          <w:p w14:paraId="7878B59B"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1557.948148</w:t>
            </w:r>
          </w:p>
        </w:tc>
        <w:tc>
          <w:tcPr>
            <w:tcW w:w="2386" w:type="dxa"/>
            <w:tcBorders>
              <w:top w:val="nil"/>
              <w:left w:val="nil"/>
              <w:bottom w:val="single" w:sz="4" w:space="0" w:color="auto"/>
              <w:right w:val="single" w:sz="4" w:space="0" w:color="auto"/>
            </w:tcBorders>
            <w:shd w:val="clear" w:color="auto" w:fill="auto"/>
            <w:noWrap/>
            <w:vAlign w:val="bottom"/>
            <w:hideMark/>
          </w:tcPr>
          <w:p w14:paraId="49DC038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Sample Variance</w:t>
            </w:r>
          </w:p>
        </w:tc>
        <w:tc>
          <w:tcPr>
            <w:tcW w:w="1968" w:type="dxa"/>
            <w:tcBorders>
              <w:top w:val="nil"/>
              <w:left w:val="nil"/>
              <w:bottom w:val="single" w:sz="4" w:space="0" w:color="auto"/>
              <w:right w:val="single" w:sz="4" w:space="0" w:color="auto"/>
            </w:tcBorders>
            <w:shd w:val="clear" w:color="auto" w:fill="auto"/>
            <w:noWrap/>
            <w:vAlign w:val="bottom"/>
            <w:hideMark/>
          </w:tcPr>
          <w:p w14:paraId="18803494"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74332.77306</w:t>
            </w:r>
          </w:p>
        </w:tc>
      </w:tr>
      <w:tr w:rsidR="00EC2554" w:rsidRPr="0020798A" w14:paraId="5DD0033B"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5262D6A3"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Kurtosis</w:t>
            </w:r>
          </w:p>
        </w:tc>
        <w:tc>
          <w:tcPr>
            <w:tcW w:w="1968" w:type="dxa"/>
            <w:tcBorders>
              <w:top w:val="nil"/>
              <w:left w:val="nil"/>
              <w:bottom w:val="single" w:sz="4" w:space="0" w:color="auto"/>
              <w:right w:val="single" w:sz="4" w:space="0" w:color="auto"/>
            </w:tcBorders>
            <w:shd w:val="clear" w:color="auto" w:fill="auto"/>
            <w:noWrap/>
            <w:vAlign w:val="bottom"/>
            <w:hideMark/>
          </w:tcPr>
          <w:p w14:paraId="34D0FE89"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-1.390104635</w:t>
            </w:r>
          </w:p>
        </w:tc>
        <w:tc>
          <w:tcPr>
            <w:tcW w:w="2386" w:type="dxa"/>
            <w:tcBorders>
              <w:top w:val="nil"/>
              <w:left w:val="nil"/>
              <w:bottom w:val="single" w:sz="4" w:space="0" w:color="auto"/>
              <w:right w:val="single" w:sz="4" w:space="0" w:color="auto"/>
            </w:tcBorders>
            <w:shd w:val="clear" w:color="auto" w:fill="auto"/>
            <w:noWrap/>
            <w:vAlign w:val="bottom"/>
            <w:hideMark/>
          </w:tcPr>
          <w:p w14:paraId="50C1A702"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Kurtosis</w:t>
            </w:r>
          </w:p>
        </w:tc>
        <w:tc>
          <w:tcPr>
            <w:tcW w:w="1968" w:type="dxa"/>
            <w:tcBorders>
              <w:top w:val="nil"/>
              <w:left w:val="nil"/>
              <w:bottom w:val="single" w:sz="4" w:space="0" w:color="auto"/>
              <w:right w:val="single" w:sz="4" w:space="0" w:color="auto"/>
            </w:tcBorders>
            <w:shd w:val="clear" w:color="auto" w:fill="auto"/>
            <w:noWrap/>
            <w:vAlign w:val="bottom"/>
            <w:hideMark/>
          </w:tcPr>
          <w:p w14:paraId="3030DE61"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-0.696685351</w:t>
            </w:r>
          </w:p>
        </w:tc>
      </w:tr>
      <w:tr w:rsidR="00EC2554" w:rsidRPr="0020798A" w14:paraId="2E0EA9D2"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1018E00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lastRenderedPageBreak/>
              <w:t>Skewness</w:t>
            </w:r>
          </w:p>
        </w:tc>
        <w:tc>
          <w:tcPr>
            <w:tcW w:w="1968" w:type="dxa"/>
            <w:tcBorders>
              <w:top w:val="nil"/>
              <w:left w:val="nil"/>
              <w:bottom w:val="single" w:sz="4" w:space="0" w:color="auto"/>
              <w:right w:val="single" w:sz="4" w:space="0" w:color="auto"/>
            </w:tcBorders>
            <w:shd w:val="clear" w:color="auto" w:fill="auto"/>
            <w:noWrap/>
            <w:vAlign w:val="bottom"/>
            <w:hideMark/>
          </w:tcPr>
          <w:p w14:paraId="25572E1B"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0.019745791</w:t>
            </w:r>
          </w:p>
        </w:tc>
        <w:tc>
          <w:tcPr>
            <w:tcW w:w="2386" w:type="dxa"/>
            <w:tcBorders>
              <w:top w:val="nil"/>
              <w:left w:val="nil"/>
              <w:bottom w:val="single" w:sz="4" w:space="0" w:color="auto"/>
              <w:right w:val="single" w:sz="4" w:space="0" w:color="auto"/>
            </w:tcBorders>
            <w:shd w:val="clear" w:color="auto" w:fill="auto"/>
            <w:noWrap/>
            <w:vAlign w:val="bottom"/>
            <w:hideMark/>
          </w:tcPr>
          <w:p w14:paraId="1C90992D"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Skewness</w:t>
            </w:r>
          </w:p>
        </w:tc>
        <w:tc>
          <w:tcPr>
            <w:tcW w:w="1968" w:type="dxa"/>
            <w:tcBorders>
              <w:top w:val="nil"/>
              <w:left w:val="nil"/>
              <w:bottom w:val="single" w:sz="4" w:space="0" w:color="auto"/>
              <w:right w:val="single" w:sz="4" w:space="0" w:color="auto"/>
            </w:tcBorders>
            <w:shd w:val="clear" w:color="auto" w:fill="auto"/>
            <w:noWrap/>
            <w:vAlign w:val="bottom"/>
            <w:hideMark/>
          </w:tcPr>
          <w:p w14:paraId="7251253E"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-0.523851808</w:t>
            </w:r>
          </w:p>
        </w:tc>
      </w:tr>
      <w:tr w:rsidR="00EC2554" w:rsidRPr="0020798A" w14:paraId="0DCFE190"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03959F28"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Range</w:t>
            </w:r>
          </w:p>
        </w:tc>
        <w:tc>
          <w:tcPr>
            <w:tcW w:w="1968" w:type="dxa"/>
            <w:tcBorders>
              <w:top w:val="nil"/>
              <w:left w:val="nil"/>
              <w:bottom w:val="single" w:sz="4" w:space="0" w:color="auto"/>
              <w:right w:val="single" w:sz="4" w:space="0" w:color="auto"/>
            </w:tcBorders>
            <w:shd w:val="clear" w:color="auto" w:fill="auto"/>
            <w:noWrap/>
            <w:vAlign w:val="bottom"/>
            <w:hideMark/>
          </w:tcPr>
          <w:p w14:paraId="1E07680C"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121</w:t>
            </w:r>
          </w:p>
        </w:tc>
        <w:tc>
          <w:tcPr>
            <w:tcW w:w="2386" w:type="dxa"/>
            <w:tcBorders>
              <w:top w:val="nil"/>
              <w:left w:val="nil"/>
              <w:bottom w:val="single" w:sz="4" w:space="0" w:color="auto"/>
              <w:right w:val="single" w:sz="4" w:space="0" w:color="auto"/>
            </w:tcBorders>
            <w:shd w:val="clear" w:color="auto" w:fill="auto"/>
            <w:noWrap/>
            <w:vAlign w:val="bottom"/>
            <w:hideMark/>
          </w:tcPr>
          <w:p w14:paraId="1D2F55C6"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Range</w:t>
            </w:r>
          </w:p>
        </w:tc>
        <w:tc>
          <w:tcPr>
            <w:tcW w:w="1968" w:type="dxa"/>
            <w:tcBorders>
              <w:top w:val="nil"/>
              <w:left w:val="nil"/>
              <w:bottom w:val="single" w:sz="4" w:space="0" w:color="auto"/>
              <w:right w:val="single" w:sz="4" w:space="0" w:color="auto"/>
            </w:tcBorders>
            <w:shd w:val="clear" w:color="auto" w:fill="auto"/>
            <w:noWrap/>
            <w:vAlign w:val="bottom"/>
            <w:hideMark/>
          </w:tcPr>
          <w:p w14:paraId="3BFA565C"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976</w:t>
            </w:r>
          </w:p>
        </w:tc>
      </w:tr>
      <w:tr w:rsidR="00EC2554" w:rsidRPr="0020798A" w14:paraId="7EA6298B"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7B0D187E"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Minimum</w:t>
            </w:r>
          </w:p>
        </w:tc>
        <w:tc>
          <w:tcPr>
            <w:tcW w:w="1968" w:type="dxa"/>
            <w:tcBorders>
              <w:top w:val="nil"/>
              <w:left w:val="nil"/>
              <w:bottom w:val="single" w:sz="4" w:space="0" w:color="auto"/>
              <w:right w:val="single" w:sz="4" w:space="0" w:color="auto"/>
            </w:tcBorders>
            <w:shd w:val="clear" w:color="auto" w:fill="auto"/>
            <w:noWrap/>
            <w:vAlign w:val="bottom"/>
            <w:hideMark/>
          </w:tcPr>
          <w:p w14:paraId="4071890B"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741</w:t>
            </w:r>
          </w:p>
        </w:tc>
        <w:tc>
          <w:tcPr>
            <w:tcW w:w="2386" w:type="dxa"/>
            <w:tcBorders>
              <w:top w:val="nil"/>
              <w:left w:val="nil"/>
              <w:bottom w:val="single" w:sz="4" w:space="0" w:color="auto"/>
              <w:right w:val="single" w:sz="4" w:space="0" w:color="auto"/>
            </w:tcBorders>
            <w:shd w:val="clear" w:color="auto" w:fill="auto"/>
            <w:noWrap/>
            <w:vAlign w:val="bottom"/>
            <w:hideMark/>
          </w:tcPr>
          <w:p w14:paraId="5EA33ACB"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Minimum</w:t>
            </w:r>
          </w:p>
        </w:tc>
        <w:tc>
          <w:tcPr>
            <w:tcW w:w="1968" w:type="dxa"/>
            <w:tcBorders>
              <w:top w:val="nil"/>
              <w:left w:val="nil"/>
              <w:bottom w:val="single" w:sz="4" w:space="0" w:color="auto"/>
              <w:right w:val="single" w:sz="4" w:space="0" w:color="auto"/>
            </w:tcBorders>
            <w:shd w:val="clear" w:color="auto" w:fill="auto"/>
            <w:noWrap/>
            <w:vAlign w:val="bottom"/>
            <w:hideMark/>
          </w:tcPr>
          <w:p w14:paraId="371368BF"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328</w:t>
            </w:r>
          </w:p>
        </w:tc>
      </w:tr>
      <w:tr w:rsidR="00EC2554" w:rsidRPr="0020798A" w14:paraId="6CF6F9AB"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4794C89C"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Maximum</w:t>
            </w:r>
          </w:p>
        </w:tc>
        <w:tc>
          <w:tcPr>
            <w:tcW w:w="1968" w:type="dxa"/>
            <w:tcBorders>
              <w:top w:val="nil"/>
              <w:left w:val="nil"/>
              <w:bottom w:val="single" w:sz="4" w:space="0" w:color="auto"/>
              <w:right w:val="single" w:sz="4" w:space="0" w:color="auto"/>
            </w:tcBorders>
            <w:shd w:val="clear" w:color="auto" w:fill="auto"/>
            <w:noWrap/>
            <w:vAlign w:val="bottom"/>
            <w:hideMark/>
          </w:tcPr>
          <w:p w14:paraId="31E0E01D"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862</w:t>
            </w:r>
          </w:p>
        </w:tc>
        <w:tc>
          <w:tcPr>
            <w:tcW w:w="2386" w:type="dxa"/>
            <w:tcBorders>
              <w:top w:val="nil"/>
              <w:left w:val="nil"/>
              <w:bottom w:val="single" w:sz="4" w:space="0" w:color="auto"/>
              <w:right w:val="single" w:sz="4" w:space="0" w:color="auto"/>
            </w:tcBorders>
            <w:shd w:val="clear" w:color="auto" w:fill="auto"/>
            <w:noWrap/>
            <w:vAlign w:val="bottom"/>
            <w:hideMark/>
          </w:tcPr>
          <w:p w14:paraId="1B02916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Maximum</w:t>
            </w:r>
          </w:p>
        </w:tc>
        <w:tc>
          <w:tcPr>
            <w:tcW w:w="1968" w:type="dxa"/>
            <w:tcBorders>
              <w:top w:val="nil"/>
              <w:left w:val="nil"/>
              <w:bottom w:val="single" w:sz="4" w:space="0" w:color="auto"/>
              <w:right w:val="single" w:sz="4" w:space="0" w:color="auto"/>
            </w:tcBorders>
            <w:shd w:val="clear" w:color="auto" w:fill="auto"/>
            <w:noWrap/>
            <w:vAlign w:val="bottom"/>
            <w:hideMark/>
          </w:tcPr>
          <w:p w14:paraId="4C90E03A"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1304</w:t>
            </w:r>
          </w:p>
        </w:tc>
      </w:tr>
      <w:tr w:rsidR="00EC2554" w:rsidRPr="0020798A" w14:paraId="1FD2578F"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59D504D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Sum</w:t>
            </w:r>
          </w:p>
        </w:tc>
        <w:tc>
          <w:tcPr>
            <w:tcW w:w="1968" w:type="dxa"/>
            <w:tcBorders>
              <w:top w:val="nil"/>
              <w:left w:val="nil"/>
              <w:bottom w:val="single" w:sz="4" w:space="0" w:color="auto"/>
              <w:right w:val="single" w:sz="4" w:space="0" w:color="auto"/>
            </w:tcBorders>
            <w:shd w:val="clear" w:color="auto" w:fill="auto"/>
            <w:noWrap/>
            <w:vAlign w:val="bottom"/>
            <w:hideMark/>
          </w:tcPr>
          <w:p w14:paraId="5C277F59"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43703</w:t>
            </w:r>
          </w:p>
        </w:tc>
        <w:tc>
          <w:tcPr>
            <w:tcW w:w="2386" w:type="dxa"/>
            <w:tcBorders>
              <w:top w:val="nil"/>
              <w:left w:val="nil"/>
              <w:bottom w:val="single" w:sz="4" w:space="0" w:color="auto"/>
              <w:right w:val="single" w:sz="4" w:space="0" w:color="auto"/>
            </w:tcBorders>
            <w:shd w:val="clear" w:color="auto" w:fill="auto"/>
            <w:noWrap/>
            <w:vAlign w:val="bottom"/>
            <w:hideMark/>
          </w:tcPr>
          <w:p w14:paraId="724D71F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Sum</w:t>
            </w:r>
          </w:p>
        </w:tc>
        <w:tc>
          <w:tcPr>
            <w:tcW w:w="1968" w:type="dxa"/>
            <w:tcBorders>
              <w:top w:val="nil"/>
              <w:left w:val="nil"/>
              <w:bottom w:val="single" w:sz="4" w:space="0" w:color="auto"/>
              <w:right w:val="single" w:sz="4" w:space="0" w:color="auto"/>
            </w:tcBorders>
            <w:shd w:val="clear" w:color="auto" w:fill="auto"/>
            <w:noWrap/>
            <w:vAlign w:val="bottom"/>
            <w:hideMark/>
          </w:tcPr>
          <w:p w14:paraId="2019FB81"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51607</w:t>
            </w:r>
          </w:p>
        </w:tc>
      </w:tr>
      <w:tr w:rsidR="00EC2554" w:rsidRPr="0020798A" w14:paraId="03837665"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6375DEAA"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Count</w:t>
            </w:r>
          </w:p>
        </w:tc>
        <w:tc>
          <w:tcPr>
            <w:tcW w:w="1968" w:type="dxa"/>
            <w:tcBorders>
              <w:top w:val="nil"/>
              <w:left w:val="nil"/>
              <w:bottom w:val="single" w:sz="4" w:space="0" w:color="auto"/>
              <w:right w:val="single" w:sz="4" w:space="0" w:color="auto"/>
            </w:tcBorders>
            <w:shd w:val="clear" w:color="auto" w:fill="auto"/>
            <w:noWrap/>
            <w:vAlign w:val="bottom"/>
            <w:hideMark/>
          </w:tcPr>
          <w:p w14:paraId="3BEC182B"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55</w:t>
            </w:r>
          </w:p>
        </w:tc>
        <w:tc>
          <w:tcPr>
            <w:tcW w:w="2386" w:type="dxa"/>
            <w:tcBorders>
              <w:top w:val="nil"/>
              <w:left w:val="nil"/>
              <w:bottom w:val="single" w:sz="4" w:space="0" w:color="auto"/>
              <w:right w:val="single" w:sz="4" w:space="0" w:color="auto"/>
            </w:tcBorders>
            <w:shd w:val="clear" w:color="auto" w:fill="auto"/>
            <w:noWrap/>
            <w:vAlign w:val="bottom"/>
            <w:hideMark/>
          </w:tcPr>
          <w:p w14:paraId="6B67FF7D"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Count</w:t>
            </w:r>
          </w:p>
        </w:tc>
        <w:tc>
          <w:tcPr>
            <w:tcW w:w="1968" w:type="dxa"/>
            <w:tcBorders>
              <w:top w:val="nil"/>
              <w:left w:val="nil"/>
              <w:bottom w:val="single" w:sz="4" w:space="0" w:color="auto"/>
              <w:right w:val="single" w:sz="4" w:space="0" w:color="auto"/>
            </w:tcBorders>
            <w:shd w:val="clear" w:color="auto" w:fill="auto"/>
            <w:noWrap/>
            <w:vAlign w:val="bottom"/>
            <w:hideMark/>
          </w:tcPr>
          <w:p w14:paraId="0FC13E66"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55</w:t>
            </w:r>
          </w:p>
        </w:tc>
      </w:tr>
    </w:tbl>
    <w:p w14:paraId="1C5E6BEE" w14:textId="77777777" w:rsidR="004B2D63" w:rsidRPr="0020798A" w:rsidRDefault="004B2D63" w:rsidP="005C25C2">
      <w:pPr>
        <w:spacing w:line="360" w:lineRule="auto"/>
        <w:jc w:val="both"/>
        <w:rPr>
          <w:rFonts w:ascii="Arial" w:hAnsi="Arial" w:cs="Arial"/>
        </w:rPr>
      </w:pPr>
    </w:p>
    <w:p w14:paraId="115AAF28" w14:textId="37A855B4" w:rsidR="00194E90" w:rsidRPr="0020798A" w:rsidRDefault="00194E90" w:rsidP="005C25C2">
      <w:pPr>
        <w:spacing w:after="0" w:line="360" w:lineRule="auto"/>
        <w:jc w:val="both"/>
        <w:rPr>
          <w:rFonts w:ascii="Arial" w:eastAsia="Times New Roman" w:hAnsi="Arial" w:cs="Arial"/>
          <w:lang w:val="en-GB" w:eastAsia="en-GB"/>
        </w:rPr>
      </w:pPr>
      <w:r w:rsidRPr="0081181D">
        <w:rPr>
          <w:rFonts w:ascii="Arial" w:eastAsia="Times New Roman" w:hAnsi="Arial" w:cs="Arial"/>
          <w:lang w:val="en-GB" w:eastAsia="en-GB"/>
        </w:rPr>
        <w:t xml:space="preserve">Number of vacancies in the UK, </w:t>
      </w:r>
      <w:r w:rsidRPr="0020798A">
        <w:rPr>
          <w:rFonts w:ascii="Arial" w:eastAsia="Times New Roman" w:hAnsi="Arial" w:cs="Arial"/>
          <w:lang w:val="en-GB" w:eastAsia="en-GB"/>
        </w:rPr>
        <w:t>November</w:t>
      </w:r>
      <w:r w:rsidRPr="0081181D">
        <w:rPr>
          <w:rFonts w:ascii="Arial" w:eastAsia="Times New Roman" w:hAnsi="Arial" w:cs="Arial"/>
          <w:lang w:val="en-GB" w:eastAsia="en-GB"/>
        </w:rPr>
        <w:t xml:space="preserve"> 20</w:t>
      </w:r>
      <w:r w:rsidRPr="0020798A">
        <w:rPr>
          <w:rFonts w:ascii="Arial" w:eastAsia="Times New Roman" w:hAnsi="Arial" w:cs="Arial"/>
          <w:lang w:val="en-GB" w:eastAsia="en-GB"/>
        </w:rPr>
        <w:t>14</w:t>
      </w:r>
      <w:r w:rsidRPr="0081181D">
        <w:rPr>
          <w:rFonts w:ascii="Arial" w:eastAsia="Times New Roman" w:hAnsi="Arial" w:cs="Arial"/>
          <w:lang w:val="en-GB" w:eastAsia="en-GB"/>
        </w:rPr>
        <w:t xml:space="preserve"> to </w:t>
      </w:r>
      <w:r w:rsidR="004B2D63" w:rsidRPr="0020798A">
        <w:rPr>
          <w:rFonts w:ascii="Arial" w:eastAsia="Times New Roman" w:hAnsi="Arial" w:cs="Arial"/>
          <w:lang w:val="en-GB" w:eastAsia="en-GB"/>
        </w:rPr>
        <w:t xml:space="preserve">May </w:t>
      </w:r>
      <w:r w:rsidRPr="0081181D">
        <w:rPr>
          <w:rFonts w:ascii="Arial" w:eastAsia="Times New Roman" w:hAnsi="Arial" w:cs="Arial"/>
          <w:lang w:val="en-GB" w:eastAsia="en-GB"/>
        </w:rPr>
        <w:t>2024</w:t>
      </w:r>
    </w:p>
    <w:p w14:paraId="605729DF" w14:textId="77D3364B" w:rsidR="0081181D" w:rsidRPr="0020798A" w:rsidRDefault="0081181D" w:rsidP="005C25C2">
      <w:pPr>
        <w:spacing w:line="360" w:lineRule="auto"/>
        <w:jc w:val="both"/>
        <w:rPr>
          <w:rFonts w:ascii="Arial" w:hAnsi="Arial" w:cs="Arial"/>
        </w:rPr>
      </w:pPr>
      <w:r w:rsidRPr="0020798A">
        <w:rPr>
          <w:rFonts w:ascii="Arial" w:hAnsi="Arial" w:cs="Arial"/>
          <w:noProof/>
        </w:rPr>
        <w:drawing>
          <wp:inline distT="0" distB="0" distL="0" distR="0" wp14:anchorId="2B09B95C" wp14:editId="6BA8EE58">
            <wp:extent cx="5524500" cy="4358640"/>
            <wp:effectExtent l="0" t="0" r="0" b="3810"/>
            <wp:docPr id="8" name="Chart 8">
              <a:extLst xmlns:a="http://schemas.openxmlformats.org/drawingml/2006/main">
                <a:ext uri="{FF2B5EF4-FFF2-40B4-BE49-F238E27FC236}">
                  <a16:creationId xmlns:a16="http://schemas.microsoft.com/office/drawing/2014/main" id="{7A4DE313-1AFE-4243-A492-3992C34FC1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D3D4553" w14:textId="306C9445" w:rsidR="0081181D" w:rsidRPr="0020798A" w:rsidRDefault="0081181D" w:rsidP="005C25C2">
      <w:pPr>
        <w:spacing w:line="360" w:lineRule="auto"/>
        <w:jc w:val="both"/>
        <w:rPr>
          <w:rFonts w:ascii="Arial" w:hAnsi="Arial" w:cs="Arial"/>
        </w:rPr>
      </w:pPr>
      <w:r w:rsidRPr="0020798A">
        <w:rPr>
          <w:rFonts w:ascii="Arial" w:hAnsi="Arial" w:cs="Arial"/>
        </w:rPr>
        <w:t xml:space="preserve">Figure 2. </w:t>
      </w:r>
      <w:r w:rsidR="005946C3" w:rsidRPr="005946C3">
        <w:rPr>
          <w:rFonts w:ascii="Arial" w:hAnsi="Arial" w:cs="Arial"/>
        </w:rPr>
        <w:t>(ONS, 2024a)</w:t>
      </w:r>
    </w:p>
    <w:tbl>
      <w:tblPr>
        <w:tblW w:w="2680" w:type="dxa"/>
        <w:tblInd w:w="113" w:type="dxa"/>
        <w:tblLook w:val="04A0" w:firstRow="1" w:lastRow="0" w:firstColumn="1" w:lastColumn="0" w:noHBand="0" w:noVBand="1"/>
      </w:tblPr>
      <w:tblGrid>
        <w:gridCol w:w="509"/>
        <w:gridCol w:w="2171"/>
      </w:tblGrid>
      <w:tr w:rsidR="00194E90" w:rsidRPr="00194E90" w14:paraId="1FAC571F" w14:textId="77777777" w:rsidTr="00194E90">
        <w:trPr>
          <w:trHeight w:val="264"/>
        </w:trPr>
        <w:tc>
          <w:tcPr>
            <w:tcW w:w="268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B02A623" w14:textId="4B8157BD"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 xml:space="preserve">T-test </w:t>
            </w:r>
            <w:r w:rsidRPr="0020798A">
              <w:rPr>
                <w:rFonts w:ascii="Arial" w:eastAsia="Times New Roman" w:hAnsi="Arial" w:cs="Arial"/>
                <w:lang w:val="en-GB" w:eastAsia="en-GB"/>
              </w:rPr>
              <w:t>calculation</w:t>
            </w:r>
          </w:p>
        </w:tc>
      </w:tr>
      <w:tr w:rsidR="00194E90" w:rsidRPr="00194E90" w14:paraId="2C4BA29B" w14:textId="77777777" w:rsidTr="00194E90">
        <w:trPr>
          <w:trHeight w:val="264"/>
        </w:trPr>
        <w:tc>
          <w:tcPr>
            <w:tcW w:w="509" w:type="dxa"/>
            <w:tcBorders>
              <w:top w:val="nil"/>
              <w:left w:val="single" w:sz="4" w:space="0" w:color="auto"/>
              <w:bottom w:val="single" w:sz="4" w:space="0" w:color="auto"/>
              <w:right w:val="single" w:sz="4" w:space="0" w:color="auto"/>
            </w:tcBorders>
            <w:shd w:val="clear" w:color="auto" w:fill="auto"/>
            <w:noWrap/>
            <w:vAlign w:val="bottom"/>
            <w:hideMark/>
          </w:tcPr>
          <w:p w14:paraId="319701E6"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P=</w:t>
            </w:r>
          </w:p>
        </w:tc>
        <w:tc>
          <w:tcPr>
            <w:tcW w:w="2171" w:type="dxa"/>
            <w:tcBorders>
              <w:top w:val="nil"/>
              <w:left w:val="nil"/>
              <w:bottom w:val="single" w:sz="4" w:space="0" w:color="auto"/>
              <w:right w:val="single" w:sz="4" w:space="0" w:color="auto"/>
            </w:tcBorders>
            <w:shd w:val="clear" w:color="auto" w:fill="auto"/>
            <w:noWrap/>
            <w:vAlign w:val="bottom"/>
            <w:hideMark/>
          </w:tcPr>
          <w:p w14:paraId="0930B2E5" w14:textId="77777777" w:rsidR="00194E90" w:rsidRPr="00194E90" w:rsidRDefault="00194E90" w:rsidP="005C25C2">
            <w:pPr>
              <w:spacing w:after="0" w:line="360" w:lineRule="auto"/>
              <w:jc w:val="both"/>
              <w:rPr>
                <w:rFonts w:ascii="Arial" w:eastAsia="Times New Roman" w:hAnsi="Arial" w:cs="Arial"/>
                <w:color w:val="FF0000"/>
                <w:lang w:val="en-GB" w:eastAsia="en-GB"/>
              </w:rPr>
            </w:pPr>
            <w:bookmarkStart w:id="21" w:name="_Hlk182762599"/>
            <w:r w:rsidRPr="00194E90">
              <w:rPr>
                <w:rFonts w:ascii="Arial" w:eastAsia="Times New Roman" w:hAnsi="Arial" w:cs="Arial"/>
                <w:color w:val="FF0000"/>
                <w:lang w:val="en-GB" w:eastAsia="en-GB"/>
              </w:rPr>
              <w:t>0.000143281</w:t>
            </w:r>
            <w:bookmarkEnd w:id="21"/>
          </w:p>
        </w:tc>
      </w:tr>
    </w:tbl>
    <w:p w14:paraId="63DF994C" w14:textId="43BA412C" w:rsidR="00A34276" w:rsidRPr="0020798A" w:rsidRDefault="00A34276" w:rsidP="005C25C2">
      <w:pPr>
        <w:spacing w:line="360" w:lineRule="auto"/>
        <w:jc w:val="both"/>
        <w:rPr>
          <w:rFonts w:ascii="Arial" w:hAnsi="Arial" w:cs="Arial"/>
        </w:rPr>
      </w:pPr>
      <w:r w:rsidRPr="0020798A">
        <w:rPr>
          <w:rFonts w:ascii="Arial" w:hAnsi="Arial" w:cs="Arial"/>
        </w:rPr>
        <w:t xml:space="preserve">Figure 3. </w:t>
      </w:r>
      <w:r w:rsidR="005946C3" w:rsidRPr="005946C3">
        <w:rPr>
          <w:rFonts w:ascii="Arial" w:hAnsi="Arial" w:cs="Arial"/>
        </w:rPr>
        <w:t>(ONS, 2024a)</w:t>
      </w:r>
    </w:p>
    <w:p w14:paraId="144BEA69" w14:textId="77777777" w:rsidR="00194E90" w:rsidRPr="0020798A" w:rsidRDefault="00194E90" w:rsidP="005C25C2">
      <w:pPr>
        <w:spacing w:line="360" w:lineRule="auto"/>
        <w:jc w:val="both"/>
        <w:rPr>
          <w:rFonts w:ascii="Arial" w:hAnsi="Arial" w:cs="Arial"/>
        </w:rPr>
      </w:pPr>
    </w:p>
    <w:p w14:paraId="0A848A2D" w14:textId="52E4D6CA" w:rsidR="0081181D" w:rsidRPr="0020798A" w:rsidRDefault="00E53E42" w:rsidP="005C25C2">
      <w:pPr>
        <w:spacing w:line="360" w:lineRule="auto"/>
        <w:jc w:val="both"/>
        <w:rPr>
          <w:rFonts w:ascii="Arial" w:hAnsi="Arial" w:cs="Arial"/>
        </w:rPr>
      </w:pPr>
      <w:r w:rsidRPr="0020798A">
        <w:rPr>
          <w:rFonts w:ascii="Arial" w:hAnsi="Arial" w:cs="Arial"/>
        </w:rPr>
        <w:lastRenderedPageBreak/>
        <w:t xml:space="preserve">The t-test results (p = </w:t>
      </w:r>
      <w:r w:rsidR="00EC2554" w:rsidRPr="0020798A">
        <w:rPr>
          <w:rFonts w:ascii="Arial" w:hAnsi="Arial" w:cs="Arial"/>
        </w:rPr>
        <w:t>0.000143281</w:t>
      </w:r>
      <w:r w:rsidRPr="0020798A">
        <w:rPr>
          <w:rFonts w:ascii="Arial" w:hAnsi="Arial" w:cs="Arial"/>
        </w:rPr>
        <w:t xml:space="preserve">) show a statistically significant difference in vacancy levels between pre- and post-Brexit periods, indicating a substantial change in the employment landscape that supports the initial hypothesis. These findings align with research by </w:t>
      </w:r>
      <w:r w:rsidR="00AB662C" w:rsidRPr="00AB662C">
        <w:rPr>
          <w:rFonts w:ascii="Arial" w:hAnsi="Arial" w:cs="Arial"/>
        </w:rPr>
        <w:t>(Warhurst and Nickson, 2020</w:t>
      </w:r>
      <w:r w:rsidR="00AB662C">
        <w:t xml:space="preserve">; </w:t>
      </w:r>
      <w:proofErr w:type="spellStart"/>
      <w:r w:rsidR="00AB662C" w:rsidRPr="00AB662C">
        <w:rPr>
          <w:rFonts w:ascii="Arial" w:hAnsi="Arial" w:cs="Arial"/>
        </w:rPr>
        <w:t>Brakman</w:t>
      </w:r>
      <w:proofErr w:type="spellEnd"/>
      <w:r w:rsidR="00AB662C" w:rsidRPr="00AB662C">
        <w:rPr>
          <w:rFonts w:ascii="Arial" w:hAnsi="Arial" w:cs="Arial"/>
        </w:rPr>
        <w:t xml:space="preserve">, </w:t>
      </w:r>
      <w:proofErr w:type="spellStart"/>
      <w:r w:rsidR="00AB662C" w:rsidRPr="00AB662C">
        <w:rPr>
          <w:rFonts w:ascii="Arial" w:hAnsi="Arial" w:cs="Arial"/>
        </w:rPr>
        <w:t>Garretsen</w:t>
      </w:r>
      <w:proofErr w:type="spellEnd"/>
      <w:r w:rsidR="00AB662C" w:rsidRPr="00AB662C">
        <w:rPr>
          <w:rFonts w:ascii="Arial" w:hAnsi="Arial" w:cs="Arial"/>
        </w:rPr>
        <w:t xml:space="preserve"> and Kohl, 2023)</w:t>
      </w:r>
      <w:r w:rsidR="007505AF">
        <w:rPr>
          <w:rFonts w:ascii="Arial" w:hAnsi="Arial" w:cs="Arial"/>
        </w:rPr>
        <w:t>,</w:t>
      </w:r>
      <w:r w:rsidR="00AB662C">
        <w:rPr>
          <w:rFonts w:ascii="Arial" w:hAnsi="Arial" w:cs="Arial"/>
        </w:rPr>
        <w:t xml:space="preserve"> </w:t>
      </w:r>
      <w:r w:rsidRPr="0020798A">
        <w:rPr>
          <w:rFonts w:ascii="Arial" w:hAnsi="Arial" w:cs="Arial"/>
        </w:rPr>
        <w:t xml:space="preserve">who observed that Brexit-related uncertainties disrupted traditional employment patterns, particularly affecting SMEs. The data suggests that SMEs have faced increased turnover rates and </w:t>
      </w:r>
      <w:r w:rsidR="008E7A2E" w:rsidRPr="0020798A">
        <w:rPr>
          <w:rFonts w:ascii="Arial" w:hAnsi="Arial" w:cs="Arial"/>
        </w:rPr>
        <w:t>more incredible</w:t>
      </w:r>
      <w:r w:rsidRPr="0020798A">
        <w:rPr>
          <w:rFonts w:ascii="Arial" w:hAnsi="Arial" w:cs="Arial"/>
        </w:rPr>
        <w:t xml:space="preserve"> difficulty attracting </w:t>
      </w:r>
      <w:r w:rsidR="008E7A2E" w:rsidRPr="0020798A">
        <w:rPr>
          <w:rFonts w:ascii="Arial" w:hAnsi="Arial" w:cs="Arial"/>
        </w:rPr>
        <w:t>labour, likely due to reduced labour</w:t>
      </w:r>
      <w:r w:rsidRPr="0020798A">
        <w:rPr>
          <w:rFonts w:ascii="Arial" w:hAnsi="Arial" w:cs="Arial"/>
        </w:rPr>
        <w:t xml:space="preserve"> mobility from the EU and increased competition for local talent, </w:t>
      </w:r>
      <w:r w:rsidR="008E7A2E" w:rsidRPr="0020798A">
        <w:rPr>
          <w:rFonts w:ascii="Arial" w:hAnsi="Arial" w:cs="Arial"/>
        </w:rPr>
        <w:t>contributing</w:t>
      </w:r>
      <w:r w:rsidRPr="0020798A">
        <w:rPr>
          <w:rFonts w:ascii="Arial" w:hAnsi="Arial" w:cs="Arial"/>
        </w:rPr>
        <w:t xml:space="preserve"> to higher recruitment costs. Rising vacancy rates </w:t>
      </w:r>
      <w:r w:rsidR="008E7A2E" w:rsidRPr="0020798A">
        <w:rPr>
          <w:rFonts w:ascii="Arial" w:hAnsi="Arial" w:cs="Arial"/>
        </w:rPr>
        <w:t>indicate</w:t>
      </w:r>
      <w:r w:rsidRPr="0020798A">
        <w:rPr>
          <w:rFonts w:ascii="Arial" w:hAnsi="Arial" w:cs="Arial"/>
        </w:rPr>
        <w:t xml:space="preserve"> </w:t>
      </w:r>
      <w:r w:rsidR="008E7A2E" w:rsidRPr="0020798A">
        <w:rPr>
          <w:rFonts w:ascii="Arial" w:hAnsi="Arial" w:cs="Arial"/>
        </w:rPr>
        <w:t>SMEs' challenges</w:t>
      </w:r>
      <w:r w:rsidRPr="0020798A">
        <w:rPr>
          <w:rFonts w:ascii="Arial" w:hAnsi="Arial" w:cs="Arial"/>
        </w:rPr>
        <w:t xml:space="preserve"> in maintaining adequate staffing levels, especially in regions or sectors that previously relied on EU workers </w:t>
      </w:r>
      <w:r w:rsidR="00AB662C" w:rsidRPr="00AB662C">
        <w:rPr>
          <w:rFonts w:ascii="Arial" w:hAnsi="Arial" w:cs="Arial"/>
        </w:rPr>
        <w:t>(Hutton, 2024)</w:t>
      </w:r>
      <w:r w:rsidR="00AB662C">
        <w:rPr>
          <w:rFonts w:ascii="Arial" w:hAnsi="Arial" w:cs="Arial"/>
        </w:rPr>
        <w:t>.</w:t>
      </w:r>
    </w:p>
    <w:p w14:paraId="779E0187" w14:textId="77777777" w:rsidR="00EB70B1" w:rsidRPr="0020798A" w:rsidRDefault="00E53E42" w:rsidP="00EC2554">
      <w:pPr>
        <w:pStyle w:val="Heading3"/>
        <w:spacing w:line="480" w:lineRule="auto"/>
        <w:rPr>
          <w:rFonts w:cs="Arial"/>
        </w:rPr>
      </w:pPr>
      <w:bookmarkStart w:id="22" w:name="_Toc182938011"/>
      <w:r w:rsidRPr="0020798A">
        <w:rPr>
          <w:rFonts w:cs="Arial"/>
        </w:rPr>
        <w:t>Post-Brexit Trends in Vacancy Levels</w:t>
      </w:r>
      <w:bookmarkEnd w:id="22"/>
    </w:p>
    <w:p w14:paraId="03AD939B" w14:textId="259F34BF" w:rsidR="00EB70B1" w:rsidRPr="0020798A" w:rsidRDefault="00E53E42" w:rsidP="005C25C2">
      <w:pPr>
        <w:spacing w:line="360" w:lineRule="auto"/>
        <w:jc w:val="both"/>
        <w:rPr>
          <w:rFonts w:ascii="Arial" w:hAnsi="Arial" w:cs="Arial"/>
        </w:rPr>
      </w:pPr>
      <w:r w:rsidRPr="0020798A">
        <w:rPr>
          <w:rFonts w:ascii="Arial" w:hAnsi="Arial" w:cs="Arial"/>
        </w:rPr>
        <w:t xml:space="preserve">The vacancy data shows relative stability in </w:t>
      </w:r>
      <w:r w:rsidR="008E7A2E" w:rsidRPr="0020798A">
        <w:rPr>
          <w:rFonts w:ascii="Arial" w:hAnsi="Arial" w:cs="Arial"/>
        </w:rPr>
        <w:t>labour demand until 2020,</w:t>
      </w:r>
      <w:r w:rsidRPr="0020798A">
        <w:rPr>
          <w:rFonts w:ascii="Arial" w:hAnsi="Arial" w:cs="Arial"/>
        </w:rPr>
        <w:t xml:space="preserve"> when the onset of the COVID-19 pandemic added to the employment challenges already posed by Brexit. By mid-2020, vacancies dropped sharply, mirroring the financial strain on SMEs due to lockdowns and decreased economic activity</w:t>
      </w:r>
      <w:r w:rsidR="005946C3" w:rsidRPr="005946C3">
        <w:t xml:space="preserve"> </w:t>
      </w:r>
      <w:r w:rsidR="005946C3" w:rsidRPr="005946C3">
        <w:rPr>
          <w:rFonts w:ascii="Arial" w:hAnsi="Arial" w:cs="Arial"/>
        </w:rPr>
        <w:t>(ONS, 2024a)</w:t>
      </w:r>
      <w:r w:rsidRPr="0020798A">
        <w:rPr>
          <w:rFonts w:ascii="Arial" w:hAnsi="Arial" w:cs="Arial"/>
        </w:rPr>
        <w:t xml:space="preserve">. However, vacancies rebounded significantly, peaking at 1,304,000 by mid-2022, likely reflecting pent-up demand as businesses reopened alongside intensified recruitment difficulties due to reduced </w:t>
      </w:r>
      <w:r w:rsidR="008E7A2E" w:rsidRPr="0020798A">
        <w:rPr>
          <w:rFonts w:ascii="Arial" w:hAnsi="Arial" w:cs="Arial"/>
        </w:rPr>
        <w:t>labour</w:t>
      </w:r>
      <w:r w:rsidRPr="0020798A">
        <w:rPr>
          <w:rFonts w:ascii="Arial" w:hAnsi="Arial" w:cs="Arial"/>
        </w:rPr>
        <w:t xml:space="preserve"> availability from the EU</w:t>
      </w:r>
      <w:r w:rsidR="005946C3" w:rsidRPr="005946C3">
        <w:t xml:space="preserve"> </w:t>
      </w:r>
      <w:r w:rsidR="005946C3" w:rsidRPr="005946C3">
        <w:rPr>
          <w:rFonts w:ascii="Arial" w:hAnsi="Arial" w:cs="Arial"/>
        </w:rPr>
        <w:t>(ONS, 2024a)</w:t>
      </w:r>
      <w:r w:rsidRPr="0020798A">
        <w:rPr>
          <w:rFonts w:ascii="Arial" w:hAnsi="Arial" w:cs="Arial"/>
        </w:rPr>
        <w:t xml:space="preserve">. According to </w:t>
      </w:r>
      <w:r w:rsidR="00AB662C" w:rsidRPr="00AB662C">
        <w:rPr>
          <w:rFonts w:ascii="Arial" w:hAnsi="Arial" w:cs="Arial"/>
        </w:rPr>
        <w:t>(</w:t>
      </w:r>
      <w:proofErr w:type="spellStart"/>
      <w:r w:rsidR="00AB662C" w:rsidRPr="00AB662C">
        <w:rPr>
          <w:rFonts w:ascii="Arial" w:hAnsi="Arial" w:cs="Arial"/>
        </w:rPr>
        <w:t>Brakman</w:t>
      </w:r>
      <w:proofErr w:type="spellEnd"/>
      <w:r w:rsidR="00AB662C" w:rsidRPr="00AB662C">
        <w:rPr>
          <w:rFonts w:ascii="Arial" w:hAnsi="Arial" w:cs="Arial"/>
        </w:rPr>
        <w:t xml:space="preserve">, </w:t>
      </w:r>
      <w:proofErr w:type="spellStart"/>
      <w:r w:rsidR="00AB662C" w:rsidRPr="00AB662C">
        <w:rPr>
          <w:rFonts w:ascii="Arial" w:hAnsi="Arial" w:cs="Arial"/>
        </w:rPr>
        <w:t>Garretsen</w:t>
      </w:r>
      <w:proofErr w:type="spellEnd"/>
      <w:r w:rsidR="00AB662C" w:rsidRPr="00AB662C">
        <w:rPr>
          <w:rFonts w:ascii="Arial" w:hAnsi="Arial" w:cs="Arial"/>
        </w:rPr>
        <w:t xml:space="preserve"> Kohl, 2023</w:t>
      </w:r>
      <w:r w:rsidR="005946C3">
        <w:t xml:space="preserve"> </w:t>
      </w:r>
      <w:r w:rsidR="005946C3" w:rsidRPr="005946C3">
        <w:rPr>
          <w:rFonts w:ascii="Arial" w:hAnsi="Arial" w:cs="Arial"/>
        </w:rPr>
        <w:t xml:space="preserve">Brown, </w:t>
      </w:r>
      <w:proofErr w:type="spellStart"/>
      <w:r w:rsidR="005946C3" w:rsidRPr="005946C3">
        <w:rPr>
          <w:rFonts w:ascii="Arial" w:hAnsi="Arial" w:cs="Arial"/>
        </w:rPr>
        <w:t>Liñares-Zegarra</w:t>
      </w:r>
      <w:proofErr w:type="spellEnd"/>
      <w:r w:rsidR="005946C3" w:rsidRPr="005946C3">
        <w:rPr>
          <w:rFonts w:ascii="Arial" w:hAnsi="Arial" w:cs="Arial"/>
        </w:rPr>
        <w:t xml:space="preserve"> and Wilson, 2019)</w:t>
      </w:r>
      <w:r w:rsidR="007505AF">
        <w:rPr>
          <w:rFonts w:ascii="Arial" w:hAnsi="Arial" w:cs="Arial"/>
        </w:rPr>
        <w:t>,</w:t>
      </w:r>
      <w:r w:rsidR="00AB662C">
        <w:rPr>
          <w:rFonts w:ascii="Arial" w:hAnsi="Arial" w:cs="Arial"/>
        </w:rPr>
        <w:t xml:space="preserve"> </w:t>
      </w:r>
      <w:r w:rsidRPr="0020798A">
        <w:rPr>
          <w:rFonts w:ascii="Arial" w:hAnsi="Arial" w:cs="Arial"/>
        </w:rPr>
        <w:t xml:space="preserve">Brexit’s economic nationalism and stricter immigration policies have created a more </w:t>
      </w:r>
      <w:r w:rsidR="00EC2554" w:rsidRPr="0020798A">
        <w:rPr>
          <w:rFonts w:ascii="Arial" w:hAnsi="Arial" w:cs="Arial"/>
        </w:rPr>
        <w:t>restricted</w:t>
      </w:r>
      <w:r w:rsidRPr="0020798A">
        <w:rPr>
          <w:rFonts w:ascii="Arial" w:hAnsi="Arial" w:cs="Arial"/>
        </w:rPr>
        <w:t xml:space="preserve"> </w:t>
      </w:r>
      <w:r w:rsidR="008E7A2E" w:rsidRPr="0020798A">
        <w:rPr>
          <w:rFonts w:ascii="Arial" w:hAnsi="Arial" w:cs="Arial"/>
        </w:rPr>
        <w:t>labour market, making it harder for SMEs to meet labour</w:t>
      </w:r>
      <w:r w:rsidRPr="0020798A">
        <w:rPr>
          <w:rFonts w:ascii="Arial" w:hAnsi="Arial" w:cs="Arial"/>
        </w:rPr>
        <w:t xml:space="preserve"> demands, particularly those previously reliant on EU workers.</w:t>
      </w:r>
    </w:p>
    <w:p w14:paraId="350442A7" w14:textId="6332C0EC" w:rsidR="00EB70B1" w:rsidRPr="0020798A" w:rsidRDefault="00E53E42" w:rsidP="005C25C2">
      <w:pPr>
        <w:spacing w:line="360" w:lineRule="auto"/>
        <w:jc w:val="both"/>
        <w:rPr>
          <w:rFonts w:ascii="Arial" w:hAnsi="Arial" w:cs="Arial"/>
        </w:rPr>
      </w:pPr>
      <w:r w:rsidRPr="0020798A">
        <w:rPr>
          <w:rFonts w:ascii="Arial" w:hAnsi="Arial" w:cs="Arial"/>
        </w:rPr>
        <w:t xml:space="preserve">After the initial post-pandemic recovery, vacancy levels gradually declined from late 2022, </w:t>
      </w:r>
      <w:r w:rsidR="00194E90" w:rsidRPr="0020798A">
        <w:rPr>
          <w:rFonts w:ascii="Arial" w:hAnsi="Arial" w:cs="Arial"/>
        </w:rPr>
        <w:t>stabilising</w:t>
      </w:r>
      <w:r w:rsidRPr="0020798A">
        <w:rPr>
          <w:rFonts w:ascii="Arial" w:hAnsi="Arial" w:cs="Arial"/>
        </w:rPr>
        <w:t xml:space="preserve"> around 900,000 by 2024. This sustained high level of vacancies suggests ongoing recruitment challenges, especially for SMEs </w:t>
      </w:r>
      <w:r w:rsidR="008E7A2E" w:rsidRPr="0020798A">
        <w:rPr>
          <w:rFonts w:ascii="Arial" w:hAnsi="Arial" w:cs="Arial"/>
        </w:rPr>
        <w:t>traditionally dependent</w:t>
      </w:r>
      <w:r w:rsidRPr="0020798A">
        <w:rPr>
          <w:rFonts w:ascii="Arial" w:hAnsi="Arial" w:cs="Arial"/>
        </w:rPr>
        <w:t xml:space="preserve"> on flexible EU </w:t>
      </w:r>
      <w:r w:rsidR="008E7A2E" w:rsidRPr="0020798A">
        <w:rPr>
          <w:rFonts w:ascii="Arial" w:hAnsi="Arial" w:cs="Arial"/>
        </w:rPr>
        <w:t>labour</w:t>
      </w:r>
      <w:r w:rsidRPr="0020798A">
        <w:rPr>
          <w:rFonts w:ascii="Arial" w:hAnsi="Arial" w:cs="Arial"/>
        </w:rPr>
        <w:t xml:space="preserve">. These findings echo </w:t>
      </w:r>
      <w:r w:rsidR="00AB662C" w:rsidRPr="00AB662C">
        <w:rPr>
          <w:rFonts w:ascii="Arial" w:hAnsi="Arial" w:cs="Arial"/>
        </w:rPr>
        <w:t xml:space="preserve">Brown, </w:t>
      </w:r>
      <w:proofErr w:type="spellStart"/>
      <w:r w:rsidR="00AB662C" w:rsidRPr="00AB662C">
        <w:rPr>
          <w:rFonts w:ascii="Arial" w:hAnsi="Arial" w:cs="Arial"/>
        </w:rPr>
        <w:t>Liñares-Zegarra</w:t>
      </w:r>
      <w:proofErr w:type="spellEnd"/>
      <w:r w:rsidR="00AB662C" w:rsidRPr="00AB662C">
        <w:rPr>
          <w:rFonts w:ascii="Arial" w:hAnsi="Arial" w:cs="Arial"/>
        </w:rPr>
        <w:t xml:space="preserve"> and </w:t>
      </w:r>
      <w:r w:rsidR="007505AF">
        <w:rPr>
          <w:rFonts w:ascii="Arial" w:hAnsi="Arial" w:cs="Arial"/>
        </w:rPr>
        <w:t>Wilson's</w:t>
      </w:r>
      <w:r w:rsidR="00AB662C" w:rsidRPr="00AB662C">
        <w:rPr>
          <w:rFonts w:ascii="Arial" w:hAnsi="Arial" w:cs="Arial"/>
        </w:rPr>
        <w:t xml:space="preserve"> </w:t>
      </w:r>
      <w:r w:rsidR="00AB662C">
        <w:rPr>
          <w:rFonts w:ascii="Arial" w:hAnsi="Arial" w:cs="Arial"/>
        </w:rPr>
        <w:t>(</w:t>
      </w:r>
      <w:r w:rsidR="00AB662C" w:rsidRPr="00AB662C">
        <w:rPr>
          <w:rFonts w:ascii="Arial" w:hAnsi="Arial" w:cs="Arial"/>
        </w:rPr>
        <w:t>2019)</w:t>
      </w:r>
      <w:r w:rsidR="00AB662C">
        <w:rPr>
          <w:rFonts w:ascii="Arial" w:hAnsi="Arial" w:cs="Arial"/>
        </w:rPr>
        <w:t xml:space="preserve"> </w:t>
      </w:r>
      <w:r w:rsidRPr="0020798A">
        <w:rPr>
          <w:rFonts w:ascii="Arial" w:hAnsi="Arial" w:cs="Arial"/>
        </w:rPr>
        <w:t xml:space="preserve">analysis, </w:t>
      </w:r>
      <w:r w:rsidR="008E7A2E" w:rsidRPr="0020798A">
        <w:rPr>
          <w:rFonts w:ascii="Arial" w:hAnsi="Arial" w:cs="Arial"/>
        </w:rPr>
        <w:t xml:space="preserve">highlighting that Brexit’s labour market constraints </w:t>
      </w:r>
      <w:r w:rsidR="00EC2554" w:rsidRPr="0020798A">
        <w:rPr>
          <w:rFonts w:ascii="Arial" w:hAnsi="Arial" w:cs="Arial"/>
        </w:rPr>
        <w:t>significantly</w:t>
      </w:r>
      <w:r w:rsidR="008E7A2E" w:rsidRPr="0020798A">
        <w:rPr>
          <w:rFonts w:ascii="Arial" w:hAnsi="Arial" w:cs="Arial"/>
        </w:rPr>
        <w:t xml:space="preserve"> impact SMEs by reducing the available pool of skilled workers, thereby</w:t>
      </w:r>
      <w:r w:rsidRPr="0020798A">
        <w:rPr>
          <w:rFonts w:ascii="Arial" w:hAnsi="Arial" w:cs="Arial"/>
        </w:rPr>
        <w:t xml:space="preserve"> increasing hiring costs and complexity. The increased variability in post-Brexit vacancy levels underscores </w:t>
      </w:r>
      <w:r w:rsidR="008E7A2E" w:rsidRPr="0020798A">
        <w:rPr>
          <w:rFonts w:ascii="Arial" w:hAnsi="Arial" w:cs="Arial"/>
        </w:rPr>
        <w:t>SMEs' heightened uncertainty</w:t>
      </w:r>
      <w:r w:rsidRPr="0020798A">
        <w:rPr>
          <w:rFonts w:ascii="Arial" w:hAnsi="Arial" w:cs="Arial"/>
        </w:rPr>
        <w:t xml:space="preserve"> in staffing, likely due to immigration restrictions and intensified competition for a limited workforce.</w:t>
      </w:r>
    </w:p>
    <w:p w14:paraId="7F7DD3FC" w14:textId="77777777" w:rsidR="00EB70B1" w:rsidRPr="0020798A" w:rsidRDefault="00E53E42" w:rsidP="006C75C4">
      <w:pPr>
        <w:pStyle w:val="Heading3"/>
        <w:spacing w:line="480" w:lineRule="auto"/>
        <w:rPr>
          <w:rFonts w:cs="Arial"/>
        </w:rPr>
      </w:pPr>
      <w:bookmarkStart w:id="23" w:name="_Toc182938012"/>
      <w:r w:rsidRPr="0020798A">
        <w:rPr>
          <w:rFonts w:cs="Arial"/>
        </w:rPr>
        <w:lastRenderedPageBreak/>
        <w:t>Comparison with Literature and Discussion</w:t>
      </w:r>
      <w:bookmarkEnd w:id="23"/>
    </w:p>
    <w:p w14:paraId="193A6A27" w14:textId="6BEF4A8D" w:rsidR="00EB70B1" w:rsidRPr="0020798A" w:rsidRDefault="00E53E42" w:rsidP="005C25C2">
      <w:pPr>
        <w:spacing w:line="360" w:lineRule="auto"/>
        <w:jc w:val="both"/>
        <w:rPr>
          <w:rFonts w:ascii="Arial" w:hAnsi="Arial" w:cs="Arial"/>
        </w:rPr>
      </w:pPr>
      <w:r w:rsidRPr="0020798A">
        <w:rPr>
          <w:rFonts w:ascii="Arial" w:hAnsi="Arial" w:cs="Arial"/>
        </w:rPr>
        <w:t xml:space="preserve">The observed rise in vacancy rates post-Brexit aligns closely with academic literature </w:t>
      </w:r>
      <w:r w:rsidR="008E7A2E" w:rsidRPr="0020798A">
        <w:rPr>
          <w:rFonts w:ascii="Arial" w:hAnsi="Arial" w:cs="Arial"/>
        </w:rPr>
        <w:t>emphasising</w:t>
      </w:r>
      <w:r w:rsidRPr="0020798A">
        <w:rPr>
          <w:rFonts w:ascii="Arial" w:hAnsi="Arial" w:cs="Arial"/>
        </w:rPr>
        <w:t xml:space="preserve"> Brexit’s role in creating </w:t>
      </w:r>
      <w:r w:rsidR="008E7A2E" w:rsidRPr="0020798A">
        <w:rPr>
          <w:rFonts w:ascii="Arial" w:hAnsi="Arial" w:cs="Arial"/>
        </w:rPr>
        <w:t>labour</w:t>
      </w:r>
      <w:r w:rsidRPr="0020798A">
        <w:rPr>
          <w:rFonts w:ascii="Arial" w:hAnsi="Arial" w:cs="Arial"/>
        </w:rPr>
        <w:t xml:space="preserve"> market constraints for SMEs. The increased variance in vacancy levels suggests that SMEs are struggling to fill positions, likely due to Brexit-induced </w:t>
      </w:r>
      <w:r w:rsidR="008E7A2E" w:rsidRPr="0020798A">
        <w:rPr>
          <w:rFonts w:ascii="Arial" w:hAnsi="Arial" w:cs="Arial"/>
        </w:rPr>
        <w:t>labour</w:t>
      </w:r>
      <w:r w:rsidRPr="0020798A">
        <w:rPr>
          <w:rFonts w:ascii="Arial" w:hAnsi="Arial" w:cs="Arial"/>
        </w:rPr>
        <w:t xml:space="preserve"> shortages and heightened competition for talent within the context of changing immigration policies. This interpretation is consistent with </w:t>
      </w:r>
      <w:r w:rsidR="007505AF">
        <w:rPr>
          <w:rFonts w:ascii="Arial" w:hAnsi="Arial" w:cs="Arial"/>
        </w:rPr>
        <w:t>the findings from Gupta et al. (2023), which indicate</w:t>
      </w:r>
      <w:r w:rsidRPr="0020798A">
        <w:rPr>
          <w:rFonts w:ascii="Arial" w:hAnsi="Arial" w:cs="Arial"/>
        </w:rPr>
        <w:t xml:space="preserve"> that Brexit-related regulatory and economic pressures have limited SMEs’ resources for attracting and retaining skilled workers.</w:t>
      </w:r>
    </w:p>
    <w:p w14:paraId="71071A87" w14:textId="3B74EC7B" w:rsidR="00EB70B1" w:rsidRPr="0020798A" w:rsidRDefault="00E53E42" w:rsidP="005C25C2">
      <w:pPr>
        <w:spacing w:line="360" w:lineRule="auto"/>
        <w:jc w:val="both"/>
        <w:rPr>
          <w:rFonts w:ascii="Arial" w:hAnsi="Arial" w:cs="Arial"/>
        </w:rPr>
      </w:pPr>
      <w:r w:rsidRPr="0020798A">
        <w:rPr>
          <w:rFonts w:ascii="Arial" w:hAnsi="Arial" w:cs="Arial"/>
        </w:rPr>
        <w:t xml:space="preserve">Contrary to </w:t>
      </w:r>
      <w:r w:rsidR="005946C3">
        <w:rPr>
          <w:rFonts w:ascii="Arial" w:hAnsi="Arial" w:cs="Arial"/>
        </w:rPr>
        <w:t xml:space="preserve">the </w:t>
      </w:r>
      <w:r w:rsidR="005946C3" w:rsidRPr="005946C3">
        <w:rPr>
          <w:rFonts w:ascii="Arial" w:hAnsi="Arial" w:cs="Arial"/>
        </w:rPr>
        <w:t>(Hutton, 2024</w:t>
      </w:r>
      <w:r w:rsidRPr="0020798A">
        <w:rPr>
          <w:rFonts w:ascii="Arial" w:hAnsi="Arial" w:cs="Arial"/>
        </w:rPr>
        <w:t xml:space="preserve">) suggestion that Brexit might increase local job opportunities by shifting focus to domestic </w:t>
      </w:r>
      <w:r w:rsidR="008E7A2E" w:rsidRPr="0020798A">
        <w:rPr>
          <w:rFonts w:ascii="Arial" w:hAnsi="Arial" w:cs="Arial"/>
        </w:rPr>
        <w:t>labour</w:t>
      </w:r>
      <w:r w:rsidRPr="0020798A">
        <w:rPr>
          <w:rFonts w:ascii="Arial" w:hAnsi="Arial" w:cs="Arial"/>
        </w:rPr>
        <w:t xml:space="preserve">, the persistently high vacancy rates imply that such opportunities have not translated into stable employment within SMEs. Instead, the difficulty in securing and retaining sufficient </w:t>
      </w:r>
      <w:r w:rsidR="008E7A2E" w:rsidRPr="0020798A">
        <w:rPr>
          <w:rFonts w:ascii="Arial" w:hAnsi="Arial" w:cs="Arial"/>
        </w:rPr>
        <w:t>labour</w:t>
      </w:r>
      <w:r w:rsidRPr="0020798A">
        <w:rPr>
          <w:rFonts w:ascii="Arial" w:hAnsi="Arial" w:cs="Arial"/>
        </w:rPr>
        <w:t xml:space="preserve"> appears to have increased operating costs for SMEs, limiting their ability to take advantage of local market opportunities. This finding aligns with the argument made by </w:t>
      </w:r>
      <w:r w:rsidR="005946C3" w:rsidRPr="005946C3">
        <w:rPr>
          <w:rFonts w:ascii="Arial" w:hAnsi="Arial" w:cs="Arial"/>
        </w:rPr>
        <w:t>FSB</w:t>
      </w:r>
      <w:r w:rsidR="005946C3">
        <w:rPr>
          <w:rFonts w:ascii="Arial" w:hAnsi="Arial" w:cs="Arial"/>
        </w:rPr>
        <w:t xml:space="preserve"> (</w:t>
      </w:r>
      <w:r w:rsidR="005946C3" w:rsidRPr="005946C3">
        <w:rPr>
          <w:rFonts w:ascii="Arial" w:hAnsi="Arial" w:cs="Arial"/>
        </w:rPr>
        <w:t>2023)</w:t>
      </w:r>
      <w:r w:rsidR="005946C3">
        <w:rPr>
          <w:rFonts w:ascii="Arial" w:hAnsi="Arial" w:cs="Arial"/>
        </w:rPr>
        <w:t xml:space="preserve"> </w:t>
      </w:r>
      <w:r w:rsidRPr="0020798A">
        <w:rPr>
          <w:rFonts w:ascii="Arial" w:hAnsi="Arial" w:cs="Arial"/>
        </w:rPr>
        <w:t xml:space="preserve">that Brexit has </w:t>
      </w:r>
      <w:r w:rsidR="006C75C4" w:rsidRPr="0020798A">
        <w:rPr>
          <w:rFonts w:ascii="Arial" w:hAnsi="Arial" w:cs="Arial"/>
        </w:rPr>
        <w:t>worsened</w:t>
      </w:r>
      <w:r w:rsidRPr="0020798A">
        <w:rPr>
          <w:rFonts w:ascii="Arial" w:hAnsi="Arial" w:cs="Arial"/>
        </w:rPr>
        <w:t xml:space="preserve"> </w:t>
      </w:r>
      <w:r w:rsidR="008E7A2E" w:rsidRPr="0020798A">
        <w:rPr>
          <w:rFonts w:ascii="Arial" w:hAnsi="Arial" w:cs="Arial"/>
        </w:rPr>
        <w:t>socioeconomic divides, creating labour availability disparities that place additional strain on SMEs, particularly in regions or sectors heavily affected by labour</w:t>
      </w:r>
      <w:r w:rsidRPr="0020798A">
        <w:rPr>
          <w:rFonts w:ascii="Arial" w:hAnsi="Arial" w:cs="Arial"/>
        </w:rPr>
        <w:t xml:space="preserve"> shortages.</w:t>
      </w:r>
    </w:p>
    <w:p w14:paraId="3891AE5F" w14:textId="77777777" w:rsidR="00EB70B1" w:rsidRPr="0020798A" w:rsidRDefault="00E53E42" w:rsidP="006C75C4">
      <w:pPr>
        <w:pStyle w:val="Heading3"/>
        <w:spacing w:line="480" w:lineRule="auto"/>
        <w:rPr>
          <w:rFonts w:cs="Arial"/>
        </w:rPr>
      </w:pPr>
      <w:bookmarkStart w:id="24" w:name="_Toc182938013"/>
      <w:r w:rsidRPr="0020798A">
        <w:rPr>
          <w:rFonts w:cs="Arial"/>
        </w:rPr>
        <w:t>Implications of Findings</w:t>
      </w:r>
      <w:bookmarkEnd w:id="24"/>
    </w:p>
    <w:p w14:paraId="47DB39C5" w14:textId="5532B112" w:rsidR="00EB70B1" w:rsidRPr="0020798A" w:rsidRDefault="00E53E42" w:rsidP="005C25C2">
      <w:pPr>
        <w:spacing w:line="360" w:lineRule="auto"/>
        <w:jc w:val="both"/>
        <w:rPr>
          <w:rFonts w:ascii="Arial" w:hAnsi="Arial" w:cs="Arial"/>
        </w:rPr>
      </w:pPr>
      <w:r w:rsidRPr="0020798A">
        <w:rPr>
          <w:rFonts w:ascii="Arial" w:hAnsi="Arial" w:cs="Arial"/>
        </w:rPr>
        <w:t xml:space="preserve">The higher mean vacancy rates and increased variability in post-Brexit </w:t>
      </w:r>
      <w:r w:rsidR="008E7A2E" w:rsidRPr="0020798A">
        <w:rPr>
          <w:rFonts w:ascii="Arial" w:hAnsi="Arial" w:cs="Arial"/>
        </w:rPr>
        <w:t>labour demand point to a more unstable labour market for SMEs, likely due to Brexit’s impact on labour</w:t>
      </w:r>
      <w:r w:rsidRPr="0020798A">
        <w:rPr>
          <w:rFonts w:ascii="Arial" w:hAnsi="Arial" w:cs="Arial"/>
        </w:rPr>
        <w:t xml:space="preserve"> supply and fluctuations in demand. These findings support Rajan’s (2010) "fault lines" theory, which posits that socio-economic disruptions deepen structural vulnerabilities in sectors like SMEs that depend on flexible and accessible </w:t>
      </w:r>
      <w:r w:rsidR="008E7A2E" w:rsidRPr="0020798A">
        <w:rPr>
          <w:rFonts w:ascii="Arial" w:hAnsi="Arial" w:cs="Arial"/>
        </w:rPr>
        <w:t>labour</w:t>
      </w:r>
      <w:r w:rsidRPr="0020798A">
        <w:rPr>
          <w:rFonts w:ascii="Arial" w:hAnsi="Arial" w:cs="Arial"/>
        </w:rPr>
        <w:t xml:space="preserve"> markets. The significant t-test results reinforce the hypothesis that Brexit has fundamentally reshaped SME employment dynamics, suggesting a need for targeted policies to address </w:t>
      </w:r>
      <w:r w:rsidR="008E7A2E" w:rsidRPr="0020798A">
        <w:rPr>
          <w:rFonts w:ascii="Arial" w:hAnsi="Arial" w:cs="Arial"/>
        </w:rPr>
        <w:t>labour</w:t>
      </w:r>
      <w:r w:rsidRPr="0020798A">
        <w:rPr>
          <w:rFonts w:ascii="Arial" w:hAnsi="Arial" w:cs="Arial"/>
        </w:rPr>
        <w:t xml:space="preserve"> market challenges and </w:t>
      </w:r>
      <w:r w:rsidR="008E7A2E" w:rsidRPr="0020798A">
        <w:rPr>
          <w:rFonts w:ascii="Arial" w:hAnsi="Arial" w:cs="Arial"/>
        </w:rPr>
        <w:t>stabilise</w:t>
      </w:r>
      <w:r w:rsidRPr="0020798A">
        <w:rPr>
          <w:rFonts w:ascii="Arial" w:hAnsi="Arial" w:cs="Arial"/>
        </w:rPr>
        <w:t xml:space="preserve"> employment conditions for SMEs in the post-Brexit landscape.</w:t>
      </w:r>
    </w:p>
    <w:p w14:paraId="40440A71" w14:textId="6CCE3EAF" w:rsidR="00EB70B1" w:rsidRPr="0020798A" w:rsidRDefault="00E53E42" w:rsidP="005C25C2">
      <w:pPr>
        <w:spacing w:line="360" w:lineRule="auto"/>
        <w:jc w:val="both"/>
        <w:rPr>
          <w:rFonts w:ascii="Arial" w:hAnsi="Arial" w:cs="Arial"/>
        </w:rPr>
      </w:pPr>
      <w:r w:rsidRPr="0020798A">
        <w:rPr>
          <w:rFonts w:ascii="Arial" w:hAnsi="Arial" w:cs="Arial"/>
        </w:rPr>
        <w:t xml:space="preserve">These findings indicate that policies focused on </w:t>
      </w:r>
      <w:r w:rsidR="008E7A2E" w:rsidRPr="0020798A">
        <w:rPr>
          <w:rFonts w:ascii="Arial" w:hAnsi="Arial" w:cs="Arial"/>
        </w:rPr>
        <w:t>labour</w:t>
      </w:r>
      <w:r w:rsidRPr="0020798A">
        <w:rPr>
          <w:rFonts w:ascii="Arial" w:hAnsi="Arial" w:cs="Arial"/>
        </w:rPr>
        <w:t xml:space="preserve"> market support and workforce retention could be essential for SMEs to adapt to the new post-Brexit realities. By </w:t>
      </w:r>
      <w:r w:rsidR="008E7A2E" w:rsidRPr="0020798A">
        <w:rPr>
          <w:rFonts w:ascii="Arial" w:hAnsi="Arial" w:cs="Arial"/>
        </w:rPr>
        <w:t>recognising</w:t>
      </w:r>
      <w:r w:rsidRPr="0020798A">
        <w:rPr>
          <w:rFonts w:ascii="Arial" w:hAnsi="Arial" w:cs="Arial"/>
        </w:rPr>
        <w:t xml:space="preserve"> and addressing these employment challenges, policymakers could create a more supportive environment for SMEs, helping them to manage increased vacancy rates and recruitment costs associated with Brexit’s impacts on </w:t>
      </w:r>
      <w:r w:rsidR="008E7A2E" w:rsidRPr="0020798A">
        <w:rPr>
          <w:rFonts w:ascii="Arial" w:hAnsi="Arial" w:cs="Arial"/>
        </w:rPr>
        <w:t>labour</w:t>
      </w:r>
      <w:r w:rsidRPr="0020798A">
        <w:rPr>
          <w:rFonts w:ascii="Arial" w:hAnsi="Arial" w:cs="Arial"/>
        </w:rPr>
        <w:t xml:space="preserve"> mobility and employment regulations.</w:t>
      </w:r>
    </w:p>
    <w:p w14:paraId="3C975BF6" w14:textId="4936F94C" w:rsidR="00A34276" w:rsidRPr="0020798A" w:rsidRDefault="00194E90" w:rsidP="006C75C4">
      <w:pPr>
        <w:pStyle w:val="Heading2"/>
        <w:rPr>
          <w:rFonts w:cs="Arial"/>
          <w:lang w:eastAsia="en-GB"/>
        </w:rPr>
      </w:pPr>
      <w:bookmarkStart w:id="25" w:name="_Toc182938014"/>
      <w:r w:rsidRPr="0020798A">
        <w:rPr>
          <w:rFonts w:cs="Arial"/>
          <w:lang w:eastAsia="en-GB"/>
        </w:rPr>
        <w:lastRenderedPageBreak/>
        <w:t xml:space="preserve">What has been the impact of Brexit on the number of VAT-registered businesses and </w:t>
      </w:r>
      <w:r w:rsidR="00A34276" w:rsidRPr="0020798A">
        <w:rPr>
          <w:rFonts w:cs="Arial"/>
          <w:lang w:eastAsia="en-GB"/>
        </w:rPr>
        <w:t xml:space="preserve">businesses' birth and death rates </w:t>
      </w:r>
      <w:r w:rsidRPr="0020798A">
        <w:rPr>
          <w:rFonts w:cs="Arial"/>
          <w:lang w:eastAsia="en-GB"/>
        </w:rPr>
        <w:t>in the UK?</w:t>
      </w:r>
      <w:bookmarkEnd w:id="25"/>
    </w:p>
    <w:p w14:paraId="055C5713" w14:textId="77777777" w:rsidR="00EB70B1" w:rsidRPr="0020798A" w:rsidRDefault="00E53E42" w:rsidP="006C75C4">
      <w:pPr>
        <w:pStyle w:val="Heading3"/>
        <w:spacing w:line="480" w:lineRule="auto"/>
        <w:rPr>
          <w:rFonts w:cs="Arial"/>
        </w:rPr>
      </w:pPr>
      <w:bookmarkStart w:id="26" w:name="_Toc182938015"/>
      <w:r w:rsidRPr="0020798A">
        <w:rPr>
          <w:rFonts w:cs="Arial"/>
        </w:rPr>
        <w:t>Analysis of VAT-Registered Businesses and Business Entry/Exit Rates Post-Brexit</w:t>
      </w:r>
      <w:bookmarkEnd w:id="26"/>
    </w:p>
    <w:p w14:paraId="0A1C62A9" w14:textId="3A71F19D" w:rsidR="00A34276" w:rsidRPr="0020798A" w:rsidRDefault="00E53E42" w:rsidP="005C25C2">
      <w:pPr>
        <w:spacing w:line="360" w:lineRule="auto"/>
        <w:jc w:val="both"/>
        <w:rPr>
          <w:rFonts w:ascii="Arial" w:hAnsi="Arial" w:cs="Arial"/>
        </w:rPr>
      </w:pPr>
      <w:r w:rsidRPr="0020798A">
        <w:rPr>
          <w:rFonts w:ascii="Arial" w:hAnsi="Arial" w:cs="Arial"/>
        </w:rPr>
        <w:t xml:space="preserve">This section examines the effects of Brexit on the number of VAT-registered businesses in the UK and </w:t>
      </w:r>
      <w:r w:rsidR="008E7A2E" w:rsidRPr="0020798A">
        <w:rPr>
          <w:rFonts w:ascii="Arial" w:hAnsi="Arial" w:cs="Arial"/>
        </w:rPr>
        <w:t xml:space="preserve">businesses' birth and death rates </w:t>
      </w:r>
      <w:r w:rsidRPr="0020798A">
        <w:rPr>
          <w:rFonts w:ascii="Arial" w:hAnsi="Arial" w:cs="Arial"/>
        </w:rPr>
        <w:t xml:space="preserve">from 2014 to 2024. Figures </w:t>
      </w:r>
      <w:r w:rsidR="00A34276" w:rsidRPr="0020798A">
        <w:rPr>
          <w:rFonts w:ascii="Arial" w:hAnsi="Arial" w:cs="Arial"/>
        </w:rPr>
        <w:t>4</w:t>
      </w:r>
      <w:r w:rsidRPr="0020798A">
        <w:rPr>
          <w:rFonts w:ascii="Arial" w:hAnsi="Arial" w:cs="Arial"/>
        </w:rPr>
        <w:t xml:space="preserve"> and </w:t>
      </w:r>
      <w:r w:rsidR="00A34276" w:rsidRPr="0020798A">
        <w:rPr>
          <w:rFonts w:ascii="Arial" w:hAnsi="Arial" w:cs="Arial"/>
        </w:rPr>
        <w:t xml:space="preserve">5 </w:t>
      </w:r>
      <w:r w:rsidRPr="0020798A">
        <w:rPr>
          <w:rFonts w:ascii="Arial" w:hAnsi="Arial" w:cs="Arial"/>
        </w:rPr>
        <w:t xml:space="preserve">present trends in total business numbers </w:t>
      </w:r>
      <w:r w:rsidR="008E7A2E" w:rsidRPr="0020798A">
        <w:rPr>
          <w:rFonts w:ascii="Arial" w:hAnsi="Arial" w:cs="Arial"/>
        </w:rPr>
        <w:t>and</w:t>
      </w:r>
      <w:r w:rsidRPr="0020798A">
        <w:rPr>
          <w:rFonts w:ascii="Arial" w:hAnsi="Arial" w:cs="Arial"/>
        </w:rPr>
        <w:t xml:space="preserve"> birth and death rates before and after the 2016 Brexit referendum, providing insights into the broader economic impact on the UK business landscape.</w:t>
      </w:r>
    </w:p>
    <w:p w14:paraId="10F0B8B6" w14:textId="7DEAD184" w:rsidR="00A34276" w:rsidRPr="0020798A" w:rsidRDefault="00A34276" w:rsidP="005C25C2">
      <w:pPr>
        <w:spacing w:line="360" w:lineRule="auto"/>
        <w:jc w:val="both"/>
        <w:rPr>
          <w:rFonts w:ascii="Arial" w:hAnsi="Arial" w:cs="Arial"/>
        </w:rPr>
      </w:pPr>
      <w:r w:rsidRPr="0020798A">
        <w:rPr>
          <w:rFonts w:ascii="Arial" w:hAnsi="Arial" w:cs="Arial"/>
        </w:rPr>
        <w:t>Number of VAT and/or PAYE businesses between 2014 and 2024</w:t>
      </w:r>
    </w:p>
    <w:p w14:paraId="24498D11" w14:textId="11616F07" w:rsidR="00A34276" w:rsidRPr="0020798A" w:rsidRDefault="00A34276" w:rsidP="005C25C2">
      <w:pPr>
        <w:spacing w:line="360" w:lineRule="auto"/>
        <w:jc w:val="both"/>
        <w:rPr>
          <w:rFonts w:ascii="Arial" w:hAnsi="Arial" w:cs="Arial"/>
        </w:rPr>
      </w:pPr>
      <w:r w:rsidRPr="0020798A">
        <w:rPr>
          <w:rFonts w:ascii="Arial" w:hAnsi="Arial" w:cs="Arial"/>
          <w:noProof/>
        </w:rPr>
        <w:drawing>
          <wp:inline distT="0" distB="0" distL="0" distR="0" wp14:anchorId="3A94E0A9" wp14:editId="6F6B81BE">
            <wp:extent cx="5303520" cy="3162300"/>
            <wp:effectExtent l="0" t="0" r="11430" b="0"/>
            <wp:docPr id="9" name="Chart 9">
              <a:extLst xmlns:a="http://schemas.openxmlformats.org/drawingml/2006/main">
                <a:ext uri="{FF2B5EF4-FFF2-40B4-BE49-F238E27FC236}">
                  <a16:creationId xmlns:a16="http://schemas.microsoft.com/office/drawing/2014/main" id="{5B9B0F81-21FA-49EC-9E7F-168BA0E6E6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9523499" w14:textId="4CA664BE" w:rsidR="00A34276" w:rsidRPr="0020798A" w:rsidRDefault="00A34276" w:rsidP="005C25C2">
      <w:pPr>
        <w:spacing w:line="360" w:lineRule="auto"/>
        <w:jc w:val="both"/>
        <w:rPr>
          <w:rFonts w:ascii="Arial" w:hAnsi="Arial" w:cs="Arial"/>
        </w:rPr>
      </w:pPr>
      <w:r w:rsidRPr="0020798A">
        <w:rPr>
          <w:rFonts w:ascii="Arial" w:hAnsi="Arial" w:cs="Arial"/>
        </w:rPr>
        <w:t xml:space="preserve">Figure 4. </w:t>
      </w:r>
      <w:r w:rsidR="007505AF" w:rsidRPr="007505AF">
        <w:rPr>
          <w:rFonts w:ascii="Arial" w:hAnsi="Arial" w:cs="Arial"/>
        </w:rPr>
        <w:t>(ONS, 2024c)</w:t>
      </w:r>
    </w:p>
    <w:p w14:paraId="3210379D" w14:textId="77777777" w:rsidR="00A34276" w:rsidRPr="0020798A" w:rsidRDefault="00A34276" w:rsidP="005C25C2">
      <w:pPr>
        <w:spacing w:line="360" w:lineRule="auto"/>
        <w:jc w:val="both"/>
        <w:rPr>
          <w:rFonts w:ascii="Arial" w:hAnsi="Arial" w:cs="Arial"/>
        </w:rPr>
      </w:pPr>
    </w:p>
    <w:p w14:paraId="2C849904" w14:textId="77777777" w:rsidR="006C75C4" w:rsidRPr="0020798A" w:rsidRDefault="006C75C4" w:rsidP="005C25C2">
      <w:pPr>
        <w:spacing w:line="360" w:lineRule="auto"/>
        <w:jc w:val="both"/>
        <w:rPr>
          <w:rFonts w:ascii="Arial" w:hAnsi="Arial" w:cs="Arial"/>
        </w:rPr>
      </w:pPr>
    </w:p>
    <w:p w14:paraId="6E68B38E" w14:textId="77777777" w:rsidR="006C75C4" w:rsidRPr="0020798A" w:rsidRDefault="006C75C4" w:rsidP="005C25C2">
      <w:pPr>
        <w:spacing w:line="360" w:lineRule="auto"/>
        <w:jc w:val="both"/>
        <w:rPr>
          <w:rFonts w:ascii="Arial" w:hAnsi="Arial" w:cs="Arial"/>
        </w:rPr>
      </w:pPr>
    </w:p>
    <w:p w14:paraId="18D647CD" w14:textId="77777777" w:rsidR="006C75C4" w:rsidRPr="0020798A" w:rsidRDefault="006C75C4" w:rsidP="005C25C2">
      <w:pPr>
        <w:spacing w:line="360" w:lineRule="auto"/>
        <w:jc w:val="both"/>
        <w:rPr>
          <w:rFonts w:ascii="Arial" w:hAnsi="Arial" w:cs="Arial"/>
        </w:rPr>
      </w:pPr>
    </w:p>
    <w:p w14:paraId="61ED21DA" w14:textId="7D469BDC" w:rsidR="00A34276" w:rsidRPr="0020798A" w:rsidRDefault="00A34276" w:rsidP="005C25C2">
      <w:pPr>
        <w:spacing w:line="360" w:lineRule="auto"/>
        <w:jc w:val="both"/>
        <w:rPr>
          <w:rFonts w:ascii="Arial" w:hAnsi="Arial" w:cs="Arial"/>
        </w:rPr>
      </w:pPr>
      <w:r w:rsidRPr="0020798A">
        <w:rPr>
          <w:rFonts w:ascii="Arial" w:hAnsi="Arial" w:cs="Arial"/>
        </w:rPr>
        <w:lastRenderedPageBreak/>
        <w:t>Birth and death rates of businesses between 2014 and 2022</w:t>
      </w:r>
    </w:p>
    <w:p w14:paraId="562538D7" w14:textId="1CE5D95D" w:rsidR="00A34276" w:rsidRPr="0020798A" w:rsidRDefault="00A34276" w:rsidP="005C25C2">
      <w:pPr>
        <w:spacing w:line="360" w:lineRule="auto"/>
        <w:jc w:val="both"/>
        <w:rPr>
          <w:rFonts w:ascii="Arial" w:hAnsi="Arial" w:cs="Arial"/>
        </w:rPr>
      </w:pPr>
      <w:r w:rsidRPr="0020798A">
        <w:rPr>
          <w:rFonts w:ascii="Arial" w:hAnsi="Arial" w:cs="Arial"/>
          <w:noProof/>
        </w:rPr>
        <w:drawing>
          <wp:inline distT="0" distB="0" distL="0" distR="0" wp14:anchorId="38D0775D" wp14:editId="077CD868">
            <wp:extent cx="5356860" cy="2743200"/>
            <wp:effectExtent l="0" t="0" r="15240" b="0"/>
            <wp:docPr id="10" name="Chart 10">
              <a:extLst xmlns:a="http://schemas.openxmlformats.org/drawingml/2006/main">
                <a:ext uri="{FF2B5EF4-FFF2-40B4-BE49-F238E27FC236}">
                  <a16:creationId xmlns:a16="http://schemas.microsoft.com/office/drawing/2014/main" id="{6C069533-9897-4F12-95C4-AD6390D4FA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172D90" w14:textId="03B92180" w:rsidR="00A34276" w:rsidRPr="0020798A" w:rsidRDefault="00A34276" w:rsidP="005C25C2">
      <w:pPr>
        <w:spacing w:line="360" w:lineRule="auto"/>
        <w:jc w:val="both"/>
        <w:rPr>
          <w:rFonts w:ascii="Arial" w:hAnsi="Arial" w:cs="Arial"/>
        </w:rPr>
      </w:pPr>
      <w:r w:rsidRPr="0020798A">
        <w:rPr>
          <w:rFonts w:ascii="Arial" w:hAnsi="Arial" w:cs="Arial"/>
        </w:rPr>
        <w:t xml:space="preserve">Figure 5. </w:t>
      </w:r>
      <w:r w:rsidR="007505AF" w:rsidRPr="007505AF">
        <w:rPr>
          <w:rFonts w:ascii="Arial" w:hAnsi="Arial" w:cs="Arial"/>
        </w:rPr>
        <w:t>(ONS, 2023a)</w:t>
      </w:r>
    </w:p>
    <w:p w14:paraId="514BFC2F" w14:textId="77777777" w:rsidR="00A34276" w:rsidRPr="0020798A" w:rsidRDefault="00A34276" w:rsidP="006C75C4">
      <w:pPr>
        <w:pStyle w:val="Heading3"/>
        <w:spacing w:line="480" w:lineRule="auto"/>
        <w:rPr>
          <w:rFonts w:cs="Arial"/>
        </w:rPr>
      </w:pPr>
    </w:p>
    <w:p w14:paraId="0B8EEB88" w14:textId="77777777" w:rsidR="00EB70B1" w:rsidRPr="0020798A" w:rsidRDefault="00E53E42" w:rsidP="006C75C4">
      <w:pPr>
        <w:pStyle w:val="Heading3"/>
        <w:spacing w:line="480" w:lineRule="auto"/>
        <w:rPr>
          <w:rFonts w:cs="Arial"/>
        </w:rPr>
      </w:pPr>
      <w:bookmarkStart w:id="27" w:name="_Toc182938016"/>
      <w:r w:rsidRPr="0020798A">
        <w:rPr>
          <w:rFonts w:cs="Arial"/>
        </w:rPr>
        <w:t>Presentation and Interpretation of Results</w:t>
      </w:r>
      <w:bookmarkEnd w:id="27"/>
    </w:p>
    <w:p w14:paraId="04EE76BC" w14:textId="04F7923B" w:rsidR="00EB70B1" w:rsidRPr="0020798A" w:rsidRDefault="00E53E42" w:rsidP="005C25C2">
      <w:pPr>
        <w:spacing w:line="360" w:lineRule="auto"/>
        <w:jc w:val="both"/>
        <w:rPr>
          <w:rFonts w:ascii="Arial" w:hAnsi="Arial" w:cs="Arial"/>
        </w:rPr>
      </w:pPr>
      <w:r w:rsidRPr="0020798A">
        <w:rPr>
          <w:rFonts w:ascii="Arial" w:hAnsi="Arial" w:cs="Arial"/>
        </w:rPr>
        <w:t>VAT-Registered Businesses: From 2014 to 2019, the number of VAT-registered businesses in the UK grew consistently, rising from 2.36 million in 2014 to approximately 2.72 million by 2019</w:t>
      </w:r>
      <w:r w:rsidR="007505AF" w:rsidRPr="007505AF">
        <w:t xml:space="preserve"> </w:t>
      </w:r>
      <w:r w:rsidR="007505AF" w:rsidRPr="007505AF">
        <w:rPr>
          <w:rFonts w:ascii="Arial" w:hAnsi="Arial" w:cs="Arial"/>
        </w:rPr>
        <w:t>(ONS, 2024c)</w:t>
      </w:r>
      <w:r w:rsidRPr="0020798A">
        <w:rPr>
          <w:rFonts w:ascii="Arial" w:hAnsi="Arial" w:cs="Arial"/>
        </w:rPr>
        <w:t>. This period reflects a stable, pre-Brexit economic environment that</w:t>
      </w:r>
      <w:r w:rsidR="006C75C4" w:rsidRPr="0020798A">
        <w:rPr>
          <w:rFonts w:ascii="Arial" w:hAnsi="Arial" w:cs="Arial"/>
        </w:rPr>
        <w:t xml:space="preserve"> benefited business formation and expansion, as noted by </w:t>
      </w:r>
      <w:r w:rsidR="0011782E" w:rsidRPr="0011782E">
        <w:rPr>
          <w:rFonts w:ascii="Arial" w:hAnsi="Arial" w:cs="Arial"/>
        </w:rPr>
        <w:t>(</w:t>
      </w:r>
      <w:proofErr w:type="spellStart"/>
      <w:r w:rsidR="0011782E" w:rsidRPr="0011782E">
        <w:rPr>
          <w:rFonts w:ascii="Arial" w:hAnsi="Arial" w:cs="Arial"/>
        </w:rPr>
        <w:t>Blundel</w:t>
      </w:r>
      <w:proofErr w:type="spellEnd"/>
      <w:r w:rsidR="0011782E" w:rsidRPr="0011782E">
        <w:rPr>
          <w:rFonts w:ascii="Arial" w:hAnsi="Arial" w:cs="Arial"/>
        </w:rPr>
        <w:t>, Lockett and Wang, 2017)</w:t>
      </w:r>
      <w:r w:rsidRPr="0020798A">
        <w:rPr>
          <w:rFonts w:ascii="Arial" w:hAnsi="Arial" w:cs="Arial"/>
        </w:rPr>
        <w:t xml:space="preserve">. The positive trend continued until 2021, peaking at around 2.77 million. However, from 2022 onward, VAT-registered businesses </w:t>
      </w:r>
      <w:r w:rsidR="008E7A2E" w:rsidRPr="0020798A">
        <w:rPr>
          <w:rFonts w:ascii="Arial" w:hAnsi="Arial" w:cs="Arial"/>
        </w:rPr>
        <w:t>declined</w:t>
      </w:r>
      <w:r w:rsidRPr="0020798A">
        <w:rPr>
          <w:rFonts w:ascii="Arial" w:hAnsi="Arial" w:cs="Arial"/>
        </w:rPr>
        <w:t>, falling back to around 2.72 million by 2024</w:t>
      </w:r>
      <w:r w:rsidR="007505AF" w:rsidRPr="007505AF">
        <w:t xml:space="preserve"> </w:t>
      </w:r>
      <w:r w:rsidR="007505AF" w:rsidRPr="007505AF">
        <w:rPr>
          <w:rFonts w:ascii="Arial" w:hAnsi="Arial" w:cs="Arial"/>
        </w:rPr>
        <w:t>(ONS, 2024c)</w:t>
      </w:r>
      <w:r w:rsidRPr="0020798A">
        <w:rPr>
          <w:rFonts w:ascii="Arial" w:hAnsi="Arial" w:cs="Arial"/>
        </w:rPr>
        <w:t>. This post-Brexit decline suggests an increasingly challenging business environment, likely compounded by Brexit-related uncertainties and rising operational costs.</w:t>
      </w:r>
    </w:p>
    <w:p w14:paraId="4B4DB1DC" w14:textId="6F5C0B58" w:rsidR="00EB70B1" w:rsidRPr="0020798A" w:rsidRDefault="00E53E42" w:rsidP="005C25C2">
      <w:pPr>
        <w:spacing w:line="360" w:lineRule="auto"/>
        <w:jc w:val="both"/>
        <w:rPr>
          <w:rFonts w:ascii="Arial" w:hAnsi="Arial" w:cs="Arial"/>
        </w:rPr>
      </w:pPr>
      <w:r w:rsidRPr="0020798A">
        <w:rPr>
          <w:rFonts w:ascii="Arial" w:hAnsi="Arial" w:cs="Arial"/>
        </w:rPr>
        <w:t xml:space="preserve">The drop in VAT-registered businesses aligns with findings by </w:t>
      </w:r>
      <w:r w:rsidR="0011782E" w:rsidRPr="0011782E">
        <w:rPr>
          <w:rFonts w:ascii="Arial" w:hAnsi="Arial" w:cs="Arial"/>
        </w:rPr>
        <w:t>Gupta et al.</w:t>
      </w:r>
      <w:r w:rsidR="0011782E">
        <w:rPr>
          <w:rFonts w:ascii="Arial" w:hAnsi="Arial" w:cs="Arial"/>
        </w:rPr>
        <w:t xml:space="preserve"> (2023) and </w:t>
      </w:r>
      <w:proofErr w:type="spellStart"/>
      <w:r w:rsidR="0011782E">
        <w:rPr>
          <w:rFonts w:ascii="Arial" w:hAnsi="Arial" w:cs="Arial"/>
        </w:rPr>
        <w:t>Brakman</w:t>
      </w:r>
      <w:proofErr w:type="spellEnd"/>
      <w:r w:rsidR="0011782E">
        <w:rPr>
          <w:rFonts w:ascii="Arial" w:hAnsi="Arial" w:cs="Arial"/>
        </w:rPr>
        <w:t xml:space="preserve">, </w:t>
      </w:r>
      <w:proofErr w:type="spellStart"/>
      <w:r w:rsidR="0011782E">
        <w:rPr>
          <w:rFonts w:ascii="Arial" w:hAnsi="Arial" w:cs="Arial"/>
        </w:rPr>
        <w:t>Garretsen</w:t>
      </w:r>
      <w:proofErr w:type="spellEnd"/>
      <w:r w:rsidR="0011782E">
        <w:rPr>
          <w:rFonts w:ascii="Arial" w:hAnsi="Arial" w:cs="Arial"/>
        </w:rPr>
        <w:t xml:space="preserve"> and Kohl (2023), </w:t>
      </w:r>
      <w:r w:rsidRPr="0020798A">
        <w:rPr>
          <w:rFonts w:ascii="Arial" w:hAnsi="Arial" w:cs="Arial"/>
        </w:rPr>
        <w:t>who argue that Brexit has introduced new regulatory complexities and limited market access, affecting small and medium-sized enterprises (SMEs) in particular. Although businesses saw some growth immediately after Brexit—possibly reflecting adaptation efforts and delayed impacts</w:t>
      </w:r>
      <w:r w:rsidR="006C75C4" w:rsidRPr="0020798A">
        <w:rPr>
          <w:rFonts w:ascii="Arial" w:hAnsi="Arial" w:cs="Arial"/>
        </w:rPr>
        <w:t xml:space="preserve"> </w:t>
      </w:r>
      <w:r w:rsidRPr="0020798A">
        <w:rPr>
          <w:rFonts w:ascii="Arial" w:hAnsi="Arial" w:cs="Arial"/>
        </w:rPr>
        <w:t xml:space="preserve">the long-term trend shows a </w:t>
      </w:r>
      <w:r w:rsidRPr="0020798A">
        <w:rPr>
          <w:rFonts w:ascii="Arial" w:hAnsi="Arial" w:cs="Arial"/>
        </w:rPr>
        <w:lastRenderedPageBreak/>
        <w:t xml:space="preserve">decrease in registered enterprises. This decline may indicate increased closures and </w:t>
      </w:r>
      <w:r w:rsidR="008E7A2E" w:rsidRPr="0020798A">
        <w:rPr>
          <w:rFonts w:ascii="Arial" w:hAnsi="Arial" w:cs="Arial"/>
        </w:rPr>
        <w:t>reduced</w:t>
      </w:r>
      <w:r w:rsidRPr="0020798A">
        <w:rPr>
          <w:rFonts w:ascii="Arial" w:hAnsi="Arial" w:cs="Arial"/>
        </w:rPr>
        <w:t xml:space="preserve"> new business entries as firms navigate post-Brexit economic conditions.</w:t>
      </w:r>
    </w:p>
    <w:p w14:paraId="7EAD1B29" w14:textId="2D1E4A1D" w:rsidR="00EB70B1" w:rsidRPr="0020798A" w:rsidRDefault="00E53E42" w:rsidP="005C25C2">
      <w:pPr>
        <w:spacing w:line="360" w:lineRule="auto"/>
        <w:jc w:val="both"/>
        <w:rPr>
          <w:rFonts w:ascii="Arial" w:hAnsi="Arial" w:cs="Arial"/>
        </w:rPr>
      </w:pPr>
      <w:r w:rsidRPr="0020798A">
        <w:rPr>
          <w:rFonts w:ascii="Arial" w:hAnsi="Arial" w:cs="Arial"/>
        </w:rPr>
        <w:t>Business Birth and Death Rates: Examining business birth and death rates further illuminates the effects of Brexit. Between 2014 and 2016, birth rates remained relatively high, peaking at 14.6% in 2016, while death rates fluctuated between 9.7% and 10.4%</w:t>
      </w:r>
      <w:r w:rsidR="007505AF" w:rsidRPr="007505AF">
        <w:t xml:space="preserve"> </w:t>
      </w:r>
      <w:r w:rsidR="007505AF" w:rsidRPr="007505AF">
        <w:rPr>
          <w:rFonts w:ascii="Arial" w:hAnsi="Arial" w:cs="Arial"/>
        </w:rPr>
        <w:t>(ONS, 2023a)</w:t>
      </w:r>
      <w:r w:rsidRPr="0020798A">
        <w:rPr>
          <w:rFonts w:ascii="Arial" w:hAnsi="Arial" w:cs="Arial"/>
        </w:rPr>
        <w:t xml:space="preserve">. This period represents a </w:t>
      </w:r>
      <w:r w:rsidR="008E7A2E" w:rsidRPr="0020798A">
        <w:rPr>
          <w:rFonts w:ascii="Arial" w:hAnsi="Arial" w:cs="Arial"/>
        </w:rPr>
        <w:t>favourable</w:t>
      </w:r>
      <w:r w:rsidRPr="0020798A">
        <w:rPr>
          <w:rFonts w:ascii="Arial" w:hAnsi="Arial" w:cs="Arial"/>
        </w:rPr>
        <w:t xml:space="preserve"> environment for new business formation, with the birth rate consistently exceeding the death rate. However, from 2017 onward, birth rates declined, falling to 12.5%, while the death rate rose to 11.7%. This shift indicates that Brexit-induced uncertainties began to inhibit new business formations while contributing to higher closure rates</w:t>
      </w:r>
      <w:r w:rsidR="007505AF" w:rsidRPr="007505AF">
        <w:t xml:space="preserve"> </w:t>
      </w:r>
      <w:r w:rsidR="007505AF" w:rsidRPr="007505AF">
        <w:rPr>
          <w:rFonts w:ascii="Arial" w:hAnsi="Arial" w:cs="Arial"/>
        </w:rPr>
        <w:t>(ONS, 2023a)</w:t>
      </w:r>
      <w:r w:rsidRPr="0020798A">
        <w:rPr>
          <w:rFonts w:ascii="Arial" w:hAnsi="Arial" w:cs="Arial"/>
        </w:rPr>
        <w:t>.</w:t>
      </w:r>
    </w:p>
    <w:p w14:paraId="51F7F6B8" w14:textId="7BA473AE" w:rsidR="00EB70B1" w:rsidRPr="0020798A" w:rsidRDefault="00E53E42" w:rsidP="005C25C2">
      <w:pPr>
        <w:spacing w:line="360" w:lineRule="auto"/>
        <w:jc w:val="both"/>
        <w:rPr>
          <w:rFonts w:ascii="Arial" w:hAnsi="Arial" w:cs="Arial"/>
        </w:rPr>
      </w:pPr>
      <w:r w:rsidRPr="0020798A">
        <w:rPr>
          <w:rFonts w:ascii="Arial" w:hAnsi="Arial" w:cs="Arial"/>
        </w:rPr>
        <w:t xml:space="preserve">The trend observed from 2017 onward is consistent with findings by </w:t>
      </w:r>
      <w:r w:rsidR="0011782E" w:rsidRPr="0011782E">
        <w:rPr>
          <w:rFonts w:ascii="Arial" w:hAnsi="Arial" w:cs="Arial"/>
        </w:rPr>
        <w:t xml:space="preserve">FSB </w:t>
      </w:r>
      <w:r w:rsidR="0011782E">
        <w:rPr>
          <w:rFonts w:ascii="Arial" w:hAnsi="Arial" w:cs="Arial"/>
        </w:rPr>
        <w:t>(</w:t>
      </w:r>
      <w:r w:rsidR="0011782E" w:rsidRPr="0011782E">
        <w:rPr>
          <w:rFonts w:ascii="Arial" w:hAnsi="Arial" w:cs="Arial"/>
        </w:rPr>
        <w:t>2021</w:t>
      </w:r>
      <w:proofErr w:type="gramStart"/>
      <w:r w:rsidR="0011782E" w:rsidRPr="0011782E">
        <w:rPr>
          <w:rFonts w:ascii="Arial" w:hAnsi="Arial" w:cs="Arial"/>
        </w:rPr>
        <w:t>)</w:t>
      </w:r>
      <w:r w:rsidR="0011782E">
        <w:rPr>
          <w:rFonts w:ascii="Arial" w:hAnsi="Arial" w:cs="Arial"/>
        </w:rPr>
        <w:t>,  which</w:t>
      </w:r>
      <w:proofErr w:type="gramEnd"/>
      <w:r w:rsidRPr="0020798A">
        <w:rPr>
          <w:rFonts w:ascii="Arial" w:hAnsi="Arial" w:cs="Arial"/>
        </w:rPr>
        <w:t xml:space="preserve"> identified Brexit as a source of substantial challenges for SMEs, especially those reliant on EU market access and </w:t>
      </w:r>
      <w:r w:rsidR="008E7A2E" w:rsidRPr="0020798A">
        <w:rPr>
          <w:rFonts w:ascii="Arial" w:hAnsi="Arial" w:cs="Arial"/>
        </w:rPr>
        <w:t>labour</w:t>
      </w:r>
      <w:r w:rsidRPr="0020798A">
        <w:rPr>
          <w:rFonts w:ascii="Arial" w:hAnsi="Arial" w:cs="Arial"/>
        </w:rPr>
        <w:t>. By 2022, the death rate had climbed to 11.8%, surpassing the birth rate, which had fallen to 11.5%</w:t>
      </w:r>
      <w:r w:rsidR="007505AF" w:rsidRPr="007505AF">
        <w:t xml:space="preserve"> </w:t>
      </w:r>
      <w:r w:rsidR="007505AF" w:rsidRPr="007505AF">
        <w:rPr>
          <w:rFonts w:ascii="Arial" w:hAnsi="Arial" w:cs="Arial"/>
        </w:rPr>
        <w:t>(ONS, 2023a)</w:t>
      </w:r>
      <w:r w:rsidRPr="0020798A">
        <w:rPr>
          <w:rFonts w:ascii="Arial" w:hAnsi="Arial" w:cs="Arial"/>
        </w:rPr>
        <w:t xml:space="preserve">. This sustained trend, where deaths outpace births, suggests that business sustainability has become increasingly difficult in the post-Brexit period, as </w:t>
      </w:r>
      <w:r w:rsidR="007505AF">
        <w:rPr>
          <w:rFonts w:ascii="Arial" w:hAnsi="Arial" w:cs="Arial"/>
        </w:rPr>
        <w:t>Hutton (2024) and ONS (2024b) described</w:t>
      </w:r>
      <w:r w:rsidR="0011782E">
        <w:rPr>
          <w:rFonts w:ascii="Arial" w:hAnsi="Arial" w:cs="Arial"/>
        </w:rPr>
        <w:t xml:space="preserve">. </w:t>
      </w:r>
      <w:r w:rsidRPr="0020798A">
        <w:rPr>
          <w:rFonts w:ascii="Arial" w:hAnsi="Arial" w:cs="Arial"/>
        </w:rPr>
        <w:t xml:space="preserve">Their research highlights how Brexit’s added uncertainty and operational costs have impacted </w:t>
      </w:r>
      <w:r w:rsidR="008E7A2E" w:rsidRPr="0020798A">
        <w:rPr>
          <w:rFonts w:ascii="Arial" w:hAnsi="Arial" w:cs="Arial"/>
        </w:rPr>
        <w:t>SMEs' financial stability and longevity</w:t>
      </w:r>
      <w:r w:rsidRPr="0020798A">
        <w:rPr>
          <w:rFonts w:ascii="Arial" w:hAnsi="Arial" w:cs="Arial"/>
        </w:rPr>
        <w:t>.</w:t>
      </w:r>
    </w:p>
    <w:p w14:paraId="30C0D061" w14:textId="77777777" w:rsidR="00EB70B1" w:rsidRPr="0020798A" w:rsidRDefault="00E53E42" w:rsidP="006C75C4">
      <w:pPr>
        <w:pStyle w:val="Heading3"/>
        <w:spacing w:line="480" w:lineRule="auto"/>
        <w:rPr>
          <w:rFonts w:cs="Arial"/>
        </w:rPr>
      </w:pPr>
      <w:bookmarkStart w:id="28" w:name="_Toc182938017"/>
      <w:r w:rsidRPr="0020798A">
        <w:rPr>
          <w:rFonts w:cs="Arial"/>
        </w:rPr>
        <w:t>Comparative Analysis and Linkage with Literature</w:t>
      </w:r>
      <w:bookmarkEnd w:id="28"/>
    </w:p>
    <w:p w14:paraId="7006E36A" w14:textId="2CF2933F" w:rsidR="00EB70B1" w:rsidRPr="0020798A" w:rsidRDefault="00E53E42" w:rsidP="005C25C2">
      <w:pPr>
        <w:spacing w:line="360" w:lineRule="auto"/>
        <w:jc w:val="both"/>
        <w:rPr>
          <w:rFonts w:ascii="Arial" w:hAnsi="Arial" w:cs="Arial"/>
        </w:rPr>
      </w:pPr>
      <w:r w:rsidRPr="0020798A">
        <w:rPr>
          <w:rFonts w:ascii="Arial" w:hAnsi="Arial" w:cs="Arial"/>
        </w:rPr>
        <w:t xml:space="preserve">The observed trends align with Rajan’s (2010) "fault lines" theory, which proposes that socio-economic disruptions expose and amplify structural vulnerabilities, particularly within sectors like SMEs that depend on cross-border trade and </w:t>
      </w:r>
      <w:r w:rsidR="008E7A2E" w:rsidRPr="0020798A">
        <w:rPr>
          <w:rFonts w:ascii="Arial" w:hAnsi="Arial" w:cs="Arial"/>
        </w:rPr>
        <w:t>labour</w:t>
      </w:r>
      <w:r w:rsidRPr="0020798A">
        <w:rPr>
          <w:rFonts w:ascii="Arial" w:hAnsi="Arial" w:cs="Arial"/>
        </w:rPr>
        <w:t xml:space="preserve">. The marked decline in business birth rates and the rise in death rates post-Brexit support this theory, indicating that Brexit’s regulatory and operational challenges have disproportionately affected smaller businesses. Additionally, research by </w:t>
      </w:r>
      <w:r w:rsidR="0011782E" w:rsidRPr="0011782E">
        <w:rPr>
          <w:rFonts w:ascii="Arial" w:hAnsi="Arial" w:cs="Arial"/>
        </w:rPr>
        <w:t xml:space="preserve">Cowling and Brown </w:t>
      </w:r>
      <w:r w:rsidR="0011782E">
        <w:rPr>
          <w:rFonts w:ascii="Arial" w:hAnsi="Arial" w:cs="Arial"/>
        </w:rPr>
        <w:t>(</w:t>
      </w:r>
      <w:r w:rsidR="0011782E" w:rsidRPr="0011782E">
        <w:rPr>
          <w:rFonts w:ascii="Arial" w:hAnsi="Arial" w:cs="Arial"/>
        </w:rPr>
        <w:t>2024)</w:t>
      </w:r>
      <w:r w:rsidR="0011782E">
        <w:rPr>
          <w:rFonts w:ascii="Arial" w:hAnsi="Arial" w:cs="Arial"/>
        </w:rPr>
        <w:t xml:space="preserve"> </w:t>
      </w:r>
      <w:r w:rsidRPr="0020798A">
        <w:rPr>
          <w:rFonts w:ascii="Arial" w:hAnsi="Arial" w:cs="Arial"/>
        </w:rPr>
        <w:t>underscores that Brexit-induced economic nationalism has contributed to a more complex regulatory environment, a trend mirrored in the data showing fewer new business formations and more closures.</w:t>
      </w:r>
    </w:p>
    <w:p w14:paraId="534F52F7" w14:textId="276D7520" w:rsidR="00EB70B1" w:rsidRPr="0020798A" w:rsidRDefault="00E53E42" w:rsidP="005C25C2">
      <w:pPr>
        <w:spacing w:line="360" w:lineRule="auto"/>
        <w:jc w:val="both"/>
        <w:rPr>
          <w:rFonts w:ascii="Arial" w:hAnsi="Arial" w:cs="Arial"/>
        </w:rPr>
      </w:pPr>
      <w:r w:rsidRPr="0020798A">
        <w:rPr>
          <w:rFonts w:ascii="Arial" w:hAnsi="Arial" w:cs="Arial"/>
        </w:rPr>
        <w:t xml:space="preserve">In contrast, </w:t>
      </w:r>
      <w:r w:rsidR="0011782E" w:rsidRPr="0011782E">
        <w:rPr>
          <w:rFonts w:ascii="Arial" w:hAnsi="Arial" w:cs="Arial"/>
        </w:rPr>
        <w:t xml:space="preserve">Gamble </w:t>
      </w:r>
      <w:r w:rsidR="0011782E">
        <w:rPr>
          <w:rFonts w:ascii="Arial" w:hAnsi="Arial" w:cs="Arial"/>
        </w:rPr>
        <w:t>(</w:t>
      </w:r>
      <w:r w:rsidR="0011782E" w:rsidRPr="0011782E">
        <w:rPr>
          <w:rFonts w:ascii="Arial" w:hAnsi="Arial" w:cs="Arial"/>
        </w:rPr>
        <w:t>2018)</w:t>
      </w:r>
      <w:r w:rsidR="0011782E">
        <w:rPr>
          <w:rFonts w:ascii="Arial" w:hAnsi="Arial" w:cs="Arial"/>
        </w:rPr>
        <w:t xml:space="preserve"> </w:t>
      </w:r>
      <w:r w:rsidRPr="0020798A">
        <w:rPr>
          <w:rFonts w:ascii="Arial" w:hAnsi="Arial" w:cs="Arial"/>
        </w:rPr>
        <w:t xml:space="preserve">suggested that Brexit could create opportunities for local businesses by reducing reliance on EU supply chains and fostering a focus on domestic markets. However, the steady decline in VAT-registered </w:t>
      </w:r>
      <w:r w:rsidR="008E7A2E" w:rsidRPr="0020798A">
        <w:rPr>
          <w:rFonts w:ascii="Arial" w:hAnsi="Arial" w:cs="Arial"/>
        </w:rPr>
        <w:t>companies</w:t>
      </w:r>
      <w:r w:rsidRPr="0020798A">
        <w:rPr>
          <w:rFonts w:ascii="Arial" w:hAnsi="Arial" w:cs="Arial"/>
        </w:rPr>
        <w:t xml:space="preserve"> from 2022 to 2024 suggests that the anticipated benefits of local market orientation have not been sufficient </w:t>
      </w:r>
      <w:r w:rsidRPr="0020798A">
        <w:rPr>
          <w:rFonts w:ascii="Arial" w:hAnsi="Arial" w:cs="Arial"/>
        </w:rPr>
        <w:lastRenderedPageBreak/>
        <w:t xml:space="preserve">to counteract Brexit’s adverse effects. Instead, the data reflects a post-Brexit environment where SMEs face higher operational costs and increased competition. These findings align with </w:t>
      </w:r>
      <w:r w:rsidR="0011782E" w:rsidRPr="0011782E">
        <w:rPr>
          <w:rFonts w:ascii="Arial" w:hAnsi="Arial" w:cs="Arial"/>
        </w:rPr>
        <w:t xml:space="preserve">FSB </w:t>
      </w:r>
      <w:r w:rsidR="0011782E">
        <w:rPr>
          <w:rFonts w:ascii="Arial" w:hAnsi="Arial" w:cs="Arial"/>
        </w:rPr>
        <w:t>(</w:t>
      </w:r>
      <w:r w:rsidR="0011782E" w:rsidRPr="0011782E">
        <w:rPr>
          <w:rFonts w:ascii="Arial" w:hAnsi="Arial" w:cs="Arial"/>
        </w:rPr>
        <w:t>2023)</w:t>
      </w:r>
      <w:r w:rsidR="007505AF">
        <w:rPr>
          <w:rFonts w:ascii="Arial" w:hAnsi="Arial" w:cs="Arial"/>
        </w:rPr>
        <w:t>,</w:t>
      </w:r>
      <w:r w:rsidR="0011782E">
        <w:rPr>
          <w:rFonts w:ascii="Arial" w:hAnsi="Arial" w:cs="Arial"/>
        </w:rPr>
        <w:t xml:space="preserve"> </w:t>
      </w:r>
      <w:r w:rsidRPr="0020798A">
        <w:rPr>
          <w:rFonts w:ascii="Arial" w:hAnsi="Arial" w:cs="Arial"/>
        </w:rPr>
        <w:t xml:space="preserve">which documented that SMEs </w:t>
      </w:r>
      <w:r w:rsidR="008E7A2E" w:rsidRPr="0020798A">
        <w:rPr>
          <w:rFonts w:ascii="Arial" w:hAnsi="Arial" w:cs="Arial"/>
        </w:rPr>
        <w:t>face</w:t>
      </w:r>
      <w:r w:rsidRPr="0020798A">
        <w:rPr>
          <w:rFonts w:ascii="Arial" w:hAnsi="Arial" w:cs="Arial"/>
        </w:rPr>
        <w:t xml:space="preserve"> escalating operational burdens post-Brexit.</w:t>
      </w:r>
    </w:p>
    <w:p w14:paraId="0C69007D" w14:textId="4DCAF877" w:rsidR="00EB70B1" w:rsidRPr="0020798A" w:rsidRDefault="00E53E42" w:rsidP="005C25C2">
      <w:pPr>
        <w:spacing w:line="360" w:lineRule="auto"/>
        <w:jc w:val="both"/>
        <w:rPr>
          <w:rFonts w:ascii="Arial" w:hAnsi="Arial" w:cs="Arial"/>
        </w:rPr>
      </w:pPr>
      <w:r w:rsidRPr="0020798A">
        <w:rPr>
          <w:rFonts w:ascii="Arial" w:hAnsi="Arial" w:cs="Arial"/>
        </w:rPr>
        <w:t xml:space="preserve">The data from 2014 to 2024 shows a clear impact of Brexit on the number of VAT-registered businesses and </w:t>
      </w:r>
      <w:r w:rsidR="008E7A2E" w:rsidRPr="0020798A">
        <w:rPr>
          <w:rFonts w:ascii="Arial" w:hAnsi="Arial" w:cs="Arial"/>
        </w:rPr>
        <w:t>UK enterprises' birth and death rates</w:t>
      </w:r>
      <w:r w:rsidRPr="0020798A">
        <w:rPr>
          <w:rFonts w:ascii="Arial" w:hAnsi="Arial" w:cs="Arial"/>
        </w:rPr>
        <w:t xml:space="preserve">. While the pre-Brexit environment supported business growth and higher birth rates, the post-Brexit period has seen declines in VAT registrations, </w:t>
      </w:r>
      <w:r w:rsidR="008E7A2E" w:rsidRPr="0020798A">
        <w:rPr>
          <w:rFonts w:ascii="Arial" w:hAnsi="Arial" w:cs="Arial"/>
        </w:rPr>
        <w:t>reduced new business formations, and increased</w:t>
      </w:r>
      <w:r w:rsidRPr="0020798A">
        <w:rPr>
          <w:rFonts w:ascii="Arial" w:hAnsi="Arial" w:cs="Arial"/>
        </w:rPr>
        <w:t xml:space="preserve"> closures. These trends underscore the structural challenges SMEs </w:t>
      </w:r>
      <w:r w:rsidR="008E7A2E" w:rsidRPr="0020798A">
        <w:rPr>
          <w:rFonts w:ascii="Arial" w:hAnsi="Arial" w:cs="Arial"/>
        </w:rPr>
        <w:t>face</w:t>
      </w:r>
      <w:r w:rsidRPr="0020798A">
        <w:rPr>
          <w:rFonts w:ascii="Arial" w:hAnsi="Arial" w:cs="Arial"/>
        </w:rPr>
        <w:t xml:space="preserve"> in the current regulatory and economic landscape, </w:t>
      </w:r>
      <w:r w:rsidR="008E7A2E" w:rsidRPr="0020798A">
        <w:rPr>
          <w:rFonts w:ascii="Arial" w:hAnsi="Arial" w:cs="Arial"/>
        </w:rPr>
        <w:t>emphasising</w:t>
      </w:r>
      <w:r w:rsidRPr="0020798A">
        <w:rPr>
          <w:rFonts w:ascii="Arial" w:hAnsi="Arial" w:cs="Arial"/>
        </w:rPr>
        <w:t xml:space="preserve"> the need for targeted support and policy </w:t>
      </w:r>
      <w:r w:rsidR="00E4774B" w:rsidRPr="0020798A">
        <w:rPr>
          <w:rFonts w:ascii="Arial" w:hAnsi="Arial" w:cs="Arial"/>
        </w:rPr>
        <w:t>changes</w:t>
      </w:r>
      <w:r w:rsidRPr="0020798A">
        <w:rPr>
          <w:rFonts w:ascii="Arial" w:hAnsi="Arial" w:cs="Arial"/>
        </w:rPr>
        <w:t xml:space="preserve"> to mitigate the negative impacts on the UK’s SME sector. The findings align with Rajan’s (2010) "fault lines" theory and reinforce existing literature highlighting the critical challenges that Brexit poses to business sustainability in the UK.</w:t>
      </w:r>
    </w:p>
    <w:p w14:paraId="7EAAD8F9" w14:textId="77777777" w:rsidR="00E4774B" w:rsidRPr="0020798A" w:rsidRDefault="00E4774B" w:rsidP="005C25C2">
      <w:pPr>
        <w:spacing w:line="360" w:lineRule="auto"/>
        <w:jc w:val="both"/>
        <w:rPr>
          <w:rFonts w:ascii="Arial" w:hAnsi="Arial" w:cs="Arial"/>
        </w:rPr>
      </w:pPr>
    </w:p>
    <w:p w14:paraId="334463CC" w14:textId="77777777" w:rsidR="00EB70B1" w:rsidRPr="0020798A" w:rsidRDefault="00E53E42" w:rsidP="00E4774B">
      <w:pPr>
        <w:pStyle w:val="Heading1"/>
        <w:spacing w:line="480" w:lineRule="auto"/>
        <w:rPr>
          <w:rFonts w:cs="Arial"/>
        </w:rPr>
      </w:pPr>
      <w:bookmarkStart w:id="29" w:name="_Toc182938018"/>
      <w:r w:rsidRPr="0020798A">
        <w:rPr>
          <w:rFonts w:cs="Arial"/>
        </w:rPr>
        <w:t>Conclusion and Recommendations</w:t>
      </w:r>
      <w:bookmarkEnd w:id="29"/>
    </w:p>
    <w:p w14:paraId="61B55F46" w14:textId="02C3DF66" w:rsidR="00EB70B1" w:rsidRPr="0020798A" w:rsidRDefault="00E53E42" w:rsidP="005C25C2">
      <w:pPr>
        <w:spacing w:line="360" w:lineRule="auto"/>
        <w:jc w:val="both"/>
        <w:rPr>
          <w:rFonts w:ascii="Arial" w:hAnsi="Arial" w:cs="Arial"/>
        </w:rPr>
      </w:pPr>
      <w:r w:rsidRPr="0020798A">
        <w:rPr>
          <w:rFonts w:ascii="Arial" w:hAnsi="Arial" w:cs="Arial"/>
        </w:rPr>
        <w:t xml:space="preserve">This study highlights the significant challenges that Brexit has posed for small and medium-sized enterprises (SMEs) in the UK, reshaping their economic, regulatory, and </w:t>
      </w:r>
      <w:r w:rsidR="008E7A2E" w:rsidRPr="0020798A">
        <w:rPr>
          <w:rFonts w:ascii="Arial" w:hAnsi="Arial" w:cs="Arial"/>
        </w:rPr>
        <w:t>labour</w:t>
      </w:r>
      <w:r w:rsidRPr="0020798A">
        <w:rPr>
          <w:rFonts w:ascii="Arial" w:hAnsi="Arial" w:cs="Arial"/>
        </w:rPr>
        <w:t xml:space="preserve"> landscapes. SMEs, </w:t>
      </w:r>
      <w:r w:rsidR="008E7A2E" w:rsidRPr="0020798A">
        <w:rPr>
          <w:rFonts w:ascii="Arial" w:hAnsi="Arial" w:cs="Arial"/>
        </w:rPr>
        <w:t>representing over 99% of all UK businesses and employing</w:t>
      </w:r>
      <w:r w:rsidRPr="0020798A">
        <w:rPr>
          <w:rFonts w:ascii="Arial" w:hAnsi="Arial" w:cs="Arial"/>
        </w:rPr>
        <w:t xml:space="preserve"> approximately 61% of the private-sector workforce </w:t>
      </w:r>
      <w:r w:rsidR="0011782E" w:rsidRPr="0011782E">
        <w:rPr>
          <w:rFonts w:ascii="Arial" w:hAnsi="Arial" w:cs="Arial"/>
        </w:rPr>
        <w:t>(ONS, 2024b)</w:t>
      </w:r>
      <w:r w:rsidR="007505AF">
        <w:rPr>
          <w:rFonts w:ascii="Arial" w:hAnsi="Arial" w:cs="Arial"/>
        </w:rPr>
        <w:t>,</w:t>
      </w:r>
      <w:r w:rsidR="0011782E">
        <w:rPr>
          <w:rFonts w:ascii="Arial" w:hAnsi="Arial" w:cs="Arial"/>
        </w:rPr>
        <w:t xml:space="preserve"> </w:t>
      </w:r>
      <w:r w:rsidRPr="0020798A">
        <w:rPr>
          <w:rFonts w:ascii="Arial" w:hAnsi="Arial" w:cs="Arial"/>
        </w:rPr>
        <w:t xml:space="preserve">have faced new trade barriers, increased compliance requirements, and reduced </w:t>
      </w:r>
      <w:r w:rsidR="008E7A2E" w:rsidRPr="0020798A">
        <w:rPr>
          <w:rFonts w:ascii="Arial" w:hAnsi="Arial" w:cs="Arial"/>
        </w:rPr>
        <w:t>labour</w:t>
      </w:r>
      <w:r w:rsidRPr="0020798A">
        <w:rPr>
          <w:rFonts w:ascii="Arial" w:hAnsi="Arial" w:cs="Arial"/>
        </w:rPr>
        <w:t xml:space="preserve"> mobility due to Brexit. This research has shown that Brexit has considerably affected SME growth, employment stability, and sustainability indicators, including VAT registration trends and </w:t>
      </w:r>
      <w:r w:rsidR="008E7A2E" w:rsidRPr="0020798A">
        <w:rPr>
          <w:rFonts w:ascii="Arial" w:hAnsi="Arial" w:cs="Arial"/>
        </w:rPr>
        <w:t>businesses' birth and death rates</w:t>
      </w:r>
      <w:r w:rsidRPr="0020798A">
        <w:rPr>
          <w:rFonts w:ascii="Arial" w:hAnsi="Arial" w:cs="Arial"/>
        </w:rPr>
        <w:t>.</w:t>
      </w:r>
    </w:p>
    <w:p w14:paraId="0614FC4A" w14:textId="4146D343" w:rsidR="00EB70B1" w:rsidRPr="0020798A" w:rsidRDefault="00E53E42" w:rsidP="005C25C2">
      <w:pPr>
        <w:spacing w:line="360" w:lineRule="auto"/>
        <w:jc w:val="both"/>
        <w:rPr>
          <w:rFonts w:ascii="Arial" w:hAnsi="Arial" w:cs="Arial"/>
        </w:rPr>
      </w:pPr>
      <w:r w:rsidRPr="0020798A">
        <w:rPr>
          <w:rFonts w:ascii="Arial" w:hAnsi="Arial" w:cs="Arial"/>
        </w:rPr>
        <w:t xml:space="preserve">A key finding is that Brexit has intensified employment difficulties for SMEs, </w:t>
      </w:r>
      <w:r w:rsidR="008E7A2E" w:rsidRPr="0020798A">
        <w:rPr>
          <w:rFonts w:ascii="Arial" w:hAnsi="Arial" w:cs="Arial"/>
        </w:rPr>
        <w:t xml:space="preserve">which is </w:t>
      </w:r>
      <w:r w:rsidRPr="0020798A">
        <w:rPr>
          <w:rFonts w:ascii="Arial" w:hAnsi="Arial" w:cs="Arial"/>
        </w:rPr>
        <w:t xml:space="preserve">evident in increased vacancy rates and rising employment costs. SMEs previously reliant on EU </w:t>
      </w:r>
      <w:r w:rsidR="008E7A2E" w:rsidRPr="0020798A">
        <w:rPr>
          <w:rFonts w:ascii="Arial" w:hAnsi="Arial" w:cs="Arial"/>
        </w:rPr>
        <w:t>labour now experience labour</w:t>
      </w:r>
      <w:r w:rsidRPr="0020798A">
        <w:rPr>
          <w:rFonts w:ascii="Arial" w:hAnsi="Arial" w:cs="Arial"/>
        </w:rPr>
        <w:t xml:space="preserve"> shortages and heightened competition for skilled workers, leading to wage inflation </w:t>
      </w:r>
      <w:r w:rsidR="0011782E" w:rsidRPr="0011782E">
        <w:rPr>
          <w:rFonts w:ascii="Arial" w:hAnsi="Arial" w:cs="Arial"/>
        </w:rPr>
        <w:t>(FSB, 2023</w:t>
      </w:r>
      <w:r w:rsidR="0011782E">
        <w:rPr>
          <w:rFonts w:ascii="Arial" w:hAnsi="Arial" w:cs="Arial"/>
        </w:rPr>
        <w:t xml:space="preserve">; </w:t>
      </w:r>
      <w:r w:rsidR="0011782E" w:rsidRPr="0011782E">
        <w:rPr>
          <w:rFonts w:ascii="Arial" w:hAnsi="Arial" w:cs="Arial"/>
        </w:rPr>
        <w:t>MAC, 2023)</w:t>
      </w:r>
      <w:r w:rsidR="0011782E">
        <w:rPr>
          <w:rFonts w:ascii="Arial" w:hAnsi="Arial" w:cs="Arial"/>
        </w:rPr>
        <w:t xml:space="preserve">. </w:t>
      </w:r>
      <w:r w:rsidRPr="0020798A">
        <w:rPr>
          <w:rFonts w:ascii="Arial" w:hAnsi="Arial" w:cs="Arial"/>
        </w:rPr>
        <w:t xml:space="preserve">The post-Brexit </w:t>
      </w:r>
      <w:r w:rsidR="008E7A2E" w:rsidRPr="0020798A">
        <w:rPr>
          <w:rFonts w:ascii="Arial" w:hAnsi="Arial" w:cs="Arial"/>
        </w:rPr>
        <w:t>labour market is marked by volatility, with fluctuating vacancy rates that reflect recruitment challenges and high turnover, particularly in sectors previously supported by flexible EU labour</w:t>
      </w:r>
      <w:r w:rsidRPr="0020798A">
        <w:rPr>
          <w:rFonts w:ascii="Arial" w:hAnsi="Arial" w:cs="Arial"/>
        </w:rPr>
        <w:t xml:space="preserve">. Statistical analyses indicate that employment metrics have significantly shifted between </w:t>
      </w:r>
      <w:r w:rsidR="008E7A2E" w:rsidRPr="0020798A">
        <w:rPr>
          <w:rFonts w:ascii="Arial" w:hAnsi="Arial" w:cs="Arial"/>
        </w:rPr>
        <w:lastRenderedPageBreak/>
        <w:t xml:space="preserve">the </w:t>
      </w:r>
      <w:r w:rsidR="007505AF">
        <w:rPr>
          <w:rFonts w:ascii="Arial" w:hAnsi="Arial" w:cs="Arial"/>
        </w:rPr>
        <w:t>pre- and</w:t>
      </w:r>
      <w:r w:rsidR="008E7A2E" w:rsidRPr="0020798A">
        <w:rPr>
          <w:rFonts w:ascii="Arial" w:hAnsi="Arial" w:cs="Arial"/>
        </w:rPr>
        <w:t xml:space="preserve"> post-Brexit periods, supporting the hypothesis that Brexit has imposed labour</w:t>
      </w:r>
      <w:r w:rsidRPr="0020798A">
        <w:rPr>
          <w:rFonts w:ascii="Arial" w:hAnsi="Arial" w:cs="Arial"/>
        </w:rPr>
        <w:t xml:space="preserve"> market constraints on SMEs</w:t>
      </w:r>
      <w:r w:rsidR="0011782E" w:rsidRPr="0011782E">
        <w:t xml:space="preserve"> </w:t>
      </w:r>
      <w:r w:rsidR="0011782E" w:rsidRPr="0011782E">
        <w:rPr>
          <w:rFonts w:ascii="Arial" w:hAnsi="Arial" w:cs="Arial"/>
        </w:rPr>
        <w:t>(ONS, 2024a)</w:t>
      </w:r>
      <w:r w:rsidRPr="0020798A">
        <w:rPr>
          <w:rFonts w:ascii="Arial" w:hAnsi="Arial" w:cs="Arial"/>
        </w:rPr>
        <w:t>.</w:t>
      </w:r>
    </w:p>
    <w:p w14:paraId="6E1F6006" w14:textId="4974321C" w:rsidR="00EB70B1" w:rsidRPr="0020798A" w:rsidRDefault="00E53E42" w:rsidP="005C25C2">
      <w:pPr>
        <w:spacing w:line="360" w:lineRule="auto"/>
        <w:jc w:val="both"/>
        <w:rPr>
          <w:rFonts w:ascii="Arial" w:hAnsi="Arial" w:cs="Arial"/>
        </w:rPr>
      </w:pPr>
      <w:r w:rsidRPr="0020798A">
        <w:rPr>
          <w:rFonts w:ascii="Arial" w:hAnsi="Arial" w:cs="Arial"/>
        </w:rPr>
        <w:t xml:space="preserve">The findings also indicate a decline in SME growth metrics post-Brexit, as seen in the reduced number of VAT-registered businesses and lower business birth rates. Since 2017, birth rates have fallen while death rates have risen, reflecting a less supportive environment for new business formation and increased challenges for existing SMEs. The additional regulatory and operational costs due to Brexit appear to have contributed to these trends, as supported by </w:t>
      </w:r>
      <w:r w:rsidR="007505AF" w:rsidRPr="007505AF">
        <w:rPr>
          <w:rFonts w:ascii="Arial" w:hAnsi="Arial" w:cs="Arial"/>
        </w:rPr>
        <w:t xml:space="preserve">Hutton </w:t>
      </w:r>
      <w:r w:rsidR="007505AF">
        <w:rPr>
          <w:rFonts w:ascii="Arial" w:hAnsi="Arial" w:cs="Arial"/>
        </w:rPr>
        <w:t>(</w:t>
      </w:r>
      <w:r w:rsidR="007505AF" w:rsidRPr="007505AF">
        <w:rPr>
          <w:rFonts w:ascii="Arial" w:hAnsi="Arial" w:cs="Arial"/>
        </w:rPr>
        <w:t>2024)</w:t>
      </w:r>
      <w:r w:rsidR="007505AF">
        <w:rPr>
          <w:rFonts w:ascii="Arial" w:hAnsi="Arial" w:cs="Arial"/>
        </w:rPr>
        <w:t xml:space="preserve"> </w:t>
      </w:r>
      <w:r w:rsidRPr="0020798A">
        <w:rPr>
          <w:rFonts w:ascii="Arial" w:hAnsi="Arial" w:cs="Arial"/>
        </w:rPr>
        <w:t xml:space="preserve">and consistent with </w:t>
      </w:r>
      <w:proofErr w:type="spellStart"/>
      <w:r w:rsidRPr="0020798A">
        <w:rPr>
          <w:rFonts w:ascii="Arial" w:hAnsi="Arial" w:cs="Arial"/>
        </w:rPr>
        <w:t>Rajan’s</w:t>
      </w:r>
      <w:proofErr w:type="spellEnd"/>
      <w:r w:rsidRPr="0020798A">
        <w:rPr>
          <w:rFonts w:ascii="Arial" w:hAnsi="Arial" w:cs="Arial"/>
        </w:rPr>
        <w:t xml:space="preserve"> (2010) "fault lines" theory, which proposes that socio-economic disruptions amplify existing vulnerabilities within affected sectors. These shifts illustrate the structural challenges introduced by Brexit, impacting SME resilience and long-term viability.</w:t>
      </w:r>
    </w:p>
    <w:p w14:paraId="44B3A869" w14:textId="6FB094A6" w:rsidR="00EB70B1" w:rsidRPr="0020798A" w:rsidRDefault="00E53E42" w:rsidP="005C25C2">
      <w:pPr>
        <w:spacing w:line="360" w:lineRule="auto"/>
        <w:jc w:val="both"/>
        <w:rPr>
          <w:rFonts w:ascii="Arial" w:hAnsi="Arial" w:cs="Arial"/>
        </w:rPr>
      </w:pPr>
      <w:r w:rsidRPr="0020798A">
        <w:rPr>
          <w:rFonts w:ascii="Arial" w:hAnsi="Arial" w:cs="Arial"/>
        </w:rPr>
        <w:t xml:space="preserve">Based on these findings, several theoretical and practical recommendations are proposed. Theoretically, this study supports </w:t>
      </w:r>
      <w:r w:rsidR="008E7A2E" w:rsidRPr="0020798A">
        <w:rPr>
          <w:rFonts w:ascii="Arial" w:hAnsi="Arial" w:cs="Arial"/>
        </w:rPr>
        <w:t>applying</w:t>
      </w:r>
      <w:r w:rsidRPr="0020798A">
        <w:rPr>
          <w:rFonts w:ascii="Arial" w:hAnsi="Arial" w:cs="Arial"/>
        </w:rPr>
        <w:t xml:space="preserve"> </w:t>
      </w:r>
      <w:proofErr w:type="spellStart"/>
      <w:r w:rsidRPr="0020798A">
        <w:rPr>
          <w:rFonts w:ascii="Arial" w:hAnsi="Arial" w:cs="Arial"/>
        </w:rPr>
        <w:t>Rajan’s</w:t>
      </w:r>
      <w:proofErr w:type="spellEnd"/>
      <w:r w:rsidRPr="0020798A">
        <w:rPr>
          <w:rFonts w:ascii="Arial" w:hAnsi="Arial" w:cs="Arial"/>
        </w:rPr>
        <w:t xml:space="preserve"> (2010) "fault lines" theory to Brexit’s impact on SMEs, demonstrating how economic disruptions can exacerbate existing weaknesses in the SME sector. It also validates </w:t>
      </w:r>
      <w:proofErr w:type="spellStart"/>
      <w:r w:rsidR="007505AF" w:rsidRPr="007505AF">
        <w:rPr>
          <w:rFonts w:ascii="Arial" w:hAnsi="Arial" w:cs="Arial"/>
        </w:rPr>
        <w:t>Boix</w:t>
      </w:r>
      <w:r w:rsidR="007505AF">
        <w:rPr>
          <w:rFonts w:ascii="Arial" w:hAnsi="Arial" w:cs="Arial"/>
        </w:rPr>
        <w:t>`s</w:t>
      </w:r>
      <w:proofErr w:type="spellEnd"/>
      <w:r w:rsidR="007505AF" w:rsidRPr="007505AF">
        <w:rPr>
          <w:rFonts w:ascii="Arial" w:hAnsi="Arial" w:cs="Arial"/>
        </w:rPr>
        <w:t xml:space="preserve"> </w:t>
      </w:r>
      <w:r w:rsidR="007505AF">
        <w:rPr>
          <w:rFonts w:ascii="Arial" w:hAnsi="Arial" w:cs="Arial"/>
        </w:rPr>
        <w:t>(</w:t>
      </w:r>
      <w:r w:rsidR="007505AF" w:rsidRPr="007505AF">
        <w:rPr>
          <w:rFonts w:ascii="Arial" w:hAnsi="Arial" w:cs="Arial"/>
        </w:rPr>
        <w:t>2019)</w:t>
      </w:r>
      <w:r w:rsidR="007505AF">
        <w:rPr>
          <w:rFonts w:ascii="Arial" w:hAnsi="Arial" w:cs="Arial"/>
        </w:rPr>
        <w:t xml:space="preserve"> </w:t>
      </w:r>
      <w:r w:rsidRPr="0020798A">
        <w:rPr>
          <w:rFonts w:ascii="Arial" w:hAnsi="Arial" w:cs="Arial"/>
        </w:rPr>
        <w:t xml:space="preserve">democratic capitalism framework, which views Brexit as a response to vulnerabilities created by </w:t>
      </w:r>
      <w:r w:rsidR="008E7A2E" w:rsidRPr="0020798A">
        <w:rPr>
          <w:rFonts w:ascii="Arial" w:hAnsi="Arial" w:cs="Arial"/>
        </w:rPr>
        <w:t>globalisation</w:t>
      </w:r>
      <w:r w:rsidRPr="0020798A">
        <w:rPr>
          <w:rFonts w:ascii="Arial" w:hAnsi="Arial" w:cs="Arial"/>
        </w:rPr>
        <w:t xml:space="preserve">. Future research could extend these frameworks by exploring SME adaptability and resilience, particularly by examining how </w:t>
      </w:r>
      <w:proofErr w:type="spellStart"/>
      <w:r w:rsidR="008E7A2E" w:rsidRPr="0020798A">
        <w:rPr>
          <w:rFonts w:ascii="Arial" w:hAnsi="Arial" w:cs="Arial"/>
        </w:rPr>
        <w:t>localised</w:t>
      </w:r>
      <w:proofErr w:type="spellEnd"/>
      <w:r w:rsidRPr="0020798A">
        <w:rPr>
          <w:rFonts w:ascii="Arial" w:hAnsi="Arial" w:cs="Arial"/>
        </w:rPr>
        <w:t xml:space="preserve"> policies might mitigate the </w:t>
      </w:r>
      <w:r w:rsidR="008E7A2E" w:rsidRPr="0020798A">
        <w:rPr>
          <w:rFonts w:ascii="Arial" w:hAnsi="Arial" w:cs="Arial"/>
        </w:rPr>
        <w:t>adverse</w:t>
      </w:r>
      <w:r w:rsidRPr="0020798A">
        <w:rPr>
          <w:rFonts w:ascii="Arial" w:hAnsi="Arial" w:cs="Arial"/>
        </w:rPr>
        <w:t xml:space="preserve"> effects of global disruptions.</w:t>
      </w:r>
    </w:p>
    <w:p w14:paraId="3B50A314" w14:textId="77777777" w:rsidR="00EB70B1" w:rsidRPr="0020798A" w:rsidRDefault="00E53E42" w:rsidP="005C25C2">
      <w:pPr>
        <w:spacing w:line="360" w:lineRule="auto"/>
        <w:jc w:val="both"/>
        <w:rPr>
          <w:rFonts w:ascii="Arial" w:hAnsi="Arial" w:cs="Arial"/>
        </w:rPr>
      </w:pPr>
      <w:r w:rsidRPr="0020798A">
        <w:rPr>
          <w:rFonts w:ascii="Arial" w:hAnsi="Arial" w:cs="Arial"/>
        </w:rPr>
        <w:t>Practically, policymakers and business leaders should consider strategic interventions to support SMEs in adapting to the post-Brexit landscape:</w:t>
      </w:r>
    </w:p>
    <w:p w14:paraId="1F8D156D" w14:textId="7C8C2B16" w:rsidR="00EB70B1" w:rsidRPr="0020798A" w:rsidRDefault="008E7A2E" w:rsidP="005C25C2">
      <w:pPr>
        <w:spacing w:line="360" w:lineRule="auto"/>
        <w:jc w:val="both"/>
        <w:rPr>
          <w:rFonts w:ascii="Arial" w:hAnsi="Arial" w:cs="Arial"/>
        </w:rPr>
      </w:pPr>
      <w:r w:rsidRPr="0020798A">
        <w:rPr>
          <w:rFonts w:ascii="Arial" w:hAnsi="Arial" w:cs="Arial"/>
        </w:rPr>
        <w:t>Labour Market Reforms: Addressing SMEs' employment challenges could involve targeted incentives to attract skilled domestic workers to SME sectors or policies facilitating non-EU labour</w:t>
      </w:r>
      <w:r w:rsidR="00E53E42" w:rsidRPr="0020798A">
        <w:rPr>
          <w:rFonts w:ascii="Arial" w:hAnsi="Arial" w:cs="Arial"/>
        </w:rPr>
        <w:t xml:space="preserve"> access to fill recruitment gaps</w:t>
      </w:r>
      <w:r w:rsidR="007505AF" w:rsidRPr="007505AF">
        <w:t xml:space="preserve"> </w:t>
      </w:r>
      <w:r w:rsidR="007505AF" w:rsidRPr="007505AF">
        <w:rPr>
          <w:rFonts w:ascii="Arial" w:hAnsi="Arial" w:cs="Arial"/>
        </w:rPr>
        <w:t>(MAC, 2023)</w:t>
      </w:r>
      <w:r w:rsidR="00E53E42" w:rsidRPr="0020798A">
        <w:rPr>
          <w:rFonts w:ascii="Arial" w:hAnsi="Arial" w:cs="Arial"/>
        </w:rPr>
        <w:t xml:space="preserve">. </w:t>
      </w:r>
      <w:r w:rsidRPr="0020798A">
        <w:rPr>
          <w:rFonts w:ascii="Arial" w:hAnsi="Arial" w:cs="Arial"/>
        </w:rPr>
        <w:t>Training</w:t>
      </w:r>
      <w:r w:rsidR="00E53E42" w:rsidRPr="0020798A">
        <w:rPr>
          <w:rFonts w:ascii="Arial" w:hAnsi="Arial" w:cs="Arial"/>
        </w:rPr>
        <w:t xml:space="preserve"> programs to upskill local workers in areas facing severe </w:t>
      </w:r>
      <w:r w:rsidRPr="0020798A">
        <w:rPr>
          <w:rFonts w:ascii="Arial" w:hAnsi="Arial" w:cs="Arial"/>
        </w:rPr>
        <w:t>labour</w:t>
      </w:r>
      <w:r w:rsidR="00E53E42" w:rsidRPr="0020798A">
        <w:rPr>
          <w:rFonts w:ascii="Arial" w:hAnsi="Arial" w:cs="Arial"/>
        </w:rPr>
        <w:t xml:space="preserve"> shortages could provide SMEs with a more stable workforce.</w:t>
      </w:r>
    </w:p>
    <w:p w14:paraId="027BC44D" w14:textId="77D0B44E" w:rsidR="00EB70B1" w:rsidRPr="0020798A" w:rsidRDefault="00E53E42" w:rsidP="005C25C2">
      <w:pPr>
        <w:spacing w:line="360" w:lineRule="auto"/>
        <w:jc w:val="both"/>
        <w:rPr>
          <w:rFonts w:ascii="Arial" w:hAnsi="Arial" w:cs="Arial"/>
        </w:rPr>
      </w:pPr>
      <w:r w:rsidRPr="0020798A">
        <w:rPr>
          <w:rFonts w:ascii="Arial" w:hAnsi="Arial" w:cs="Arial"/>
        </w:rPr>
        <w:t>Reducing Compliance Burdens and Administrative Costs: Simplifying VAT registration processes, reducing the paperwork required for cross-border trade, and offering financial incentives to offset compliance costs allow SMEs to allocate resources more effectively toward growth and innovation rather than regulatory adherence</w:t>
      </w:r>
      <w:r w:rsidR="007505AF" w:rsidRPr="007505AF">
        <w:t xml:space="preserve"> </w:t>
      </w:r>
      <w:r w:rsidR="007505AF" w:rsidRPr="007505AF">
        <w:rPr>
          <w:rFonts w:ascii="Arial" w:hAnsi="Arial" w:cs="Arial"/>
        </w:rPr>
        <w:t>(British Chambers of Commerce, 2021</w:t>
      </w:r>
      <w:r w:rsidR="007505AF">
        <w:rPr>
          <w:rFonts w:ascii="Arial" w:hAnsi="Arial" w:cs="Arial"/>
        </w:rPr>
        <w:t xml:space="preserve">; </w:t>
      </w:r>
      <w:r w:rsidR="007505AF" w:rsidRPr="007505AF">
        <w:rPr>
          <w:rFonts w:ascii="Arial" w:hAnsi="Arial" w:cs="Arial"/>
        </w:rPr>
        <w:t>HM Revenue &amp; Customs, 2020)</w:t>
      </w:r>
      <w:r w:rsidRPr="0020798A">
        <w:rPr>
          <w:rFonts w:ascii="Arial" w:hAnsi="Arial" w:cs="Arial"/>
        </w:rPr>
        <w:t>.</w:t>
      </w:r>
    </w:p>
    <w:p w14:paraId="61267F4F" w14:textId="791909A6" w:rsidR="00EB70B1" w:rsidRPr="0020798A" w:rsidRDefault="00E53E42" w:rsidP="005C25C2">
      <w:pPr>
        <w:spacing w:line="360" w:lineRule="auto"/>
        <w:jc w:val="both"/>
        <w:rPr>
          <w:rFonts w:ascii="Arial" w:hAnsi="Arial" w:cs="Arial"/>
        </w:rPr>
      </w:pPr>
      <w:r w:rsidRPr="0020798A">
        <w:rPr>
          <w:rFonts w:ascii="Arial" w:hAnsi="Arial" w:cs="Arial"/>
        </w:rPr>
        <w:lastRenderedPageBreak/>
        <w:t>Increasing Access to Finance and Supporting Digital Transformation: Helping SMEs remain competitive will require affordable credit options, grants, and access to digital infrastructure. Digital transformation initiatives would also enable SMEs to explore alternative markets beyond the EU, broadening their customer base and decreasing reliance on a single trade partner</w:t>
      </w:r>
      <w:r w:rsidR="007505AF" w:rsidRPr="007505AF">
        <w:t xml:space="preserve"> </w:t>
      </w:r>
      <w:r w:rsidR="007505AF" w:rsidRPr="007505AF">
        <w:rPr>
          <w:rFonts w:ascii="Arial" w:hAnsi="Arial" w:cs="Arial"/>
        </w:rPr>
        <w:t>(BEIS, 2023</w:t>
      </w:r>
      <w:r w:rsidR="007505AF">
        <w:rPr>
          <w:rFonts w:ascii="Arial" w:hAnsi="Arial" w:cs="Arial"/>
        </w:rPr>
        <w:t xml:space="preserve">; </w:t>
      </w:r>
      <w:r w:rsidR="007505AF" w:rsidRPr="007505AF">
        <w:rPr>
          <w:rFonts w:ascii="Arial" w:hAnsi="Arial" w:cs="Arial"/>
        </w:rPr>
        <w:t>Kitching, Hart and Wilson, 2013)</w:t>
      </w:r>
      <w:r w:rsidRPr="0020798A">
        <w:rPr>
          <w:rFonts w:ascii="Arial" w:hAnsi="Arial" w:cs="Arial"/>
        </w:rPr>
        <w:t>.</w:t>
      </w:r>
    </w:p>
    <w:p w14:paraId="1CEEE287" w14:textId="60112B9D" w:rsidR="00EB70B1" w:rsidRPr="0020798A" w:rsidRDefault="00E53E42" w:rsidP="005C25C2">
      <w:pPr>
        <w:spacing w:line="360" w:lineRule="auto"/>
        <w:jc w:val="both"/>
        <w:rPr>
          <w:rFonts w:ascii="Arial" w:hAnsi="Arial" w:cs="Arial"/>
        </w:rPr>
      </w:pPr>
      <w:r w:rsidRPr="0020798A">
        <w:rPr>
          <w:rFonts w:ascii="Arial" w:hAnsi="Arial" w:cs="Arial"/>
        </w:rPr>
        <w:t xml:space="preserve">Developing Regional Policies to Address Socio-economic Divides: Brexit has intensified regional disparities, with areas reliant on SME-driven economies, particularly those outside London, disproportionately affected by disruptions in </w:t>
      </w:r>
      <w:r w:rsidR="008E7A2E" w:rsidRPr="0020798A">
        <w:rPr>
          <w:rFonts w:ascii="Arial" w:hAnsi="Arial" w:cs="Arial"/>
        </w:rPr>
        <w:t>labour</w:t>
      </w:r>
      <w:r w:rsidRPr="0020798A">
        <w:rPr>
          <w:rFonts w:ascii="Arial" w:hAnsi="Arial" w:cs="Arial"/>
        </w:rPr>
        <w:t xml:space="preserve"> and trade</w:t>
      </w:r>
      <w:r w:rsidR="007505AF" w:rsidRPr="007505AF">
        <w:t xml:space="preserve"> </w:t>
      </w:r>
      <w:r w:rsidR="007505AF" w:rsidRPr="007505AF">
        <w:rPr>
          <w:rFonts w:ascii="Arial" w:hAnsi="Arial" w:cs="Arial"/>
        </w:rPr>
        <w:t>(</w:t>
      </w:r>
      <w:proofErr w:type="spellStart"/>
      <w:r w:rsidR="007505AF" w:rsidRPr="007505AF">
        <w:rPr>
          <w:rFonts w:ascii="Arial" w:hAnsi="Arial" w:cs="Arial"/>
        </w:rPr>
        <w:t>Blundel</w:t>
      </w:r>
      <w:proofErr w:type="spellEnd"/>
      <w:r w:rsidR="007505AF" w:rsidRPr="007505AF">
        <w:rPr>
          <w:rFonts w:ascii="Arial" w:hAnsi="Arial" w:cs="Arial"/>
        </w:rPr>
        <w:t>, Lockett and Wang, 2017</w:t>
      </w:r>
      <w:r w:rsidR="007505AF">
        <w:rPr>
          <w:rFonts w:ascii="Arial" w:hAnsi="Arial" w:cs="Arial"/>
        </w:rPr>
        <w:t xml:space="preserve">; </w:t>
      </w:r>
      <w:proofErr w:type="spellStart"/>
      <w:r w:rsidR="007505AF" w:rsidRPr="007505AF">
        <w:rPr>
          <w:rFonts w:ascii="Arial" w:hAnsi="Arial" w:cs="Arial"/>
        </w:rPr>
        <w:t>Hantrais</w:t>
      </w:r>
      <w:proofErr w:type="spellEnd"/>
      <w:r w:rsidR="007505AF" w:rsidRPr="007505AF">
        <w:rPr>
          <w:rFonts w:ascii="Arial" w:hAnsi="Arial" w:cs="Arial"/>
        </w:rPr>
        <w:t>, 2019)</w:t>
      </w:r>
      <w:r w:rsidRPr="0020798A">
        <w:rPr>
          <w:rFonts w:ascii="Arial" w:hAnsi="Arial" w:cs="Arial"/>
        </w:rPr>
        <w:t xml:space="preserve">. </w:t>
      </w:r>
      <w:proofErr w:type="spellStart"/>
      <w:r w:rsidR="008E7A2E" w:rsidRPr="0020798A">
        <w:rPr>
          <w:rFonts w:ascii="Arial" w:hAnsi="Arial" w:cs="Arial"/>
        </w:rPr>
        <w:t>Localised</w:t>
      </w:r>
      <w:proofErr w:type="spellEnd"/>
      <w:r w:rsidRPr="0020798A">
        <w:rPr>
          <w:rFonts w:ascii="Arial" w:hAnsi="Arial" w:cs="Arial"/>
        </w:rPr>
        <w:t xml:space="preserve"> support addressing specific regional needs—such as grants for rural SMEs or subsidies for those most impacted by </w:t>
      </w:r>
      <w:r w:rsidR="008E7A2E" w:rsidRPr="0020798A">
        <w:rPr>
          <w:rFonts w:ascii="Arial" w:hAnsi="Arial" w:cs="Arial"/>
        </w:rPr>
        <w:t>labour</w:t>
      </w:r>
      <w:r w:rsidRPr="0020798A">
        <w:rPr>
          <w:rFonts w:ascii="Arial" w:hAnsi="Arial" w:cs="Arial"/>
        </w:rPr>
        <w:t xml:space="preserve"> shortages—could promote a more balanced economic recovery.</w:t>
      </w:r>
    </w:p>
    <w:p w14:paraId="137523F2" w14:textId="7592092D" w:rsidR="00EB70B1" w:rsidRDefault="00E53E42" w:rsidP="005C25C2">
      <w:pPr>
        <w:spacing w:line="360" w:lineRule="auto"/>
        <w:jc w:val="both"/>
        <w:rPr>
          <w:rFonts w:ascii="Arial" w:hAnsi="Arial" w:cs="Arial"/>
        </w:rPr>
      </w:pPr>
      <w:r w:rsidRPr="0020798A">
        <w:rPr>
          <w:rFonts w:ascii="Arial" w:hAnsi="Arial" w:cs="Arial"/>
        </w:rPr>
        <w:t xml:space="preserve">In conclusion, Brexit has introduced considerable challenges for the UK’s SME sector, transforming its employment dynamics, growth potential, and market competitiveness. The findings of this study underscore the need for targeted policies that address the structural vulnerabilities Brexit has exposed, particularly regarding </w:t>
      </w:r>
      <w:r w:rsidR="008E7A2E" w:rsidRPr="0020798A">
        <w:rPr>
          <w:rFonts w:ascii="Arial" w:hAnsi="Arial" w:cs="Arial"/>
        </w:rPr>
        <w:t>labour</w:t>
      </w:r>
      <w:r w:rsidRPr="0020798A">
        <w:rPr>
          <w:rFonts w:ascii="Arial" w:hAnsi="Arial" w:cs="Arial"/>
        </w:rPr>
        <w:t xml:space="preserve"> shortages, regulatory burdens, and operational efficiency. By adopting a multi-faceted approach—including </w:t>
      </w:r>
      <w:r w:rsidR="008E7A2E" w:rsidRPr="0020798A">
        <w:rPr>
          <w:rFonts w:ascii="Arial" w:hAnsi="Arial" w:cs="Arial"/>
        </w:rPr>
        <w:t>labour</w:t>
      </w:r>
      <w:r w:rsidRPr="0020798A">
        <w:rPr>
          <w:rFonts w:ascii="Arial" w:hAnsi="Arial" w:cs="Arial"/>
        </w:rPr>
        <w:t xml:space="preserve"> market support, regulatory simplification, financial assistance, and regional policies—the UK government and business community can strengthen the resilience and sustainability of SMEs in a post-Brexit economy. These interventions will be essential to ensuring that SMEs continue to play a vital role in the UK’s economic stability, innovation, and regional development in the years to come.</w:t>
      </w:r>
    </w:p>
    <w:p w14:paraId="7E770160" w14:textId="367CADCC" w:rsidR="00A55B12" w:rsidRDefault="00A55B12" w:rsidP="005C25C2">
      <w:pPr>
        <w:spacing w:line="360" w:lineRule="auto"/>
        <w:jc w:val="both"/>
        <w:rPr>
          <w:rFonts w:ascii="Arial" w:hAnsi="Arial" w:cs="Arial"/>
        </w:rPr>
      </w:pPr>
    </w:p>
    <w:p w14:paraId="68243091" w14:textId="4F681320" w:rsidR="00A55B12" w:rsidRDefault="00A55B12" w:rsidP="005C25C2">
      <w:pPr>
        <w:spacing w:line="360" w:lineRule="auto"/>
        <w:jc w:val="both"/>
        <w:rPr>
          <w:rFonts w:ascii="Arial" w:hAnsi="Arial" w:cs="Arial"/>
        </w:rPr>
      </w:pPr>
    </w:p>
    <w:p w14:paraId="66B29468" w14:textId="6BF43531" w:rsidR="00A55B12" w:rsidRDefault="00A55B12" w:rsidP="005C25C2">
      <w:pPr>
        <w:spacing w:line="360" w:lineRule="auto"/>
        <w:jc w:val="both"/>
        <w:rPr>
          <w:rFonts w:ascii="Arial" w:hAnsi="Arial" w:cs="Arial"/>
        </w:rPr>
      </w:pPr>
    </w:p>
    <w:p w14:paraId="12A989B9" w14:textId="0D15277F" w:rsidR="00A55B12" w:rsidRDefault="00A55B12" w:rsidP="005C25C2">
      <w:pPr>
        <w:spacing w:line="360" w:lineRule="auto"/>
        <w:jc w:val="both"/>
        <w:rPr>
          <w:rFonts w:ascii="Arial" w:hAnsi="Arial" w:cs="Arial"/>
        </w:rPr>
      </w:pPr>
    </w:p>
    <w:p w14:paraId="7F98E9D5" w14:textId="284F8126" w:rsidR="00A55B12" w:rsidRDefault="00A55B12" w:rsidP="005C25C2">
      <w:pPr>
        <w:spacing w:line="360" w:lineRule="auto"/>
        <w:jc w:val="both"/>
        <w:rPr>
          <w:rFonts w:ascii="Arial" w:hAnsi="Arial" w:cs="Arial"/>
        </w:rPr>
      </w:pPr>
    </w:p>
    <w:p w14:paraId="0D1A5085" w14:textId="458FBD42" w:rsidR="00A55B12" w:rsidRDefault="00A55B12" w:rsidP="005C25C2">
      <w:pPr>
        <w:spacing w:line="360" w:lineRule="auto"/>
        <w:jc w:val="both"/>
        <w:rPr>
          <w:rFonts w:ascii="Arial" w:hAnsi="Arial" w:cs="Arial"/>
        </w:rPr>
      </w:pPr>
    </w:p>
    <w:p w14:paraId="365C56A2" w14:textId="0F744D89" w:rsidR="00A55B12" w:rsidRDefault="00A55B12" w:rsidP="005C25C2">
      <w:pPr>
        <w:spacing w:line="360" w:lineRule="auto"/>
        <w:jc w:val="both"/>
        <w:rPr>
          <w:rFonts w:ascii="Arial" w:hAnsi="Arial" w:cs="Arial"/>
        </w:rPr>
      </w:pPr>
    </w:p>
    <w:p w14:paraId="7BCF3B96" w14:textId="7A097763" w:rsidR="00A55B12" w:rsidRDefault="00A55B12" w:rsidP="005C25C2">
      <w:pPr>
        <w:spacing w:line="360" w:lineRule="auto"/>
        <w:jc w:val="both"/>
        <w:rPr>
          <w:rFonts w:ascii="Arial" w:hAnsi="Arial" w:cs="Arial"/>
        </w:rPr>
      </w:pPr>
    </w:p>
    <w:p w14:paraId="5835F97D" w14:textId="5C7D1E2E" w:rsidR="00A55B12" w:rsidRPr="00A55B12" w:rsidRDefault="00A55B12" w:rsidP="00A55B12">
      <w:pPr>
        <w:pStyle w:val="Heading1"/>
        <w:spacing w:line="480" w:lineRule="auto"/>
      </w:pPr>
      <w:bookmarkStart w:id="30" w:name="_Toc182938019"/>
      <w:r w:rsidRPr="00A55B12">
        <w:lastRenderedPageBreak/>
        <w:t>Reference list</w:t>
      </w:r>
      <w:bookmarkEnd w:id="30"/>
    </w:p>
    <w:p w14:paraId="4CEFF4F7"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Bailey, D. and Budd, L. (2017) </w:t>
      </w:r>
      <w:r w:rsidRPr="00A55B12">
        <w:rPr>
          <w:rFonts w:ascii="Arial" w:hAnsi="Arial" w:cs="Arial"/>
          <w:i/>
          <w:iCs/>
          <w:sz w:val="22"/>
          <w:szCs w:val="22"/>
        </w:rPr>
        <w:t>The Political Economy of Brexit</w:t>
      </w:r>
      <w:r w:rsidRPr="00A55B12">
        <w:rPr>
          <w:rFonts w:ascii="Arial" w:hAnsi="Arial" w:cs="Arial"/>
          <w:sz w:val="22"/>
          <w:szCs w:val="22"/>
        </w:rPr>
        <w:t>. Newcastle Upon Tyne: Agenda Publishing Limited.</w:t>
      </w:r>
    </w:p>
    <w:p w14:paraId="2C957A87"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Bayraktar</w:t>
      </w:r>
      <w:proofErr w:type="spellEnd"/>
      <w:r w:rsidRPr="00A55B12">
        <w:rPr>
          <w:rFonts w:ascii="Arial" w:hAnsi="Arial" w:cs="Arial"/>
          <w:sz w:val="22"/>
          <w:szCs w:val="22"/>
        </w:rPr>
        <w:t xml:space="preserve">, M. and </w:t>
      </w:r>
      <w:proofErr w:type="spellStart"/>
      <w:r w:rsidRPr="00A55B12">
        <w:rPr>
          <w:rFonts w:ascii="Arial" w:hAnsi="Arial" w:cs="Arial"/>
          <w:sz w:val="22"/>
          <w:szCs w:val="22"/>
        </w:rPr>
        <w:t>Algan</w:t>
      </w:r>
      <w:proofErr w:type="spellEnd"/>
      <w:r w:rsidRPr="00A55B12">
        <w:rPr>
          <w:rFonts w:ascii="Arial" w:hAnsi="Arial" w:cs="Arial"/>
          <w:sz w:val="22"/>
          <w:szCs w:val="22"/>
        </w:rPr>
        <w:t xml:space="preserve">, N. (2019) ‘The Importance of SMEs on World Economies’, </w:t>
      </w:r>
      <w:r w:rsidRPr="00A55B12">
        <w:rPr>
          <w:rFonts w:ascii="Arial" w:hAnsi="Arial" w:cs="Arial"/>
          <w:i/>
          <w:iCs/>
          <w:sz w:val="22"/>
          <w:szCs w:val="22"/>
        </w:rPr>
        <w:t>International Conference on Eurasian Economies 2019</w:t>
      </w:r>
      <w:r w:rsidRPr="00A55B12">
        <w:rPr>
          <w:rFonts w:ascii="Arial" w:hAnsi="Arial" w:cs="Arial"/>
          <w:sz w:val="22"/>
          <w:szCs w:val="22"/>
        </w:rPr>
        <w:t xml:space="preserve"> [Preprint]. Available at: https://doi.org/10.36880/c11.02265.</w:t>
      </w:r>
    </w:p>
    <w:p w14:paraId="7D8A5BDD"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BEIS (2022) </w:t>
      </w:r>
      <w:r w:rsidRPr="00A55B12">
        <w:rPr>
          <w:rFonts w:ascii="Arial" w:hAnsi="Arial" w:cs="Arial"/>
          <w:i/>
          <w:iCs/>
          <w:sz w:val="22"/>
          <w:szCs w:val="22"/>
        </w:rPr>
        <w:t>Annual Business Population Estimates for the UK and Regions in 2022</w:t>
      </w:r>
      <w:r w:rsidRPr="00A55B12">
        <w:rPr>
          <w:rFonts w:ascii="Arial" w:hAnsi="Arial" w:cs="Arial"/>
          <w:sz w:val="22"/>
          <w:szCs w:val="22"/>
        </w:rPr>
        <w:t xml:space="preserve">, </w:t>
      </w:r>
      <w:r w:rsidRPr="00A55B12">
        <w:rPr>
          <w:rFonts w:ascii="Arial" w:hAnsi="Arial" w:cs="Arial"/>
          <w:i/>
          <w:iCs/>
          <w:sz w:val="22"/>
          <w:szCs w:val="22"/>
        </w:rPr>
        <w:t>GOV.UK</w:t>
      </w:r>
      <w:r w:rsidRPr="00A55B12">
        <w:rPr>
          <w:rFonts w:ascii="Arial" w:hAnsi="Arial" w:cs="Arial"/>
          <w:sz w:val="22"/>
          <w:szCs w:val="22"/>
        </w:rPr>
        <w:t>. Department for Business, Energy &amp; Industrial Strategy. Available at: https://www.gov.uk/government/statistics/business-population-estimates-2022.</w:t>
      </w:r>
    </w:p>
    <w:p w14:paraId="3FF330C9"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BEIS (2023) </w:t>
      </w:r>
      <w:r w:rsidRPr="00A55B12">
        <w:rPr>
          <w:rFonts w:ascii="Arial" w:hAnsi="Arial" w:cs="Arial"/>
          <w:i/>
          <w:iCs/>
          <w:sz w:val="22"/>
          <w:szCs w:val="22"/>
        </w:rPr>
        <w:t>BEIS Small and Medium Enterprises (SME) Action plan: 2022 to 2025</w:t>
      </w:r>
      <w:r w:rsidRPr="00A55B12">
        <w:rPr>
          <w:rFonts w:ascii="Arial" w:hAnsi="Arial" w:cs="Arial"/>
          <w:sz w:val="22"/>
          <w:szCs w:val="22"/>
        </w:rPr>
        <w:t xml:space="preserve">, </w:t>
      </w:r>
      <w:r w:rsidRPr="00A55B12">
        <w:rPr>
          <w:rFonts w:ascii="Arial" w:hAnsi="Arial" w:cs="Arial"/>
          <w:i/>
          <w:iCs/>
          <w:sz w:val="22"/>
          <w:szCs w:val="22"/>
        </w:rPr>
        <w:t>GOV.UK</w:t>
      </w:r>
      <w:r w:rsidRPr="00A55B12">
        <w:rPr>
          <w:rFonts w:ascii="Arial" w:hAnsi="Arial" w:cs="Arial"/>
          <w:sz w:val="22"/>
          <w:szCs w:val="22"/>
        </w:rPr>
        <w:t>. Available at: https://www.gov.uk/government/publications/beis-small-and-medium-enterprises-sme-action-plan-2022-to-2025 (Accessed: 1AD).</w:t>
      </w:r>
    </w:p>
    <w:p w14:paraId="6FA36077"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Biginas</w:t>
      </w:r>
      <w:proofErr w:type="spellEnd"/>
      <w:r w:rsidRPr="00A55B12">
        <w:rPr>
          <w:rFonts w:ascii="Arial" w:hAnsi="Arial" w:cs="Arial"/>
          <w:sz w:val="22"/>
          <w:szCs w:val="22"/>
        </w:rPr>
        <w:t xml:space="preserve">, K. </w:t>
      </w:r>
      <w:r w:rsidRPr="00A55B12">
        <w:rPr>
          <w:rFonts w:ascii="Arial" w:hAnsi="Arial" w:cs="Arial"/>
          <w:i/>
          <w:iCs/>
          <w:sz w:val="22"/>
          <w:szCs w:val="22"/>
        </w:rPr>
        <w:t>et al.</w:t>
      </w:r>
      <w:r w:rsidRPr="00A55B12">
        <w:rPr>
          <w:rFonts w:ascii="Arial" w:hAnsi="Arial" w:cs="Arial"/>
          <w:sz w:val="22"/>
          <w:szCs w:val="22"/>
        </w:rPr>
        <w:t xml:space="preserve"> (2022) </w:t>
      </w:r>
      <w:r w:rsidRPr="00A55B12">
        <w:rPr>
          <w:rFonts w:ascii="Arial" w:hAnsi="Arial" w:cs="Arial"/>
          <w:i/>
          <w:iCs/>
          <w:sz w:val="22"/>
          <w:szCs w:val="22"/>
        </w:rPr>
        <w:t>Small Business Management and Control of the Uncertain External Environment</w:t>
      </w:r>
      <w:r w:rsidRPr="00A55B12">
        <w:rPr>
          <w:rFonts w:ascii="Arial" w:hAnsi="Arial" w:cs="Arial"/>
          <w:sz w:val="22"/>
          <w:szCs w:val="22"/>
        </w:rPr>
        <w:t>. Bingley: Emerald Publishing Limited.</w:t>
      </w:r>
    </w:p>
    <w:p w14:paraId="69B8A013"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Blackburn, R.A. and Schaper, M.T. (2016) </w:t>
      </w:r>
      <w:r w:rsidRPr="00A55B12">
        <w:rPr>
          <w:rFonts w:ascii="Arial" w:hAnsi="Arial" w:cs="Arial"/>
          <w:i/>
          <w:iCs/>
          <w:sz w:val="22"/>
          <w:szCs w:val="22"/>
        </w:rPr>
        <w:t xml:space="preserve">Government, SMEs and Entrepreneurship </w:t>
      </w:r>
      <w:proofErr w:type="gramStart"/>
      <w:r w:rsidRPr="00A55B12">
        <w:rPr>
          <w:rFonts w:ascii="Arial" w:hAnsi="Arial" w:cs="Arial"/>
          <w:i/>
          <w:iCs/>
          <w:sz w:val="22"/>
          <w:szCs w:val="22"/>
        </w:rPr>
        <w:t>Development :</w:t>
      </w:r>
      <w:proofErr w:type="gramEnd"/>
      <w:r w:rsidRPr="00A55B12">
        <w:rPr>
          <w:rFonts w:ascii="Arial" w:hAnsi="Arial" w:cs="Arial"/>
          <w:i/>
          <w:iCs/>
          <w:sz w:val="22"/>
          <w:szCs w:val="22"/>
        </w:rPr>
        <w:t xml:space="preserve"> Policy, Practice and Challenges</w:t>
      </w:r>
      <w:r w:rsidRPr="00A55B12">
        <w:rPr>
          <w:rFonts w:ascii="Arial" w:hAnsi="Arial" w:cs="Arial"/>
          <w:sz w:val="22"/>
          <w:szCs w:val="22"/>
        </w:rPr>
        <w:t>. London: Taylor &amp; Francis.</w:t>
      </w:r>
    </w:p>
    <w:p w14:paraId="6AE1FA00"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Blundel</w:t>
      </w:r>
      <w:proofErr w:type="spellEnd"/>
      <w:r w:rsidRPr="00A55B12">
        <w:rPr>
          <w:rFonts w:ascii="Arial" w:hAnsi="Arial" w:cs="Arial"/>
          <w:sz w:val="22"/>
          <w:szCs w:val="22"/>
        </w:rPr>
        <w:t xml:space="preserve">, R., Lockett, N. and Wang, C. (2017) </w:t>
      </w:r>
      <w:r w:rsidRPr="00A55B12">
        <w:rPr>
          <w:rFonts w:ascii="Arial" w:hAnsi="Arial" w:cs="Arial"/>
          <w:i/>
          <w:iCs/>
          <w:sz w:val="22"/>
          <w:szCs w:val="22"/>
        </w:rPr>
        <w:t>Exploring Entrepreneurship</w:t>
      </w:r>
      <w:r w:rsidRPr="00A55B12">
        <w:rPr>
          <w:rFonts w:ascii="Arial" w:hAnsi="Arial" w:cs="Arial"/>
          <w:sz w:val="22"/>
          <w:szCs w:val="22"/>
        </w:rPr>
        <w:t>. SAGE.</w:t>
      </w:r>
    </w:p>
    <w:p w14:paraId="7A40D0ED"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Boix</w:t>
      </w:r>
      <w:proofErr w:type="spellEnd"/>
      <w:r w:rsidRPr="00A55B12">
        <w:rPr>
          <w:rFonts w:ascii="Arial" w:hAnsi="Arial" w:cs="Arial"/>
          <w:sz w:val="22"/>
          <w:szCs w:val="22"/>
        </w:rPr>
        <w:t xml:space="preserve">, C. (2019) </w:t>
      </w:r>
      <w:r w:rsidRPr="00A55B12">
        <w:rPr>
          <w:rFonts w:ascii="Arial" w:hAnsi="Arial" w:cs="Arial"/>
          <w:i/>
          <w:iCs/>
          <w:sz w:val="22"/>
          <w:szCs w:val="22"/>
        </w:rPr>
        <w:t>Democratic Capitalism at the crossroads. Technological Change and the Future of politics.</w:t>
      </w:r>
      <w:r w:rsidRPr="00A55B12">
        <w:rPr>
          <w:rFonts w:ascii="Arial" w:hAnsi="Arial" w:cs="Arial"/>
          <w:sz w:val="22"/>
          <w:szCs w:val="22"/>
        </w:rPr>
        <w:t xml:space="preserve"> Lawrenceville: Princeton University Press.</w:t>
      </w:r>
    </w:p>
    <w:p w14:paraId="239C08EA"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Brakman</w:t>
      </w:r>
      <w:proofErr w:type="spellEnd"/>
      <w:r w:rsidRPr="00A55B12">
        <w:rPr>
          <w:rFonts w:ascii="Arial" w:hAnsi="Arial" w:cs="Arial"/>
          <w:sz w:val="22"/>
          <w:szCs w:val="22"/>
        </w:rPr>
        <w:t xml:space="preserve">, S., </w:t>
      </w:r>
      <w:proofErr w:type="spellStart"/>
      <w:r w:rsidRPr="00A55B12">
        <w:rPr>
          <w:rFonts w:ascii="Arial" w:hAnsi="Arial" w:cs="Arial"/>
          <w:sz w:val="22"/>
          <w:szCs w:val="22"/>
        </w:rPr>
        <w:t>Garretsen</w:t>
      </w:r>
      <w:proofErr w:type="spellEnd"/>
      <w:r w:rsidRPr="00A55B12">
        <w:rPr>
          <w:rFonts w:ascii="Arial" w:hAnsi="Arial" w:cs="Arial"/>
          <w:sz w:val="22"/>
          <w:szCs w:val="22"/>
        </w:rPr>
        <w:t>, H. and Kohl, T. (2023) ‘</w:t>
      </w:r>
      <w:proofErr w:type="spellStart"/>
      <w:r w:rsidRPr="00A55B12">
        <w:rPr>
          <w:rFonts w:ascii="Arial" w:hAnsi="Arial" w:cs="Arial"/>
          <w:sz w:val="22"/>
          <w:szCs w:val="22"/>
        </w:rPr>
        <w:t>EXITitis</w:t>
      </w:r>
      <w:proofErr w:type="spellEnd"/>
      <w:r w:rsidRPr="00A55B12">
        <w:rPr>
          <w:rFonts w:ascii="Arial" w:hAnsi="Arial" w:cs="Arial"/>
          <w:sz w:val="22"/>
          <w:szCs w:val="22"/>
        </w:rPr>
        <w:t xml:space="preserve"> in the UK: Gravity Estimates in the Aftermath of Brexit’, </w:t>
      </w:r>
      <w:r w:rsidRPr="00A55B12">
        <w:rPr>
          <w:rFonts w:ascii="Arial" w:hAnsi="Arial" w:cs="Arial"/>
          <w:i/>
          <w:iCs/>
          <w:sz w:val="22"/>
          <w:szCs w:val="22"/>
        </w:rPr>
        <w:t>De Economist</w:t>
      </w:r>
      <w:r w:rsidRPr="00A55B12">
        <w:rPr>
          <w:rFonts w:ascii="Arial" w:hAnsi="Arial" w:cs="Arial"/>
          <w:sz w:val="22"/>
          <w:szCs w:val="22"/>
        </w:rPr>
        <w:t>, 171(2). Available at: https://doi.org/10.1007/s10645-023-09421-3.</w:t>
      </w:r>
    </w:p>
    <w:p w14:paraId="340EB361"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British Chambers of Commerce (2021) </w:t>
      </w:r>
      <w:r w:rsidRPr="00A55B12">
        <w:rPr>
          <w:rFonts w:ascii="Arial" w:hAnsi="Arial" w:cs="Arial"/>
          <w:i/>
          <w:iCs/>
          <w:sz w:val="22"/>
          <w:szCs w:val="22"/>
        </w:rPr>
        <w:t>Almost Half of Firms Facing Difficulties Trading with EU under Post-Brexit Trade Agreement</w:t>
      </w:r>
      <w:r w:rsidRPr="00A55B12">
        <w:rPr>
          <w:rFonts w:ascii="Arial" w:hAnsi="Arial" w:cs="Arial"/>
          <w:sz w:val="22"/>
          <w:szCs w:val="22"/>
        </w:rPr>
        <w:t xml:space="preserve">, </w:t>
      </w:r>
      <w:r w:rsidRPr="00A55B12">
        <w:rPr>
          <w:rFonts w:ascii="Arial" w:hAnsi="Arial" w:cs="Arial"/>
          <w:i/>
          <w:iCs/>
          <w:sz w:val="22"/>
          <w:szCs w:val="22"/>
        </w:rPr>
        <w:t>www.britishchambers.org.uk</w:t>
      </w:r>
      <w:r w:rsidRPr="00A55B12">
        <w:rPr>
          <w:rFonts w:ascii="Arial" w:hAnsi="Arial" w:cs="Arial"/>
          <w:sz w:val="22"/>
          <w:szCs w:val="22"/>
        </w:rPr>
        <w:t>. Available at: https://www.britishchambers.org.uk/news/2021/12/almost-half-of-firms-facing-difficulties-trading-with-eu-under-post-brexit-trade-agreement.</w:t>
      </w:r>
    </w:p>
    <w:p w14:paraId="330456D2"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lastRenderedPageBreak/>
        <w:t xml:space="preserve">Brown, R., </w:t>
      </w:r>
      <w:proofErr w:type="spellStart"/>
      <w:r w:rsidRPr="00A55B12">
        <w:rPr>
          <w:rFonts w:ascii="Arial" w:hAnsi="Arial" w:cs="Arial"/>
          <w:sz w:val="22"/>
          <w:szCs w:val="22"/>
        </w:rPr>
        <w:t>Liñares-Zegarra</w:t>
      </w:r>
      <w:proofErr w:type="spellEnd"/>
      <w:r w:rsidRPr="00A55B12">
        <w:rPr>
          <w:rFonts w:ascii="Arial" w:hAnsi="Arial" w:cs="Arial"/>
          <w:sz w:val="22"/>
          <w:szCs w:val="22"/>
        </w:rPr>
        <w:t xml:space="preserve">, J. and Wilson, J.O.S. (2019) ‘The (potential) Impact of Brexit on UK SMEs: Regional Evidence and Public Policy Implications’, </w:t>
      </w:r>
      <w:r w:rsidRPr="00A55B12">
        <w:rPr>
          <w:rFonts w:ascii="Arial" w:hAnsi="Arial" w:cs="Arial"/>
          <w:i/>
          <w:iCs/>
          <w:sz w:val="22"/>
          <w:szCs w:val="22"/>
        </w:rPr>
        <w:t>Regional Studies</w:t>
      </w:r>
      <w:r w:rsidRPr="00A55B12">
        <w:rPr>
          <w:rFonts w:ascii="Arial" w:hAnsi="Arial" w:cs="Arial"/>
          <w:sz w:val="22"/>
          <w:szCs w:val="22"/>
        </w:rPr>
        <w:t>, 53(5), pp. 761–770. Available at: https://doi.org/10.1080/00343404.2019.1597267.</w:t>
      </w:r>
    </w:p>
    <w:p w14:paraId="4883942D"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Bryman, A. and Bell, E. (2015) </w:t>
      </w:r>
      <w:r w:rsidRPr="00A55B12">
        <w:rPr>
          <w:rFonts w:ascii="Arial" w:hAnsi="Arial" w:cs="Arial"/>
          <w:i/>
          <w:iCs/>
          <w:sz w:val="22"/>
          <w:szCs w:val="22"/>
        </w:rPr>
        <w:t>Business Research Methods</w:t>
      </w:r>
      <w:r w:rsidRPr="00A55B12">
        <w:rPr>
          <w:rFonts w:ascii="Arial" w:hAnsi="Arial" w:cs="Arial"/>
          <w:sz w:val="22"/>
          <w:szCs w:val="22"/>
        </w:rPr>
        <w:t xml:space="preserve">. 4th </w:t>
      </w:r>
      <w:proofErr w:type="spellStart"/>
      <w:r w:rsidRPr="00A55B12">
        <w:rPr>
          <w:rFonts w:ascii="Arial" w:hAnsi="Arial" w:cs="Arial"/>
          <w:sz w:val="22"/>
          <w:szCs w:val="22"/>
        </w:rPr>
        <w:t>edn</w:t>
      </w:r>
      <w:proofErr w:type="spellEnd"/>
      <w:r w:rsidRPr="00A55B12">
        <w:rPr>
          <w:rFonts w:ascii="Arial" w:hAnsi="Arial" w:cs="Arial"/>
          <w:sz w:val="22"/>
          <w:szCs w:val="22"/>
        </w:rPr>
        <w:t>. Oxford: Oxford University Press.</w:t>
      </w:r>
    </w:p>
    <w:p w14:paraId="7AD84CAC"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Bulmer, S. and </w:t>
      </w:r>
      <w:proofErr w:type="spellStart"/>
      <w:r w:rsidRPr="00A55B12">
        <w:rPr>
          <w:rFonts w:ascii="Arial" w:hAnsi="Arial" w:cs="Arial"/>
          <w:sz w:val="22"/>
          <w:szCs w:val="22"/>
        </w:rPr>
        <w:t>Quaglia</w:t>
      </w:r>
      <w:proofErr w:type="spellEnd"/>
      <w:r w:rsidRPr="00A55B12">
        <w:rPr>
          <w:rFonts w:ascii="Arial" w:hAnsi="Arial" w:cs="Arial"/>
          <w:sz w:val="22"/>
          <w:szCs w:val="22"/>
        </w:rPr>
        <w:t xml:space="preserve">, L. (2019) </w:t>
      </w:r>
      <w:r w:rsidRPr="00A55B12">
        <w:rPr>
          <w:rFonts w:ascii="Arial" w:hAnsi="Arial" w:cs="Arial"/>
          <w:i/>
          <w:iCs/>
          <w:sz w:val="22"/>
          <w:szCs w:val="22"/>
        </w:rPr>
        <w:t>The Politics and Economics of Brexit</w:t>
      </w:r>
      <w:r w:rsidRPr="00A55B12">
        <w:rPr>
          <w:rFonts w:ascii="Arial" w:hAnsi="Arial" w:cs="Arial"/>
          <w:sz w:val="22"/>
          <w:szCs w:val="22"/>
        </w:rPr>
        <w:t>. London: Routledge.</w:t>
      </w:r>
    </w:p>
    <w:p w14:paraId="570269E1"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Burns, P. (2016) </w:t>
      </w:r>
      <w:r w:rsidRPr="00A55B12">
        <w:rPr>
          <w:rFonts w:ascii="Arial" w:hAnsi="Arial" w:cs="Arial"/>
          <w:i/>
          <w:iCs/>
          <w:sz w:val="22"/>
          <w:szCs w:val="22"/>
        </w:rPr>
        <w:t xml:space="preserve">Entrepreneurship and Small </w:t>
      </w:r>
      <w:proofErr w:type="gramStart"/>
      <w:r w:rsidRPr="00A55B12">
        <w:rPr>
          <w:rFonts w:ascii="Arial" w:hAnsi="Arial" w:cs="Arial"/>
          <w:i/>
          <w:iCs/>
          <w:sz w:val="22"/>
          <w:szCs w:val="22"/>
        </w:rPr>
        <w:t>Business :</w:t>
      </w:r>
      <w:proofErr w:type="gramEnd"/>
      <w:r w:rsidRPr="00A55B12">
        <w:rPr>
          <w:rFonts w:ascii="Arial" w:hAnsi="Arial" w:cs="Arial"/>
          <w:i/>
          <w:iCs/>
          <w:sz w:val="22"/>
          <w:szCs w:val="22"/>
        </w:rPr>
        <w:t xml:space="preserve"> start-up, Growth and Maturity</w:t>
      </w:r>
      <w:r w:rsidRPr="00A55B12">
        <w:rPr>
          <w:rFonts w:ascii="Arial" w:hAnsi="Arial" w:cs="Arial"/>
          <w:sz w:val="22"/>
          <w:szCs w:val="22"/>
        </w:rPr>
        <w:t>. Basingstoke (Gb): Palgrave Macmillan Education, Cop.</w:t>
      </w:r>
    </w:p>
    <w:p w14:paraId="12A4BF46"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Burns, P. (2018) </w:t>
      </w:r>
      <w:r w:rsidRPr="00A55B12">
        <w:rPr>
          <w:rFonts w:ascii="Arial" w:hAnsi="Arial" w:cs="Arial"/>
          <w:i/>
          <w:iCs/>
          <w:sz w:val="22"/>
          <w:szCs w:val="22"/>
        </w:rPr>
        <w:t xml:space="preserve">New Venture </w:t>
      </w:r>
      <w:proofErr w:type="gramStart"/>
      <w:r w:rsidRPr="00A55B12">
        <w:rPr>
          <w:rFonts w:ascii="Arial" w:hAnsi="Arial" w:cs="Arial"/>
          <w:i/>
          <w:iCs/>
          <w:sz w:val="22"/>
          <w:szCs w:val="22"/>
        </w:rPr>
        <w:t>Creation :</w:t>
      </w:r>
      <w:proofErr w:type="gramEnd"/>
      <w:r w:rsidRPr="00A55B12">
        <w:rPr>
          <w:rFonts w:ascii="Arial" w:hAnsi="Arial" w:cs="Arial"/>
          <w:i/>
          <w:iCs/>
          <w:sz w:val="22"/>
          <w:szCs w:val="22"/>
        </w:rPr>
        <w:t xml:space="preserve"> a Framework for Entrepreneurial start-ups</w:t>
      </w:r>
      <w:r w:rsidRPr="00A55B12">
        <w:rPr>
          <w:rFonts w:ascii="Arial" w:hAnsi="Arial" w:cs="Arial"/>
          <w:sz w:val="22"/>
          <w:szCs w:val="22"/>
        </w:rPr>
        <w:t>. London: Palgrave Macmillan.</w:t>
      </w:r>
    </w:p>
    <w:p w14:paraId="554A8E6F"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Carter, S. and Jones-Evans, D. (2000) </w:t>
      </w:r>
      <w:r w:rsidRPr="00A55B12">
        <w:rPr>
          <w:rFonts w:ascii="Arial" w:hAnsi="Arial" w:cs="Arial"/>
          <w:i/>
          <w:iCs/>
          <w:sz w:val="22"/>
          <w:szCs w:val="22"/>
        </w:rPr>
        <w:t xml:space="preserve">Enterprise and Small </w:t>
      </w:r>
      <w:proofErr w:type="gramStart"/>
      <w:r w:rsidRPr="00A55B12">
        <w:rPr>
          <w:rFonts w:ascii="Arial" w:hAnsi="Arial" w:cs="Arial"/>
          <w:i/>
          <w:iCs/>
          <w:sz w:val="22"/>
          <w:szCs w:val="22"/>
        </w:rPr>
        <w:t>Business :</w:t>
      </w:r>
      <w:proofErr w:type="gramEnd"/>
      <w:r w:rsidRPr="00A55B12">
        <w:rPr>
          <w:rFonts w:ascii="Arial" w:hAnsi="Arial" w:cs="Arial"/>
          <w:i/>
          <w:iCs/>
          <w:sz w:val="22"/>
          <w:szCs w:val="22"/>
        </w:rPr>
        <w:t xml:space="preserve"> Principles, Practice and Policy.</w:t>
      </w:r>
      <w:r w:rsidRPr="00A55B12">
        <w:rPr>
          <w:rFonts w:ascii="Arial" w:hAnsi="Arial" w:cs="Arial"/>
          <w:sz w:val="22"/>
          <w:szCs w:val="22"/>
        </w:rPr>
        <w:t xml:space="preserve"> Harlow: Pearson Education.</w:t>
      </w:r>
    </w:p>
    <w:p w14:paraId="28472665"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Cowling, M. </w:t>
      </w:r>
      <w:r w:rsidRPr="00A55B12">
        <w:rPr>
          <w:rFonts w:ascii="Arial" w:hAnsi="Arial" w:cs="Arial"/>
          <w:i/>
          <w:iCs/>
          <w:sz w:val="22"/>
          <w:szCs w:val="22"/>
        </w:rPr>
        <w:t>et al.</w:t>
      </w:r>
      <w:r w:rsidRPr="00A55B12">
        <w:rPr>
          <w:rFonts w:ascii="Arial" w:hAnsi="Arial" w:cs="Arial"/>
          <w:sz w:val="22"/>
          <w:szCs w:val="22"/>
        </w:rPr>
        <w:t xml:space="preserve"> (2014) ‘What Really Happens to Small and medium-sized Enterprises in a Global Economic recession? UK Evidence on Sales and Job Dynamics’, </w:t>
      </w:r>
      <w:r w:rsidRPr="00A55B12">
        <w:rPr>
          <w:rFonts w:ascii="Arial" w:hAnsi="Arial" w:cs="Arial"/>
          <w:i/>
          <w:iCs/>
          <w:sz w:val="22"/>
          <w:szCs w:val="22"/>
        </w:rPr>
        <w:t>International Small Business Journal: Researching Entrepreneurship</w:t>
      </w:r>
      <w:r w:rsidRPr="00A55B12">
        <w:rPr>
          <w:rFonts w:ascii="Arial" w:hAnsi="Arial" w:cs="Arial"/>
          <w:sz w:val="22"/>
          <w:szCs w:val="22"/>
        </w:rPr>
        <w:t>, 33(5), pp. 488–513. Available at: https://doi.org/10.1177/0266242613512513.</w:t>
      </w:r>
    </w:p>
    <w:p w14:paraId="4C98C403"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Cowling, M. and Brown, R. (2024) ‘Discouraged exporters, Regional Resilience and the “Slow Burn” Shock of Brexit: Unpacking the trade-related Consequences for UK SMEs’, </w:t>
      </w:r>
      <w:r w:rsidRPr="00A55B12">
        <w:rPr>
          <w:rFonts w:ascii="Arial" w:hAnsi="Arial" w:cs="Arial"/>
          <w:i/>
          <w:iCs/>
          <w:sz w:val="22"/>
          <w:szCs w:val="22"/>
        </w:rPr>
        <w:t>Papers of the Regional Science Association</w:t>
      </w:r>
      <w:r w:rsidRPr="00A55B12">
        <w:rPr>
          <w:rFonts w:ascii="Arial" w:hAnsi="Arial" w:cs="Arial"/>
          <w:sz w:val="22"/>
          <w:szCs w:val="22"/>
        </w:rPr>
        <w:t>, 103(5), pp. 100045–100045. Available at: https://doi.org/10.1016/j.pirs.2024.100045.</w:t>
      </w:r>
    </w:p>
    <w:p w14:paraId="1BA48055"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Danny Dorling (2020) </w:t>
      </w:r>
      <w:r w:rsidRPr="00A55B12">
        <w:rPr>
          <w:rFonts w:ascii="Arial" w:hAnsi="Arial" w:cs="Arial"/>
          <w:i/>
          <w:iCs/>
          <w:sz w:val="22"/>
          <w:szCs w:val="22"/>
        </w:rPr>
        <w:t xml:space="preserve">Rule </w:t>
      </w:r>
      <w:proofErr w:type="gramStart"/>
      <w:r w:rsidRPr="00A55B12">
        <w:rPr>
          <w:rFonts w:ascii="Arial" w:hAnsi="Arial" w:cs="Arial"/>
          <w:i/>
          <w:iCs/>
          <w:sz w:val="22"/>
          <w:szCs w:val="22"/>
        </w:rPr>
        <w:t>Britannia :</w:t>
      </w:r>
      <w:proofErr w:type="gramEnd"/>
      <w:r w:rsidRPr="00A55B12">
        <w:rPr>
          <w:rFonts w:ascii="Arial" w:hAnsi="Arial" w:cs="Arial"/>
          <w:i/>
          <w:iCs/>
          <w:sz w:val="22"/>
          <w:szCs w:val="22"/>
        </w:rPr>
        <w:t xml:space="preserve"> Brexit and the End of empire.</w:t>
      </w:r>
      <w:r w:rsidRPr="00A55B12">
        <w:rPr>
          <w:rFonts w:ascii="Arial" w:hAnsi="Arial" w:cs="Arial"/>
          <w:sz w:val="22"/>
          <w:szCs w:val="22"/>
        </w:rPr>
        <w:t xml:space="preserve"> </w:t>
      </w:r>
      <w:proofErr w:type="spellStart"/>
      <w:r w:rsidRPr="00A55B12">
        <w:rPr>
          <w:rFonts w:ascii="Arial" w:hAnsi="Arial" w:cs="Arial"/>
          <w:sz w:val="22"/>
          <w:szCs w:val="22"/>
        </w:rPr>
        <w:t>Biteback</w:t>
      </w:r>
      <w:proofErr w:type="spellEnd"/>
      <w:r w:rsidRPr="00A55B12">
        <w:rPr>
          <w:rFonts w:ascii="Arial" w:hAnsi="Arial" w:cs="Arial"/>
          <w:sz w:val="22"/>
          <w:szCs w:val="22"/>
        </w:rPr>
        <w:t xml:space="preserve"> Publishing.</w:t>
      </w:r>
    </w:p>
    <w:p w14:paraId="10DBFD2C"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Duda-Mikulin</w:t>
      </w:r>
      <w:proofErr w:type="spellEnd"/>
      <w:r w:rsidRPr="00A55B12">
        <w:rPr>
          <w:rFonts w:ascii="Arial" w:hAnsi="Arial" w:cs="Arial"/>
          <w:sz w:val="22"/>
          <w:szCs w:val="22"/>
        </w:rPr>
        <w:t xml:space="preserve">, E.A. (2019) </w:t>
      </w:r>
      <w:r w:rsidRPr="00A55B12">
        <w:rPr>
          <w:rFonts w:ascii="Arial" w:hAnsi="Arial" w:cs="Arial"/>
          <w:i/>
          <w:iCs/>
          <w:sz w:val="22"/>
          <w:szCs w:val="22"/>
        </w:rPr>
        <w:t>EU Migrant Workers, Brexit and Precarity</w:t>
      </w:r>
      <w:r w:rsidRPr="00A55B12">
        <w:rPr>
          <w:rFonts w:ascii="Arial" w:hAnsi="Arial" w:cs="Arial"/>
          <w:sz w:val="22"/>
          <w:szCs w:val="22"/>
        </w:rPr>
        <w:t>. Policy Press.</w:t>
      </w:r>
    </w:p>
    <w:p w14:paraId="628C2E9D"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Evans, G. and Menon, A. (2017) </w:t>
      </w:r>
      <w:r w:rsidRPr="00A55B12">
        <w:rPr>
          <w:rFonts w:ascii="Arial" w:hAnsi="Arial" w:cs="Arial"/>
          <w:i/>
          <w:iCs/>
          <w:sz w:val="22"/>
          <w:szCs w:val="22"/>
        </w:rPr>
        <w:t>Brexit and British Politics</w:t>
      </w:r>
      <w:r w:rsidRPr="00A55B12">
        <w:rPr>
          <w:rFonts w:ascii="Arial" w:hAnsi="Arial" w:cs="Arial"/>
          <w:sz w:val="22"/>
          <w:szCs w:val="22"/>
        </w:rPr>
        <w:t xml:space="preserve">. Cambridge, </w:t>
      </w:r>
      <w:proofErr w:type="spellStart"/>
      <w:proofErr w:type="gramStart"/>
      <w:r w:rsidRPr="00A55B12">
        <w:rPr>
          <w:rFonts w:ascii="Arial" w:hAnsi="Arial" w:cs="Arial"/>
          <w:sz w:val="22"/>
          <w:szCs w:val="22"/>
        </w:rPr>
        <w:t>Uk</w:t>
      </w:r>
      <w:proofErr w:type="spellEnd"/>
      <w:r w:rsidRPr="00A55B12">
        <w:rPr>
          <w:rFonts w:ascii="Arial" w:hAnsi="Arial" w:cs="Arial"/>
          <w:sz w:val="22"/>
          <w:szCs w:val="22"/>
        </w:rPr>
        <w:t xml:space="preserve"> ;</w:t>
      </w:r>
      <w:proofErr w:type="gramEnd"/>
      <w:r w:rsidRPr="00A55B12">
        <w:rPr>
          <w:rFonts w:ascii="Arial" w:hAnsi="Arial" w:cs="Arial"/>
          <w:sz w:val="22"/>
          <w:szCs w:val="22"/>
        </w:rPr>
        <w:t xml:space="preserve"> Medford, Ma: Polity Press.</w:t>
      </w:r>
    </w:p>
    <w:p w14:paraId="36E52EA1"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lastRenderedPageBreak/>
        <w:t xml:space="preserve">Field, A. (2017) </w:t>
      </w:r>
      <w:r w:rsidRPr="00A55B12">
        <w:rPr>
          <w:rFonts w:ascii="Arial" w:hAnsi="Arial" w:cs="Arial"/>
          <w:i/>
          <w:iCs/>
          <w:sz w:val="22"/>
          <w:szCs w:val="22"/>
        </w:rPr>
        <w:t>Discovering Statistics Using IBM SPSS Statistics</w:t>
      </w:r>
      <w:r w:rsidRPr="00A55B12">
        <w:rPr>
          <w:rFonts w:ascii="Arial" w:hAnsi="Arial" w:cs="Arial"/>
          <w:sz w:val="22"/>
          <w:szCs w:val="22"/>
        </w:rPr>
        <w:t xml:space="preserve">. 5th </w:t>
      </w:r>
      <w:proofErr w:type="spellStart"/>
      <w:r w:rsidRPr="00A55B12">
        <w:rPr>
          <w:rFonts w:ascii="Arial" w:hAnsi="Arial" w:cs="Arial"/>
          <w:sz w:val="22"/>
          <w:szCs w:val="22"/>
        </w:rPr>
        <w:t>edn</w:t>
      </w:r>
      <w:proofErr w:type="spellEnd"/>
      <w:r w:rsidRPr="00A55B12">
        <w:rPr>
          <w:rFonts w:ascii="Arial" w:hAnsi="Arial" w:cs="Arial"/>
          <w:sz w:val="22"/>
          <w:szCs w:val="22"/>
        </w:rPr>
        <w:t>. Los Angeles: Sage Publications.</w:t>
      </w:r>
    </w:p>
    <w:p w14:paraId="113A980E"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FSB (2021) </w:t>
      </w:r>
      <w:r w:rsidRPr="00A55B12">
        <w:rPr>
          <w:rFonts w:ascii="Arial" w:hAnsi="Arial" w:cs="Arial"/>
          <w:i/>
          <w:iCs/>
          <w:sz w:val="22"/>
          <w:szCs w:val="22"/>
        </w:rPr>
        <w:t>Small Businesses Speak out on Brexit</w:t>
      </w:r>
      <w:r w:rsidRPr="00A55B12">
        <w:rPr>
          <w:rFonts w:ascii="Arial" w:hAnsi="Arial" w:cs="Arial"/>
          <w:sz w:val="22"/>
          <w:szCs w:val="22"/>
        </w:rPr>
        <w:t xml:space="preserve">, </w:t>
      </w:r>
      <w:r w:rsidRPr="00A55B12">
        <w:rPr>
          <w:rFonts w:ascii="Arial" w:hAnsi="Arial" w:cs="Arial"/>
          <w:i/>
          <w:iCs/>
          <w:sz w:val="22"/>
          <w:szCs w:val="22"/>
        </w:rPr>
        <w:t>www.fsb.org.uk</w:t>
      </w:r>
      <w:r w:rsidRPr="00A55B12">
        <w:rPr>
          <w:rFonts w:ascii="Arial" w:hAnsi="Arial" w:cs="Arial"/>
          <w:sz w:val="22"/>
          <w:szCs w:val="22"/>
        </w:rPr>
        <w:t>. Available at: https://www.fsb.org.uk/resources-page/small-businesses-speak-out-on-brexit.html.</w:t>
      </w:r>
    </w:p>
    <w:p w14:paraId="0FE80218"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FSB (2023) </w:t>
      </w:r>
      <w:r w:rsidRPr="00A55B12">
        <w:rPr>
          <w:rFonts w:ascii="Arial" w:hAnsi="Arial" w:cs="Arial"/>
          <w:i/>
          <w:iCs/>
          <w:sz w:val="22"/>
          <w:szCs w:val="22"/>
        </w:rPr>
        <w:t>International trade: How Small Firms Are Responding to Brexit Challenges</w:t>
      </w:r>
      <w:r w:rsidRPr="00A55B12">
        <w:rPr>
          <w:rFonts w:ascii="Arial" w:hAnsi="Arial" w:cs="Arial"/>
          <w:sz w:val="22"/>
          <w:szCs w:val="22"/>
        </w:rPr>
        <w:t xml:space="preserve">, </w:t>
      </w:r>
      <w:r w:rsidRPr="00A55B12">
        <w:rPr>
          <w:rFonts w:ascii="Arial" w:hAnsi="Arial" w:cs="Arial"/>
          <w:i/>
          <w:iCs/>
          <w:sz w:val="22"/>
          <w:szCs w:val="22"/>
        </w:rPr>
        <w:t>www.fsb.org.uk</w:t>
      </w:r>
      <w:r w:rsidRPr="00A55B12">
        <w:rPr>
          <w:rFonts w:ascii="Arial" w:hAnsi="Arial" w:cs="Arial"/>
          <w:sz w:val="22"/>
          <w:szCs w:val="22"/>
        </w:rPr>
        <w:t>. Available at: https://www.fsb.org.uk/resources-page/international-trade-how-small-firms-are-responding-to-brexit-challenges.html.</w:t>
      </w:r>
    </w:p>
    <w:p w14:paraId="52A4FE40"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Gamble, A. (2018) ‘Taking Back control: the Political Implications of Brexit’, </w:t>
      </w:r>
      <w:r w:rsidRPr="00A55B12">
        <w:rPr>
          <w:rFonts w:ascii="Arial" w:hAnsi="Arial" w:cs="Arial"/>
          <w:i/>
          <w:iCs/>
          <w:sz w:val="22"/>
          <w:szCs w:val="22"/>
        </w:rPr>
        <w:t>Journal of European Public Policy</w:t>
      </w:r>
      <w:r w:rsidRPr="00A55B12">
        <w:rPr>
          <w:rFonts w:ascii="Arial" w:hAnsi="Arial" w:cs="Arial"/>
          <w:sz w:val="22"/>
          <w:szCs w:val="22"/>
        </w:rPr>
        <w:t>, 25(8), pp. 1215–1232. Available at: https://doi.org/10.1080/13501763.2018.1467952.</w:t>
      </w:r>
    </w:p>
    <w:p w14:paraId="1EBACB8C"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Gennard, J. </w:t>
      </w:r>
      <w:r w:rsidRPr="00A55B12">
        <w:rPr>
          <w:rFonts w:ascii="Arial" w:hAnsi="Arial" w:cs="Arial"/>
          <w:i/>
          <w:iCs/>
          <w:sz w:val="22"/>
          <w:szCs w:val="22"/>
        </w:rPr>
        <w:t>et al.</w:t>
      </w:r>
      <w:r w:rsidRPr="00A55B12">
        <w:rPr>
          <w:rFonts w:ascii="Arial" w:hAnsi="Arial" w:cs="Arial"/>
          <w:sz w:val="22"/>
          <w:szCs w:val="22"/>
        </w:rPr>
        <w:t xml:space="preserve"> (2016) </w:t>
      </w:r>
      <w:r w:rsidRPr="00A55B12">
        <w:rPr>
          <w:rFonts w:ascii="Arial" w:hAnsi="Arial" w:cs="Arial"/>
          <w:i/>
          <w:iCs/>
          <w:sz w:val="22"/>
          <w:szCs w:val="22"/>
        </w:rPr>
        <w:t>Managing Employment Relations</w:t>
      </w:r>
      <w:r w:rsidRPr="00A55B12">
        <w:rPr>
          <w:rFonts w:ascii="Arial" w:hAnsi="Arial" w:cs="Arial"/>
          <w:sz w:val="22"/>
          <w:szCs w:val="22"/>
        </w:rPr>
        <w:t xml:space="preserve">. 6th </w:t>
      </w:r>
      <w:proofErr w:type="spellStart"/>
      <w:r w:rsidRPr="00A55B12">
        <w:rPr>
          <w:rFonts w:ascii="Arial" w:hAnsi="Arial" w:cs="Arial"/>
          <w:sz w:val="22"/>
          <w:szCs w:val="22"/>
        </w:rPr>
        <w:t>edn</w:t>
      </w:r>
      <w:proofErr w:type="spellEnd"/>
      <w:r w:rsidRPr="00A55B12">
        <w:rPr>
          <w:rFonts w:ascii="Arial" w:hAnsi="Arial" w:cs="Arial"/>
          <w:sz w:val="22"/>
          <w:szCs w:val="22"/>
        </w:rPr>
        <w:t xml:space="preserve">. London: Chartered Institute </w:t>
      </w:r>
      <w:proofErr w:type="gramStart"/>
      <w:r w:rsidRPr="00A55B12">
        <w:rPr>
          <w:rFonts w:ascii="Arial" w:hAnsi="Arial" w:cs="Arial"/>
          <w:sz w:val="22"/>
          <w:szCs w:val="22"/>
        </w:rPr>
        <w:t>Of</w:t>
      </w:r>
      <w:proofErr w:type="gramEnd"/>
      <w:r w:rsidRPr="00A55B12">
        <w:rPr>
          <w:rFonts w:ascii="Arial" w:hAnsi="Arial" w:cs="Arial"/>
          <w:sz w:val="22"/>
          <w:szCs w:val="22"/>
        </w:rPr>
        <w:t xml:space="preserve"> Personnel And Development.</w:t>
      </w:r>
    </w:p>
    <w:p w14:paraId="7F1F7BB8"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Gupta, R. </w:t>
      </w:r>
      <w:r w:rsidRPr="00A55B12">
        <w:rPr>
          <w:rFonts w:ascii="Arial" w:hAnsi="Arial" w:cs="Arial"/>
          <w:i/>
          <w:iCs/>
          <w:sz w:val="22"/>
          <w:szCs w:val="22"/>
        </w:rPr>
        <w:t>et al.</w:t>
      </w:r>
      <w:r w:rsidRPr="00A55B12">
        <w:rPr>
          <w:rFonts w:ascii="Arial" w:hAnsi="Arial" w:cs="Arial"/>
          <w:sz w:val="22"/>
          <w:szCs w:val="22"/>
        </w:rPr>
        <w:t xml:space="preserve"> (2023) ‘Evaluating the Brexit and COVID-19’s Influence on the UK Economy: </w:t>
      </w:r>
      <w:proofErr w:type="gramStart"/>
      <w:r w:rsidRPr="00A55B12">
        <w:rPr>
          <w:rFonts w:ascii="Arial" w:hAnsi="Arial" w:cs="Arial"/>
          <w:sz w:val="22"/>
          <w:szCs w:val="22"/>
        </w:rPr>
        <w:t>a</w:t>
      </w:r>
      <w:proofErr w:type="gramEnd"/>
      <w:r w:rsidRPr="00A55B12">
        <w:rPr>
          <w:rFonts w:ascii="Arial" w:hAnsi="Arial" w:cs="Arial"/>
          <w:sz w:val="22"/>
          <w:szCs w:val="22"/>
        </w:rPr>
        <w:t xml:space="preserve"> Data Analysis’, </w:t>
      </w:r>
      <w:proofErr w:type="spellStart"/>
      <w:r w:rsidRPr="00A55B12">
        <w:rPr>
          <w:rFonts w:ascii="Arial" w:hAnsi="Arial" w:cs="Arial"/>
          <w:i/>
          <w:iCs/>
          <w:sz w:val="22"/>
          <w:szCs w:val="22"/>
        </w:rPr>
        <w:t>PLoS</w:t>
      </w:r>
      <w:proofErr w:type="spellEnd"/>
      <w:r w:rsidRPr="00A55B12">
        <w:rPr>
          <w:rFonts w:ascii="Arial" w:hAnsi="Arial" w:cs="Arial"/>
          <w:i/>
          <w:iCs/>
          <w:sz w:val="22"/>
          <w:szCs w:val="22"/>
        </w:rPr>
        <w:t xml:space="preserve"> One</w:t>
      </w:r>
      <w:r w:rsidRPr="00A55B12">
        <w:rPr>
          <w:rFonts w:ascii="Arial" w:hAnsi="Arial" w:cs="Arial"/>
          <w:sz w:val="22"/>
          <w:szCs w:val="22"/>
        </w:rPr>
        <w:t>, 18(6), pp. e0287342–e0287342.</w:t>
      </w:r>
    </w:p>
    <w:p w14:paraId="75DA3515"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Hantrais</w:t>
      </w:r>
      <w:proofErr w:type="spellEnd"/>
      <w:r w:rsidRPr="00A55B12">
        <w:rPr>
          <w:rFonts w:ascii="Arial" w:hAnsi="Arial" w:cs="Arial"/>
          <w:sz w:val="22"/>
          <w:szCs w:val="22"/>
        </w:rPr>
        <w:t xml:space="preserve">, L. (2019) </w:t>
      </w:r>
      <w:r w:rsidRPr="00A55B12">
        <w:rPr>
          <w:rFonts w:ascii="Arial" w:hAnsi="Arial" w:cs="Arial"/>
          <w:i/>
          <w:iCs/>
          <w:sz w:val="22"/>
          <w:szCs w:val="22"/>
        </w:rPr>
        <w:t>What Brexit Means for EU and UK Social Policy</w:t>
      </w:r>
      <w:r w:rsidRPr="00A55B12">
        <w:rPr>
          <w:rFonts w:ascii="Arial" w:hAnsi="Arial" w:cs="Arial"/>
          <w:sz w:val="22"/>
          <w:szCs w:val="22"/>
        </w:rPr>
        <w:t>. Bristol: Policy Press.</w:t>
      </w:r>
    </w:p>
    <w:p w14:paraId="4F334E8E"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HM Revenue &amp; Customs (2020) </w:t>
      </w:r>
      <w:r w:rsidRPr="00A55B12">
        <w:rPr>
          <w:rFonts w:ascii="Arial" w:hAnsi="Arial" w:cs="Arial"/>
          <w:i/>
          <w:iCs/>
          <w:sz w:val="22"/>
          <w:szCs w:val="22"/>
        </w:rPr>
        <w:t>Customs, VAT and Excise UK Transition Legislation from 1 January 2021</w:t>
      </w:r>
      <w:r w:rsidRPr="00A55B12">
        <w:rPr>
          <w:rFonts w:ascii="Arial" w:hAnsi="Arial" w:cs="Arial"/>
          <w:sz w:val="22"/>
          <w:szCs w:val="22"/>
        </w:rPr>
        <w:t xml:space="preserve">, </w:t>
      </w:r>
      <w:r w:rsidRPr="00A55B12">
        <w:rPr>
          <w:rFonts w:ascii="Arial" w:hAnsi="Arial" w:cs="Arial"/>
          <w:i/>
          <w:iCs/>
          <w:sz w:val="22"/>
          <w:szCs w:val="22"/>
        </w:rPr>
        <w:t>GOV.UK</w:t>
      </w:r>
      <w:r w:rsidRPr="00A55B12">
        <w:rPr>
          <w:rFonts w:ascii="Arial" w:hAnsi="Arial" w:cs="Arial"/>
          <w:sz w:val="22"/>
          <w:szCs w:val="22"/>
        </w:rPr>
        <w:t>. Available at: https://www.gov.uk/government/collections/customs-vat-and-excise-uk-transition-legislation-from-1-january-2021.</w:t>
      </w:r>
    </w:p>
    <w:p w14:paraId="7E597506"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Hutton, G. (2024) </w:t>
      </w:r>
      <w:r w:rsidRPr="00A55B12">
        <w:rPr>
          <w:rFonts w:ascii="Arial" w:hAnsi="Arial" w:cs="Arial"/>
          <w:i/>
          <w:iCs/>
          <w:sz w:val="22"/>
          <w:szCs w:val="22"/>
        </w:rPr>
        <w:t>Business Statistics</w:t>
      </w:r>
      <w:r w:rsidRPr="00A55B12">
        <w:rPr>
          <w:rFonts w:ascii="Arial" w:hAnsi="Arial" w:cs="Arial"/>
          <w:sz w:val="22"/>
          <w:szCs w:val="22"/>
        </w:rPr>
        <w:t xml:space="preserve">, </w:t>
      </w:r>
      <w:r w:rsidRPr="00A55B12">
        <w:rPr>
          <w:rFonts w:ascii="Arial" w:hAnsi="Arial" w:cs="Arial"/>
          <w:i/>
          <w:iCs/>
          <w:sz w:val="22"/>
          <w:szCs w:val="22"/>
        </w:rPr>
        <w:t>Parliament.uk</w:t>
      </w:r>
      <w:r w:rsidRPr="00A55B12">
        <w:rPr>
          <w:rFonts w:ascii="Arial" w:hAnsi="Arial" w:cs="Arial"/>
          <w:sz w:val="22"/>
          <w:szCs w:val="22"/>
        </w:rPr>
        <w:t>. House of Commons Library. Available at: https://researchbriefings.files.parliament.uk/documents/SN06152/SN06152.pdf.</w:t>
      </w:r>
    </w:p>
    <w:p w14:paraId="48EB6668"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Jacobs, M. and </w:t>
      </w:r>
      <w:proofErr w:type="spellStart"/>
      <w:r w:rsidRPr="00A55B12">
        <w:rPr>
          <w:rFonts w:ascii="Arial" w:hAnsi="Arial" w:cs="Arial"/>
          <w:sz w:val="22"/>
          <w:szCs w:val="22"/>
        </w:rPr>
        <w:t>Mazzucato</w:t>
      </w:r>
      <w:proofErr w:type="spellEnd"/>
      <w:r w:rsidRPr="00A55B12">
        <w:rPr>
          <w:rFonts w:ascii="Arial" w:hAnsi="Arial" w:cs="Arial"/>
          <w:sz w:val="22"/>
          <w:szCs w:val="22"/>
        </w:rPr>
        <w:t xml:space="preserve">, M. (2016) </w:t>
      </w:r>
      <w:r w:rsidRPr="00A55B12">
        <w:rPr>
          <w:rFonts w:ascii="Arial" w:hAnsi="Arial" w:cs="Arial"/>
          <w:i/>
          <w:iCs/>
          <w:sz w:val="22"/>
          <w:szCs w:val="22"/>
        </w:rPr>
        <w:t xml:space="preserve">Rethinking </w:t>
      </w:r>
      <w:proofErr w:type="gramStart"/>
      <w:r w:rsidRPr="00A55B12">
        <w:rPr>
          <w:rFonts w:ascii="Arial" w:hAnsi="Arial" w:cs="Arial"/>
          <w:i/>
          <w:iCs/>
          <w:sz w:val="22"/>
          <w:szCs w:val="22"/>
        </w:rPr>
        <w:t>Capitalism :</w:t>
      </w:r>
      <w:proofErr w:type="gramEnd"/>
      <w:r w:rsidRPr="00A55B12">
        <w:rPr>
          <w:rFonts w:ascii="Arial" w:hAnsi="Arial" w:cs="Arial"/>
          <w:i/>
          <w:iCs/>
          <w:sz w:val="22"/>
          <w:szCs w:val="22"/>
        </w:rPr>
        <w:t xml:space="preserve"> Economics and Policy for Sustainable and Inclusive Growth</w:t>
      </w:r>
      <w:r w:rsidRPr="00A55B12">
        <w:rPr>
          <w:rFonts w:ascii="Arial" w:hAnsi="Arial" w:cs="Arial"/>
          <w:sz w:val="22"/>
          <w:szCs w:val="22"/>
        </w:rPr>
        <w:t>. Somerset: Wiley.</w:t>
      </w:r>
    </w:p>
    <w:p w14:paraId="09C48E1C"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Kitching, J., Hart, M. and Wilson, N. (2013) ‘Burden or benefit? Regulation as a Dynamic Influence on Small Business Performance’, </w:t>
      </w:r>
      <w:r w:rsidRPr="00A55B12">
        <w:rPr>
          <w:rFonts w:ascii="Arial" w:hAnsi="Arial" w:cs="Arial"/>
          <w:i/>
          <w:iCs/>
          <w:sz w:val="22"/>
          <w:szCs w:val="22"/>
        </w:rPr>
        <w:t xml:space="preserve">International Small Business Journal: </w:t>
      </w:r>
      <w:r w:rsidRPr="00A55B12">
        <w:rPr>
          <w:rFonts w:ascii="Arial" w:hAnsi="Arial" w:cs="Arial"/>
          <w:i/>
          <w:iCs/>
          <w:sz w:val="22"/>
          <w:szCs w:val="22"/>
        </w:rPr>
        <w:lastRenderedPageBreak/>
        <w:t>Researching Entrepreneurship</w:t>
      </w:r>
      <w:r w:rsidRPr="00A55B12">
        <w:rPr>
          <w:rFonts w:ascii="Arial" w:hAnsi="Arial" w:cs="Arial"/>
          <w:sz w:val="22"/>
          <w:szCs w:val="22"/>
        </w:rPr>
        <w:t>, 33(2), pp. 130–147. Available at: https://doi.org/10.1177/0266242613493454.</w:t>
      </w:r>
    </w:p>
    <w:p w14:paraId="548C71FB"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Lista, L. (2023) </w:t>
      </w:r>
      <w:r w:rsidRPr="00A55B12">
        <w:rPr>
          <w:rFonts w:ascii="Arial" w:hAnsi="Arial" w:cs="Arial"/>
          <w:i/>
          <w:iCs/>
          <w:sz w:val="22"/>
          <w:szCs w:val="22"/>
        </w:rPr>
        <w:t>Statistical Methods for Data Analysis</w:t>
      </w:r>
      <w:r w:rsidRPr="00A55B12">
        <w:rPr>
          <w:rFonts w:ascii="Arial" w:hAnsi="Arial" w:cs="Arial"/>
          <w:sz w:val="22"/>
          <w:szCs w:val="22"/>
        </w:rPr>
        <w:t>. Springer Nature.</w:t>
      </w:r>
    </w:p>
    <w:p w14:paraId="2AFD91A9"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MAC (2023) </w:t>
      </w:r>
      <w:r w:rsidRPr="00A55B12">
        <w:rPr>
          <w:rFonts w:ascii="Arial" w:hAnsi="Arial" w:cs="Arial"/>
          <w:i/>
          <w:iCs/>
          <w:sz w:val="22"/>
          <w:szCs w:val="22"/>
        </w:rPr>
        <w:t>Migration Advisory Committee (MAC) Annual report, 2022 (accessible)</w:t>
      </w:r>
      <w:r w:rsidRPr="00A55B12">
        <w:rPr>
          <w:rFonts w:ascii="Arial" w:hAnsi="Arial" w:cs="Arial"/>
          <w:sz w:val="22"/>
          <w:szCs w:val="22"/>
        </w:rPr>
        <w:t xml:space="preserve">, </w:t>
      </w:r>
      <w:r w:rsidRPr="00A55B12">
        <w:rPr>
          <w:rFonts w:ascii="Arial" w:hAnsi="Arial" w:cs="Arial"/>
          <w:i/>
          <w:iCs/>
          <w:sz w:val="22"/>
          <w:szCs w:val="22"/>
        </w:rPr>
        <w:t>GOV.UK</w:t>
      </w:r>
      <w:r w:rsidRPr="00A55B12">
        <w:rPr>
          <w:rFonts w:ascii="Arial" w:hAnsi="Arial" w:cs="Arial"/>
          <w:sz w:val="22"/>
          <w:szCs w:val="22"/>
        </w:rPr>
        <w:t>. Available at: https://www.gov.uk/government/publications/migration-advisory-committee-annual-report-2022/migration-advisory-committee-mac-annual-report-2022-accessible.</w:t>
      </w:r>
    </w:p>
    <w:p w14:paraId="5CC9D450"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Martill</w:t>
      </w:r>
      <w:proofErr w:type="spellEnd"/>
      <w:r w:rsidRPr="00A55B12">
        <w:rPr>
          <w:rFonts w:ascii="Arial" w:hAnsi="Arial" w:cs="Arial"/>
          <w:sz w:val="22"/>
          <w:szCs w:val="22"/>
        </w:rPr>
        <w:t xml:space="preserve">, B. and </w:t>
      </w:r>
      <w:proofErr w:type="spellStart"/>
      <w:r w:rsidRPr="00A55B12">
        <w:rPr>
          <w:rFonts w:ascii="Arial" w:hAnsi="Arial" w:cs="Arial"/>
          <w:sz w:val="22"/>
          <w:szCs w:val="22"/>
        </w:rPr>
        <w:t>Staiger</w:t>
      </w:r>
      <w:proofErr w:type="spellEnd"/>
      <w:r w:rsidRPr="00A55B12">
        <w:rPr>
          <w:rFonts w:ascii="Arial" w:hAnsi="Arial" w:cs="Arial"/>
          <w:sz w:val="22"/>
          <w:szCs w:val="22"/>
        </w:rPr>
        <w:t xml:space="preserve">, U. (2018) </w:t>
      </w:r>
      <w:r w:rsidRPr="00A55B12">
        <w:rPr>
          <w:rFonts w:ascii="Arial" w:hAnsi="Arial" w:cs="Arial"/>
          <w:i/>
          <w:iCs/>
          <w:sz w:val="22"/>
          <w:szCs w:val="22"/>
        </w:rPr>
        <w:t xml:space="preserve">Brexit and </w:t>
      </w:r>
      <w:proofErr w:type="gramStart"/>
      <w:r w:rsidRPr="00A55B12">
        <w:rPr>
          <w:rFonts w:ascii="Arial" w:hAnsi="Arial" w:cs="Arial"/>
          <w:i/>
          <w:iCs/>
          <w:sz w:val="22"/>
          <w:szCs w:val="22"/>
        </w:rPr>
        <w:t>beyond :</w:t>
      </w:r>
      <w:proofErr w:type="gramEnd"/>
      <w:r w:rsidRPr="00A55B12">
        <w:rPr>
          <w:rFonts w:ascii="Arial" w:hAnsi="Arial" w:cs="Arial"/>
          <w:i/>
          <w:iCs/>
          <w:sz w:val="22"/>
          <w:szCs w:val="22"/>
        </w:rPr>
        <w:t xml:space="preserve"> Rethinking the Futures of Europe</w:t>
      </w:r>
      <w:r w:rsidRPr="00A55B12">
        <w:rPr>
          <w:rFonts w:ascii="Arial" w:hAnsi="Arial" w:cs="Arial"/>
          <w:sz w:val="22"/>
          <w:szCs w:val="22"/>
        </w:rPr>
        <w:t>. London: UCL Press.</w:t>
      </w:r>
    </w:p>
    <w:p w14:paraId="45E2EBAF"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McCann, P. (2016) </w:t>
      </w:r>
      <w:r w:rsidRPr="00A55B12">
        <w:rPr>
          <w:rFonts w:ascii="Arial" w:hAnsi="Arial" w:cs="Arial"/>
          <w:i/>
          <w:iCs/>
          <w:sz w:val="22"/>
          <w:szCs w:val="22"/>
        </w:rPr>
        <w:t>The UK Regional-National Economic Problem</w:t>
      </w:r>
      <w:r w:rsidRPr="00A55B12">
        <w:rPr>
          <w:rFonts w:ascii="Arial" w:hAnsi="Arial" w:cs="Arial"/>
          <w:sz w:val="22"/>
          <w:szCs w:val="22"/>
        </w:rPr>
        <w:t>. Routledge.</w:t>
      </w:r>
    </w:p>
    <w:p w14:paraId="2D78849F"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Nachmias</w:t>
      </w:r>
      <w:proofErr w:type="spellEnd"/>
      <w:r w:rsidRPr="00A55B12">
        <w:rPr>
          <w:rFonts w:ascii="Arial" w:hAnsi="Arial" w:cs="Arial"/>
          <w:sz w:val="22"/>
          <w:szCs w:val="22"/>
        </w:rPr>
        <w:t xml:space="preserve">, C., </w:t>
      </w:r>
      <w:proofErr w:type="spellStart"/>
      <w:r w:rsidRPr="00A55B12">
        <w:rPr>
          <w:rFonts w:ascii="Arial" w:hAnsi="Arial" w:cs="Arial"/>
          <w:sz w:val="22"/>
          <w:szCs w:val="22"/>
        </w:rPr>
        <w:t>Nachmias</w:t>
      </w:r>
      <w:proofErr w:type="spellEnd"/>
      <w:r w:rsidRPr="00A55B12">
        <w:rPr>
          <w:rFonts w:ascii="Arial" w:hAnsi="Arial" w:cs="Arial"/>
          <w:sz w:val="22"/>
          <w:szCs w:val="22"/>
        </w:rPr>
        <w:t xml:space="preserve">, D. and </w:t>
      </w:r>
      <w:proofErr w:type="spellStart"/>
      <w:r w:rsidRPr="00A55B12">
        <w:rPr>
          <w:rFonts w:ascii="Arial" w:hAnsi="Arial" w:cs="Arial"/>
          <w:sz w:val="22"/>
          <w:szCs w:val="22"/>
        </w:rPr>
        <w:t>Dewaard</w:t>
      </w:r>
      <w:proofErr w:type="spellEnd"/>
      <w:r w:rsidRPr="00A55B12">
        <w:rPr>
          <w:rFonts w:ascii="Arial" w:hAnsi="Arial" w:cs="Arial"/>
          <w:sz w:val="22"/>
          <w:szCs w:val="22"/>
        </w:rPr>
        <w:t xml:space="preserve">, J. (2022) </w:t>
      </w:r>
      <w:r w:rsidRPr="00A55B12">
        <w:rPr>
          <w:rFonts w:ascii="Arial" w:hAnsi="Arial" w:cs="Arial"/>
          <w:i/>
          <w:iCs/>
          <w:sz w:val="22"/>
          <w:szCs w:val="22"/>
        </w:rPr>
        <w:t>Research Methods in the Social Sciences</w:t>
      </w:r>
      <w:r w:rsidRPr="00A55B12">
        <w:rPr>
          <w:rFonts w:ascii="Arial" w:hAnsi="Arial" w:cs="Arial"/>
          <w:sz w:val="22"/>
          <w:szCs w:val="22"/>
        </w:rPr>
        <w:t>. New York, Ny: Worth Publishers, a Macmillan Education Company.</w:t>
      </w:r>
    </w:p>
    <w:p w14:paraId="03849EC2"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Oehler</w:t>
      </w:r>
      <w:proofErr w:type="spellEnd"/>
      <w:r w:rsidRPr="00A55B12">
        <w:rPr>
          <w:rFonts w:ascii="Arial" w:hAnsi="Arial" w:cs="Arial"/>
          <w:sz w:val="22"/>
          <w:szCs w:val="22"/>
        </w:rPr>
        <w:t xml:space="preserve">, A., Horn, M. and Wendt, S. (2017) ‘Brexit: Short-term Stock Price Effects and the Impact of firm-level Internationalization’, </w:t>
      </w:r>
      <w:r w:rsidRPr="00A55B12">
        <w:rPr>
          <w:rFonts w:ascii="Arial" w:hAnsi="Arial" w:cs="Arial"/>
          <w:i/>
          <w:iCs/>
          <w:sz w:val="22"/>
          <w:szCs w:val="22"/>
        </w:rPr>
        <w:t>Finance Research Letters</w:t>
      </w:r>
      <w:r w:rsidRPr="00A55B12">
        <w:rPr>
          <w:rFonts w:ascii="Arial" w:hAnsi="Arial" w:cs="Arial"/>
          <w:sz w:val="22"/>
          <w:szCs w:val="22"/>
        </w:rPr>
        <w:t>, 22, pp. 175–181. Available at: https://doi.org/10.1016/j.frl.2016.12.024.</w:t>
      </w:r>
    </w:p>
    <w:p w14:paraId="11CB2789"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Office for Budget Responsibility (2023) </w:t>
      </w:r>
      <w:r w:rsidRPr="00A55B12">
        <w:rPr>
          <w:rFonts w:ascii="Arial" w:hAnsi="Arial" w:cs="Arial"/>
          <w:i/>
          <w:iCs/>
          <w:sz w:val="22"/>
          <w:szCs w:val="22"/>
        </w:rPr>
        <w:t>Brexit Analysis</w:t>
      </w:r>
      <w:r w:rsidRPr="00A55B12">
        <w:rPr>
          <w:rFonts w:ascii="Arial" w:hAnsi="Arial" w:cs="Arial"/>
          <w:sz w:val="22"/>
          <w:szCs w:val="22"/>
        </w:rPr>
        <w:t xml:space="preserve">, </w:t>
      </w:r>
      <w:r w:rsidRPr="00A55B12">
        <w:rPr>
          <w:rFonts w:ascii="Arial" w:hAnsi="Arial" w:cs="Arial"/>
          <w:i/>
          <w:iCs/>
          <w:sz w:val="22"/>
          <w:szCs w:val="22"/>
        </w:rPr>
        <w:t>Office for Budget Responsibility</w:t>
      </w:r>
      <w:r w:rsidRPr="00A55B12">
        <w:rPr>
          <w:rFonts w:ascii="Arial" w:hAnsi="Arial" w:cs="Arial"/>
          <w:sz w:val="22"/>
          <w:szCs w:val="22"/>
        </w:rPr>
        <w:t>. Available at: https://obr.uk/forecasts-in-depth/the-economy-forecast/brexit-analysis/.</w:t>
      </w:r>
    </w:p>
    <w:p w14:paraId="39B868F2"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ONS (2023a) </w:t>
      </w:r>
      <w:r w:rsidRPr="00A55B12">
        <w:rPr>
          <w:rFonts w:ascii="Arial" w:hAnsi="Arial" w:cs="Arial"/>
          <w:i/>
          <w:iCs/>
          <w:sz w:val="22"/>
          <w:szCs w:val="22"/>
        </w:rPr>
        <w:t>Business demography, UK - Office for National Statistics</w:t>
      </w:r>
      <w:r w:rsidRPr="00A55B12">
        <w:rPr>
          <w:rFonts w:ascii="Arial" w:hAnsi="Arial" w:cs="Arial"/>
          <w:sz w:val="22"/>
          <w:szCs w:val="22"/>
        </w:rPr>
        <w:t xml:space="preserve">, </w:t>
      </w:r>
      <w:r w:rsidRPr="00A55B12">
        <w:rPr>
          <w:rFonts w:ascii="Arial" w:hAnsi="Arial" w:cs="Arial"/>
          <w:i/>
          <w:iCs/>
          <w:sz w:val="22"/>
          <w:szCs w:val="22"/>
        </w:rPr>
        <w:t>www.ons.gov.uk</w:t>
      </w:r>
      <w:r w:rsidRPr="00A55B12">
        <w:rPr>
          <w:rFonts w:ascii="Arial" w:hAnsi="Arial" w:cs="Arial"/>
          <w:sz w:val="22"/>
          <w:szCs w:val="22"/>
        </w:rPr>
        <w:t>. Available at: https://www.ons.gov.uk/businessindustryandtrade/business/activitysizeandlocation/bulletins/businessdemography/2022.</w:t>
      </w:r>
    </w:p>
    <w:p w14:paraId="729ECBE6"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ONS (2023b) </w:t>
      </w:r>
      <w:r w:rsidRPr="00A55B12">
        <w:rPr>
          <w:rFonts w:ascii="Arial" w:hAnsi="Arial" w:cs="Arial"/>
          <w:i/>
          <w:iCs/>
          <w:sz w:val="22"/>
          <w:szCs w:val="22"/>
        </w:rPr>
        <w:t>ONS Annual Research Integrity Statement: 2022 to 2023 - Office for National Statistics</w:t>
      </w:r>
      <w:r w:rsidRPr="00A55B12">
        <w:rPr>
          <w:rFonts w:ascii="Arial" w:hAnsi="Arial" w:cs="Arial"/>
          <w:sz w:val="22"/>
          <w:szCs w:val="22"/>
        </w:rPr>
        <w:t xml:space="preserve">, </w:t>
      </w:r>
      <w:r w:rsidRPr="00A55B12">
        <w:rPr>
          <w:rFonts w:ascii="Arial" w:hAnsi="Arial" w:cs="Arial"/>
          <w:i/>
          <w:iCs/>
          <w:sz w:val="22"/>
          <w:szCs w:val="22"/>
        </w:rPr>
        <w:t>Ons.gov.uk</w:t>
      </w:r>
      <w:r w:rsidRPr="00A55B12">
        <w:rPr>
          <w:rFonts w:ascii="Arial" w:hAnsi="Arial" w:cs="Arial"/>
          <w:sz w:val="22"/>
          <w:szCs w:val="22"/>
        </w:rPr>
        <w:t>. Available at: https://www.ons.gov.uk/aboutus/whatwedo/innovativeresearchandcollaborations/onsannualresearchintegritystatement2022to2023 (Accessed: 19 November 2024).</w:t>
      </w:r>
    </w:p>
    <w:p w14:paraId="51013B67"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ONS (2024a) </w:t>
      </w:r>
      <w:r w:rsidRPr="00A55B12">
        <w:rPr>
          <w:rFonts w:ascii="Arial" w:hAnsi="Arial" w:cs="Arial"/>
          <w:i/>
          <w:iCs/>
          <w:sz w:val="22"/>
          <w:szCs w:val="22"/>
        </w:rPr>
        <w:t>Labour Market overview, UK</w:t>
      </w:r>
      <w:r w:rsidRPr="00A55B12">
        <w:rPr>
          <w:rFonts w:ascii="Arial" w:hAnsi="Arial" w:cs="Arial"/>
          <w:sz w:val="22"/>
          <w:szCs w:val="22"/>
        </w:rPr>
        <w:t xml:space="preserve">, </w:t>
      </w:r>
      <w:r w:rsidRPr="00A55B12">
        <w:rPr>
          <w:rFonts w:ascii="Arial" w:hAnsi="Arial" w:cs="Arial"/>
          <w:i/>
          <w:iCs/>
          <w:sz w:val="22"/>
          <w:szCs w:val="22"/>
        </w:rPr>
        <w:t>Ons.gov.uk</w:t>
      </w:r>
      <w:r w:rsidRPr="00A55B12">
        <w:rPr>
          <w:rFonts w:ascii="Arial" w:hAnsi="Arial" w:cs="Arial"/>
          <w:sz w:val="22"/>
          <w:szCs w:val="22"/>
        </w:rPr>
        <w:t xml:space="preserve">. Office for National Statistics. Available at: </w:t>
      </w:r>
      <w:r w:rsidRPr="00A55B12">
        <w:rPr>
          <w:rFonts w:ascii="Arial" w:hAnsi="Arial" w:cs="Arial"/>
          <w:sz w:val="22"/>
          <w:szCs w:val="22"/>
        </w:rPr>
        <w:lastRenderedPageBreak/>
        <w:t>https://www.ons.gov.uk/employmentandlabourmarket/peopleinwork/employmentandemployeetypes/bulletins/uklabourmarket/september2024.</w:t>
      </w:r>
    </w:p>
    <w:p w14:paraId="3750BA35"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ONS (2024b) </w:t>
      </w:r>
      <w:r w:rsidRPr="00A55B12">
        <w:rPr>
          <w:rFonts w:ascii="Arial" w:hAnsi="Arial" w:cs="Arial"/>
          <w:i/>
          <w:iCs/>
          <w:sz w:val="22"/>
          <w:szCs w:val="22"/>
        </w:rPr>
        <w:t>Labour Market overview, UK - Office for National Statistics</w:t>
      </w:r>
      <w:r w:rsidRPr="00A55B12">
        <w:rPr>
          <w:rFonts w:ascii="Arial" w:hAnsi="Arial" w:cs="Arial"/>
          <w:sz w:val="22"/>
          <w:szCs w:val="22"/>
        </w:rPr>
        <w:t xml:space="preserve">, </w:t>
      </w:r>
      <w:r w:rsidRPr="00A55B12">
        <w:rPr>
          <w:rFonts w:ascii="Arial" w:hAnsi="Arial" w:cs="Arial"/>
          <w:i/>
          <w:iCs/>
          <w:sz w:val="22"/>
          <w:szCs w:val="22"/>
        </w:rPr>
        <w:t>Ons.gov.uk</w:t>
      </w:r>
      <w:r w:rsidRPr="00A55B12">
        <w:rPr>
          <w:rFonts w:ascii="Arial" w:hAnsi="Arial" w:cs="Arial"/>
          <w:sz w:val="22"/>
          <w:szCs w:val="22"/>
        </w:rPr>
        <w:t>. Available at: https://www.ons.gov.uk/employmentandlabourmarket/peopleinwork/employmentandemployeetypes/bulletins/uklabourmarket/latest.</w:t>
      </w:r>
    </w:p>
    <w:p w14:paraId="2F044A4A"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ONS (2024c) </w:t>
      </w:r>
      <w:r w:rsidRPr="00A55B12">
        <w:rPr>
          <w:rFonts w:ascii="Arial" w:hAnsi="Arial" w:cs="Arial"/>
          <w:i/>
          <w:iCs/>
          <w:sz w:val="22"/>
          <w:szCs w:val="22"/>
        </w:rPr>
        <w:t>UK business; activity, Size and Location</w:t>
      </w:r>
      <w:r w:rsidRPr="00A55B12">
        <w:rPr>
          <w:rFonts w:ascii="Arial" w:hAnsi="Arial" w:cs="Arial"/>
          <w:sz w:val="22"/>
          <w:szCs w:val="22"/>
        </w:rPr>
        <w:t xml:space="preserve">, </w:t>
      </w:r>
      <w:r w:rsidRPr="00A55B12">
        <w:rPr>
          <w:rFonts w:ascii="Arial" w:hAnsi="Arial" w:cs="Arial"/>
          <w:i/>
          <w:iCs/>
          <w:sz w:val="22"/>
          <w:szCs w:val="22"/>
        </w:rPr>
        <w:t>Ons.gov.uk</w:t>
      </w:r>
      <w:r w:rsidRPr="00A55B12">
        <w:rPr>
          <w:rFonts w:ascii="Arial" w:hAnsi="Arial" w:cs="Arial"/>
          <w:sz w:val="22"/>
          <w:szCs w:val="22"/>
        </w:rPr>
        <w:t>. Office for National Statistics. Available at: https://www.ons.gov.uk/businessindustryandtrade/business/activitysizeandlocation/bulletins/ukbusinessactivitysizeandlocation/2024.</w:t>
      </w:r>
    </w:p>
    <w:p w14:paraId="52A2B3DA"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Parker, S.C. (2018) </w:t>
      </w:r>
      <w:r w:rsidRPr="00A55B12">
        <w:rPr>
          <w:rFonts w:ascii="Arial" w:hAnsi="Arial" w:cs="Arial"/>
          <w:i/>
          <w:iCs/>
          <w:sz w:val="22"/>
          <w:szCs w:val="22"/>
        </w:rPr>
        <w:t>The Economics of Entrepreneurship</w:t>
      </w:r>
      <w:r w:rsidRPr="00A55B12">
        <w:rPr>
          <w:rFonts w:ascii="Arial" w:hAnsi="Arial" w:cs="Arial"/>
          <w:sz w:val="22"/>
          <w:szCs w:val="22"/>
        </w:rPr>
        <w:t xml:space="preserve">. Cambridge, United </w:t>
      </w:r>
      <w:proofErr w:type="gramStart"/>
      <w:r w:rsidRPr="00A55B12">
        <w:rPr>
          <w:rFonts w:ascii="Arial" w:hAnsi="Arial" w:cs="Arial"/>
          <w:sz w:val="22"/>
          <w:szCs w:val="22"/>
        </w:rPr>
        <w:t>Kingdom ;</w:t>
      </w:r>
      <w:proofErr w:type="gramEnd"/>
      <w:r w:rsidRPr="00A55B12">
        <w:rPr>
          <w:rFonts w:ascii="Arial" w:hAnsi="Arial" w:cs="Arial"/>
          <w:sz w:val="22"/>
          <w:szCs w:val="22"/>
        </w:rPr>
        <w:t xml:space="preserve"> New York, Ny: Cambridge University Press.</w:t>
      </w:r>
    </w:p>
    <w:p w14:paraId="46DA8A29"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Per </w:t>
      </w:r>
      <w:proofErr w:type="spellStart"/>
      <w:r w:rsidRPr="00A55B12">
        <w:rPr>
          <w:rFonts w:ascii="Arial" w:hAnsi="Arial" w:cs="Arial"/>
          <w:sz w:val="22"/>
          <w:szCs w:val="22"/>
        </w:rPr>
        <w:t>Davidsson</w:t>
      </w:r>
      <w:proofErr w:type="spellEnd"/>
      <w:r w:rsidRPr="00A55B12">
        <w:rPr>
          <w:rFonts w:ascii="Arial" w:hAnsi="Arial" w:cs="Arial"/>
          <w:sz w:val="22"/>
          <w:szCs w:val="22"/>
        </w:rPr>
        <w:t xml:space="preserve"> (2004) </w:t>
      </w:r>
      <w:r w:rsidRPr="00A55B12">
        <w:rPr>
          <w:rFonts w:ascii="Arial" w:hAnsi="Arial" w:cs="Arial"/>
          <w:i/>
          <w:iCs/>
          <w:sz w:val="22"/>
          <w:szCs w:val="22"/>
        </w:rPr>
        <w:t>Researching Entrepreneurship</w:t>
      </w:r>
      <w:r w:rsidRPr="00A55B12">
        <w:rPr>
          <w:rFonts w:ascii="Arial" w:hAnsi="Arial" w:cs="Arial"/>
          <w:sz w:val="22"/>
          <w:szCs w:val="22"/>
        </w:rPr>
        <w:t>. New York, N.Y.: Springer.</w:t>
      </w:r>
    </w:p>
    <w:p w14:paraId="48F32A2D"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Piketty, T. (2014) </w:t>
      </w:r>
      <w:r w:rsidRPr="00A55B12">
        <w:rPr>
          <w:rFonts w:ascii="Arial" w:hAnsi="Arial" w:cs="Arial"/>
          <w:i/>
          <w:iCs/>
          <w:sz w:val="22"/>
          <w:szCs w:val="22"/>
        </w:rPr>
        <w:t>Capital in the Twenty-First Century</w:t>
      </w:r>
      <w:r w:rsidRPr="00A55B12">
        <w:rPr>
          <w:rFonts w:ascii="Arial" w:hAnsi="Arial" w:cs="Arial"/>
          <w:sz w:val="22"/>
          <w:szCs w:val="22"/>
        </w:rPr>
        <w:t>. London: Harvard University Press.</w:t>
      </w:r>
    </w:p>
    <w:p w14:paraId="33A5CDAD"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Rajan</w:t>
      </w:r>
      <w:proofErr w:type="spellEnd"/>
      <w:r w:rsidRPr="00A55B12">
        <w:rPr>
          <w:rFonts w:ascii="Arial" w:hAnsi="Arial" w:cs="Arial"/>
          <w:sz w:val="22"/>
          <w:szCs w:val="22"/>
        </w:rPr>
        <w:t xml:space="preserve">, R.G. (2010) </w:t>
      </w:r>
      <w:r w:rsidRPr="00A55B12">
        <w:rPr>
          <w:rFonts w:ascii="Arial" w:hAnsi="Arial" w:cs="Arial"/>
          <w:i/>
          <w:iCs/>
          <w:sz w:val="22"/>
          <w:szCs w:val="22"/>
        </w:rPr>
        <w:t>Fault Lines How Hidden Fractures Still Threaten the World Economy</w:t>
      </w:r>
      <w:r w:rsidRPr="00A55B12">
        <w:rPr>
          <w:rFonts w:ascii="Arial" w:hAnsi="Arial" w:cs="Arial"/>
          <w:sz w:val="22"/>
          <w:szCs w:val="22"/>
        </w:rPr>
        <w:t>. Princeton University Press.</w:t>
      </w:r>
    </w:p>
    <w:p w14:paraId="7AD02AB4"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Saunders, M., Lewis, P. and Thornhill, A. (2023) </w:t>
      </w:r>
      <w:r w:rsidRPr="00A55B12">
        <w:rPr>
          <w:rFonts w:ascii="Arial" w:hAnsi="Arial" w:cs="Arial"/>
          <w:i/>
          <w:iCs/>
          <w:sz w:val="22"/>
          <w:szCs w:val="22"/>
        </w:rPr>
        <w:t>Research Methods for Business Students</w:t>
      </w:r>
      <w:r w:rsidRPr="00A55B12">
        <w:rPr>
          <w:rFonts w:ascii="Arial" w:hAnsi="Arial" w:cs="Arial"/>
          <w:sz w:val="22"/>
          <w:szCs w:val="22"/>
        </w:rPr>
        <w:t xml:space="preserve">. 9th </w:t>
      </w:r>
      <w:proofErr w:type="spellStart"/>
      <w:r w:rsidRPr="00A55B12">
        <w:rPr>
          <w:rFonts w:ascii="Arial" w:hAnsi="Arial" w:cs="Arial"/>
          <w:sz w:val="22"/>
          <w:szCs w:val="22"/>
        </w:rPr>
        <w:t>edn</w:t>
      </w:r>
      <w:proofErr w:type="spellEnd"/>
      <w:r w:rsidRPr="00A55B12">
        <w:rPr>
          <w:rFonts w:ascii="Arial" w:hAnsi="Arial" w:cs="Arial"/>
          <w:sz w:val="22"/>
          <w:szCs w:val="22"/>
        </w:rPr>
        <w:t>. Harlow: Pearson.</w:t>
      </w:r>
    </w:p>
    <w:p w14:paraId="1F0338D3"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Stiglitz, J.E. (2017) </w:t>
      </w:r>
      <w:r w:rsidRPr="00A55B12">
        <w:rPr>
          <w:rFonts w:ascii="Arial" w:hAnsi="Arial" w:cs="Arial"/>
          <w:i/>
          <w:iCs/>
          <w:sz w:val="22"/>
          <w:szCs w:val="22"/>
        </w:rPr>
        <w:t>Globalization and Its Discontents Revisited: Anti-Globalization in the Era of Trump</w:t>
      </w:r>
      <w:r w:rsidRPr="00A55B12">
        <w:rPr>
          <w:rFonts w:ascii="Arial" w:hAnsi="Arial" w:cs="Arial"/>
          <w:sz w:val="22"/>
          <w:szCs w:val="22"/>
        </w:rPr>
        <w:t>. W. W. Norton &amp; Company.</w:t>
      </w:r>
    </w:p>
    <w:p w14:paraId="59A7ACD3"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Taylor, M. (2017) </w:t>
      </w:r>
      <w:r w:rsidRPr="00A55B12">
        <w:rPr>
          <w:rFonts w:ascii="Arial" w:hAnsi="Arial" w:cs="Arial"/>
          <w:i/>
          <w:iCs/>
          <w:sz w:val="22"/>
          <w:szCs w:val="22"/>
        </w:rPr>
        <w:t>Good work: the Taylor Review of Modern Working Practices</w:t>
      </w:r>
      <w:r w:rsidRPr="00A55B12">
        <w:rPr>
          <w:rFonts w:ascii="Arial" w:hAnsi="Arial" w:cs="Arial"/>
          <w:sz w:val="22"/>
          <w:szCs w:val="22"/>
        </w:rPr>
        <w:t xml:space="preserve">, </w:t>
      </w:r>
      <w:r w:rsidRPr="00A55B12">
        <w:rPr>
          <w:rFonts w:ascii="Arial" w:hAnsi="Arial" w:cs="Arial"/>
          <w:i/>
          <w:iCs/>
          <w:sz w:val="22"/>
          <w:szCs w:val="22"/>
        </w:rPr>
        <w:t>GOV.UK</w:t>
      </w:r>
      <w:r w:rsidRPr="00A55B12">
        <w:rPr>
          <w:rFonts w:ascii="Arial" w:hAnsi="Arial" w:cs="Arial"/>
          <w:sz w:val="22"/>
          <w:szCs w:val="22"/>
        </w:rPr>
        <w:t>. Available at: https://www.gov.uk/government/publications/good-work-the-taylor-review-of-modern-working-practices.</w:t>
      </w:r>
    </w:p>
    <w:p w14:paraId="109E0102"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Warhurst, C. and Nickson, D. (2020) </w:t>
      </w:r>
      <w:r w:rsidRPr="00A55B12">
        <w:rPr>
          <w:rFonts w:ascii="Arial" w:hAnsi="Arial" w:cs="Arial"/>
          <w:i/>
          <w:iCs/>
          <w:sz w:val="22"/>
          <w:szCs w:val="22"/>
        </w:rPr>
        <w:t>Aesthetic Labour</w:t>
      </w:r>
      <w:r w:rsidRPr="00A55B12">
        <w:rPr>
          <w:rFonts w:ascii="Arial" w:hAnsi="Arial" w:cs="Arial"/>
          <w:sz w:val="22"/>
          <w:szCs w:val="22"/>
        </w:rPr>
        <w:t>. SAGE.</w:t>
      </w:r>
    </w:p>
    <w:p w14:paraId="189961DA"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Whyman</w:t>
      </w:r>
      <w:proofErr w:type="spellEnd"/>
      <w:r w:rsidRPr="00A55B12">
        <w:rPr>
          <w:rFonts w:ascii="Arial" w:hAnsi="Arial" w:cs="Arial"/>
          <w:sz w:val="22"/>
          <w:szCs w:val="22"/>
        </w:rPr>
        <w:t xml:space="preserve">, P. and Petrescu, A.I. (2020) </w:t>
      </w:r>
      <w:r w:rsidRPr="00A55B12">
        <w:rPr>
          <w:rFonts w:ascii="Arial" w:hAnsi="Arial" w:cs="Arial"/>
          <w:i/>
          <w:iCs/>
          <w:sz w:val="22"/>
          <w:szCs w:val="22"/>
        </w:rPr>
        <w:t xml:space="preserve">The Economics of </w:t>
      </w:r>
      <w:proofErr w:type="gramStart"/>
      <w:r w:rsidRPr="00A55B12">
        <w:rPr>
          <w:rFonts w:ascii="Arial" w:hAnsi="Arial" w:cs="Arial"/>
          <w:i/>
          <w:iCs/>
          <w:sz w:val="22"/>
          <w:szCs w:val="22"/>
        </w:rPr>
        <w:t>Brexit :</w:t>
      </w:r>
      <w:proofErr w:type="gramEnd"/>
      <w:r w:rsidRPr="00A55B12">
        <w:rPr>
          <w:rFonts w:ascii="Arial" w:hAnsi="Arial" w:cs="Arial"/>
          <w:i/>
          <w:iCs/>
          <w:sz w:val="22"/>
          <w:szCs w:val="22"/>
        </w:rPr>
        <w:t xml:space="preserve"> Revisited</w:t>
      </w:r>
      <w:r w:rsidRPr="00A55B12">
        <w:rPr>
          <w:rFonts w:ascii="Arial" w:hAnsi="Arial" w:cs="Arial"/>
          <w:sz w:val="22"/>
          <w:szCs w:val="22"/>
        </w:rPr>
        <w:t>. Cham, Switzerland: Palgrave Macmillan.</w:t>
      </w:r>
    </w:p>
    <w:p w14:paraId="4F4B9D8B"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lastRenderedPageBreak/>
        <w:t>Whyman</w:t>
      </w:r>
      <w:proofErr w:type="spellEnd"/>
      <w:r w:rsidRPr="00A55B12">
        <w:rPr>
          <w:rFonts w:ascii="Arial" w:hAnsi="Arial" w:cs="Arial"/>
          <w:sz w:val="22"/>
          <w:szCs w:val="22"/>
        </w:rPr>
        <w:t xml:space="preserve">, P.B. and Petrescu, A.I. (2017) </w:t>
      </w:r>
      <w:r w:rsidRPr="00A55B12">
        <w:rPr>
          <w:rFonts w:ascii="Arial" w:hAnsi="Arial" w:cs="Arial"/>
          <w:i/>
          <w:iCs/>
          <w:sz w:val="22"/>
          <w:szCs w:val="22"/>
        </w:rPr>
        <w:t xml:space="preserve">The Economics of </w:t>
      </w:r>
      <w:proofErr w:type="gramStart"/>
      <w:r w:rsidRPr="00A55B12">
        <w:rPr>
          <w:rFonts w:ascii="Arial" w:hAnsi="Arial" w:cs="Arial"/>
          <w:i/>
          <w:iCs/>
          <w:sz w:val="22"/>
          <w:szCs w:val="22"/>
        </w:rPr>
        <w:t>Brexit :</w:t>
      </w:r>
      <w:proofErr w:type="gramEnd"/>
      <w:r w:rsidRPr="00A55B12">
        <w:rPr>
          <w:rFonts w:ascii="Arial" w:hAnsi="Arial" w:cs="Arial"/>
          <w:i/>
          <w:iCs/>
          <w:sz w:val="22"/>
          <w:szCs w:val="22"/>
        </w:rPr>
        <w:t xml:space="preserve"> a Cost-Benefit Analysis of the UK’s Economic Relationship with the EU</w:t>
      </w:r>
      <w:r w:rsidRPr="00A55B12">
        <w:rPr>
          <w:rFonts w:ascii="Arial" w:hAnsi="Arial" w:cs="Arial"/>
          <w:sz w:val="22"/>
          <w:szCs w:val="22"/>
        </w:rPr>
        <w:t>. Cham: Springer International Publishing.</w:t>
      </w:r>
    </w:p>
    <w:p w14:paraId="720C9E9F" w14:textId="77777777" w:rsidR="00A55B12" w:rsidRPr="00A55B12" w:rsidRDefault="00A55B12" w:rsidP="005C25C2">
      <w:pPr>
        <w:spacing w:line="360" w:lineRule="auto"/>
        <w:jc w:val="both"/>
        <w:rPr>
          <w:rFonts w:ascii="Arial" w:hAnsi="Arial" w:cs="Arial"/>
        </w:rPr>
      </w:pPr>
    </w:p>
    <w:sectPr w:rsidR="00A55B12" w:rsidRPr="00A55B12" w:rsidSect="00E64DC1">
      <w:footerReference w:type="default" r:id="rId13"/>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04B6B" w14:textId="77777777" w:rsidR="00B742F1" w:rsidRDefault="00B742F1" w:rsidP="0020798A">
      <w:pPr>
        <w:spacing w:after="0" w:line="240" w:lineRule="auto"/>
      </w:pPr>
      <w:r>
        <w:separator/>
      </w:r>
    </w:p>
  </w:endnote>
  <w:endnote w:type="continuationSeparator" w:id="0">
    <w:p w14:paraId="4AF7A093" w14:textId="77777777" w:rsidR="00B742F1" w:rsidRDefault="00B742F1" w:rsidP="00207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2272345"/>
      <w:docPartObj>
        <w:docPartGallery w:val="Page Numbers (Bottom of Page)"/>
        <w:docPartUnique/>
      </w:docPartObj>
    </w:sdtPr>
    <w:sdtEndPr>
      <w:rPr>
        <w:noProof/>
      </w:rPr>
    </w:sdtEndPr>
    <w:sdtContent>
      <w:p w14:paraId="023E9881" w14:textId="1A60C33A" w:rsidR="00E64DC1" w:rsidRDefault="00E64D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8E86C5" w14:textId="77777777" w:rsidR="00E64DC1" w:rsidRDefault="00E64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7E7E20" w14:textId="77777777" w:rsidR="00B742F1" w:rsidRDefault="00B742F1" w:rsidP="0020798A">
      <w:pPr>
        <w:spacing w:after="0" w:line="240" w:lineRule="auto"/>
      </w:pPr>
      <w:r>
        <w:separator/>
      </w:r>
    </w:p>
  </w:footnote>
  <w:footnote w:type="continuationSeparator" w:id="0">
    <w:p w14:paraId="049809A4" w14:textId="77777777" w:rsidR="00B742F1" w:rsidRDefault="00B742F1" w:rsidP="002079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46715D3"/>
    <w:multiLevelType w:val="multilevel"/>
    <w:tmpl w:val="C8C83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3DDC"/>
    <w:rsid w:val="00034616"/>
    <w:rsid w:val="0006063C"/>
    <w:rsid w:val="0011782E"/>
    <w:rsid w:val="001423F7"/>
    <w:rsid w:val="0015074B"/>
    <w:rsid w:val="00194E90"/>
    <w:rsid w:val="001A000F"/>
    <w:rsid w:val="001A6E09"/>
    <w:rsid w:val="00204FD6"/>
    <w:rsid w:val="0020798A"/>
    <w:rsid w:val="00266BDB"/>
    <w:rsid w:val="0029639D"/>
    <w:rsid w:val="002B0470"/>
    <w:rsid w:val="002E73A2"/>
    <w:rsid w:val="003250E8"/>
    <w:rsid w:val="00326F90"/>
    <w:rsid w:val="004B2D63"/>
    <w:rsid w:val="004B7B58"/>
    <w:rsid w:val="004C0321"/>
    <w:rsid w:val="005946C3"/>
    <w:rsid w:val="005C25C2"/>
    <w:rsid w:val="00600741"/>
    <w:rsid w:val="00613679"/>
    <w:rsid w:val="00690928"/>
    <w:rsid w:val="006C75C4"/>
    <w:rsid w:val="006E548C"/>
    <w:rsid w:val="006E7DB0"/>
    <w:rsid w:val="007505AF"/>
    <w:rsid w:val="0076619A"/>
    <w:rsid w:val="00776FAC"/>
    <w:rsid w:val="0081181D"/>
    <w:rsid w:val="008250E7"/>
    <w:rsid w:val="008E7A2E"/>
    <w:rsid w:val="00A34276"/>
    <w:rsid w:val="00A55B12"/>
    <w:rsid w:val="00A6494D"/>
    <w:rsid w:val="00A95415"/>
    <w:rsid w:val="00AA1D8D"/>
    <w:rsid w:val="00AB662C"/>
    <w:rsid w:val="00B47730"/>
    <w:rsid w:val="00B742F1"/>
    <w:rsid w:val="00B877A9"/>
    <w:rsid w:val="00BD4B7D"/>
    <w:rsid w:val="00C51E17"/>
    <w:rsid w:val="00CB0664"/>
    <w:rsid w:val="00CD3A99"/>
    <w:rsid w:val="00D56DD3"/>
    <w:rsid w:val="00D57510"/>
    <w:rsid w:val="00DA42D1"/>
    <w:rsid w:val="00E4774B"/>
    <w:rsid w:val="00E53E42"/>
    <w:rsid w:val="00E64DC1"/>
    <w:rsid w:val="00EB70B1"/>
    <w:rsid w:val="00EC2554"/>
    <w:rsid w:val="00EC5A7F"/>
    <w:rsid w:val="00EF213C"/>
    <w:rsid w:val="00EF3A4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E8D249"/>
  <w14:defaultImageDpi w14:val="300"/>
  <w15:docId w15:val="{190E66C5-E63A-4415-A758-AAB48C56E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5C25C2"/>
    <w:pPr>
      <w:keepNext/>
      <w:keepLines/>
      <w:spacing w:before="480" w:after="0"/>
      <w:outlineLvl w:val="0"/>
    </w:pPr>
    <w:rPr>
      <w:rFonts w:ascii="Arial" w:eastAsiaTheme="majorEastAsia" w:hAnsi="Arial" w:cstheme="majorBidi"/>
      <w:b/>
      <w:bCs/>
      <w:color w:val="000000" w:themeColor="text1"/>
      <w:sz w:val="28"/>
      <w:szCs w:val="28"/>
    </w:rPr>
  </w:style>
  <w:style w:type="paragraph" w:styleId="Heading2">
    <w:name w:val="heading 2"/>
    <w:basedOn w:val="Normal"/>
    <w:next w:val="Normal"/>
    <w:link w:val="Heading2Char"/>
    <w:uiPriority w:val="9"/>
    <w:unhideWhenUsed/>
    <w:qFormat/>
    <w:rsid w:val="00776FAC"/>
    <w:pPr>
      <w:keepNext/>
      <w:keepLines/>
      <w:spacing w:before="440" w:after="240"/>
      <w:outlineLvl w:val="1"/>
    </w:pPr>
    <w:rPr>
      <w:rFonts w:ascii="Arial" w:eastAsiaTheme="majorEastAsia" w:hAnsi="Arial" w:cstheme="majorBidi"/>
      <w:b/>
      <w:bCs/>
      <w:color w:val="000000" w:themeColor="text1"/>
      <w:sz w:val="26"/>
      <w:szCs w:val="26"/>
    </w:rPr>
  </w:style>
  <w:style w:type="paragraph" w:styleId="Heading3">
    <w:name w:val="heading 3"/>
    <w:basedOn w:val="Normal"/>
    <w:next w:val="Normal"/>
    <w:link w:val="Heading3Char"/>
    <w:uiPriority w:val="9"/>
    <w:unhideWhenUsed/>
    <w:qFormat/>
    <w:rsid w:val="004B7B58"/>
    <w:pPr>
      <w:keepNext/>
      <w:keepLines/>
      <w:spacing w:before="200" w:after="0"/>
      <w:outlineLvl w:val="2"/>
    </w:pPr>
    <w:rPr>
      <w:rFonts w:ascii="Arial" w:eastAsiaTheme="majorEastAsia" w:hAnsi="Arial" w:cstheme="majorBidi"/>
      <w:b/>
      <w:bCs/>
      <w:color w:val="000000" w:themeColor="tex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5C25C2"/>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776FAC"/>
    <w:rPr>
      <w:rFonts w:ascii="Arial" w:eastAsiaTheme="majorEastAsia" w:hAnsi="Arial" w:cstheme="majorBidi"/>
      <w:b/>
      <w:bCs/>
      <w:color w:val="000000" w:themeColor="text1"/>
      <w:sz w:val="26"/>
      <w:szCs w:val="26"/>
    </w:rPr>
  </w:style>
  <w:style w:type="character" w:customStyle="1" w:styleId="Heading3Char">
    <w:name w:val="Heading 3 Char"/>
    <w:basedOn w:val="DefaultParagraphFont"/>
    <w:link w:val="Heading3"/>
    <w:uiPriority w:val="9"/>
    <w:rsid w:val="004B7B58"/>
    <w:rPr>
      <w:rFonts w:ascii="Arial" w:eastAsiaTheme="majorEastAsia" w:hAnsi="Arial" w:cstheme="majorBidi"/>
      <w:b/>
      <w:bCs/>
      <w:color w:val="000000" w:themeColor="text1"/>
    </w:rPr>
  </w:style>
  <w:style w:type="paragraph" w:styleId="Title">
    <w:name w:val="Title"/>
    <w:basedOn w:val="Normal"/>
    <w:next w:val="Normal"/>
    <w:link w:val="TitleChar"/>
    <w:uiPriority w:val="10"/>
    <w:qFormat/>
    <w:rsid w:val="006E548C"/>
    <w:pPr>
      <w:pBdr>
        <w:bottom w:val="single" w:sz="8" w:space="4" w:color="4F81BD" w:themeColor="accent1"/>
      </w:pBdr>
      <w:spacing w:after="300" w:line="240" w:lineRule="auto"/>
      <w:contextualSpacing/>
    </w:pPr>
    <w:rPr>
      <w:rFonts w:ascii="Arial" w:eastAsiaTheme="majorEastAsia" w:hAnsi="Arial" w:cstheme="majorBidi"/>
      <w:color w:val="000000" w:themeColor="text1"/>
      <w:spacing w:val="5"/>
      <w:kern w:val="28"/>
      <w:sz w:val="52"/>
      <w:szCs w:val="52"/>
    </w:rPr>
  </w:style>
  <w:style w:type="character" w:customStyle="1" w:styleId="TitleChar">
    <w:name w:val="Title Char"/>
    <w:basedOn w:val="DefaultParagraphFont"/>
    <w:link w:val="Title"/>
    <w:uiPriority w:val="10"/>
    <w:rsid w:val="006E548C"/>
    <w:rPr>
      <w:rFonts w:ascii="Arial" w:eastAsiaTheme="majorEastAsia" w:hAnsi="Arial" w:cstheme="majorBidi"/>
      <w:color w:val="000000" w:themeColor="text1"/>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0798A"/>
    <w:pPr>
      <w:spacing w:after="100"/>
    </w:pPr>
  </w:style>
  <w:style w:type="paragraph" w:styleId="TOC2">
    <w:name w:val="toc 2"/>
    <w:basedOn w:val="Normal"/>
    <w:next w:val="Normal"/>
    <w:autoRedefine/>
    <w:uiPriority w:val="39"/>
    <w:unhideWhenUsed/>
    <w:rsid w:val="0020798A"/>
    <w:pPr>
      <w:spacing w:after="100"/>
      <w:ind w:left="220"/>
    </w:pPr>
  </w:style>
  <w:style w:type="paragraph" w:styleId="TOC3">
    <w:name w:val="toc 3"/>
    <w:basedOn w:val="Normal"/>
    <w:next w:val="Normal"/>
    <w:autoRedefine/>
    <w:uiPriority w:val="39"/>
    <w:unhideWhenUsed/>
    <w:rsid w:val="0020798A"/>
    <w:pPr>
      <w:spacing w:after="100"/>
      <w:ind w:left="440"/>
    </w:pPr>
  </w:style>
  <w:style w:type="character" w:styleId="Hyperlink">
    <w:name w:val="Hyperlink"/>
    <w:basedOn w:val="DefaultParagraphFont"/>
    <w:uiPriority w:val="99"/>
    <w:unhideWhenUsed/>
    <w:rsid w:val="0020798A"/>
    <w:rPr>
      <w:color w:val="0000FF" w:themeColor="hyperlink"/>
      <w:u w:val="single"/>
    </w:rPr>
  </w:style>
  <w:style w:type="paragraph" w:styleId="NormalWeb">
    <w:name w:val="Normal (Web)"/>
    <w:basedOn w:val="Normal"/>
    <w:uiPriority w:val="99"/>
    <w:semiHidden/>
    <w:unhideWhenUsed/>
    <w:rsid w:val="00A55B1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TableParagraph">
    <w:name w:val="Table Paragraph"/>
    <w:basedOn w:val="Normal"/>
    <w:uiPriority w:val="1"/>
    <w:qFormat/>
    <w:rsid w:val="006E548C"/>
    <w:pPr>
      <w:widowControl w:val="0"/>
      <w:autoSpaceDE w:val="0"/>
      <w:autoSpaceDN w:val="0"/>
      <w:spacing w:after="0" w:line="240"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17118">
      <w:bodyDiv w:val="1"/>
      <w:marLeft w:val="0"/>
      <w:marRight w:val="0"/>
      <w:marTop w:val="0"/>
      <w:marBottom w:val="0"/>
      <w:divBdr>
        <w:top w:val="none" w:sz="0" w:space="0" w:color="auto"/>
        <w:left w:val="none" w:sz="0" w:space="0" w:color="auto"/>
        <w:bottom w:val="none" w:sz="0" w:space="0" w:color="auto"/>
        <w:right w:val="none" w:sz="0" w:space="0" w:color="auto"/>
      </w:divBdr>
    </w:div>
    <w:div w:id="222370089">
      <w:bodyDiv w:val="1"/>
      <w:marLeft w:val="0"/>
      <w:marRight w:val="0"/>
      <w:marTop w:val="0"/>
      <w:marBottom w:val="0"/>
      <w:divBdr>
        <w:top w:val="none" w:sz="0" w:space="0" w:color="auto"/>
        <w:left w:val="none" w:sz="0" w:space="0" w:color="auto"/>
        <w:bottom w:val="none" w:sz="0" w:space="0" w:color="auto"/>
        <w:right w:val="none" w:sz="0" w:space="0" w:color="auto"/>
      </w:divBdr>
    </w:div>
    <w:div w:id="329797361">
      <w:bodyDiv w:val="1"/>
      <w:marLeft w:val="0"/>
      <w:marRight w:val="0"/>
      <w:marTop w:val="0"/>
      <w:marBottom w:val="0"/>
      <w:divBdr>
        <w:top w:val="none" w:sz="0" w:space="0" w:color="auto"/>
        <w:left w:val="none" w:sz="0" w:space="0" w:color="auto"/>
        <w:bottom w:val="none" w:sz="0" w:space="0" w:color="auto"/>
        <w:right w:val="none" w:sz="0" w:space="0" w:color="auto"/>
      </w:divBdr>
    </w:div>
    <w:div w:id="443621887">
      <w:bodyDiv w:val="1"/>
      <w:marLeft w:val="0"/>
      <w:marRight w:val="0"/>
      <w:marTop w:val="0"/>
      <w:marBottom w:val="0"/>
      <w:divBdr>
        <w:top w:val="none" w:sz="0" w:space="0" w:color="auto"/>
        <w:left w:val="none" w:sz="0" w:space="0" w:color="auto"/>
        <w:bottom w:val="none" w:sz="0" w:space="0" w:color="auto"/>
        <w:right w:val="none" w:sz="0" w:space="0" w:color="auto"/>
      </w:divBdr>
      <w:divsChild>
        <w:div w:id="213346719">
          <w:marLeft w:val="0"/>
          <w:marRight w:val="0"/>
          <w:marTop w:val="0"/>
          <w:marBottom w:val="0"/>
          <w:divBdr>
            <w:top w:val="none" w:sz="0" w:space="0" w:color="auto"/>
            <w:left w:val="none" w:sz="0" w:space="0" w:color="auto"/>
            <w:bottom w:val="none" w:sz="0" w:space="0" w:color="auto"/>
            <w:right w:val="none" w:sz="0" w:space="0" w:color="auto"/>
          </w:divBdr>
        </w:div>
      </w:divsChild>
    </w:div>
    <w:div w:id="458844380">
      <w:bodyDiv w:val="1"/>
      <w:marLeft w:val="0"/>
      <w:marRight w:val="0"/>
      <w:marTop w:val="0"/>
      <w:marBottom w:val="0"/>
      <w:divBdr>
        <w:top w:val="none" w:sz="0" w:space="0" w:color="auto"/>
        <w:left w:val="none" w:sz="0" w:space="0" w:color="auto"/>
        <w:bottom w:val="none" w:sz="0" w:space="0" w:color="auto"/>
        <w:right w:val="none" w:sz="0" w:space="0" w:color="auto"/>
      </w:divBdr>
    </w:div>
    <w:div w:id="1019619727">
      <w:bodyDiv w:val="1"/>
      <w:marLeft w:val="0"/>
      <w:marRight w:val="0"/>
      <w:marTop w:val="0"/>
      <w:marBottom w:val="0"/>
      <w:divBdr>
        <w:top w:val="none" w:sz="0" w:space="0" w:color="auto"/>
        <w:left w:val="none" w:sz="0" w:space="0" w:color="auto"/>
        <w:bottom w:val="none" w:sz="0" w:space="0" w:color="auto"/>
        <w:right w:val="none" w:sz="0" w:space="0" w:color="auto"/>
      </w:divBdr>
    </w:div>
    <w:div w:id="1693797552">
      <w:bodyDiv w:val="1"/>
      <w:marLeft w:val="0"/>
      <w:marRight w:val="0"/>
      <w:marTop w:val="0"/>
      <w:marBottom w:val="0"/>
      <w:divBdr>
        <w:top w:val="none" w:sz="0" w:space="0" w:color="auto"/>
        <w:left w:val="none" w:sz="0" w:space="0" w:color="auto"/>
        <w:bottom w:val="none" w:sz="0" w:space="0" w:color="auto"/>
        <w:right w:val="none" w:sz="0" w:space="0" w:color="auto"/>
      </w:divBdr>
    </w:div>
    <w:div w:id="181949777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Katra\Desktop\Dissertation\Business%20growth%20and%20economic%20growth.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Katra\Desktop\Dissertation\Number%20of%20vacancies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1" Type="http://schemas.openxmlformats.org/officeDocument/2006/relationships/oleObject" Target="file:///C:\Users\Katra\Desktop\Dissertation\Number_of_VAT_and_or_PAYE_businesses.xls"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file:///C:\Users\Katra\Desktop\Dissertation\Figure_1__Birth_and_death_rates_of_businesses.xls"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Business growth and economic growth</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0428258967629044E-2"/>
          <c:y val="0.17171296296296298"/>
          <c:w val="0.8762384076990376"/>
          <c:h val="0.50549358413531642"/>
        </c:manualLayout>
      </c:layout>
      <c:lineChart>
        <c:grouping val="standard"/>
        <c:varyColors val="0"/>
        <c:ser>
          <c:idx val="0"/>
          <c:order val="0"/>
          <c:tx>
            <c:strRef>
              <c:f>data!$B$6</c:f>
              <c:strCache>
                <c:ptCount val="1"/>
                <c:pt idx="0">
                  <c:v>GDP growth</c:v>
                </c:pt>
              </c:strCache>
            </c:strRef>
          </c:tx>
          <c:spPr>
            <a:ln w="34925" cap="rnd">
              <a:solidFill>
                <a:schemeClr val="accent6"/>
              </a:solidFill>
              <a:round/>
            </a:ln>
            <a:effectLst>
              <a:outerShdw blurRad="40000" dist="23000" dir="5400000" rotWithShape="0">
                <a:srgbClr val="000000">
                  <a:alpha val="35000"/>
                </a:srgbClr>
              </a:outerShdw>
            </a:effectLst>
          </c:spPr>
          <c:marker>
            <c:symbol val="none"/>
          </c:marker>
          <c:cat>
            <c:strRef>
              <c:f>data!$A$7:$A$17</c:f>
              <c:strCache>
                <c:ptCount val="11"/>
                <c:pt idx="0">
                  <c:v>2014</c:v>
                </c:pt>
                <c:pt idx="1">
                  <c:v>2015</c:v>
                </c:pt>
                <c:pt idx="2">
                  <c:v>2016</c:v>
                </c:pt>
                <c:pt idx="3">
                  <c:v>2017</c:v>
                </c:pt>
                <c:pt idx="4">
                  <c:v>2018</c:v>
                </c:pt>
                <c:pt idx="5">
                  <c:v>2019</c:v>
                </c:pt>
                <c:pt idx="6">
                  <c:v>2020</c:v>
                </c:pt>
                <c:pt idx="7">
                  <c:v>2021</c:v>
                </c:pt>
                <c:pt idx="8">
                  <c:v>2022</c:v>
                </c:pt>
                <c:pt idx="9">
                  <c:v>2023</c:v>
                </c:pt>
                <c:pt idx="10">
                  <c:v>2024</c:v>
                </c:pt>
              </c:strCache>
            </c:strRef>
          </c:cat>
          <c:val>
            <c:numRef>
              <c:f>data!$B$7:$B$17</c:f>
              <c:numCache>
                <c:formatCode>0.0</c:formatCode>
                <c:ptCount val="11"/>
                <c:pt idx="0">
                  <c:v>3.1</c:v>
                </c:pt>
                <c:pt idx="1">
                  <c:v>2.7</c:v>
                </c:pt>
                <c:pt idx="2">
                  <c:v>1.9</c:v>
                </c:pt>
                <c:pt idx="3">
                  <c:v>2.4</c:v>
                </c:pt>
                <c:pt idx="4">
                  <c:v>2.1</c:v>
                </c:pt>
                <c:pt idx="5">
                  <c:v>1.4</c:v>
                </c:pt>
                <c:pt idx="6">
                  <c:v>-1.7</c:v>
                </c:pt>
                <c:pt idx="7">
                  <c:v>-6.7</c:v>
                </c:pt>
                <c:pt idx="8">
                  <c:v>11.4</c:v>
                </c:pt>
                <c:pt idx="9">
                  <c:v>0.3</c:v>
                </c:pt>
                <c:pt idx="10">
                  <c:v>0.3</c:v>
                </c:pt>
              </c:numCache>
            </c:numRef>
          </c:val>
          <c:smooth val="0"/>
          <c:extLst>
            <c:ext xmlns:c16="http://schemas.microsoft.com/office/drawing/2014/chart" uri="{C3380CC4-5D6E-409C-BE32-E72D297353CC}">
              <c16:uniqueId val="{00000000-32DA-43E7-94F8-F4FAE532C154}"/>
            </c:ext>
          </c:extLst>
        </c:ser>
        <c:ser>
          <c:idx val="1"/>
          <c:order val="1"/>
          <c:tx>
            <c:strRef>
              <c:f>data!$C$6</c:f>
              <c:strCache>
                <c:ptCount val="1"/>
                <c:pt idx="0">
                  <c:v>Growth in IDBR</c:v>
                </c:pt>
              </c:strCache>
            </c:strRef>
          </c:tx>
          <c:spPr>
            <a:ln w="34925" cap="rnd">
              <a:solidFill>
                <a:schemeClr val="accent5"/>
              </a:solidFill>
              <a:round/>
            </a:ln>
            <a:effectLst>
              <a:outerShdw blurRad="40000" dist="23000" dir="5400000" rotWithShape="0">
                <a:srgbClr val="000000">
                  <a:alpha val="35000"/>
                </a:srgbClr>
              </a:outerShdw>
            </a:effectLst>
          </c:spPr>
          <c:marker>
            <c:symbol val="none"/>
          </c:marker>
          <c:cat>
            <c:strRef>
              <c:f>data!$A$7:$A$17</c:f>
              <c:strCache>
                <c:ptCount val="11"/>
                <c:pt idx="0">
                  <c:v>2014</c:v>
                </c:pt>
                <c:pt idx="1">
                  <c:v>2015</c:v>
                </c:pt>
                <c:pt idx="2">
                  <c:v>2016</c:v>
                </c:pt>
                <c:pt idx="3">
                  <c:v>2017</c:v>
                </c:pt>
                <c:pt idx="4">
                  <c:v>2018</c:v>
                </c:pt>
                <c:pt idx="5">
                  <c:v>2019</c:v>
                </c:pt>
                <c:pt idx="6">
                  <c:v>2020</c:v>
                </c:pt>
                <c:pt idx="7">
                  <c:v>2021</c:v>
                </c:pt>
                <c:pt idx="8">
                  <c:v>2022</c:v>
                </c:pt>
                <c:pt idx="9">
                  <c:v>2023</c:v>
                </c:pt>
                <c:pt idx="10">
                  <c:v>2024</c:v>
                </c:pt>
              </c:strCache>
            </c:strRef>
          </c:cat>
          <c:val>
            <c:numRef>
              <c:f>data!$C$7:$C$17</c:f>
              <c:numCache>
                <c:formatCode>0.0</c:formatCode>
                <c:ptCount val="11"/>
                <c:pt idx="0">
                  <c:v>4.4000000000000004</c:v>
                </c:pt>
                <c:pt idx="1">
                  <c:v>3.8</c:v>
                </c:pt>
                <c:pt idx="2">
                  <c:v>4.3</c:v>
                </c:pt>
                <c:pt idx="3">
                  <c:v>4.5</c:v>
                </c:pt>
                <c:pt idx="4">
                  <c:v>0</c:v>
                </c:pt>
                <c:pt idx="5">
                  <c:v>1.8</c:v>
                </c:pt>
                <c:pt idx="6">
                  <c:v>1.2</c:v>
                </c:pt>
                <c:pt idx="7">
                  <c:v>0.6</c:v>
                </c:pt>
                <c:pt idx="8">
                  <c:v>0.1</c:v>
                </c:pt>
                <c:pt idx="9">
                  <c:v>-1.5</c:v>
                </c:pt>
                <c:pt idx="10">
                  <c:v>-0.1</c:v>
                </c:pt>
              </c:numCache>
            </c:numRef>
          </c:val>
          <c:smooth val="0"/>
          <c:extLst>
            <c:ext xmlns:c16="http://schemas.microsoft.com/office/drawing/2014/chart" uri="{C3380CC4-5D6E-409C-BE32-E72D297353CC}">
              <c16:uniqueId val="{00000001-32DA-43E7-94F8-F4FAE532C154}"/>
            </c:ext>
          </c:extLst>
        </c:ser>
        <c:dLbls>
          <c:showLegendKey val="0"/>
          <c:showVal val="0"/>
          <c:showCatName val="0"/>
          <c:showSerName val="0"/>
          <c:showPercent val="0"/>
          <c:showBubbleSize val="0"/>
        </c:dLbls>
        <c:smooth val="0"/>
        <c:axId val="928611551"/>
        <c:axId val="1"/>
      </c:lineChart>
      <c:dateAx>
        <c:axId val="928611551"/>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a:t>
                </a:r>
              </a:p>
            </c:rich>
          </c:tx>
          <c:layout>
            <c:manualLayout>
              <c:xMode val="edge"/>
              <c:yMode val="edge"/>
              <c:x val="7.6401574803149602E-2"/>
              <c:y val="8.5531860600758236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low"/>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0"/>
        <c:lblOffset val="100"/>
        <c:baseTimeUnit val="days"/>
      </c:date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86115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600" b="1" i="0" u="none" strike="noStrike" baseline="0">
                <a:effectLst/>
              </a:rPr>
              <a:t>Number of vacancies in t</a:t>
            </a:r>
            <a:r>
              <a:rPr lang="en-GB"/>
              <a:t>housands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data!$B$7</c:f>
              <c:strCache>
                <c:ptCount val="1"/>
                <c:pt idx="0">
                  <c:v>Thousands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data!$A$8:$A$135</c:f>
              <c:strCache>
                <c:ptCount val="128"/>
                <c:pt idx="0">
                  <c:v>Nov-Jan 2014</c:v>
                </c:pt>
                <c:pt idx="1">
                  <c:v>Dec-Feb 2014</c:v>
                </c:pt>
                <c:pt idx="2">
                  <c:v>Jan-Mar 2014</c:v>
                </c:pt>
                <c:pt idx="3">
                  <c:v>Feb-Apr 2014</c:v>
                </c:pt>
                <c:pt idx="4">
                  <c:v>Mar-May 2014</c:v>
                </c:pt>
                <c:pt idx="5">
                  <c:v>Apr-Jun 2014</c:v>
                </c:pt>
                <c:pt idx="6">
                  <c:v>May-Jul 2014</c:v>
                </c:pt>
                <c:pt idx="7">
                  <c:v>Jun-Aug 2014</c:v>
                </c:pt>
                <c:pt idx="8">
                  <c:v>Jul-Sep 2014</c:v>
                </c:pt>
                <c:pt idx="9">
                  <c:v>Aug-Oct 2014</c:v>
                </c:pt>
                <c:pt idx="10">
                  <c:v>Sep-Nov 2014</c:v>
                </c:pt>
                <c:pt idx="11">
                  <c:v>Oct-Dec 2014</c:v>
                </c:pt>
                <c:pt idx="12">
                  <c:v>Nov-Jan 2015</c:v>
                </c:pt>
                <c:pt idx="13">
                  <c:v>Dec-Feb 2015</c:v>
                </c:pt>
                <c:pt idx="14">
                  <c:v>Jan-Mar 2015</c:v>
                </c:pt>
                <c:pt idx="15">
                  <c:v>Feb-Apr 2015</c:v>
                </c:pt>
                <c:pt idx="16">
                  <c:v>Mar-May 2015</c:v>
                </c:pt>
                <c:pt idx="17">
                  <c:v>Apr-Jun 2015</c:v>
                </c:pt>
                <c:pt idx="18">
                  <c:v>May-Jul 2015</c:v>
                </c:pt>
                <c:pt idx="19">
                  <c:v>Jun-Aug 2015</c:v>
                </c:pt>
                <c:pt idx="20">
                  <c:v>Jul-Sep 2015</c:v>
                </c:pt>
                <c:pt idx="21">
                  <c:v>Aug-Oct 2015</c:v>
                </c:pt>
                <c:pt idx="22">
                  <c:v>Sep-Nov 2015</c:v>
                </c:pt>
                <c:pt idx="23">
                  <c:v>Oct-Dec 2015</c:v>
                </c:pt>
                <c:pt idx="24">
                  <c:v>Nov-Jan 2016</c:v>
                </c:pt>
                <c:pt idx="25">
                  <c:v>Dec-Feb 2016</c:v>
                </c:pt>
                <c:pt idx="26">
                  <c:v>Jan-Mar 2016</c:v>
                </c:pt>
                <c:pt idx="27">
                  <c:v>Feb-Apr 2016</c:v>
                </c:pt>
                <c:pt idx="28">
                  <c:v>Mar-May 2016</c:v>
                </c:pt>
                <c:pt idx="29">
                  <c:v>Apr-Jun 2016</c:v>
                </c:pt>
                <c:pt idx="30">
                  <c:v>May-Jul 2016</c:v>
                </c:pt>
                <c:pt idx="31">
                  <c:v>Jun-Aug 2016</c:v>
                </c:pt>
                <c:pt idx="32">
                  <c:v>Jul-Sep 2016</c:v>
                </c:pt>
                <c:pt idx="33">
                  <c:v>Aug-Oct 2016</c:v>
                </c:pt>
                <c:pt idx="34">
                  <c:v>Sep-Nov 2016</c:v>
                </c:pt>
                <c:pt idx="35">
                  <c:v>Oct-Dec 2016</c:v>
                </c:pt>
                <c:pt idx="36">
                  <c:v>Nov-Jan 2017</c:v>
                </c:pt>
                <c:pt idx="37">
                  <c:v>Dec-Feb 2017</c:v>
                </c:pt>
                <c:pt idx="38">
                  <c:v>Jan-Mar 2017</c:v>
                </c:pt>
                <c:pt idx="39">
                  <c:v>Feb-Apr 2017</c:v>
                </c:pt>
                <c:pt idx="40">
                  <c:v>Mar-May 2017</c:v>
                </c:pt>
                <c:pt idx="41">
                  <c:v>Apr-Jun 2017</c:v>
                </c:pt>
                <c:pt idx="42">
                  <c:v>May-Jul 2017</c:v>
                </c:pt>
                <c:pt idx="43">
                  <c:v>Jun-Aug 2017</c:v>
                </c:pt>
                <c:pt idx="44">
                  <c:v>Jul-Sep 2017</c:v>
                </c:pt>
                <c:pt idx="45">
                  <c:v>Aug-Oct 2017</c:v>
                </c:pt>
                <c:pt idx="46">
                  <c:v>Sep-Nov 2017</c:v>
                </c:pt>
                <c:pt idx="47">
                  <c:v>Oct-Dec 2017</c:v>
                </c:pt>
                <c:pt idx="48">
                  <c:v>Nov-Jan 2018</c:v>
                </c:pt>
                <c:pt idx="49">
                  <c:v>Dec-Feb 2018</c:v>
                </c:pt>
                <c:pt idx="50">
                  <c:v>Jan-Mar 2018</c:v>
                </c:pt>
                <c:pt idx="51">
                  <c:v>Feb-Apr 2018</c:v>
                </c:pt>
                <c:pt idx="52">
                  <c:v>Mar-May 2018</c:v>
                </c:pt>
                <c:pt idx="53">
                  <c:v>Apr-Jun 2018</c:v>
                </c:pt>
                <c:pt idx="54">
                  <c:v>May-Jul 2018</c:v>
                </c:pt>
                <c:pt idx="55">
                  <c:v>Jun-Aug 2018</c:v>
                </c:pt>
                <c:pt idx="56">
                  <c:v>Jul-Sep 2018</c:v>
                </c:pt>
                <c:pt idx="57">
                  <c:v>Aug-Oct 2018</c:v>
                </c:pt>
                <c:pt idx="58">
                  <c:v>Sep-Nov 2018</c:v>
                </c:pt>
                <c:pt idx="59">
                  <c:v>Oct-Dec 2018</c:v>
                </c:pt>
                <c:pt idx="60">
                  <c:v>Nov-Jan 2019</c:v>
                </c:pt>
                <c:pt idx="61">
                  <c:v>Dec-Feb 2019</c:v>
                </c:pt>
                <c:pt idx="62">
                  <c:v>Jan-Mar 2019</c:v>
                </c:pt>
                <c:pt idx="63">
                  <c:v>Feb-Apr 2019</c:v>
                </c:pt>
                <c:pt idx="64">
                  <c:v>Mar-May 2019</c:v>
                </c:pt>
                <c:pt idx="65">
                  <c:v>Apr-Jun 2019</c:v>
                </c:pt>
                <c:pt idx="66">
                  <c:v>May-Jul 2019</c:v>
                </c:pt>
                <c:pt idx="67">
                  <c:v>Jun-Aug 2019</c:v>
                </c:pt>
                <c:pt idx="68">
                  <c:v>Jul-Sep 2019</c:v>
                </c:pt>
                <c:pt idx="69">
                  <c:v>Aug-Oct 2019</c:v>
                </c:pt>
                <c:pt idx="70">
                  <c:v>Sep-Nov 2019</c:v>
                </c:pt>
                <c:pt idx="71">
                  <c:v>Oct-Dec 2019</c:v>
                </c:pt>
                <c:pt idx="72">
                  <c:v>Nov-Jan 2020</c:v>
                </c:pt>
                <c:pt idx="73">
                  <c:v>Dec-Feb 2020</c:v>
                </c:pt>
                <c:pt idx="74">
                  <c:v>Jan-Mar 2020</c:v>
                </c:pt>
                <c:pt idx="75">
                  <c:v>Feb-Apr 2020</c:v>
                </c:pt>
                <c:pt idx="76">
                  <c:v>Mar-May 2020</c:v>
                </c:pt>
                <c:pt idx="77">
                  <c:v>Apr-Jun 2020</c:v>
                </c:pt>
                <c:pt idx="78">
                  <c:v>May-Jul 2020</c:v>
                </c:pt>
                <c:pt idx="79">
                  <c:v>Jun-Aug 2020</c:v>
                </c:pt>
                <c:pt idx="80">
                  <c:v>Jul-Sep 2020</c:v>
                </c:pt>
                <c:pt idx="81">
                  <c:v>Aug-Oct 2020</c:v>
                </c:pt>
                <c:pt idx="82">
                  <c:v>Sep-Nov 2020</c:v>
                </c:pt>
                <c:pt idx="83">
                  <c:v>Oct-Dec 2020</c:v>
                </c:pt>
                <c:pt idx="84">
                  <c:v>Nov-Jan 2021</c:v>
                </c:pt>
                <c:pt idx="85">
                  <c:v>Dec-Feb 2021</c:v>
                </c:pt>
                <c:pt idx="86">
                  <c:v>Jan-Mar 2021</c:v>
                </c:pt>
                <c:pt idx="87">
                  <c:v>Feb-Apr 2021</c:v>
                </c:pt>
                <c:pt idx="88">
                  <c:v>Mar-May 2021</c:v>
                </c:pt>
                <c:pt idx="89">
                  <c:v>Apr-Jun 2021</c:v>
                </c:pt>
                <c:pt idx="90">
                  <c:v>May-Jul 2021</c:v>
                </c:pt>
                <c:pt idx="91">
                  <c:v>Jun-Aug 2021</c:v>
                </c:pt>
                <c:pt idx="92">
                  <c:v>Jul-Sep 2021</c:v>
                </c:pt>
                <c:pt idx="93">
                  <c:v>Aug-Oct 2021</c:v>
                </c:pt>
                <c:pt idx="94">
                  <c:v>Sep-Nov 2021</c:v>
                </c:pt>
                <c:pt idx="95">
                  <c:v>Oct-Dec 2021</c:v>
                </c:pt>
                <c:pt idx="96">
                  <c:v>Nov-Jan 2022</c:v>
                </c:pt>
                <c:pt idx="97">
                  <c:v>Dec-Feb 2022</c:v>
                </c:pt>
                <c:pt idx="98">
                  <c:v>Jan-Mar 2022</c:v>
                </c:pt>
                <c:pt idx="99">
                  <c:v>Feb-Apr 2022</c:v>
                </c:pt>
                <c:pt idx="100">
                  <c:v>Mar-May 2022</c:v>
                </c:pt>
                <c:pt idx="101">
                  <c:v>Apr-Jun 2022</c:v>
                </c:pt>
                <c:pt idx="102">
                  <c:v>May-Jul 2022</c:v>
                </c:pt>
                <c:pt idx="103">
                  <c:v>Jun-Aug 2022</c:v>
                </c:pt>
                <c:pt idx="104">
                  <c:v>Jul-Sep 2022</c:v>
                </c:pt>
                <c:pt idx="105">
                  <c:v>Aug-Oct 2022</c:v>
                </c:pt>
                <c:pt idx="106">
                  <c:v>Sep-Nov 2022</c:v>
                </c:pt>
                <c:pt idx="107">
                  <c:v>Oct-Dec 2022</c:v>
                </c:pt>
                <c:pt idx="108">
                  <c:v>Nov-Jan 2023</c:v>
                </c:pt>
                <c:pt idx="109">
                  <c:v>Dec-Feb 2023</c:v>
                </c:pt>
                <c:pt idx="110">
                  <c:v>Jan-Mar 2023</c:v>
                </c:pt>
                <c:pt idx="111">
                  <c:v>Feb-Apr 2023</c:v>
                </c:pt>
                <c:pt idx="112">
                  <c:v>Mar-May 2023</c:v>
                </c:pt>
                <c:pt idx="113">
                  <c:v>Apr-Jun 2023</c:v>
                </c:pt>
                <c:pt idx="114">
                  <c:v>May-Jul 2023</c:v>
                </c:pt>
                <c:pt idx="115">
                  <c:v>Jun-Aug 2023</c:v>
                </c:pt>
                <c:pt idx="116">
                  <c:v>Jul-Sep 2023</c:v>
                </c:pt>
                <c:pt idx="117">
                  <c:v>Aug-Oct 2023</c:v>
                </c:pt>
                <c:pt idx="118">
                  <c:v>Sep-Nov 2023</c:v>
                </c:pt>
                <c:pt idx="119">
                  <c:v>Oct-Dec 2023</c:v>
                </c:pt>
                <c:pt idx="120">
                  <c:v>Nov-Jan 2024</c:v>
                </c:pt>
                <c:pt idx="121">
                  <c:v>Dec-Feb 2024</c:v>
                </c:pt>
                <c:pt idx="122">
                  <c:v>Jan-Mar 2024</c:v>
                </c:pt>
                <c:pt idx="123">
                  <c:v>Feb-Apr 2024</c:v>
                </c:pt>
                <c:pt idx="124">
                  <c:v>Mar-May 2024</c:v>
                </c:pt>
                <c:pt idx="125">
                  <c:v>Apr-Jun 2024</c:v>
                </c:pt>
                <c:pt idx="126">
                  <c:v>May-Jul 2024</c:v>
                </c:pt>
                <c:pt idx="127">
                  <c:v>Jun-Aug 2024</c:v>
                </c:pt>
              </c:strCache>
            </c:strRef>
          </c:cat>
          <c:val>
            <c:numRef>
              <c:f>data!$B$8:$B$135</c:f>
              <c:numCache>
                <c:formatCode>General</c:formatCode>
                <c:ptCount val="128"/>
                <c:pt idx="0">
                  <c:v>581</c:v>
                </c:pt>
                <c:pt idx="1">
                  <c:v>595</c:v>
                </c:pt>
                <c:pt idx="2">
                  <c:v>616</c:v>
                </c:pt>
                <c:pt idx="3">
                  <c:v>638</c:v>
                </c:pt>
                <c:pt idx="4">
                  <c:v>654</c:v>
                </c:pt>
                <c:pt idx="5">
                  <c:v>663</c:v>
                </c:pt>
                <c:pt idx="6">
                  <c:v>670</c:v>
                </c:pt>
                <c:pt idx="7">
                  <c:v>681</c:v>
                </c:pt>
                <c:pt idx="8">
                  <c:v>687</c:v>
                </c:pt>
                <c:pt idx="9">
                  <c:v>702</c:v>
                </c:pt>
                <c:pt idx="10">
                  <c:v>703</c:v>
                </c:pt>
                <c:pt idx="11">
                  <c:v>707</c:v>
                </c:pt>
                <c:pt idx="12">
                  <c:v>708</c:v>
                </c:pt>
                <c:pt idx="13">
                  <c:v>720</c:v>
                </c:pt>
                <c:pt idx="14">
                  <c:v>729</c:v>
                </c:pt>
                <c:pt idx="15">
                  <c:v>728</c:v>
                </c:pt>
                <c:pt idx="16">
                  <c:v>728</c:v>
                </c:pt>
                <c:pt idx="17">
                  <c:v>732</c:v>
                </c:pt>
                <c:pt idx="18">
                  <c:v>742</c:v>
                </c:pt>
                <c:pt idx="19">
                  <c:v>742</c:v>
                </c:pt>
                <c:pt idx="20">
                  <c:v>742</c:v>
                </c:pt>
                <c:pt idx="21">
                  <c:v>741</c:v>
                </c:pt>
                <c:pt idx="22">
                  <c:v>742</c:v>
                </c:pt>
                <c:pt idx="23">
                  <c:v>743</c:v>
                </c:pt>
                <c:pt idx="24">
                  <c:v>746</c:v>
                </c:pt>
                <c:pt idx="25">
                  <c:v>745</c:v>
                </c:pt>
                <c:pt idx="26">
                  <c:v>746</c:v>
                </c:pt>
                <c:pt idx="27">
                  <c:v>745</c:v>
                </c:pt>
                <c:pt idx="28">
                  <c:v>748</c:v>
                </c:pt>
                <c:pt idx="29">
                  <c:v>750</c:v>
                </c:pt>
                <c:pt idx="30">
                  <c:v>749</c:v>
                </c:pt>
                <c:pt idx="31">
                  <c:v>753</c:v>
                </c:pt>
                <c:pt idx="32">
                  <c:v>755</c:v>
                </c:pt>
                <c:pt idx="33">
                  <c:v>762</c:v>
                </c:pt>
                <c:pt idx="34">
                  <c:v>758</c:v>
                </c:pt>
                <c:pt idx="35">
                  <c:v>758</c:v>
                </c:pt>
                <c:pt idx="36">
                  <c:v>754</c:v>
                </c:pt>
                <c:pt idx="37">
                  <c:v>767</c:v>
                </c:pt>
                <c:pt idx="38">
                  <c:v>773</c:v>
                </c:pt>
                <c:pt idx="39">
                  <c:v>788</c:v>
                </c:pt>
                <c:pt idx="40">
                  <c:v>783</c:v>
                </c:pt>
                <c:pt idx="41">
                  <c:v>782</c:v>
                </c:pt>
                <c:pt idx="42">
                  <c:v>785</c:v>
                </c:pt>
                <c:pt idx="43">
                  <c:v>794</c:v>
                </c:pt>
                <c:pt idx="44">
                  <c:v>799</c:v>
                </c:pt>
                <c:pt idx="45">
                  <c:v>809</c:v>
                </c:pt>
                <c:pt idx="46">
                  <c:v>819</c:v>
                </c:pt>
                <c:pt idx="47">
                  <c:v>821</c:v>
                </c:pt>
                <c:pt idx="48">
                  <c:v>822</c:v>
                </c:pt>
                <c:pt idx="49">
                  <c:v>815</c:v>
                </c:pt>
                <c:pt idx="50">
                  <c:v>814</c:v>
                </c:pt>
                <c:pt idx="51">
                  <c:v>812</c:v>
                </c:pt>
                <c:pt idx="52">
                  <c:v>819</c:v>
                </c:pt>
                <c:pt idx="53">
                  <c:v>829</c:v>
                </c:pt>
                <c:pt idx="54">
                  <c:v>839</c:v>
                </c:pt>
                <c:pt idx="55">
                  <c:v>843</c:v>
                </c:pt>
                <c:pt idx="56">
                  <c:v>844</c:v>
                </c:pt>
                <c:pt idx="57">
                  <c:v>862</c:v>
                </c:pt>
                <c:pt idx="58">
                  <c:v>861</c:v>
                </c:pt>
                <c:pt idx="59">
                  <c:v>856</c:v>
                </c:pt>
                <c:pt idx="60">
                  <c:v>859</c:v>
                </c:pt>
                <c:pt idx="61">
                  <c:v>847</c:v>
                </c:pt>
                <c:pt idx="62">
                  <c:v>845</c:v>
                </c:pt>
                <c:pt idx="63">
                  <c:v>840</c:v>
                </c:pt>
                <c:pt idx="64">
                  <c:v>835</c:v>
                </c:pt>
                <c:pt idx="65">
                  <c:v>821</c:v>
                </c:pt>
                <c:pt idx="66">
                  <c:v>823</c:v>
                </c:pt>
                <c:pt idx="67">
                  <c:v>816</c:v>
                </c:pt>
                <c:pt idx="68">
                  <c:v>817</c:v>
                </c:pt>
                <c:pt idx="69">
                  <c:v>810</c:v>
                </c:pt>
                <c:pt idx="70">
                  <c:v>807</c:v>
                </c:pt>
                <c:pt idx="71">
                  <c:v>810</c:v>
                </c:pt>
                <c:pt idx="72">
                  <c:v>816</c:v>
                </c:pt>
                <c:pt idx="73">
                  <c:v>819</c:v>
                </c:pt>
                <c:pt idx="74">
                  <c:v>796</c:v>
                </c:pt>
                <c:pt idx="75">
                  <c:v>638</c:v>
                </c:pt>
                <c:pt idx="76">
                  <c:v>472</c:v>
                </c:pt>
                <c:pt idx="77">
                  <c:v>328</c:v>
                </c:pt>
                <c:pt idx="78">
                  <c:v>371</c:v>
                </c:pt>
                <c:pt idx="79">
                  <c:v>429</c:v>
                </c:pt>
                <c:pt idx="80">
                  <c:v>488</c:v>
                </c:pt>
                <c:pt idx="81">
                  <c:v>531</c:v>
                </c:pt>
                <c:pt idx="82">
                  <c:v>557</c:v>
                </c:pt>
                <c:pt idx="83">
                  <c:v>600</c:v>
                </c:pt>
                <c:pt idx="84">
                  <c:v>619</c:v>
                </c:pt>
                <c:pt idx="85">
                  <c:v>621</c:v>
                </c:pt>
                <c:pt idx="86">
                  <c:v>628</c:v>
                </c:pt>
                <c:pt idx="87">
                  <c:v>663</c:v>
                </c:pt>
                <c:pt idx="88">
                  <c:v>765</c:v>
                </c:pt>
                <c:pt idx="89">
                  <c:v>867</c:v>
                </c:pt>
                <c:pt idx="90">
                  <c:v>971</c:v>
                </c:pt>
                <c:pt idx="91">
                  <c:v>1052</c:v>
                </c:pt>
                <c:pt idx="92">
                  <c:v>1122</c:v>
                </c:pt>
                <c:pt idx="93">
                  <c:v>1194</c:v>
                </c:pt>
                <c:pt idx="94">
                  <c:v>1218</c:v>
                </c:pt>
                <c:pt idx="95">
                  <c:v>1241</c:v>
                </c:pt>
                <c:pt idx="96">
                  <c:v>1257</c:v>
                </c:pt>
                <c:pt idx="97">
                  <c:v>1273</c:v>
                </c:pt>
                <c:pt idx="98">
                  <c:v>1286</c:v>
                </c:pt>
                <c:pt idx="99">
                  <c:v>1296</c:v>
                </c:pt>
                <c:pt idx="100">
                  <c:v>1304</c:v>
                </c:pt>
                <c:pt idx="101">
                  <c:v>1299</c:v>
                </c:pt>
                <c:pt idx="102">
                  <c:v>1280</c:v>
                </c:pt>
                <c:pt idx="103">
                  <c:v>1259</c:v>
                </c:pt>
                <c:pt idx="104">
                  <c:v>1233</c:v>
                </c:pt>
                <c:pt idx="105">
                  <c:v>1216</c:v>
                </c:pt>
                <c:pt idx="106">
                  <c:v>1175</c:v>
                </c:pt>
                <c:pt idx="107">
                  <c:v>1153</c:v>
                </c:pt>
                <c:pt idx="108">
                  <c:v>1132</c:v>
                </c:pt>
                <c:pt idx="109">
                  <c:v>1128</c:v>
                </c:pt>
                <c:pt idx="110">
                  <c:v>1120</c:v>
                </c:pt>
                <c:pt idx="111">
                  <c:v>1086</c:v>
                </c:pt>
                <c:pt idx="112">
                  <c:v>1060</c:v>
                </c:pt>
                <c:pt idx="113">
                  <c:v>1039</c:v>
                </c:pt>
                <c:pt idx="114">
                  <c:v>1024</c:v>
                </c:pt>
                <c:pt idx="115">
                  <c:v>1000</c:v>
                </c:pt>
                <c:pt idx="116">
                  <c:v>982</c:v>
                </c:pt>
                <c:pt idx="117">
                  <c:v>959</c:v>
                </c:pt>
                <c:pt idx="118">
                  <c:v>951</c:v>
                </c:pt>
                <c:pt idx="119">
                  <c:v>929</c:v>
                </c:pt>
                <c:pt idx="120">
                  <c:v>924</c:v>
                </c:pt>
                <c:pt idx="121">
                  <c:v>916</c:v>
                </c:pt>
                <c:pt idx="122">
                  <c:v>919</c:v>
                </c:pt>
                <c:pt idx="123">
                  <c:v>909</c:v>
                </c:pt>
                <c:pt idx="124">
                  <c:v>899</c:v>
                </c:pt>
                <c:pt idx="125">
                  <c:v>880</c:v>
                </c:pt>
                <c:pt idx="126">
                  <c:v>872</c:v>
                </c:pt>
                <c:pt idx="127">
                  <c:v>857</c:v>
                </c:pt>
              </c:numCache>
            </c:numRef>
          </c:val>
          <c:smooth val="0"/>
          <c:extLst>
            <c:ext xmlns:c16="http://schemas.microsoft.com/office/drawing/2014/chart" uri="{C3380CC4-5D6E-409C-BE32-E72D297353CC}">
              <c16:uniqueId val="{00000000-CF84-4D4F-92FC-BA73B221D768}"/>
            </c:ext>
          </c:extLst>
        </c:ser>
        <c:dLbls>
          <c:showLegendKey val="0"/>
          <c:showVal val="0"/>
          <c:showCatName val="0"/>
          <c:showSerName val="0"/>
          <c:showPercent val="0"/>
          <c:showBubbleSize val="0"/>
        </c:dLbls>
        <c:smooth val="0"/>
        <c:axId val="525406576"/>
        <c:axId val="1"/>
      </c:lineChart>
      <c:catAx>
        <c:axId val="52540657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4065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w="25400">
          <a:noFill/>
        </a:ln>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w="6350">
          <a:noFill/>
        </a:ln>
      </c:spPr>
    </c:floor>
    <c:sideWall>
      <c:thickness val="0"/>
      <c:spPr>
        <a:noFill/>
        <a:ln w="25400">
          <a:noFill/>
        </a:ln>
      </c:spPr>
    </c:sideWall>
    <c:backWall>
      <c:thickness val="0"/>
      <c:spPr>
        <a:noFill/>
        <a:ln w="25400">
          <a:noFill/>
        </a:ln>
      </c:spPr>
    </c:backWall>
    <c:plotArea>
      <c:layout/>
      <c:bar3DChart>
        <c:barDir val="col"/>
        <c:grouping val="stacked"/>
        <c:varyColors val="0"/>
        <c:ser>
          <c:idx val="0"/>
          <c:order val="0"/>
          <c:tx>
            <c:strRef>
              <c:f>data!$B$7</c:f>
              <c:strCache>
                <c:ptCount val="1"/>
                <c:pt idx="0">
                  <c:v>Number of enterprises</c:v>
                </c:pt>
              </c:strCache>
            </c:strRef>
          </c:tx>
          <c:spPr>
            <a:solidFill>
              <a:srgbClr val="4472C4"/>
            </a:solidFill>
            <a:ln w="25400">
              <a:noFill/>
            </a:ln>
          </c:spPr>
          <c:invertIfNegative val="0"/>
          <c:cat>
            <c:strRef>
              <c:f>data!$A$8:$A$18</c:f>
              <c:strCache>
                <c:ptCount val="11"/>
                <c:pt idx="0">
                  <c:v>2014</c:v>
                </c:pt>
                <c:pt idx="1">
                  <c:v>2015</c:v>
                </c:pt>
                <c:pt idx="2">
                  <c:v>2016</c:v>
                </c:pt>
                <c:pt idx="3">
                  <c:v>2017</c:v>
                </c:pt>
                <c:pt idx="4">
                  <c:v>2018</c:v>
                </c:pt>
                <c:pt idx="5">
                  <c:v>2019</c:v>
                </c:pt>
                <c:pt idx="6">
                  <c:v>2020</c:v>
                </c:pt>
                <c:pt idx="7">
                  <c:v>2021</c:v>
                </c:pt>
                <c:pt idx="8">
                  <c:v>2022</c:v>
                </c:pt>
                <c:pt idx="9">
                  <c:v>2023</c:v>
                </c:pt>
                <c:pt idx="10">
                  <c:v>2024</c:v>
                </c:pt>
              </c:strCache>
            </c:strRef>
          </c:cat>
          <c:val>
            <c:numRef>
              <c:f>data!$B$8:$B$18</c:f>
              <c:numCache>
                <c:formatCode>General</c:formatCode>
                <c:ptCount val="11"/>
                <c:pt idx="0">
                  <c:v>2360535</c:v>
                </c:pt>
                <c:pt idx="1">
                  <c:v>2449415</c:v>
                </c:pt>
                <c:pt idx="2">
                  <c:v>2554510</c:v>
                </c:pt>
                <c:pt idx="3">
                  <c:v>2668810</c:v>
                </c:pt>
                <c:pt idx="4">
                  <c:v>2669440</c:v>
                </c:pt>
                <c:pt idx="5">
                  <c:v>2718435</c:v>
                </c:pt>
                <c:pt idx="6">
                  <c:v>2749700</c:v>
                </c:pt>
                <c:pt idx="7">
                  <c:v>2765150</c:v>
                </c:pt>
                <c:pt idx="8">
                  <c:v>2767700</c:v>
                </c:pt>
                <c:pt idx="9">
                  <c:v>2726830</c:v>
                </c:pt>
                <c:pt idx="10">
                  <c:v>2724770</c:v>
                </c:pt>
              </c:numCache>
            </c:numRef>
          </c:val>
          <c:extLst>
            <c:ext xmlns:c16="http://schemas.microsoft.com/office/drawing/2014/chart" uri="{C3380CC4-5D6E-409C-BE32-E72D297353CC}">
              <c16:uniqueId val="{00000000-D412-463A-B8C6-F487C0774876}"/>
            </c:ext>
          </c:extLst>
        </c:ser>
        <c:dLbls>
          <c:showLegendKey val="0"/>
          <c:showVal val="0"/>
          <c:showCatName val="0"/>
          <c:showSerName val="0"/>
          <c:showPercent val="0"/>
          <c:showBubbleSize val="0"/>
        </c:dLbls>
        <c:gapWidth val="150"/>
        <c:shape val="box"/>
        <c:axId val="1294652831"/>
        <c:axId val="1"/>
        <c:axId val="0"/>
      </c:bar3DChart>
      <c:catAx>
        <c:axId val="1294652831"/>
        <c:scaling>
          <c:orientation val="minMax"/>
        </c:scaling>
        <c:delete val="0"/>
        <c:axPos val="b"/>
        <c:numFmt formatCode="General" sourceLinked="1"/>
        <c:majorTickMark val="none"/>
        <c:minorTickMark val="none"/>
        <c:tickLblPos val="nextTo"/>
        <c:spPr>
          <a:ln w="6350">
            <a:noFill/>
          </a:ln>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ln w="6350">
            <a:noFill/>
          </a:ln>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4652831"/>
        <c:crosses val="autoZero"/>
        <c:crossBetween val="between"/>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800" b="0" i="0" baseline="0">
                <a:effectLst/>
              </a:rPr>
              <a:t>Births and Deaths of Enterprises in percentages</a:t>
            </a:r>
            <a:endParaRPr lang="en-GB">
              <a:effectLst/>
            </a:endParaRP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data!$B$7</c:f>
              <c:strCache>
                <c:ptCount val="1"/>
                <c:pt idx="0">
                  <c:v>Births</c:v>
                </c:pt>
              </c:strCache>
            </c:strRef>
          </c:tx>
          <c:spPr>
            <a:ln w="34925" cap="rnd">
              <a:solidFill>
                <a:schemeClr val="accent6"/>
              </a:solidFill>
              <a:round/>
            </a:ln>
            <a:effectLst>
              <a:outerShdw blurRad="40000" dist="23000" dir="5400000" rotWithShape="0">
                <a:srgbClr val="000000">
                  <a:alpha val="35000"/>
                </a:srgbClr>
              </a:outerShdw>
            </a:effectLst>
          </c:spPr>
          <c:marker>
            <c:symbol val="none"/>
          </c:marker>
          <c:cat>
            <c:strRef>
              <c:f>data!$A$8:$A$16</c:f>
              <c:strCache>
                <c:ptCount val="9"/>
                <c:pt idx="0">
                  <c:v>2014</c:v>
                </c:pt>
                <c:pt idx="1">
                  <c:v>2015</c:v>
                </c:pt>
                <c:pt idx="2">
                  <c:v>2016</c:v>
                </c:pt>
                <c:pt idx="3">
                  <c:v>2017</c:v>
                </c:pt>
                <c:pt idx="4">
                  <c:v>2018</c:v>
                </c:pt>
                <c:pt idx="5">
                  <c:v>2019</c:v>
                </c:pt>
                <c:pt idx="6">
                  <c:v>2020</c:v>
                </c:pt>
                <c:pt idx="7">
                  <c:v>2021</c:v>
                </c:pt>
                <c:pt idx="8">
                  <c:v>2022</c:v>
                </c:pt>
              </c:strCache>
            </c:strRef>
          </c:cat>
          <c:val>
            <c:numRef>
              <c:f>data!$B$8:$B$16</c:f>
              <c:numCache>
                <c:formatCode>0.0</c:formatCode>
                <c:ptCount val="9"/>
                <c:pt idx="0" formatCode="General">
                  <c:v>13.7</c:v>
                </c:pt>
                <c:pt idx="1">
                  <c:v>14.2</c:v>
                </c:pt>
                <c:pt idx="2">
                  <c:v>14.6</c:v>
                </c:pt>
                <c:pt idx="3" formatCode="General">
                  <c:v>12.5</c:v>
                </c:pt>
                <c:pt idx="4">
                  <c:v>12.3</c:v>
                </c:pt>
                <c:pt idx="5">
                  <c:v>12.6</c:v>
                </c:pt>
                <c:pt idx="6">
                  <c:v>11.5</c:v>
                </c:pt>
                <c:pt idx="7">
                  <c:v>12.4</c:v>
                </c:pt>
                <c:pt idx="8">
                  <c:v>11.5</c:v>
                </c:pt>
              </c:numCache>
            </c:numRef>
          </c:val>
          <c:smooth val="0"/>
          <c:extLst>
            <c:ext xmlns:c16="http://schemas.microsoft.com/office/drawing/2014/chart" uri="{C3380CC4-5D6E-409C-BE32-E72D297353CC}">
              <c16:uniqueId val="{00000000-D53A-4150-8AC5-ED9E1547411E}"/>
            </c:ext>
          </c:extLst>
        </c:ser>
        <c:ser>
          <c:idx val="1"/>
          <c:order val="1"/>
          <c:tx>
            <c:strRef>
              <c:f>data!$C$7</c:f>
              <c:strCache>
                <c:ptCount val="1"/>
                <c:pt idx="0">
                  <c:v>Deaths</c:v>
                </c:pt>
              </c:strCache>
            </c:strRef>
          </c:tx>
          <c:spPr>
            <a:ln w="34925" cap="rnd">
              <a:solidFill>
                <a:schemeClr val="accent5"/>
              </a:solidFill>
              <a:round/>
            </a:ln>
            <a:effectLst>
              <a:outerShdw blurRad="40000" dist="23000" dir="5400000" rotWithShape="0">
                <a:srgbClr val="000000">
                  <a:alpha val="35000"/>
                </a:srgbClr>
              </a:outerShdw>
            </a:effectLst>
          </c:spPr>
          <c:marker>
            <c:symbol val="none"/>
          </c:marker>
          <c:cat>
            <c:strRef>
              <c:f>data!$A$8:$A$16</c:f>
              <c:strCache>
                <c:ptCount val="9"/>
                <c:pt idx="0">
                  <c:v>2014</c:v>
                </c:pt>
                <c:pt idx="1">
                  <c:v>2015</c:v>
                </c:pt>
                <c:pt idx="2">
                  <c:v>2016</c:v>
                </c:pt>
                <c:pt idx="3">
                  <c:v>2017</c:v>
                </c:pt>
                <c:pt idx="4">
                  <c:v>2018</c:v>
                </c:pt>
                <c:pt idx="5">
                  <c:v>2019</c:v>
                </c:pt>
                <c:pt idx="6">
                  <c:v>2020</c:v>
                </c:pt>
                <c:pt idx="7">
                  <c:v>2021</c:v>
                </c:pt>
                <c:pt idx="8">
                  <c:v>2022</c:v>
                </c:pt>
              </c:strCache>
            </c:strRef>
          </c:cat>
          <c:val>
            <c:numRef>
              <c:f>data!$C$8:$C$16</c:f>
              <c:numCache>
                <c:formatCode>0.0</c:formatCode>
                <c:ptCount val="9"/>
                <c:pt idx="0" formatCode="General">
                  <c:v>9.6999999999999993</c:v>
                </c:pt>
                <c:pt idx="1">
                  <c:v>10.4</c:v>
                </c:pt>
                <c:pt idx="2">
                  <c:v>9.9</c:v>
                </c:pt>
                <c:pt idx="3" formatCode="General">
                  <c:v>11.7</c:v>
                </c:pt>
                <c:pt idx="4">
                  <c:v>10.4</c:v>
                </c:pt>
                <c:pt idx="5">
                  <c:v>10.5</c:v>
                </c:pt>
                <c:pt idx="6">
                  <c:v>10.4</c:v>
                </c:pt>
                <c:pt idx="7">
                  <c:v>11.2</c:v>
                </c:pt>
                <c:pt idx="8">
                  <c:v>11.8</c:v>
                </c:pt>
              </c:numCache>
            </c:numRef>
          </c:val>
          <c:smooth val="0"/>
          <c:extLst>
            <c:ext xmlns:c16="http://schemas.microsoft.com/office/drawing/2014/chart" uri="{C3380CC4-5D6E-409C-BE32-E72D297353CC}">
              <c16:uniqueId val="{00000001-D53A-4150-8AC5-ED9E1547411E}"/>
            </c:ext>
          </c:extLst>
        </c:ser>
        <c:dLbls>
          <c:showLegendKey val="0"/>
          <c:showVal val="0"/>
          <c:showCatName val="0"/>
          <c:showSerName val="0"/>
          <c:showPercent val="0"/>
          <c:showBubbleSize val="0"/>
        </c:dLbls>
        <c:smooth val="0"/>
        <c:axId val="1415704959"/>
        <c:axId val="1"/>
      </c:lineChart>
      <c:catAx>
        <c:axId val="1415704959"/>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57049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31</Pages>
  <Words>7743</Words>
  <Characters>49512</Characters>
  <Application>Microsoft Office Word</Application>
  <DocSecurity>0</DocSecurity>
  <Lines>886</Lines>
  <Paragraphs>261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56983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Teodor Katrandzhiev</cp:lastModifiedBy>
  <cp:revision>6</cp:revision>
  <dcterms:created xsi:type="dcterms:W3CDTF">2024-11-19T19:21:00Z</dcterms:created>
  <dcterms:modified xsi:type="dcterms:W3CDTF">2024-11-19T19:51:00Z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4ddd512553a11d161838624710a618a2bc697c545a76ebf1bf0342c5ed378b97</vt:lpwstr>
  </property>
</Properties>
</file>