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4FCAE" w14:textId="782C6B0B" w:rsidR="008E2647" w:rsidRDefault="004238F6" w:rsidP="005764EC">
      <w:pPr>
        <w:jc w:val="center"/>
        <w:rPr>
          <w:sz w:val="36"/>
          <w:szCs w:val="36"/>
        </w:rPr>
      </w:pPr>
    </w:p>
    <w:p w14:paraId="5B138532" w14:textId="16E9C747" w:rsidR="005764EC" w:rsidRDefault="005764EC" w:rsidP="005764EC">
      <w:pPr>
        <w:jc w:val="center"/>
        <w:rPr>
          <w:sz w:val="36"/>
          <w:szCs w:val="36"/>
        </w:rPr>
      </w:pPr>
    </w:p>
    <w:p w14:paraId="218EA8CA" w14:textId="78EE177C" w:rsidR="005764EC" w:rsidRDefault="005764EC" w:rsidP="005764EC">
      <w:pPr>
        <w:jc w:val="center"/>
        <w:rPr>
          <w:sz w:val="36"/>
          <w:szCs w:val="36"/>
        </w:rPr>
      </w:pPr>
    </w:p>
    <w:p w14:paraId="6107E289" w14:textId="068A9098" w:rsidR="005764EC" w:rsidRDefault="005764EC" w:rsidP="005764EC">
      <w:pPr>
        <w:jc w:val="center"/>
        <w:rPr>
          <w:sz w:val="36"/>
          <w:szCs w:val="36"/>
        </w:rPr>
      </w:pPr>
    </w:p>
    <w:p w14:paraId="0CD9BD23" w14:textId="1FC0B2BB" w:rsidR="005764EC" w:rsidRDefault="005764EC" w:rsidP="005764EC">
      <w:pPr>
        <w:jc w:val="center"/>
        <w:rPr>
          <w:sz w:val="36"/>
          <w:szCs w:val="36"/>
        </w:rPr>
      </w:pPr>
      <w:r>
        <w:rPr>
          <w:sz w:val="36"/>
          <w:szCs w:val="36"/>
        </w:rPr>
        <w:t xml:space="preserve">Mental Disorders and Psychopathology </w:t>
      </w:r>
    </w:p>
    <w:p w14:paraId="3E9581D5" w14:textId="08A29050" w:rsidR="005764EC" w:rsidRDefault="005764EC" w:rsidP="005764EC">
      <w:pPr>
        <w:jc w:val="center"/>
        <w:rPr>
          <w:sz w:val="36"/>
          <w:szCs w:val="36"/>
        </w:rPr>
      </w:pPr>
    </w:p>
    <w:p w14:paraId="5F870EEC" w14:textId="07A2E357" w:rsidR="005764EC" w:rsidRDefault="005764EC" w:rsidP="005764EC">
      <w:pPr>
        <w:jc w:val="center"/>
        <w:rPr>
          <w:sz w:val="36"/>
          <w:szCs w:val="36"/>
        </w:rPr>
      </w:pPr>
      <w:r>
        <w:rPr>
          <w:sz w:val="36"/>
          <w:szCs w:val="36"/>
        </w:rPr>
        <w:t>BMHP6006</w:t>
      </w:r>
    </w:p>
    <w:p w14:paraId="0EF8429F" w14:textId="65208236" w:rsidR="005764EC" w:rsidRDefault="005764EC" w:rsidP="005764EC">
      <w:pPr>
        <w:jc w:val="center"/>
        <w:rPr>
          <w:sz w:val="36"/>
          <w:szCs w:val="36"/>
        </w:rPr>
      </w:pPr>
    </w:p>
    <w:p w14:paraId="2B303127" w14:textId="16E8694F" w:rsidR="005764EC" w:rsidRDefault="005764EC" w:rsidP="005764EC">
      <w:pPr>
        <w:jc w:val="center"/>
        <w:rPr>
          <w:sz w:val="36"/>
          <w:szCs w:val="36"/>
        </w:rPr>
      </w:pPr>
      <w:r>
        <w:rPr>
          <w:sz w:val="36"/>
          <w:szCs w:val="36"/>
        </w:rPr>
        <w:t>Debate/Blog</w:t>
      </w:r>
    </w:p>
    <w:p w14:paraId="6D1CCB45" w14:textId="04AF1287" w:rsidR="005764EC" w:rsidRDefault="005764EC" w:rsidP="005764EC">
      <w:pPr>
        <w:jc w:val="center"/>
        <w:rPr>
          <w:sz w:val="36"/>
          <w:szCs w:val="36"/>
        </w:rPr>
      </w:pPr>
    </w:p>
    <w:p w14:paraId="4B666D47" w14:textId="337B2B63" w:rsidR="005764EC" w:rsidRDefault="005764EC" w:rsidP="005764EC">
      <w:pPr>
        <w:jc w:val="center"/>
        <w:rPr>
          <w:sz w:val="36"/>
          <w:szCs w:val="36"/>
        </w:rPr>
      </w:pPr>
    </w:p>
    <w:p w14:paraId="173C52B4" w14:textId="003D7FC9" w:rsidR="005764EC" w:rsidRDefault="005764EC" w:rsidP="005764EC">
      <w:pPr>
        <w:jc w:val="center"/>
        <w:rPr>
          <w:sz w:val="36"/>
          <w:szCs w:val="36"/>
        </w:rPr>
      </w:pPr>
    </w:p>
    <w:p w14:paraId="525C04EE" w14:textId="2F36002C" w:rsidR="005764EC" w:rsidRDefault="005764EC" w:rsidP="005764EC">
      <w:pPr>
        <w:jc w:val="center"/>
        <w:rPr>
          <w:sz w:val="36"/>
          <w:szCs w:val="36"/>
        </w:rPr>
      </w:pPr>
    </w:p>
    <w:p w14:paraId="45B15474" w14:textId="5C79AB5B" w:rsidR="005764EC" w:rsidRDefault="005764EC" w:rsidP="005764EC">
      <w:pPr>
        <w:jc w:val="center"/>
        <w:rPr>
          <w:sz w:val="36"/>
          <w:szCs w:val="36"/>
        </w:rPr>
      </w:pPr>
      <w:r>
        <w:rPr>
          <w:sz w:val="36"/>
          <w:szCs w:val="36"/>
        </w:rPr>
        <w:t xml:space="preserve">Joanne </w:t>
      </w:r>
      <w:proofErr w:type="spellStart"/>
      <w:r>
        <w:rPr>
          <w:sz w:val="36"/>
          <w:szCs w:val="36"/>
        </w:rPr>
        <w:t>Leyson</w:t>
      </w:r>
      <w:proofErr w:type="spellEnd"/>
    </w:p>
    <w:p w14:paraId="42AFA1AB" w14:textId="66D9EE44" w:rsidR="005764EC" w:rsidRDefault="005764EC" w:rsidP="005764EC">
      <w:pPr>
        <w:jc w:val="center"/>
        <w:rPr>
          <w:sz w:val="36"/>
          <w:szCs w:val="36"/>
        </w:rPr>
      </w:pPr>
    </w:p>
    <w:p w14:paraId="51969C0A" w14:textId="7FCCF7FD" w:rsidR="005764EC" w:rsidRDefault="005764EC" w:rsidP="005764EC">
      <w:pPr>
        <w:jc w:val="center"/>
        <w:rPr>
          <w:sz w:val="36"/>
          <w:szCs w:val="36"/>
        </w:rPr>
      </w:pPr>
      <w:r>
        <w:rPr>
          <w:sz w:val="36"/>
          <w:szCs w:val="36"/>
        </w:rPr>
        <w:t>1805553</w:t>
      </w:r>
    </w:p>
    <w:p w14:paraId="7552AC14" w14:textId="7FA06F2D" w:rsidR="005764EC" w:rsidRDefault="005764EC" w:rsidP="005764EC">
      <w:pPr>
        <w:jc w:val="center"/>
        <w:rPr>
          <w:sz w:val="36"/>
          <w:szCs w:val="36"/>
        </w:rPr>
      </w:pPr>
    </w:p>
    <w:p w14:paraId="48D6118D" w14:textId="576C1FF8" w:rsidR="005764EC" w:rsidRDefault="005764EC" w:rsidP="005764EC">
      <w:pPr>
        <w:jc w:val="center"/>
        <w:rPr>
          <w:sz w:val="36"/>
          <w:szCs w:val="36"/>
        </w:rPr>
      </w:pPr>
    </w:p>
    <w:p w14:paraId="6A134D73" w14:textId="6E987BC2" w:rsidR="005764EC" w:rsidRDefault="005764EC" w:rsidP="005764EC">
      <w:pPr>
        <w:jc w:val="center"/>
        <w:rPr>
          <w:sz w:val="36"/>
          <w:szCs w:val="36"/>
        </w:rPr>
      </w:pPr>
      <w:r>
        <w:rPr>
          <w:sz w:val="36"/>
          <w:szCs w:val="36"/>
        </w:rPr>
        <w:t>University of Wales Trinity Saint David</w:t>
      </w:r>
    </w:p>
    <w:p w14:paraId="6AD0B7A3" w14:textId="6421D349" w:rsidR="005764EC" w:rsidRDefault="005764EC" w:rsidP="005764EC">
      <w:pPr>
        <w:jc w:val="center"/>
        <w:rPr>
          <w:sz w:val="36"/>
          <w:szCs w:val="36"/>
        </w:rPr>
      </w:pPr>
    </w:p>
    <w:p w14:paraId="00B38718" w14:textId="02524298" w:rsidR="005764EC" w:rsidRDefault="005764EC" w:rsidP="005764EC">
      <w:pPr>
        <w:jc w:val="center"/>
        <w:rPr>
          <w:sz w:val="36"/>
          <w:szCs w:val="36"/>
        </w:rPr>
      </w:pPr>
    </w:p>
    <w:p w14:paraId="28D16E67" w14:textId="058538B4" w:rsidR="005764EC" w:rsidRDefault="005764EC" w:rsidP="005764EC">
      <w:pPr>
        <w:jc w:val="center"/>
        <w:rPr>
          <w:sz w:val="36"/>
          <w:szCs w:val="36"/>
        </w:rPr>
      </w:pPr>
    </w:p>
    <w:p w14:paraId="62DCFCF6" w14:textId="52E147F7" w:rsidR="005764EC" w:rsidRDefault="005764EC" w:rsidP="005764EC">
      <w:pPr>
        <w:jc w:val="center"/>
        <w:rPr>
          <w:sz w:val="36"/>
          <w:szCs w:val="36"/>
        </w:rPr>
      </w:pPr>
    </w:p>
    <w:p w14:paraId="2792A1C1" w14:textId="3F54267B" w:rsidR="005764EC" w:rsidRDefault="005764EC" w:rsidP="005764EC">
      <w:pPr>
        <w:jc w:val="center"/>
        <w:rPr>
          <w:sz w:val="36"/>
          <w:szCs w:val="36"/>
        </w:rPr>
      </w:pPr>
    </w:p>
    <w:p w14:paraId="1A550D75" w14:textId="4BF21400" w:rsidR="005764EC" w:rsidRDefault="005764EC" w:rsidP="005764EC">
      <w:pPr>
        <w:jc w:val="center"/>
        <w:rPr>
          <w:sz w:val="36"/>
          <w:szCs w:val="36"/>
        </w:rPr>
      </w:pPr>
    </w:p>
    <w:p w14:paraId="20F61D51" w14:textId="1CCF73AF" w:rsidR="005764EC" w:rsidRDefault="005764EC" w:rsidP="005764EC">
      <w:pPr>
        <w:jc w:val="center"/>
        <w:rPr>
          <w:sz w:val="36"/>
          <w:szCs w:val="36"/>
        </w:rPr>
      </w:pPr>
    </w:p>
    <w:p w14:paraId="5D95D072" w14:textId="576A9761" w:rsidR="005764EC" w:rsidRDefault="005764EC" w:rsidP="005764EC">
      <w:pPr>
        <w:jc w:val="center"/>
        <w:rPr>
          <w:sz w:val="36"/>
          <w:szCs w:val="36"/>
        </w:rPr>
      </w:pPr>
    </w:p>
    <w:p w14:paraId="2F3E48A5" w14:textId="0375A4B5" w:rsidR="005764EC" w:rsidRDefault="005764EC" w:rsidP="005764EC">
      <w:pPr>
        <w:jc w:val="center"/>
        <w:rPr>
          <w:sz w:val="36"/>
          <w:szCs w:val="36"/>
        </w:rPr>
      </w:pPr>
    </w:p>
    <w:p w14:paraId="533C6129" w14:textId="4E683E95" w:rsidR="005764EC" w:rsidRDefault="005764EC" w:rsidP="005764EC">
      <w:pPr>
        <w:jc w:val="center"/>
        <w:rPr>
          <w:sz w:val="36"/>
          <w:szCs w:val="36"/>
        </w:rPr>
      </w:pPr>
    </w:p>
    <w:p w14:paraId="1035A80F" w14:textId="757CF753" w:rsidR="005764EC" w:rsidRDefault="005764EC" w:rsidP="005764EC">
      <w:pPr>
        <w:jc w:val="center"/>
        <w:rPr>
          <w:sz w:val="36"/>
          <w:szCs w:val="36"/>
        </w:rPr>
      </w:pPr>
    </w:p>
    <w:p w14:paraId="56292DFA" w14:textId="04D5AF5C" w:rsidR="005764EC" w:rsidRDefault="005764EC" w:rsidP="005764EC">
      <w:pPr>
        <w:jc w:val="center"/>
        <w:rPr>
          <w:sz w:val="36"/>
          <w:szCs w:val="36"/>
        </w:rPr>
      </w:pPr>
    </w:p>
    <w:p w14:paraId="77FBFF59" w14:textId="6DE92836" w:rsidR="005764EC" w:rsidRDefault="005764EC" w:rsidP="005764EC">
      <w:pPr>
        <w:rPr>
          <w:sz w:val="22"/>
          <w:szCs w:val="22"/>
        </w:rPr>
      </w:pPr>
    </w:p>
    <w:p w14:paraId="24B8A238" w14:textId="3727F35A" w:rsidR="005764EC" w:rsidRPr="005764EC" w:rsidRDefault="005764EC" w:rsidP="005764EC">
      <w:pPr>
        <w:spacing w:line="360" w:lineRule="auto"/>
        <w:jc w:val="both"/>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lastRenderedPageBreak/>
        <w:t>Blog Entry 1</w:t>
      </w:r>
    </w:p>
    <w:p w14:paraId="12AF9D8A" w14:textId="763B6270" w:rsidR="005764EC" w:rsidRPr="005764EC" w:rsidRDefault="005764EC" w:rsidP="005764EC">
      <w:pPr>
        <w:spacing w:line="360" w:lineRule="auto"/>
        <w:jc w:val="both"/>
        <w:rPr>
          <w:rFonts w:asciiTheme="majorHAnsi" w:hAnsiTheme="majorHAnsi" w:cstheme="majorHAnsi"/>
          <w:color w:val="000000" w:themeColor="text1"/>
          <w:sz w:val="22"/>
          <w:szCs w:val="22"/>
        </w:rPr>
      </w:pPr>
    </w:p>
    <w:p w14:paraId="5F3C6270" w14:textId="27CC1C52" w:rsidR="005764EC" w:rsidRPr="005764EC" w:rsidRDefault="005764EC" w:rsidP="005764EC">
      <w:pPr>
        <w:spacing w:line="360" w:lineRule="auto"/>
        <w:jc w:val="both"/>
        <w:rPr>
          <w:rFonts w:asciiTheme="majorHAnsi" w:hAnsiTheme="majorHAnsi" w:cstheme="majorHAnsi"/>
          <w:color w:val="000000" w:themeColor="text1"/>
          <w:sz w:val="22"/>
          <w:szCs w:val="22"/>
          <w:u w:val="single"/>
        </w:rPr>
      </w:pPr>
      <w:r w:rsidRPr="005764EC">
        <w:rPr>
          <w:rFonts w:asciiTheme="majorHAnsi" w:hAnsiTheme="majorHAnsi" w:cstheme="majorHAnsi"/>
          <w:color w:val="000000" w:themeColor="text1"/>
          <w:sz w:val="22"/>
          <w:szCs w:val="22"/>
          <w:u w:val="single"/>
        </w:rPr>
        <w:t>The Effect of Children and Young Peoples Mental Health during the COVID-19 pandemic</w:t>
      </w:r>
    </w:p>
    <w:p w14:paraId="28AA3F37" w14:textId="77777777" w:rsidR="005764EC" w:rsidRPr="005764EC" w:rsidRDefault="005764EC" w:rsidP="005764EC">
      <w:pPr>
        <w:spacing w:line="360" w:lineRule="auto"/>
        <w:jc w:val="both"/>
        <w:rPr>
          <w:rFonts w:asciiTheme="majorHAnsi" w:hAnsiTheme="majorHAnsi" w:cstheme="majorHAnsi"/>
          <w:color w:val="000000" w:themeColor="text1"/>
          <w:sz w:val="22"/>
          <w:szCs w:val="22"/>
        </w:rPr>
      </w:pPr>
    </w:p>
    <w:p w14:paraId="61811DB4" w14:textId="77777777" w:rsidR="005764EC" w:rsidRPr="005764EC" w:rsidRDefault="005764EC" w:rsidP="005764EC">
      <w:pPr>
        <w:autoSpaceDE w:val="0"/>
        <w:autoSpaceDN w:val="0"/>
        <w:adjustRightInd w:val="0"/>
        <w:spacing w:line="360" w:lineRule="auto"/>
        <w:jc w:val="both"/>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 xml:space="preserve">The effect on children's mental health during the COVID-19 pandemic is a cause for concern. The necessary move by the UK Government to close schools and restrict movement helped save thousands of lives; however, the impact of such a move on our children has been profound. The anxiety, the fear of becoming ill, lack of contact with family outside of the home and loss of everyday routines has had a devastating impact on the nation's mental health. A survey carried out by a charity called Young Minds has shown that 80% of respondents agreed that the COVID-19 pandemic had worsened their mental health, with 41% of those stating it had made their health "much worse". They are presenting feelings of anxiety, isolation, a loss of coping mechanisms or a loss of motivation. Among the 1000 respondents of the survey, they have stated that while receiving mental health support in the three months leading up to the crisis, 31% said they could no longer access the support but still needed it. A report published by Gareth </w:t>
      </w:r>
      <w:proofErr w:type="spellStart"/>
      <w:r w:rsidRPr="005764EC">
        <w:rPr>
          <w:rFonts w:asciiTheme="majorHAnsi" w:hAnsiTheme="majorHAnsi" w:cstheme="majorHAnsi"/>
          <w:color w:val="000000" w:themeColor="text1"/>
          <w:sz w:val="22"/>
          <w:szCs w:val="22"/>
        </w:rPr>
        <w:t>Iacobucci</w:t>
      </w:r>
      <w:proofErr w:type="spellEnd"/>
      <w:r w:rsidRPr="005764EC">
        <w:rPr>
          <w:rFonts w:asciiTheme="majorHAnsi" w:hAnsiTheme="majorHAnsi" w:cstheme="majorHAnsi"/>
          <w:color w:val="000000" w:themeColor="text1"/>
          <w:sz w:val="22"/>
          <w:szCs w:val="22"/>
        </w:rPr>
        <w:t xml:space="preserve"> (2022) suggests that a generation of young people is at risk of being left behind due to the pandemic's disproportionate impact on their mental health. Key findings of the report show that there was an 81% increase in referrals for children and young people's mental health services between April and September compared to the same period in 2019. There were over 15000 urgent or crisis care referrals for children and young people during the same period, a massive 59% increase compared to 2019. The number of children and young people waiting to start treatment for an eating disorder has quadrupled from pre-pandemic levels. </w:t>
      </w:r>
    </w:p>
    <w:p w14:paraId="315D722F" w14:textId="77777777" w:rsidR="005764EC" w:rsidRPr="005764EC" w:rsidRDefault="005764EC" w:rsidP="005764EC">
      <w:pPr>
        <w:autoSpaceDE w:val="0"/>
        <w:autoSpaceDN w:val="0"/>
        <w:adjustRightInd w:val="0"/>
        <w:spacing w:line="360" w:lineRule="auto"/>
        <w:jc w:val="both"/>
        <w:rPr>
          <w:rFonts w:asciiTheme="majorHAnsi" w:hAnsiTheme="majorHAnsi" w:cstheme="majorHAnsi"/>
          <w:color w:val="000000" w:themeColor="text1"/>
          <w:sz w:val="22"/>
          <w:szCs w:val="22"/>
        </w:rPr>
      </w:pPr>
    </w:p>
    <w:p w14:paraId="68F24F36" w14:textId="77777777" w:rsidR="005764EC" w:rsidRPr="005764EC" w:rsidRDefault="005764EC" w:rsidP="005764EC">
      <w:pPr>
        <w:autoSpaceDE w:val="0"/>
        <w:autoSpaceDN w:val="0"/>
        <w:adjustRightInd w:val="0"/>
        <w:spacing w:line="360" w:lineRule="auto"/>
        <w:jc w:val="both"/>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Historically children and young people's mental health would be assessed by a general practitioner (GP) and forwarded to the CAMHS service provided by the National Health Service (NHS). However, during the COVID-19 pandemic, with low attendance at GP surgeries, mental health problems initially were low in presentation. A report by McNicholas et al. stated that from September 2020, there was a sharp spike with a peak of 180% in November 2020 compared to previous years. This report suggested that it was unclear how the services would now cope with this surge in demand. To deal with the unprecedented levels, the NHS and mental health services had to rely on phone and video consultations due to the government restrictions imposed, and overall, telepsychiatry has proved a positive move with it being viewed as a convenient and safe way to provide patient care (Smith et al. (2019). The UK Government announced in March 2021 an extra £79 million for CAMHS on top of the £1.4 billion pledged in 2015 to help sustain its service and improve access for many children and young people (UK Government, 2021).</w:t>
      </w:r>
    </w:p>
    <w:p w14:paraId="126A7BFA" w14:textId="7E7A3A59" w:rsidR="005764EC" w:rsidRDefault="005764EC" w:rsidP="005764EC">
      <w:pPr>
        <w:spacing w:line="360" w:lineRule="auto"/>
        <w:jc w:val="both"/>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lastRenderedPageBreak/>
        <w:t xml:space="preserve">Blog </w:t>
      </w:r>
      <w:r>
        <w:rPr>
          <w:rFonts w:asciiTheme="majorHAnsi" w:hAnsiTheme="majorHAnsi" w:cstheme="majorHAnsi"/>
          <w:color w:val="000000" w:themeColor="text1"/>
          <w:sz w:val="22"/>
          <w:szCs w:val="22"/>
        </w:rPr>
        <w:t xml:space="preserve">Entry </w:t>
      </w:r>
      <w:r w:rsidRPr="005764EC">
        <w:rPr>
          <w:rFonts w:asciiTheme="majorHAnsi" w:hAnsiTheme="majorHAnsi" w:cstheme="majorHAnsi"/>
          <w:color w:val="000000" w:themeColor="text1"/>
          <w:sz w:val="22"/>
          <w:szCs w:val="22"/>
        </w:rPr>
        <w:t>2</w:t>
      </w:r>
    </w:p>
    <w:p w14:paraId="321D74D3" w14:textId="77777777" w:rsidR="005764EC" w:rsidRPr="005764EC" w:rsidRDefault="005764EC" w:rsidP="005764EC">
      <w:pPr>
        <w:spacing w:line="360" w:lineRule="auto"/>
        <w:jc w:val="both"/>
        <w:rPr>
          <w:rFonts w:asciiTheme="majorHAnsi" w:hAnsiTheme="majorHAnsi" w:cstheme="majorHAnsi"/>
          <w:color w:val="000000" w:themeColor="text1"/>
          <w:sz w:val="22"/>
          <w:szCs w:val="22"/>
        </w:rPr>
      </w:pPr>
    </w:p>
    <w:p w14:paraId="741FECB5" w14:textId="03425745" w:rsidR="005764EC" w:rsidRPr="005764EC" w:rsidRDefault="005764EC" w:rsidP="005764EC">
      <w:pPr>
        <w:spacing w:line="360" w:lineRule="auto"/>
        <w:jc w:val="both"/>
        <w:rPr>
          <w:rFonts w:asciiTheme="majorHAnsi" w:hAnsiTheme="majorHAnsi" w:cstheme="majorHAnsi"/>
          <w:color w:val="000000" w:themeColor="text1"/>
          <w:sz w:val="22"/>
          <w:szCs w:val="22"/>
          <w:u w:val="single"/>
        </w:rPr>
      </w:pPr>
      <w:r w:rsidRPr="005764EC">
        <w:rPr>
          <w:rFonts w:asciiTheme="majorHAnsi" w:hAnsiTheme="majorHAnsi" w:cstheme="majorHAnsi"/>
          <w:color w:val="000000" w:themeColor="text1"/>
          <w:sz w:val="22"/>
          <w:szCs w:val="22"/>
          <w:u w:val="single"/>
        </w:rPr>
        <w:t>The Mental health of Older People during the COVID-19 pandemic</w:t>
      </w:r>
    </w:p>
    <w:p w14:paraId="231AB43B" w14:textId="5280FDD2" w:rsidR="005764EC" w:rsidRPr="005764EC" w:rsidRDefault="005764EC" w:rsidP="005764EC">
      <w:pPr>
        <w:spacing w:line="360" w:lineRule="auto"/>
        <w:jc w:val="both"/>
        <w:rPr>
          <w:rFonts w:asciiTheme="majorHAnsi" w:hAnsiTheme="majorHAnsi" w:cstheme="majorHAnsi"/>
          <w:color w:val="000000" w:themeColor="text1"/>
          <w:sz w:val="22"/>
          <w:szCs w:val="22"/>
          <w:u w:val="single"/>
        </w:rPr>
      </w:pPr>
    </w:p>
    <w:p w14:paraId="47584803" w14:textId="77777777" w:rsidR="005764EC" w:rsidRPr="005764EC" w:rsidRDefault="005764EC" w:rsidP="005764EC">
      <w:pPr>
        <w:autoSpaceDE w:val="0"/>
        <w:autoSpaceDN w:val="0"/>
        <w:adjustRightInd w:val="0"/>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 xml:space="preserve">The COVID-19 pandemic has had a lasting effect on older persons in the UK, and in terms of morbidity and mortality, COVID-19 disproportionately affects frail, older people, resulting in severe respiratory illness and delirium. The UK Government (2020) advised all people over 70 to start shielding and advised them to stay home to reduce face to face interaction with other people as much as possible. Older people were advised to stay indoors, have groceries delivered, and avoid contact with friends and family to minimise the spread of COVID-19 within a high-risk group. This social isolation of older people has profoundly affected mental health and can affect health later in life. A report by Laura </w:t>
      </w:r>
      <w:proofErr w:type="spellStart"/>
      <w:r w:rsidRPr="005764EC">
        <w:rPr>
          <w:rFonts w:asciiTheme="majorHAnsi" w:hAnsiTheme="majorHAnsi" w:cstheme="majorHAnsi"/>
          <w:color w:val="000000" w:themeColor="text1"/>
          <w:sz w:val="22"/>
          <w:szCs w:val="22"/>
        </w:rPr>
        <w:t>Nellums</w:t>
      </w:r>
      <w:proofErr w:type="spellEnd"/>
      <w:r w:rsidRPr="005764EC">
        <w:rPr>
          <w:rFonts w:asciiTheme="majorHAnsi" w:hAnsiTheme="majorHAnsi" w:cstheme="majorHAnsi"/>
          <w:color w:val="000000" w:themeColor="text1"/>
          <w:sz w:val="22"/>
          <w:szCs w:val="22"/>
        </w:rPr>
        <w:t xml:space="preserve"> (2020) suggests that socially isolated older people are more likely to develop depression, psychological distress, and cognitive decline. Whilst shielding older people as part of an essential part of the public health response to COVID-19, there are worrying concerns about the physical impact and long-term mental health problems. Older persons whose only social contact out of the home, such as day centres, community centres, and places of worship, are disproportionally affected and are placed at additional risk as those who are already lonely, isolated, and secluded. </w:t>
      </w:r>
    </w:p>
    <w:p w14:paraId="20CF88A3" w14:textId="77777777" w:rsidR="005764EC" w:rsidRPr="005764EC" w:rsidRDefault="005764EC" w:rsidP="005764EC">
      <w:pPr>
        <w:autoSpaceDE w:val="0"/>
        <w:autoSpaceDN w:val="0"/>
        <w:adjustRightInd w:val="0"/>
        <w:spacing w:line="360" w:lineRule="auto"/>
        <w:rPr>
          <w:rFonts w:asciiTheme="majorHAnsi" w:hAnsiTheme="majorHAnsi" w:cstheme="majorHAnsi"/>
          <w:color w:val="000000" w:themeColor="text1"/>
          <w:sz w:val="22"/>
          <w:szCs w:val="22"/>
        </w:rPr>
      </w:pPr>
    </w:p>
    <w:p w14:paraId="54B99E1E" w14:textId="3C6C22C5" w:rsidR="005764EC" w:rsidRPr="005764EC" w:rsidRDefault="005764EC" w:rsidP="005764EC">
      <w:pPr>
        <w:autoSpaceDE w:val="0"/>
        <w:autoSpaceDN w:val="0"/>
        <w:adjustRightInd w:val="0"/>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A study by Age UK (2021) has stated that a third of people aged 60 and older have been feeling more anxious and less motivated to do things since the pandemic. Staggering stats show that in the last seven days, 37% of people over the age of 70 have not left their home or have only for work, exercise, basic needs or health reasons. Alzheimer's Society (2022) suggest that Dementia is also a mental illness that has been undoubtedly affected during the COVID-19 pandemic. Dementia has accelerated considerably in lockdown for most older people with the illness; the lack of support from carers, family or friends to ensure a routine is kept for sufferers has declined due to lack of face-to-face care. The lack of mental stimulation and socialising has had a detrimental effect leaving loved ones feeling more confused, forgetful and repeating the same conversations. The Alzheimer’s Society has reported that the most significant spike in deaths was people with Dementia during the COVID-19 pandemic; although not attributed to coronavirus, the isolation that older people are feeling has tragically sped up the mortality of those who have Dementia.</w:t>
      </w:r>
    </w:p>
    <w:p w14:paraId="1B7EB450" w14:textId="66D8253F" w:rsidR="005764EC" w:rsidRPr="005764EC" w:rsidRDefault="005764EC" w:rsidP="005764EC">
      <w:pPr>
        <w:autoSpaceDE w:val="0"/>
        <w:autoSpaceDN w:val="0"/>
        <w:adjustRightInd w:val="0"/>
        <w:spacing w:line="360" w:lineRule="auto"/>
        <w:rPr>
          <w:rFonts w:asciiTheme="majorHAnsi" w:hAnsiTheme="majorHAnsi" w:cstheme="majorHAnsi"/>
          <w:color w:val="000000" w:themeColor="text1"/>
          <w:sz w:val="22"/>
          <w:szCs w:val="22"/>
        </w:rPr>
      </w:pPr>
    </w:p>
    <w:p w14:paraId="687DF5A9" w14:textId="77777777" w:rsidR="005764EC" w:rsidRPr="005764EC" w:rsidRDefault="005764EC" w:rsidP="005764EC">
      <w:pPr>
        <w:autoSpaceDE w:val="0"/>
        <w:autoSpaceDN w:val="0"/>
        <w:adjustRightInd w:val="0"/>
        <w:spacing w:line="360" w:lineRule="auto"/>
        <w:rPr>
          <w:rFonts w:asciiTheme="majorHAnsi" w:hAnsiTheme="majorHAnsi" w:cstheme="majorHAnsi"/>
          <w:color w:val="000000" w:themeColor="text1"/>
          <w:sz w:val="22"/>
          <w:szCs w:val="22"/>
        </w:rPr>
      </w:pPr>
    </w:p>
    <w:p w14:paraId="79064755" w14:textId="77777777" w:rsidR="005764EC" w:rsidRPr="005764EC" w:rsidRDefault="005764EC" w:rsidP="005764EC">
      <w:pPr>
        <w:autoSpaceDE w:val="0"/>
        <w:autoSpaceDN w:val="0"/>
        <w:adjustRightInd w:val="0"/>
        <w:spacing w:line="360" w:lineRule="auto"/>
        <w:rPr>
          <w:rFonts w:asciiTheme="majorHAnsi" w:hAnsiTheme="majorHAnsi" w:cstheme="majorHAnsi"/>
          <w:color w:val="000000" w:themeColor="text1"/>
          <w:sz w:val="22"/>
          <w:szCs w:val="22"/>
        </w:rPr>
      </w:pPr>
    </w:p>
    <w:p w14:paraId="6694022A" w14:textId="77777777" w:rsidR="005764EC" w:rsidRPr="005764EC" w:rsidRDefault="005764EC" w:rsidP="005764EC">
      <w:pPr>
        <w:autoSpaceDE w:val="0"/>
        <w:autoSpaceDN w:val="0"/>
        <w:adjustRightInd w:val="0"/>
        <w:spacing w:line="360" w:lineRule="auto"/>
        <w:rPr>
          <w:rFonts w:asciiTheme="majorHAnsi" w:hAnsiTheme="majorHAnsi" w:cstheme="majorHAnsi"/>
          <w:color w:val="000000" w:themeColor="text1"/>
          <w:sz w:val="22"/>
          <w:szCs w:val="22"/>
        </w:rPr>
      </w:pPr>
    </w:p>
    <w:p w14:paraId="19B09700" w14:textId="77777777" w:rsidR="005764EC" w:rsidRPr="005764EC" w:rsidRDefault="005764EC" w:rsidP="005764EC">
      <w:pPr>
        <w:autoSpaceDE w:val="0"/>
        <w:autoSpaceDN w:val="0"/>
        <w:adjustRightInd w:val="0"/>
        <w:spacing w:line="360" w:lineRule="auto"/>
        <w:rPr>
          <w:rFonts w:asciiTheme="majorHAnsi" w:hAnsiTheme="majorHAnsi" w:cstheme="majorHAnsi"/>
          <w:color w:val="000000" w:themeColor="text1"/>
          <w:sz w:val="22"/>
          <w:szCs w:val="22"/>
        </w:rPr>
      </w:pPr>
    </w:p>
    <w:p w14:paraId="0D19C6F8" w14:textId="127FE9DD" w:rsidR="005764EC" w:rsidRPr="005764EC" w:rsidRDefault="005764EC" w:rsidP="005764EC">
      <w:pPr>
        <w:autoSpaceDE w:val="0"/>
        <w:autoSpaceDN w:val="0"/>
        <w:adjustRightInd w:val="0"/>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 xml:space="preserve">Blog </w:t>
      </w:r>
      <w:r>
        <w:rPr>
          <w:rFonts w:asciiTheme="majorHAnsi" w:hAnsiTheme="majorHAnsi" w:cstheme="majorHAnsi"/>
          <w:color w:val="000000" w:themeColor="text1"/>
          <w:sz w:val="22"/>
          <w:szCs w:val="22"/>
        </w:rPr>
        <w:t xml:space="preserve">Entry </w:t>
      </w:r>
      <w:r w:rsidRPr="005764EC">
        <w:rPr>
          <w:rFonts w:asciiTheme="majorHAnsi" w:hAnsiTheme="majorHAnsi" w:cstheme="majorHAnsi"/>
          <w:color w:val="000000" w:themeColor="text1"/>
          <w:sz w:val="22"/>
          <w:szCs w:val="22"/>
        </w:rPr>
        <w:t>3</w:t>
      </w:r>
    </w:p>
    <w:p w14:paraId="7EF918CF" w14:textId="3539C39F" w:rsidR="005764EC" w:rsidRPr="005764EC" w:rsidRDefault="005764EC" w:rsidP="005764EC">
      <w:pPr>
        <w:autoSpaceDE w:val="0"/>
        <w:autoSpaceDN w:val="0"/>
        <w:adjustRightInd w:val="0"/>
        <w:spacing w:line="360" w:lineRule="auto"/>
        <w:rPr>
          <w:rFonts w:asciiTheme="majorHAnsi" w:hAnsiTheme="majorHAnsi" w:cstheme="majorHAnsi"/>
          <w:color w:val="000000" w:themeColor="text1"/>
          <w:sz w:val="22"/>
          <w:szCs w:val="22"/>
        </w:rPr>
      </w:pPr>
    </w:p>
    <w:p w14:paraId="04127F82" w14:textId="2037AA07" w:rsidR="005764EC" w:rsidRPr="005764EC" w:rsidRDefault="005764EC" w:rsidP="005764EC">
      <w:pPr>
        <w:autoSpaceDE w:val="0"/>
        <w:autoSpaceDN w:val="0"/>
        <w:adjustRightInd w:val="0"/>
        <w:spacing w:line="360" w:lineRule="auto"/>
        <w:rPr>
          <w:rFonts w:asciiTheme="majorHAnsi" w:hAnsiTheme="majorHAnsi" w:cstheme="majorHAnsi"/>
          <w:color w:val="000000" w:themeColor="text1"/>
          <w:sz w:val="22"/>
          <w:szCs w:val="22"/>
          <w:u w:val="single"/>
        </w:rPr>
      </w:pPr>
      <w:r w:rsidRPr="005764EC">
        <w:rPr>
          <w:rFonts w:asciiTheme="majorHAnsi" w:hAnsiTheme="majorHAnsi" w:cstheme="majorHAnsi"/>
          <w:color w:val="000000" w:themeColor="text1"/>
          <w:sz w:val="22"/>
          <w:szCs w:val="22"/>
          <w:u w:val="single"/>
        </w:rPr>
        <w:t>How will COVID-19 impact mental ill health and those with pre-existing inequalities?</w:t>
      </w:r>
    </w:p>
    <w:p w14:paraId="12828060" w14:textId="33838E56" w:rsidR="005764EC" w:rsidRPr="005764EC" w:rsidRDefault="005764EC" w:rsidP="005764EC">
      <w:pPr>
        <w:autoSpaceDE w:val="0"/>
        <w:autoSpaceDN w:val="0"/>
        <w:adjustRightInd w:val="0"/>
        <w:spacing w:line="360" w:lineRule="auto"/>
        <w:rPr>
          <w:rFonts w:asciiTheme="majorHAnsi" w:hAnsiTheme="majorHAnsi" w:cstheme="majorHAnsi"/>
          <w:color w:val="000000" w:themeColor="text1"/>
          <w:sz w:val="22"/>
          <w:szCs w:val="22"/>
          <w:u w:val="single"/>
        </w:rPr>
      </w:pPr>
    </w:p>
    <w:p w14:paraId="54438DB3" w14:textId="4237D915"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According to the World Health Organisation (WHO), global anxiety and depression rates increased by 25% in the first year of the COVID-19 pandemic. Ninety percent of countries have already included mental health and psychosocial support in their COVID-19 response plans because of fears about mental health conditions increasing, but there are still major gaps. A major cause of the increase is the unprecedented stress resulting from the social isolation caused by the pandemic. Additionally, people were restricted in their ability to work, seek support from loved ones, and get involved in their communities. There have also been stressors linked to anxiety and depression as listed in the ICD-11, including loneliness, fear of infection, pain and suffering for oneself and for loved ones, and financial worries. Suicidal thoughts are common among health workers who are exhausted. A report by Marshall, Bibby &amp; Abbs stated evidence suggests that pre-existing inequalities in mental health are widening. According to University College London (UCL) (2022), which monitored the mental health symptoms of 90,000 UK adults throughout the lockdown, anxiety and depression levels decreased as lockdown measures began to lift in early June. Yet these rates remained highest among young people, people with lower household incomes, those with mental illness, those with children, and those in urban areas.</w:t>
      </w:r>
    </w:p>
    <w:p w14:paraId="3E9FF7C6"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19F1486A" w14:textId="77777777"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In a new report, Marmot (2020) asserted that families at the bottom of the social and economic scale were losing out before the pandemic, and are now suffering even more, losing health, jobs, lives and educational opportunities. According to Marmot, these social inequalities must be addressed no matter what the cost, and it is not enough to revert to how things were before the pandemic. Marmot painted a grim picture, which was supported by statistics showing the poorest families suffer the most. COVID-19 is most likely to affect men and women living in overcrowded conditions in the most deprived areas of the country. The highest death rates under the age of 64 are among caregivers and those in the leisure and service industries. There is a higher risk of death for people from black, Asian, and ethnic minority groups who work as taxi drivers, bus drivers, security guards, carers, and other low-paid jobs.</w:t>
      </w:r>
    </w:p>
    <w:p w14:paraId="5873CA0C"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6D1B0965" w14:textId="6E588277"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 xml:space="preserve">There are people whose mental health is at the greatest risk, including those with mental illness, those with long-term physical conditions, women and children experiencing violence and abuse, and </w:t>
      </w:r>
      <w:r w:rsidRPr="005764EC">
        <w:rPr>
          <w:rFonts w:asciiTheme="majorHAnsi" w:hAnsiTheme="majorHAnsi" w:cstheme="majorHAnsi"/>
          <w:color w:val="000000" w:themeColor="text1"/>
          <w:sz w:val="22"/>
          <w:szCs w:val="22"/>
        </w:rPr>
        <w:lastRenderedPageBreak/>
        <w:t xml:space="preserve">those from Black, Asian and other minority ethnic communities. As a result of the combination of existing structural inequalities and the unequal impact of the pandemic, those whose mental illness was most at risk before the Covid-19 outbreak are more likely to bear the brunt of the emergency in the long run. During this time, poverty, financial precariousness, racism, and discrimination have all been on the rise. </w:t>
      </w:r>
    </w:p>
    <w:p w14:paraId="5491F3B5" w14:textId="7E3F56EB" w:rsidR="005764EC" w:rsidRPr="005764EC" w:rsidRDefault="005764EC" w:rsidP="005764EC">
      <w:pPr>
        <w:spacing w:line="360" w:lineRule="auto"/>
        <w:rPr>
          <w:rFonts w:asciiTheme="majorHAnsi" w:hAnsiTheme="majorHAnsi" w:cstheme="majorHAnsi"/>
          <w:color w:val="000000" w:themeColor="text1"/>
          <w:sz w:val="22"/>
          <w:szCs w:val="22"/>
        </w:rPr>
      </w:pPr>
    </w:p>
    <w:p w14:paraId="5EF6725A" w14:textId="3D634F08"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 xml:space="preserve">Blog </w:t>
      </w:r>
      <w:r>
        <w:rPr>
          <w:rFonts w:asciiTheme="majorHAnsi" w:hAnsiTheme="majorHAnsi" w:cstheme="majorHAnsi"/>
          <w:color w:val="000000" w:themeColor="text1"/>
          <w:sz w:val="22"/>
          <w:szCs w:val="22"/>
        </w:rPr>
        <w:t xml:space="preserve">Entry </w:t>
      </w:r>
      <w:r w:rsidRPr="005764EC">
        <w:rPr>
          <w:rFonts w:asciiTheme="majorHAnsi" w:hAnsiTheme="majorHAnsi" w:cstheme="majorHAnsi"/>
          <w:color w:val="000000" w:themeColor="text1"/>
          <w:sz w:val="22"/>
          <w:szCs w:val="22"/>
        </w:rPr>
        <w:t xml:space="preserve">4 </w:t>
      </w:r>
    </w:p>
    <w:p w14:paraId="032FD7CE" w14:textId="5D76A0E0" w:rsidR="005764EC" w:rsidRPr="005764EC" w:rsidRDefault="005764EC" w:rsidP="005764EC">
      <w:pPr>
        <w:spacing w:line="360" w:lineRule="auto"/>
        <w:rPr>
          <w:rFonts w:asciiTheme="majorHAnsi" w:hAnsiTheme="majorHAnsi" w:cstheme="majorHAnsi"/>
          <w:color w:val="000000" w:themeColor="text1"/>
          <w:sz w:val="22"/>
          <w:szCs w:val="22"/>
        </w:rPr>
      </w:pPr>
    </w:p>
    <w:p w14:paraId="7A6DCDB8" w14:textId="77777777" w:rsidR="005764EC" w:rsidRPr="005764EC" w:rsidRDefault="005764EC" w:rsidP="005764EC">
      <w:pPr>
        <w:spacing w:line="360" w:lineRule="auto"/>
        <w:rPr>
          <w:rFonts w:asciiTheme="majorHAnsi" w:hAnsiTheme="majorHAnsi" w:cstheme="majorHAnsi"/>
          <w:color w:val="000000" w:themeColor="text1"/>
          <w:sz w:val="22"/>
          <w:szCs w:val="22"/>
          <w:u w:val="single"/>
        </w:rPr>
      </w:pPr>
      <w:r w:rsidRPr="005764EC">
        <w:rPr>
          <w:rFonts w:asciiTheme="majorHAnsi" w:hAnsiTheme="majorHAnsi" w:cstheme="majorHAnsi"/>
          <w:color w:val="000000" w:themeColor="text1"/>
          <w:sz w:val="22"/>
          <w:szCs w:val="22"/>
          <w:u w:val="single"/>
        </w:rPr>
        <w:t>How will COVID-19 impact mental health of social care workers?</w:t>
      </w:r>
    </w:p>
    <w:p w14:paraId="22B9D3B2" w14:textId="77777777" w:rsidR="005764EC" w:rsidRPr="005764EC" w:rsidRDefault="005764EC" w:rsidP="005764EC">
      <w:pPr>
        <w:spacing w:line="360" w:lineRule="auto"/>
        <w:rPr>
          <w:rFonts w:asciiTheme="majorHAnsi" w:hAnsiTheme="majorHAnsi" w:cstheme="majorHAnsi"/>
          <w:color w:val="000000" w:themeColor="text1"/>
          <w:sz w:val="22"/>
          <w:szCs w:val="22"/>
          <w:u w:val="single"/>
        </w:rPr>
      </w:pPr>
    </w:p>
    <w:p w14:paraId="4DFB22F0" w14:textId="77777777"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 xml:space="preserve">COVID-19 exposes frontline social care workers not just to physical but also psychological risks. Caring for children at home, having an infected family member, and having a lower household income were associated with adverse mental health outcomes. It has been shown that psychosocial and workplace measures can improve employees' working lives, and that these measures, in turn, can improve their mental well-being, despite not being explicitly mental health support services. Interventions to ease caregiver or childcare burden and reduce financial stressors, such as hazard pay, might ameliorate negative mental health outcomes. Self-care is also essential given the benefits of diet, exercise, and sleep. Better psychological outcomes were associated with clear communication, adequate personal protective equipment (PPE), adequate rest, and both practical and psychological support. It is important to remember that the concern about inadequate PPE during the covid-19 pandemic has focused on the risk of infection, but a study by Gold (2020) highlights that lack of PPE can negatively affect mental health as well. It is such institutional betrayal -- when trusted and powerful institutions act in ways that cause harm to those who rely on them for safety and wellbeing -- that compounds trauma. As a mitigation, care homes should listen to staff concerns and assist in obtaining PPE. </w:t>
      </w:r>
    </w:p>
    <w:p w14:paraId="367831C5"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3C1A3193" w14:textId="77777777"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Evidence of the impact on social care workers mental wellbeing is alarming. Four out of five social care staff in a survey by Hussein (2020) reported feeling 'tense, uneasy or worried' more often since COVID-19 began. Moreover, three out of five respondents reported feeling depressed, gloomy, or miserable more often than before the pandemic. According to a Queen's Nursing Institute (2020) survey, 56% of care home nurses reported feeling worse than normal in terms of both their physical and mental wellbeing.</w:t>
      </w:r>
    </w:p>
    <w:p w14:paraId="53ECBA87"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3BBCBCFD" w14:textId="77777777"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 xml:space="preserve">The government must do everything possible to protect social care workers in the short term. Vaccinations are given to social care workers first. Social care workers have now been subjected to </w:t>
      </w:r>
      <w:r w:rsidRPr="005764EC">
        <w:rPr>
          <w:rFonts w:asciiTheme="majorHAnsi" w:hAnsiTheme="majorHAnsi" w:cstheme="majorHAnsi"/>
          <w:color w:val="000000" w:themeColor="text1"/>
          <w:sz w:val="22"/>
          <w:szCs w:val="22"/>
        </w:rPr>
        <w:lastRenderedPageBreak/>
        <w:t>regular testing (as well as home care workers). In addition to extending the Infection Control Fund, however, the COVID-19 social care winter plan made no additional financial support for staff available. To retain experienced members of the existing workforce, the task force that advised on the development of this plan recommended a loyalty bonus. A longer-term analysis of the impact of COVID-19 on the social care workforce is needed. COVID-19 has also brought to light the deep-seated workforce issues in social care (of pay, retention, progression, working conditions, and society's recognition). Funding and reform of the fragmented and complex social care system are necessary to resolve these problems. By 2023/24, the sector will require around £11 billion in additional funding to stabilise services, improve pay and conditions for staff, and deliver much-needed funding reform (The Health Foundation, 2020).</w:t>
      </w:r>
    </w:p>
    <w:p w14:paraId="52AAF79F"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03EA7412"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547379D4"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6D15A90F"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25D9FF81" w14:textId="77777777" w:rsidR="005764EC" w:rsidRDefault="005764EC" w:rsidP="005764EC">
      <w:pPr>
        <w:spacing w:line="360" w:lineRule="auto"/>
        <w:rPr>
          <w:rFonts w:asciiTheme="majorHAnsi" w:hAnsiTheme="majorHAnsi" w:cstheme="majorHAnsi"/>
          <w:color w:val="000000" w:themeColor="text1"/>
          <w:sz w:val="22"/>
          <w:szCs w:val="22"/>
        </w:rPr>
      </w:pPr>
    </w:p>
    <w:p w14:paraId="22FCA766" w14:textId="77777777" w:rsidR="005764EC" w:rsidRDefault="005764EC" w:rsidP="005764EC">
      <w:pPr>
        <w:spacing w:line="360" w:lineRule="auto"/>
        <w:rPr>
          <w:rFonts w:asciiTheme="majorHAnsi" w:hAnsiTheme="majorHAnsi" w:cstheme="majorHAnsi"/>
          <w:color w:val="000000" w:themeColor="text1"/>
          <w:sz w:val="22"/>
          <w:szCs w:val="22"/>
        </w:rPr>
      </w:pPr>
    </w:p>
    <w:p w14:paraId="361E49E7" w14:textId="77777777" w:rsidR="005764EC" w:rsidRDefault="005764EC" w:rsidP="005764EC">
      <w:pPr>
        <w:spacing w:line="360" w:lineRule="auto"/>
        <w:rPr>
          <w:rFonts w:asciiTheme="majorHAnsi" w:hAnsiTheme="majorHAnsi" w:cstheme="majorHAnsi"/>
          <w:color w:val="000000" w:themeColor="text1"/>
          <w:sz w:val="22"/>
          <w:szCs w:val="22"/>
        </w:rPr>
      </w:pPr>
    </w:p>
    <w:p w14:paraId="5911A0E3" w14:textId="77777777" w:rsidR="005764EC" w:rsidRDefault="005764EC" w:rsidP="005764EC">
      <w:pPr>
        <w:spacing w:line="360" w:lineRule="auto"/>
        <w:rPr>
          <w:rFonts w:asciiTheme="majorHAnsi" w:hAnsiTheme="majorHAnsi" w:cstheme="majorHAnsi"/>
          <w:color w:val="000000" w:themeColor="text1"/>
          <w:sz w:val="22"/>
          <w:szCs w:val="22"/>
        </w:rPr>
      </w:pPr>
    </w:p>
    <w:p w14:paraId="43D5B351" w14:textId="77777777" w:rsidR="005764EC" w:rsidRDefault="005764EC" w:rsidP="005764EC">
      <w:pPr>
        <w:spacing w:line="360" w:lineRule="auto"/>
        <w:rPr>
          <w:rFonts w:asciiTheme="majorHAnsi" w:hAnsiTheme="majorHAnsi" w:cstheme="majorHAnsi"/>
          <w:color w:val="000000" w:themeColor="text1"/>
          <w:sz w:val="22"/>
          <w:szCs w:val="22"/>
        </w:rPr>
      </w:pPr>
    </w:p>
    <w:p w14:paraId="3C844391" w14:textId="77777777" w:rsidR="005764EC" w:rsidRDefault="005764EC" w:rsidP="005764EC">
      <w:pPr>
        <w:spacing w:line="360" w:lineRule="auto"/>
        <w:rPr>
          <w:rFonts w:asciiTheme="majorHAnsi" w:hAnsiTheme="majorHAnsi" w:cstheme="majorHAnsi"/>
          <w:color w:val="000000" w:themeColor="text1"/>
          <w:sz w:val="22"/>
          <w:szCs w:val="22"/>
        </w:rPr>
      </w:pPr>
    </w:p>
    <w:p w14:paraId="3EA77C3F" w14:textId="77777777" w:rsidR="005764EC" w:rsidRDefault="005764EC" w:rsidP="005764EC">
      <w:pPr>
        <w:spacing w:line="360" w:lineRule="auto"/>
        <w:rPr>
          <w:rFonts w:asciiTheme="majorHAnsi" w:hAnsiTheme="majorHAnsi" w:cstheme="majorHAnsi"/>
          <w:color w:val="000000" w:themeColor="text1"/>
          <w:sz w:val="22"/>
          <w:szCs w:val="22"/>
        </w:rPr>
      </w:pPr>
    </w:p>
    <w:p w14:paraId="1D442F81" w14:textId="77777777" w:rsidR="005764EC" w:rsidRDefault="005764EC" w:rsidP="005764EC">
      <w:pPr>
        <w:spacing w:line="360" w:lineRule="auto"/>
        <w:rPr>
          <w:rFonts w:asciiTheme="majorHAnsi" w:hAnsiTheme="majorHAnsi" w:cstheme="majorHAnsi"/>
          <w:color w:val="000000" w:themeColor="text1"/>
          <w:sz w:val="22"/>
          <w:szCs w:val="22"/>
        </w:rPr>
      </w:pPr>
    </w:p>
    <w:p w14:paraId="1A539CD4" w14:textId="77777777" w:rsidR="005764EC" w:rsidRDefault="005764EC" w:rsidP="005764EC">
      <w:pPr>
        <w:spacing w:line="360" w:lineRule="auto"/>
        <w:rPr>
          <w:rFonts w:asciiTheme="majorHAnsi" w:hAnsiTheme="majorHAnsi" w:cstheme="majorHAnsi"/>
          <w:color w:val="000000" w:themeColor="text1"/>
          <w:sz w:val="22"/>
          <w:szCs w:val="22"/>
        </w:rPr>
      </w:pPr>
    </w:p>
    <w:p w14:paraId="629A5163" w14:textId="77777777" w:rsidR="005764EC" w:rsidRDefault="005764EC" w:rsidP="005764EC">
      <w:pPr>
        <w:spacing w:line="360" w:lineRule="auto"/>
        <w:rPr>
          <w:rFonts w:asciiTheme="majorHAnsi" w:hAnsiTheme="majorHAnsi" w:cstheme="majorHAnsi"/>
          <w:color w:val="000000" w:themeColor="text1"/>
          <w:sz w:val="22"/>
          <w:szCs w:val="22"/>
        </w:rPr>
      </w:pPr>
    </w:p>
    <w:p w14:paraId="58A956D1" w14:textId="77777777" w:rsidR="005764EC" w:rsidRDefault="005764EC" w:rsidP="005764EC">
      <w:pPr>
        <w:spacing w:line="360" w:lineRule="auto"/>
        <w:rPr>
          <w:rFonts w:asciiTheme="majorHAnsi" w:hAnsiTheme="majorHAnsi" w:cstheme="majorHAnsi"/>
          <w:color w:val="000000" w:themeColor="text1"/>
          <w:sz w:val="22"/>
          <w:szCs w:val="22"/>
        </w:rPr>
      </w:pPr>
    </w:p>
    <w:p w14:paraId="558B848B" w14:textId="77777777" w:rsidR="005764EC" w:rsidRDefault="005764EC" w:rsidP="005764EC">
      <w:pPr>
        <w:spacing w:line="360" w:lineRule="auto"/>
        <w:rPr>
          <w:rFonts w:asciiTheme="majorHAnsi" w:hAnsiTheme="majorHAnsi" w:cstheme="majorHAnsi"/>
          <w:color w:val="000000" w:themeColor="text1"/>
          <w:sz w:val="22"/>
          <w:szCs w:val="22"/>
        </w:rPr>
      </w:pPr>
    </w:p>
    <w:p w14:paraId="2092679A" w14:textId="77777777" w:rsidR="005764EC" w:rsidRDefault="005764EC" w:rsidP="005764EC">
      <w:pPr>
        <w:spacing w:line="360" w:lineRule="auto"/>
        <w:rPr>
          <w:rFonts w:asciiTheme="majorHAnsi" w:hAnsiTheme="majorHAnsi" w:cstheme="majorHAnsi"/>
          <w:color w:val="000000" w:themeColor="text1"/>
          <w:sz w:val="22"/>
          <w:szCs w:val="22"/>
        </w:rPr>
      </w:pPr>
    </w:p>
    <w:p w14:paraId="4A8CD4EC" w14:textId="77777777" w:rsidR="005764EC" w:rsidRDefault="005764EC" w:rsidP="005764EC">
      <w:pPr>
        <w:spacing w:line="360" w:lineRule="auto"/>
        <w:rPr>
          <w:rFonts w:asciiTheme="majorHAnsi" w:hAnsiTheme="majorHAnsi" w:cstheme="majorHAnsi"/>
          <w:color w:val="000000" w:themeColor="text1"/>
          <w:sz w:val="22"/>
          <w:szCs w:val="22"/>
        </w:rPr>
      </w:pPr>
    </w:p>
    <w:p w14:paraId="4F54DA2E" w14:textId="77777777" w:rsidR="005764EC" w:rsidRDefault="005764EC" w:rsidP="005764EC">
      <w:pPr>
        <w:spacing w:line="360" w:lineRule="auto"/>
        <w:rPr>
          <w:rFonts w:asciiTheme="majorHAnsi" w:hAnsiTheme="majorHAnsi" w:cstheme="majorHAnsi"/>
          <w:color w:val="000000" w:themeColor="text1"/>
          <w:sz w:val="22"/>
          <w:szCs w:val="22"/>
        </w:rPr>
      </w:pPr>
    </w:p>
    <w:p w14:paraId="743B6115" w14:textId="77777777" w:rsidR="005764EC" w:rsidRDefault="005764EC" w:rsidP="005764EC">
      <w:pPr>
        <w:spacing w:line="360" w:lineRule="auto"/>
        <w:rPr>
          <w:rFonts w:asciiTheme="majorHAnsi" w:hAnsiTheme="majorHAnsi" w:cstheme="majorHAnsi"/>
          <w:color w:val="000000" w:themeColor="text1"/>
          <w:sz w:val="22"/>
          <w:szCs w:val="22"/>
        </w:rPr>
      </w:pPr>
    </w:p>
    <w:p w14:paraId="4ACD7944" w14:textId="77777777" w:rsidR="005764EC" w:rsidRDefault="005764EC" w:rsidP="005764EC">
      <w:pPr>
        <w:spacing w:line="360" w:lineRule="auto"/>
        <w:rPr>
          <w:rFonts w:asciiTheme="majorHAnsi" w:hAnsiTheme="majorHAnsi" w:cstheme="majorHAnsi"/>
          <w:color w:val="000000" w:themeColor="text1"/>
          <w:sz w:val="22"/>
          <w:szCs w:val="22"/>
        </w:rPr>
      </w:pPr>
    </w:p>
    <w:p w14:paraId="15B04620" w14:textId="77777777" w:rsidR="005764EC" w:rsidRDefault="005764EC" w:rsidP="005764EC">
      <w:pPr>
        <w:spacing w:line="360" w:lineRule="auto"/>
        <w:rPr>
          <w:rFonts w:asciiTheme="majorHAnsi" w:hAnsiTheme="majorHAnsi" w:cstheme="majorHAnsi"/>
          <w:color w:val="000000" w:themeColor="text1"/>
          <w:sz w:val="22"/>
          <w:szCs w:val="22"/>
        </w:rPr>
      </w:pPr>
    </w:p>
    <w:p w14:paraId="6DA5B843" w14:textId="77777777" w:rsidR="005764EC" w:rsidRDefault="005764EC" w:rsidP="005764EC">
      <w:pPr>
        <w:spacing w:line="360" w:lineRule="auto"/>
        <w:rPr>
          <w:rFonts w:asciiTheme="majorHAnsi" w:hAnsiTheme="majorHAnsi" w:cstheme="majorHAnsi"/>
          <w:color w:val="000000" w:themeColor="text1"/>
          <w:sz w:val="22"/>
          <w:szCs w:val="22"/>
        </w:rPr>
      </w:pPr>
    </w:p>
    <w:p w14:paraId="148A707D" w14:textId="77777777" w:rsidR="005764EC" w:rsidRDefault="005764EC" w:rsidP="005764EC">
      <w:pPr>
        <w:spacing w:line="360" w:lineRule="auto"/>
        <w:rPr>
          <w:rFonts w:asciiTheme="majorHAnsi" w:hAnsiTheme="majorHAnsi" w:cstheme="majorHAnsi"/>
          <w:color w:val="000000" w:themeColor="text1"/>
          <w:sz w:val="22"/>
          <w:szCs w:val="22"/>
        </w:rPr>
      </w:pPr>
    </w:p>
    <w:p w14:paraId="730385A1" w14:textId="099AD92E" w:rsidR="005764EC" w:rsidRPr="005764EC" w:rsidRDefault="005764EC" w:rsidP="005764EC">
      <w:pPr>
        <w:spacing w:line="360" w:lineRule="auto"/>
        <w:rPr>
          <w:rFonts w:asciiTheme="majorHAnsi" w:hAnsiTheme="majorHAnsi" w:cstheme="majorHAnsi"/>
          <w:color w:val="000000" w:themeColor="text1"/>
          <w:sz w:val="22"/>
          <w:szCs w:val="22"/>
          <w:u w:val="single"/>
        </w:rPr>
      </w:pPr>
      <w:r w:rsidRPr="005764EC">
        <w:rPr>
          <w:rFonts w:asciiTheme="majorHAnsi" w:hAnsiTheme="majorHAnsi" w:cstheme="majorHAnsi"/>
          <w:color w:val="000000" w:themeColor="text1"/>
          <w:sz w:val="22"/>
          <w:szCs w:val="22"/>
          <w:u w:val="single"/>
        </w:rPr>
        <w:lastRenderedPageBreak/>
        <w:t>References</w:t>
      </w:r>
    </w:p>
    <w:p w14:paraId="692A61F4"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19FCC035" w14:textId="77777777"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 xml:space="preserve">The Health Foundation (2020) </w:t>
      </w:r>
      <w:r w:rsidRPr="005764EC">
        <w:rPr>
          <w:rFonts w:asciiTheme="majorHAnsi" w:hAnsiTheme="majorHAnsi" w:cstheme="majorHAnsi"/>
          <w:i/>
          <w:iCs/>
          <w:color w:val="000000" w:themeColor="text1"/>
          <w:sz w:val="22"/>
          <w:szCs w:val="22"/>
        </w:rPr>
        <w:t>Priorities for the NHS, social care and the nation’s health.</w:t>
      </w:r>
      <w:r w:rsidRPr="005764EC">
        <w:rPr>
          <w:rFonts w:asciiTheme="majorHAnsi" w:hAnsiTheme="majorHAnsi" w:cstheme="majorHAnsi"/>
          <w:color w:val="000000" w:themeColor="text1"/>
          <w:sz w:val="22"/>
          <w:szCs w:val="22"/>
        </w:rPr>
        <w:t xml:space="preserve"> Available at: </w:t>
      </w:r>
      <w:hyperlink r:id="rId4" w:history="1">
        <w:r w:rsidRPr="005764EC">
          <w:rPr>
            <w:rStyle w:val="Hyperlink"/>
            <w:rFonts w:asciiTheme="majorHAnsi" w:hAnsiTheme="majorHAnsi" w:cstheme="majorHAnsi"/>
            <w:color w:val="000000" w:themeColor="text1"/>
            <w:sz w:val="22"/>
            <w:szCs w:val="22"/>
          </w:rPr>
          <w:t>https://www.health.org.uk/publications/long-reads/spending-review-2020</w:t>
        </w:r>
      </w:hyperlink>
      <w:r w:rsidRPr="005764EC">
        <w:rPr>
          <w:rFonts w:asciiTheme="majorHAnsi" w:hAnsiTheme="majorHAnsi" w:cstheme="majorHAnsi"/>
          <w:color w:val="000000" w:themeColor="text1"/>
          <w:sz w:val="22"/>
          <w:szCs w:val="22"/>
        </w:rPr>
        <w:t xml:space="preserve"> (accessed on 25/04/2022)</w:t>
      </w:r>
    </w:p>
    <w:p w14:paraId="106680AE"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47635B5E"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49B4FBEA" w14:textId="77777777"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 xml:space="preserve">The Queen’s Nursing Institute (2020) </w:t>
      </w:r>
      <w:r w:rsidRPr="005764EC">
        <w:rPr>
          <w:rFonts w:asciiTheme="majorHAnsi" w:hAnsiTheme="majorHAnsi" w:cstheme="majorHAnsi"/>
          <w:i/>
          <w:iCs/>
          <w:color w:val="000000" w:themeColor="text1"/>
          <w:sz w:val="22"/>
          <w:szCs w:val="22"/>
        </w:rPr>
        <w:t>The Experience of Care Home Staff During COVID-19.</w:t>
      </w:r>
      <w:r w:rsidRPr="005764EC">
        <w:rPr>
          <w:rFonts w:asciiTheme="majorHAnsi" w:hAnsiTheme="majorHAnsi" w:cstheme="majorHAnsi"/>
          <w:color w:val="000000" w:themeColor="text1"/>
          <w:sz w:val="22"/>
          <w:szCs w:val="22"/>
        </w:rPr>
        <w:t xml:space="preserve"> Available at: </w:t>
      </w:r>
      <w:hyperlink r:id="rId5" w:history="1">
        <w:r w:rsidRPr="005764EC">
          <w:rPr>
            <w:rStyle w:val="Hyperlink"/>
            <w:rFonts w:asciiTheme="majorHAnsi" w:hAnsiTheme="majorHAnsi" w:cstheme="majorHAnsi"/>
            <w:color w:val="000000" w:themeColor="text1"/>
            <w:sz w:val="22"/>
            <w:szCs w:val="22"/>
          </w:rPr>
          <w:t>https://www.qni.org.uk/wp-content/uploads/2020/08/The-Experience-of-Care-Home-Staff-During-Covid-19-2.pdf</w:t>
        </w:r>
      </w:hyperlink>
      <w:r w:rsidRPr="005764EC">
        <w:rPr>
          <w:rFonts w:asciiTheme="majorHAnsi" w:hAnsiTheme="majorHAnsi" w:cstheme="majorHAnsi"/>
          <w:color w:val="000000" w:themeColor="text1"/>
          <w:sz w:val="22"/>
          <w:szCs w:val="22"/>
        </w:rPr>
        <w:t xml:space="preserve"> (accessed on 25/04/2022)</w:t>
      </w:r>
    </w:p>
    <w:p w14:paraId="3F3126E2"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5BAD9500"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2D3A063B" w14:textId="77777777"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 xml:space="preserve">Hussein, S. (2020) </w:t>
      </w:r>
      <w:r w:rsidRPr="005764EC">
        <w:rPr>
          <w:rFonts w:asciiTheme="majorHAnsi" w:hAnsiTheme="majorHAnsi" w:cstheme="majorHAnsi"/>
          <w:i/>
          <w:iCs/>
          <w:color w:val="000000" w:themeColor="text1"/>
          <w:sz w:val="22"/>
          <w:szCs w:val="22"/>
        </w:rPr>
        <w:t>The Impact of COVID-19 on social care workers’ workload, wellbeing and ability to provide care safely: Findings from the UK.</w:t>
      </w:r>
      <w:r w:rsidRPr="005764EC">
        <w:rPr>
          <w:rFonts w:asciiTheme="majorHAnsi" w:hAnsiTheme="majorHAnsi" w:cstheme="majorHAnsi"/>
          <w:color w:val="000000" w:themeColor="text1"/>
          <w:sz w:val="22"/>
          <w:szCs w:val="22"/>
        </w:rPr>
        <w:t xml:space="preserve"> Available at: </w:t>
      </w:r>
      <w:hyperlink r:id="rId6" w:history="1">
        <w:r w:rsidRPr="005764EC">
          <w:rPr>
            <w:rStyle w:val="Hyperlink"/>
            <w:rFonts w:asciiTheme="majorHAnsi" w:hAnsiTheme="majorHAnsi" w:cstheme="majorHAnsi"/>
            <w:color w:val="000000" w:themeColor="text1"/>
            <w:sz w:val="22"/>
            <w:szCs w:val="22"/>
          </w:rPr>
          <w:t>https://www.pssru.ac.uk/blog/the-impact-of-covid-19-on-social-care-workers-workload/</w:t>
        </w:r>
      </w:hyperlink>
      <w:r w:rsidRPr="005764EC">
        <w:rPr>
          <w:rFonts w:asciiTheme="majorHAnsi" w:hAnsiTheme="majorHAnsi" w:cstheme="majorHAnsi"/>
          <w:color w:val="000000" w:themeColor="text1"/>
          <w:sz w:val="22"/>
          <w:szCs w:val="22"/>
        </w:rPr>
        <w:t xml:space="preserve"> (accessed on 25/04/2022)</w:t>
      </w:r>
    </w:p>
    <w:p w14:paraId="260DC81F"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79C31A0F"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4CCBB89F" w14:textId="0DE611B4"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Gold, J,</w:t>
      </w:r>
      <w:r>
        <w:rPr>
          <w:rFonts w:asciiTheme="majorHAnsi" w:hAnsiTheme="majorHAnsi" w:cstheme="majorHAnsi"/>
          <w:color w:val="000000" w:themeColor="text1"/>
          <w:sz w:val="22"/>
          <w:szCs w:val="22"/>
        </w:rPr>
        <w:t xml:space="preserve"> </w:t>
      </w:r>
      <w:r w:rsidRPr="005764EC">
        <w:rPr>
          <w:rFonts w:asciiTheme="majorHAnsi" w:hAnsiTheme="majorHAnsi" w:cstheme="majorHAnsi"/>
          <w:color w:val="000000" w:themeColor="text1"/>
          <w:sz w:val="22"/>
          <w:szCs w:val="22"/>
        </w:rPr>
        <w:t xml:space="preserve">A. (2020) </w:t>
      </w:r>
      <w:r w:rsidRPr="005764EC">
        <w:rPr>
          <w:rFonts w:asciiTheme="majorHAnsi" w:hAnsiTheme="majorHAnsi" w:cstheme="majorHAnsi"/>
          <w:i/>
          <w:iCs/>
          <w:color w:val="000000" w:themeColor="text1"/>
          <w:sz w:val="22"/>
          <w:szCs w:val="22"/>
        </w:rPr>
        <w:t>Covid-19: adverse mental health outcomes for healthcare workers</w:t>
      </w:r>
      <w:r w:rsidRPr="005764EC">
        <w:rPr>
          <w:rFonts w:asciiTheme="majorHAnsi" w:hAnsiTheme="majorHAnsi" w:cstheme="majorHAnsi"/>
          <w:color w:val="000000" w:themeColor="text1"/>
          <w:sz w:val="22"/>
          <w:szCs w:val="22"/>
        </w:rPr>
        <w:t xml:space="preserve">. Available at: </w:t>
      </w:r>
      <w:hyperlink r:id="rId7" w:history="1">
        <w:r w:rsidRPr="005764EC">
          <w:rPr>
            <w:rStyle w:val="Hyperlink"/>
            <w:rFonts w:asciiTheme="majorHAnsi" w:hAnsiTheme="majorHAnsi" w:cstheme="majorHAnsi"/>
            <w:color w:val="000000" w:themeColor="text1"/>
            <w:sz w:val="22"/>
            <w:szCs w:val="22"/>
          </w:rPr>
          <w:t>https://www.bmj.com/content/369/bmj.m1815?gclid=EAIaIQobChMI-OLa4N-z9wIVQu7tCh2RQgcXEAMYASAAEgKfv_D_BwE</w:t>
        </w:r>
      </w:hyperlink>
      <w:r w:rsidRPr="005764EC">
        <w:rPr>
          <w:rFonts w:asciiTheme="majorHAnsi" w:hAnsiTheme="majorHAnsi" w:cstheme="majorHAnsi"/>
          <w:color w:val="000000" w:themeColor="text1"/>
          <w:sz w:val="22"/>
          <w:szCs w:val="22"/>
        </w:rPr>
        <w:t xml:space="preserve"> (accessed on 25/04/2022)</w:t>
      </w:r>
    </w:p>
    <w:p w14:paraId="41445C21"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768F4250"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70EFFF94" w14:textId="77777777"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 xml:space="preserve">World Health Organisation (2022) </w:t>
      </w:r>
      <w:r w:rsidRPr="005764EC">
        <w:rPr>
          <w:rFonts w:asciiTheme="majorHAnsi" w:hAnsiTheme="majorHAnsi" w:cstheme="majorHAnsi"/>
          <w:i/>
          <w:iCs/>
          <w:color w:val="000000" w:themeColor="text1"/>
          <w:sz w:val="22"/>
          <w:szCs w:val="22"/>
        </w:rPr>
        <w:t xml:space="preserve">Covid 19 pandemic triggers 25% increase in prevalence of anxiety and depression worldwide. </w:t>
      </w:r>
      <w:r w:rsidRPr="005764EC">
        <w:rPr>
          <w:rFonts w:asciiTheme="majorHAnsi" w:hAnsiTheme="majorHAnsi" w:cstheme="majorHAnsi"/>
          <w:color w:val="000000" w:themeColor="text1"/>
          <w:sz w:val="22"/>
          <w:szCs w:val="22"/>
        </w:rPr>
        <w:t xml:space="preserve">Available at: </w:t>
      </w:r>
      <w:hyperlink r:id="rId8" w:history="1">
        <w:r w:rsidRPr="005764EC">
          <w:rPr>
            <w:rStyle w:val="Hyperlink"/>
            <w:rFonts w:asciiTheme="majorHAnsi" w:hAnsiTheme="majorHAnsi" w:cstheme="majorHAnsi"/>
            <w:color w:val="000000" w:themeColor="text1"/>
            <w:sz w:val="22"/>
            <w:szCs w:val="22"/>
          </w:rPr>
          <w:t>https://www.who.int/news/item/02-03-2022-covid-19-pandemic-triggers-25-increase-in-prevalence-of-anxiety-and-depression-worldwide</w:t>
        </w:r>
      </w:hyperlink>
      <w:r w:rsidRPr="005764EC">
        <w:rPr>
          <w:rFonts w:asciiTheme="majorHAnsi" w:hAnsiTheme="majorHAnsi" w:cstheme="majorHAnsi"/>
          <w:color w:val="000000" w:themeColor="text1"/>
          <w:sz w:val="22"/>
          <w:szCs w:val="22"/>
        </w:rPr>
        <w:t xml:space="preserve"> (accessed on 25/04/2022)</w:t>
      </w:r>
    </w:p>
    <w:p w14:paraId="422CCF2B"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4C148EF2" w14:textId="77777777"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International Classification of Diseases (2022</w:t>
      </w:r>
      <w:r w:rsidRPr="005764EC">
        <w:rPr>
          <w:rFonts w:asciiTheme="majorHAnsi" w:hAnsiTheme="majorHAnsi" w:cstheme="majorHAnsi"/>
          <w:i/>
          <w:iCs/>
          <w:color w:val="000000" w:themeColor="text1"/>
          <w:sz w:val="22"/>
          <w:szCs w:val="22"/>
        </w:rPr>
        <w:t>) ICD-11 for Mortality and Morbidity Statistics</w:t>
      </w:r>
      <w:r w:rsidRPr="005764EC">
        <w:rPr>
          <w:rFonts w:asciiTheme="majorHAnsi" w:hAnsiTheme="majorHAnsi" w:cstheme="majorHAnsi"/>
          <w:color w:val="000000" w:themeColor="text1"/>
          <w:sz w:val="22"/>
          <w:szCs w:val="22"/>
        </w:rPr>
        <w:t xml:space="preserve">. Available at: </w:t>
      </w:r>
      <w:hyperlink r:id="rId9" w:history="1">
        <w:r w:rsidRPr="005764EC">
          <w:rPr>
            <w:rStyle w:val="Hyperlink"/>
            <w:rFonts w:asciiTheme="majorHAnsi" w:hAnsiTheme="majorHAnsi" w:cstheme="majorHAnsi"/>
            <w:color w:val="000000" w:themeColor="text1"/>
            <w:sz w:val="22"/>
            <w:szCs w:val="22"/>
          </w:rPr>
          <w:t>https://icd.who.int/browse11/l-m/en</w:t>
        </w:r>
      </w:hyperlink>
      <w:r w:rsidRPr="005764EC">
        <w:rPr>
          <w:rFonts w:asciiTheme="majorHAnsi" w:hAnsiTheme="majorHAnsi" w:cstheme="majorHAnsi"/>
          <w:color w:val="000000" w:themeColor="text1"/>
          <w:sz w:val="22"/>
          <w:szCs w:val="22"/>
        </w:rPr>
        <w:t xml:space="preserve"> (accessed on 25/04/2022)</w:t>
      </w:r>
    </w:p>
    <w:p w14:paraId="4BBCAA16"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1FD5F578" w14:textId="77777777"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 xml:space="preserve">Marshall, L. Bibby, J. Abbs, I. (2020) </w:t>
      </w:r>
      <w:r w:rsidRPr="005764EC">
        <w:rPr>
          <w:rFonts w:asciiTheme="majorHAnsi" w:hAnsiTheme="majorHAnsi" w:cstheme="majorHAnsi"/>
          <w:i/>
          <w:iCs/>
          <w:color w:val="000000" w:themeColor="text1"/>
          <w:sz w:val="22"/>
          <w:szCs w:val="22"/>
        </w:rPr>
        <w:t>Emerging evidence on COVID-19s impact on mental health and health inequalities.</w:t>
      </w:r>
      <w:r w:rsidRPr="005764EC">
        <w:rPr>
          <w:rFonts w:asciiTheme="majorHAnsi" w:hAnsiTheme="majorHAnsi" w:cstheme="majorHAnsi"/>
          <w:color w:val="000000" w:themeColor="text1"/>
          <w:sz w:val="22"/>
          <w:szCs w:val="22"/>
        </w:rPr>
        <w:t xml:space="preserve"> Available at: </w:t>
      </w:r>
      <w:hyperlink r:id="rId10" w:history="1">
        <w:r w:rsidRPr="005764EC">
          <w:rPr>
            <w:rStyle w:val="Hyperlink"/>
            <w:rFonts w:asciiTheme="majorHAnsi" w:hAnsiTheme="majorHAnsi" w:cstheme="majorHAnsi"/>
            <w:color w:val="000000" w:themeColor="text1"/>
            <w:sz w:val="22"/>
            <w:szCs w:val="22"/>
          </w:rPr>
          <w:t>https://www.health.org.uk/news-and-comment/blogs/emerging-evidence-on-covid-19s-impact-on-mental-health-and-health</w:t>
        </w:r>
      </w:hyperlink>
      <w:r w:rsidRPr="005764EC">
        <w:rPr>
          <w:rFonts w:asciiTheme="majorHAnsi" w:hAnsiTheme="majorHAnsi" w:cstheme="majorHAnsi"/>
          <w:color w:val="000000" w:themeColor="text1"/>
          <w:sz w:val="22"/>
          <w:szCs w:val="22"/>
        </w:rPr>
        <w:t xml:space="preserve"> (accessed on 25/04/2022)</w:t>
      </w:r>
    </w:p>
    <w:p w14:paraId="6E36D083"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47EA1C36" w14:textId="77777777"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lastRenderedPageBreak/>
        <w:t xml:space="preserve">University College London (2022) </w:t>
      </w:r>
      <w:r w:rsidRPr="005764EC">
        <w:rPr>
          <w:rFonts w:asciiTheme="majorHAnsi" w:hAnsiTheme="majorHAnsi" w:cstheme="majorHAnsi"/>
          <w:i/>
          <w:iCs/>
          <w:color w:val="000000" w:themeColor="text1"/>
          <w:sz w:val="22"/>
          <w:szCs w:val="22"/>
        </w:rPr>
        <w:t>Understanding the psychological and social impact of the pandemic.</w:t>
      </w:r>
      <w:r w:rsidRPr="005764EC">
        <w:rPr>
          <w:rFonts w:asciiTheme="majorHAnsi" w:hAnsiTheme="majorHAnsi" w:cstheme="majorHAnsi"/>
          <w:color w:val="000000" w:themeColor="text1"/>
          <w:sz w:val="22"/>
          <w:szCs w:val="22"/>
        </w:rPr>
        <w:t xml:space="preserve"> Available at: </w:t>
      </w:r>
      <w:hyperlink r:id="rId11" w:history="1">
        <w:r w:rsidRPr="005764EC">
          <w:rPr>
            <w:rStyle w:val="Hyperlink"/>
            <w:rFonts w:asciiTheme="majorHAnsi" w:hAnsiTheme="majorHAnsi" w:cstheme="majorHAnsi"/>
            <w:color w:val="000000" w:themeColor="text1"/>
            <w:sz w:val="22"/>
            <w:szCs w:val="22"/>
          </w:rPr>
          <w:t>https://www.covidsocialstudy.org</w:t>
        </w:r>
      </w:hyperlink>
      <w:r w:rsidRPr="005764EC">
        <w:rPr>
          <w:rFonts w:asciiTheme="majorHAnsi" w:hAnsiTheme="majorHAnsi" w:cstheme="majorHAnsi"/>
          <w:color w:val="000000" w:themeColor="text1"/>
          <w:sz w:val="22"/>
          <w:szCs w:val="22"/>
        </w:rPr>
        <w:t xml:space="preserve"> (accessed on 25/04/2022)</w:t>
      </w:r>
    </w:p>
    <w:p w14:paraId="7B492FBC"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41B9439F" w14:textId="77777777"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 xml:space="preserve">Marmot, M. Allen, J. Goldblatt, P. Herd, E. Morrison, J. (2020) </w:t>
      </w:r>
      <w:r w:rsidRPr="005764EC">
        <w:rPr>
          <w:rFonts w:asciiTheme="majorHAnsi" w:hAnsiTheme="majorHAnsi" w:cstheme="majorHAnsi"/>
          <w:i/>
          <w:iCs/>
          <w:color w:val="000000" w:themeColor="text1"/>
          <w:sz w:val="22"/>
          <w:szCs w:val="22"/>
        </w:rPr>
        <w:t xml:space="preserve">Build Back Fairer: The COVID-19 Marmot Review. </w:t>
      </w:r>
      <w:r w:rsidRPr="005764EC">
        <w:rPr>
          <w:rFonts w:asciiTheme="majorHAnsi" w:hAnsiTheme="majorHAnsi" w:cstheme="majorHAnsi"/>
          <w:color w:val="000000" w:themeColor="text1"/>
          <w:sz w:val="22"/>
          <w:szCs w:val="22"/>
        </w:rPr>
        <w:t xml:space="preserve">Available at: </w:t>
      </w:r>
      <w:hyperlink r:id="rId12" w:history="1">
        <w:r w:rsidRPr="005764EC">
          <w:rPr>
            <w:rStyle w:val="Hyperlink"/>
            <w:rFonts w:asciiTheme="majorHAnsi" w:hAnsiTheme="majorHAnsi" w:cstheme="majorHAnsi"/>
            <w:color w:val="000000" w:themeColor="text1"/>
            <w:sz w:val="22"/>
            <w:szCs w:val="22"/>
          </w:rPr>
          <w:t>https://www.instituteofhealthequity.org/resources-reports/build-back-fairer-the-covid-19-marmot-review</w:t>
        </w:r>
      </w:hyperlink>
      <w:r w:rsidRPr="005764EC">
        <w:rPr>
          <w:rFonts w:asciiTheme="majorHAnsi" w:hAnsiTheme="majorHAnsi" w:cstheme="majorHAnsi"/>
          <w:color w:val="000000" w:themeColor="text1"/>
          <w:sz w:val="22"/>
          <w:szCs w:val="22"/>
        </w:rPr>
        <w:t xml:space="preserve"> (accessed on 25/04/2022)</w:t>
      </w:r>
    </w:p>
    <w:p w14:paraId="7B63FC35"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45CF681A" w14:textId="77777777"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 xml:space="preserve">Centre for Mental Health (2022) </w:t>
      </w:r>
      <w:r w:rsidRPr="005764EC">
        <w:rPr>
          <w:rFonts w:asciiTheme="majorHAnsi" w:hAnsiTheme="majorHAnsi" w:cstheme="majorHAnsi"/>
          <w:i/>
          <w:iCs/>
          <w:color w:val="000000" w:themeColor="text1"/>
          <w:sz w:val="22"/>
          <w:szCs w:val="22"/>
        </w:rPr>
        <w:t>COVID-19 could widen mental health inequalities for a generation, says Centre for Mental Health Report.</w:t>
      </w:r>
      <w:r w:rsidRPr="005764EC">
        <w:rPr>
          <w:rFonts w:asciiTheme="majorHAnsi" w:hAnsiTheme="majorHAnsi" w:cstheme="majorHAnsi"/>
          <w:color w:val="000000" w:themeColor="text1"/>
          <w:sz w:val="22"/>
          <w:szCs w:val="22"/>
        </w:rPr>
        <w:t xml:space="preserve"> Available at: </w:t>
      </w:r>
      <w:hyperlink r:id="rId13" w:history="1">
        <w:r w:rsidRPr="005764EC">
          <w:rPr>
            <w:rStyle w:val="Hyperlink"/>
            <w:rFonts w:asciiTheme="majorHAnsi" w:hAnsiTheme="majorHAnsi" w:cstheme="majorHAnsi"/>
            <w:color w:val="000000" w:themeColor="text1"/>
            <w:sz w:val="22"/>
            <w:szCs w:val="22"/>
          </w:rPr>
          <w:t>https://www.centreformentalhealth.org.uk/news/covid-19-could-widen-mental-health-inequalities-generation-says-centre-mental-health-report</w:t>
        </w:r>
      </w:hyperlink>
      <w:r w:rsidRPr="005764EC">
        <w:rPr>
          <w:rFonts w:asciiTheme="majorHAnsi" w:hAnsiTheme="majorHAnsi" w:cstheme="majorHAnsi"/>
          <w:color w:val="000000" w:themeColor="text1"/>
          <w:sz w:val="22"/>
          <w:szCs w:val="22"/>
        </w:rPr>
        <w:t xml:space="preserve"> (accessed on 25/04/2022)</w:t>
      </w:r>
    </w:p>
    <w:p w14:paraId="40D9882F"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58F83A34" w14:textId="478FB8E1" w:rsidR="005764EC" w:rsidRPr="005764EC" w:rsidRDefault="005764EC" w:rsidP="005764EC">
      <w:pPr>
        <w:autoSpaceDE w:val="0"/>
        <w:autoSpaceDN w:val="0"/>
        <w:adjustRightInd w:val="0"/>
        <w:spacing w:line="360" w:lineRule="auto"/>
        <w:rPr>
          <w:rFonts w:asciiTheme="majorHAnsi" w:hAnsiTheme="majorHAnsi" w:cstheme="majorHAnsi"/>
          <w:color w:val="000000" w:themeColor="text1"/>
          <w:sz w:val="22"/>
          <w:szCs w:val="22"/>
          <w:u w:val="single"/>
        </w:rPr>
      </w:pPr>
    </w:p>
    <w:p w14:paraId="6FF3DAFC" w14:textId="71F27438" w:rsidR="005764EC" w:rsidRPr="005764EC" w:rsidRDefault="005764EC" w:rsidP="005764EC">
      <w:pPr>
        <w:autoSpaceDE w:val="0"/>
        <w:autoSpaceDN w:val="0"/>
        <w:adjustRightInd w:val="0"/>
        <w:spacing w:line="360" w:lineRule="auto"/>
        <w:rPr>
          <w:rFonts w:asciiTheme="majorHAnsi" w:hAnsiTheme="majorHAnsi" w:cstheme="majorHAnsi"/>
          <w:color w:val="000000" w:themeColor="text1"/>
          <w:sz w:val="22"/>
          <w:szCs w:val="22"/>
        </w:rPr>
      </w:pPr>
    </w:p>
    <w:p w14:paraId="0AFA2F0F" w14:textId="77777777"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 xml:space="preserve">Age UK (2022) </w:t>
      </w:r>
      <w:r w:rsidRPr="005764EC">
        <w:rPr>
          <w:rFonts w:asciiTheme="majorHAnsi" w:hAnsiTheme="majorHAnsi" w:cstheme="majorHAnsi"/>
          <w:i/>
          <w:iCs/>
          <w:color w:val="000000" w:themeColor="text1"/>
          <w:sz w:val="22"/>
          <w:szCs w:val="22"/>
        </w:rPr>
        <w:t>Coronavirus: Psychological impact on older people</w:t>
      </w:r>
      <w:r w:rsidRPr="005764EC">
        <w:rPr>
          <w:rFonts w:asciiTheme="majorHAnsi" w:hAnsiTheme="majorHAnsi" w:cstheme="majorHAnsi"/>
          <w:color w:val="000000" w:themeColor="text1"/>
          <w:sz w:val="22"/>
          <w:szCs w:val="22"/>
        </w:rPr>
        <w:t xml:space="preserve">. Available at: </w:t>
      </w:r>
      <w:hyperlink r:id="rId14" w:history="1">
        <w:r w:rsidRPr="005764EC">
          <w:rPr>
            <w:rStyle w:val="Hyperlink"/>
            <w:rFonts w:asciiTheme="majorHAnsi" w:hAnsiTheme="majorHAnsi" w:cstheme="majorHAnsi"/>
            <w:color w:val="000000" w:themeColor="text1"/>
            <w:sz w:val="22"/>
            <w:szCs w:val="22"/>
          </w:rPr>
          <w:t>https://www.bacp.co.uk/news/news-from-bacp/coronavirus/archive/covid-19-campaign/17-november-coronavirus-psychological-impact-on-older-people/</w:t>
        </w:r>
      </w:hyperlink>
      <w:r w:rsidRPr="005764EC">
        <w:rPr>
          <w:rFonts w:asciiTheme="majorHAnsi" w:hAnsiTheme="majorHAnsi" w:cstheme="majorHAnsi"/>
          <w:color w:val="000000" w:themeColor="text1"/>
          <w:sz w:val="22"/>
          <w:szCs w:val="22"/>
        </w:rPr>
        <w:t xml:space="preserve"> (accessed on: 31/03/2022)</w:t>
      </w:r>
    </w:p>
    <w:p w14:paraId="3AEC1942"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0E91C568" w14:textId="6BBFE975" w:rsidR="005764EC" w:rsidRPr="005764EC" w:rsidRDefault="005764EC" w:rsidP="005764EC">
      <w:pPr>
        <w:spacing w:line="360" w:lineRule="auto"/>
        <w:rPr>
          <w:rFonts w:asciiTheme="majorHAnsi" w:hAnsiTheme="majorHAnsi" w:cstheme="majorHAnsi"/>
          <w:color w:val="000000" w:themeColor="text1"/>
          <w:sz w:val="22"/>
          <w:szCs w:val="22"/>
        </w:rPr>
      </w:pPr>
      <w:proofErr w:type="spellStart"/>
      <w:r w:rsidRPr="005764EC">
        <w:rPr>
          <w:rFonts w:asciiTheme="majorHAnsi" w:hAnsiTheme="majorHAnsi" w:cstheme="majorHAnsi"/>
          <w:color w:val="000000" w:themeColor="text1"/>
          <w:sz w:val="22"/>
          <w:szCs w:val="22"/>
        </w:rPr>
        <w:t>Alzheimers</w:t>
      </w:r>
      <w:proofErr w:type="spellEnd"/>
      <w:r w:rsidRPr="005764EC">
        <w:rPr>
          <w:rFonts w:asciiTheme="majorHAnsi" w:hAnsiTheme="majorHAnsi" w:cstheme="majorHAnsi"/>
          <w:color w:val="000000" w:themeColor="text1"/>
          <w:sz w:val="22"/>
          <w:szCs w:val="22"/>
        </w:rPr>
        <w:t xml:space="preserve"> Society (2022) </w:t>
      </w:r>
      <w:r w:rsidRPr="005764EC">
        <w:rPr>
          <w:rFonts w:asciiTheme="majorHAnsi" w:hAnsiTheme="majorHAnsi" w:cstheme="majorHAnsi"/>
          <w:i/>
          <w:iCs/>
          <w:color w:val="000000" w:themeColor="text1"/>
          <w:sz w:val="22"/>
          <w:szCs w:val="22"/>
        </w:rPr>
        <w:t>Worst hit: dementia during coronavirus</w:t>
      </w:r>
      <w:r w:rsidRPr="005764EC">
        <w:rPr>
          <w:rFonts w:asciiTheme="majorHAnsi" w:hAnsiTheme="majorHAnsi" w:cstheme="majorHAnsi"/>
          <w:color w:val="000000" w:themeColor="text1"/>
          <w:sz w:val="22"/>
          <w:szCs w:val="22"/>
        </w:rPr>
        <w:t xml:space="preserve">. Available at: </w:t>
      </w:r>
      <w:hyperlink r:id="rId15" w:history="1">
        <w:r w:rsidRPr="005764EC">
          <w:rPr>
            <w:rStyle w:val="Hyperlink"/>
            <w:rFonts w:asciiTheme="majorHAnsi" w:hAnsiTheme="majorHAnsi" w:cstheme="majorHAnsi"/>
            <w:color w:val="000000" w:themeColor="text1"/>
            <w:sz w:val="22"/>
            <w:szCs w:val="22"/>
          </w:rPr>
          <w:t>https://www.alzheimers.org.uk/sites/default/files/2020-09/Worst-hit-Dementia-during-coronavirus-report.pdf</w:t>
        </w:r>
      </w:hyperlink>
      <w:r w:rsidRPr="005764EC">
        <w:rPr>
          <w:rFonts w:asciiTheme="majorHAnsi" w:hAnsiTheme="majorHAnsi" w:cstheme="majorHAnsi"/>
          <w:color w:val="000000" w:themeColor="text1"/>
          <w:sz w:val="22"/>
          <w:szCs w:val="22"/>
        </w:rPr>
        <w:t xml:space="preserve"> (accessed on 31/03/2022)</w:t>
      </w:r>
    </w:p>
    <w:p w14:paraId="094EE4C0"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32AA558B" w14:textId="6D5C6D9D" w:rsidR="005764EC" w:rsidRPr="005764EC" w:rsidRDefault="005764EC" w:rsidP="005764EC">
      <w:pPr>
        <w:spacing w:line="360" w:lineRule="auto"/>
        <w:rPr>
          <w:rFonts w:asciiTheme="majorHAnsi" w:hAnsiTheme="majorHAnsi" w:cstheme="majorHAnsi"/>
          <w:color w:val="000000" w:themeColor="text1"/>
          <w:sz w:val="22"/>
          <w:szCs w:val="22"/>
        </w:rPr>
      </w:pPr>
      <w:proofErr w:type="spellStart"/>
      <w:r w:rsidRPr="005764EC">
        <w:rPr>
          <w:rFonts w:asciiTheme="majorHAnsi" w:hAnsiTheme="majorHAnsi" w:cstheme="majorHAnsi"/>
          <w:color w:val="000000" w:themeColor="text1"/>
          <w:sz w:val="22"/>
          <w:szCs w:val="22"/>
        </w:rPr>
        <w:t>Nellums</w:t>
      </w:r>
      <w:proofErr w:type="spellEnd"/>
      <w:r w:rsidRPr="005764EC">
        <w:rPr>
          <w:rFonts w:asciiTheme="majorHAnsi" w:hAnsiTheme="majorHAnsi" w:cstheme="majorHAnsi"/>
          <w:color w:val="000000" w:themeColor="text1"/>
          <w:sz w:val="22"/>
          <w:szCs w:val="22"/>
        </w:rPr>
        <w:t xml:space="preserve">, L, B. (2020) </w:t>
      </w:r>
      <w:r w:rsidRPr="005764EC">
        <w:rPr>
          <w:rFonts w:asciiTheme="majorHAnsi" w:hAnsiTheme="majorHAnsi" w:cstheme="majorHAnsi"/>
          <w:i/>
          <w:iCs/>
          <w:color w:val="000000" w:themeColor="text1"/>
          <w:sz w:val="22"/>
          <w:szCs w:val="22"/>
        </w:rPr>
        <w:t>COVID-19 and the consequences of isolating the elderly</w:t>
      </w:r>
      <w:r w:rsidRPr="005764EC">
        <w:rPr>
          <w:rFonts w:asciiTheme="majorHAnsi" w:hAnsiTheme="majorHAnsi" w:cstheme="majorHAnsi"/>
          <w:color w:val="000000" w:themeColor="text1"/>
          <w:sz w:val="22"/>
          <w:szCs w:val="22"/>
        </w:rPr>
        <w:t xml:space="preserve">. </w:t>
      </w:r>
      <w:r>
        <w:rPr>
          <w:rFonts w:asciiTheme="majorHAnsi" w:hAnsiTheme="majorHAnsi" w:cstheme="majorHAnsi"/>
          <w:color w:val="000000" w:themeColor="text1"/>
          <w:sz w:val="22"/>
          <w:szCs w:val="22"/>
        </w:rPr>
        <w:t>Available at:</w:t>
      </w:r>
      <w:r w:rsidRPr="005764EC">
        <w:rPr>
          <w:rFonts w:asciiTheme="majorHAnsi" w:hAnsiTheme="majorHAnsi" w:cstheme="majorHAnsi"/>
          <w:color w:val="000000" w:themeColor="text1"/>
          <w:sz w:val="22"/>
          <w:szCs w:val="22"/>
        </w:rPr>
        <w:t xml:space="preserve"> </w:t>
      </w:r>
      <w:hyperlink r:id="rId16" w:history="1">
        <w:r w:rsidRPr="005764EC">
          <w:rPr>
            <w:rStyle w:val="Hyperlink"/>
            <w:rFonts w:asciiTheme="majorHAnsi" w:hAnsiTheme="majorHAnsi" w:cstheme="majorHAnsi"/>
            <w:color w:val="000000" w:themeColor="text1"/>
            <w:sz w:val="22"/>
            <w:szCs w:val="22"/>
          </w:rPr>
          <w:t>https://www.gov.uk/government/publications/guidance-on-shielding-and-protecting-extremely-vulnerable-persons-from-covid-19</w:t>
        </w:r>
      </w:hyperlink>
      <w:r w:rsidRPr="005764EC">
        <w:rPr>
          <w:rFonts w:asciiTheme="majorHAnsi" w:hAnsiTheme="majorHAnsi" w:cstheme="majorHAnsi"/>
          <w:color w:val="000000" w:themeColor="text1"/>
          <w:sz w:val="22"/>
          <w:szCs w:val="22"/>
        </w:rPr>
        <w:t xml:space="preserve"> (accessed on 31/03/2022)</w:t>
      </w:r>
    </w:p>
    <w:p w14:paraId="4BA08D63"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695CEB46"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2CBAD43E" w14:textId="77777777" w:rsidR="005764EC" w:rsidRPr="005764EC" w:rsidRDefault="005764EC" w:rsidP="005764EC">
      <w:pPr>
        <w:spacing w:line="360" w:lineRule="auto"/>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 xml:space="preserve">UK Government (2020) </w:t>
      </w:r>
      <w:r w:rsidRPr="005764EC">
        <w:rPr>
          <w:rFonts w:asciiTheme="majorHAnsi" w:hAnsiTheme="majorHAnsi" w:cstheme="majorHAnsi"/>
          <w:i/>
          <w:iCs/>
          <w:color w:val="000000" w:themeColor="text1"/>
          <w:sz w:val="22"/>
          <w:szCs w:val="22"/>
        </w:rPr>
        <w:t xml:space="preserve">COVID-19: guidance on protecting people defined on medical grounds as extremely vulnerable. </w:t>
      </w:r>
      <w:r w:rsidRPr="005764EC">
        <w:rPr>
          <w:rFonts w:asciiTheme="majorHAnsi" w:hAnsiTheme="majorHAnsi" w:cstheme="majorHAnsi"/>
          <w:color w:val="000000" w:themeColor="text1"/>
          <w:sz w:val="22"/>
          <w:szCs w:val="22"/>
        </w:rPr>
        <w:t xml:space="preserve">Available at: </w:t>
      </w:r>
      <w:hyperlink r:id="rId17" w:history="1">
        <w:r w:rsidRPr="005764EC">
          <w:rPr>
            <w:rStyle w:val="Hyperlink"/>
            <w:rFonts w:asciiTheme="majorHAnsi" w:hAnsiTheme="majorHAnsi" w:cstheme="majorHAnsi"/>
            <w:color w:val="000000" w:themeColor="text1"/>
            <w:sz w:val="22"/>
            <w:szCs w:val="22"/>
          </w:rPr>
          <w:t>https://www.gov.uk/government/publications/guidance-on-shielding-and-protecting-extremely-vulnerable-persons-from-covid-19</w:t>
        </w:r>
      </w:hyperlink>
      <w:r w:rsidRPr="005764EC">
        <w:rPr>
          <w:rFonts w:asciiTheme="majorHAnsi" w:hAnsiTheme="majorHAnsi" w:cstheme="majorHAnsi"/>
          <w:color w:val="000000" w:themeColor="text1"/>
          <w:sz w:val="22"/>
          <w:szCs w:val="22"/>
        </w:rPr>
        <w:t xml:space="preserve"> (accessed on 31/03/2022)</w:t>
      </w:r>
    </w:p>
    <w:p w14:paraId="166D1303"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717F0E50"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3255040E"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028963A2" w14:textId="77777777" w:rsidR="005764EC" w:rsidRPr="005764EC" w:rsidRDefault="005764EC" w:rsidP="005764EC">
      <w:pPr>
        <w:spacing w:line="360" w:lineRule="auto"/>
        <w:rPr>
          <w:rFonts w:asciiTheme="majorHAnsi" w:hAnsiTheme="majorHAnsi" w:cstheme="majorHAnsi"/>
          <w:color w:val="000000" w:themeColor="text1"/>
          <w:sz w:val="22"/>
          <w:szCs w:val="22"/>
        </w:rPr>
      </w:pPr>
    </w:p>
    <w:p w14:paraId="7D618D30" w14:textId="77777777" w:rsidR="005764EC" w:rsidRPr="005764EC" w:rsidRDefault="005764EC" w:rsidP="005764EC">
      <w:pPr>
        <w:autoSpaceDE w:val="0"/>
        <w:autoSpaceDN w:val="0"/>
        <w:adjustRightInd w:val="0"/>
        <w:spacing w:line="360" w:lineRule="auto"/>
        <w:rPr>
          <w:rFonts w:asciiTheme="majorHAnsi" w:hAnsiTheme="majorHAnsi" w:cstheme="majorHAnsi"/>
          <w:color w:val="000000" w:themeColor="text1"/>
          <w:sz w:val="22"/>
          <w:szCs w:val="22"/>
        </w:rPr>
      </w:pPr>
    </w:p>
    <w:p w14:paraId="39964F96" w14:textId="77777777" w:rsidR="005764EC" w:rsidRPr="005764EC" w:rsidRDefault="005764EC" w:rsidP="005764EC">
      <w:pPr>
        <w:spacing w:line="360" w:lineRule="auto"/>
        <w:jc w:val="both"/>
        <w:rPr>
          <w:rFonts w:asciiTheme="majorHAnsi" w:hAnsiTheme="majorHAnsi" w:cstheme="majorHAnsi"/>
          <w:color w:val="000000" w:themeColor="text1"/>
          <w:sz w:val="22"/>
          <w:szCs w:val="22"/>
          <w:u w:val="single"/>
        </w:rPr>
      </w:pPr>
    </w:p>
    <w:p w14:paraId="5A1F9F5E" w14:textId="46813A60" w:rsidR="005764EC" w:rsidRPr="005764EC" w:rsidRDefault="005764EC" w:rsidP="005764EC">
      <w:pPr>
        <w:pStyle w:val="Heading1"/>
        <w:spacing w:before="180" w:beforeAutospacing="0" w:after="180" w:afterAutospacing="0" w:line="360" w:lineRule="auto"/>
        <w:jc w:val="both"/>
        <w:textAlignment w:val="baseline"/>
        <w:rPr>
          <w:rFonts w:asciiTheme="majorHAnsi" w:hAnsiTheme="majorHAnsi" w:cstheme="majorHAnsi"/>
          <w:b w:val="0"/>
          <w:bCs w:val="0"/>
          <w:color w:val="000000" w:themeColor="text1"/>
          <w:sz w:val="22"/>
          <w:szCs w:val="22"/>
        </w:rPr>
      </w:pPr>
      <w:r w:rsidRPr="005764EC">
        <w:rPr>
          <w:rFonts w:asciiTheme="majorHAnsi" w:hAnsiTheme="majorHAnsi" w:cstheme="majorHAnsi"/>
          <w:b w:val="0"/>
          <w:bCs w:val="0"/>
          <w:color w:val="000000" w:themeColor="text1"/>
          <w:sz w:val="22"/>
          <w:szCs w:val="22"/>
        </w:rPr>
        <w:t xml:space="preserve">Gareth </w:t>
      </w:r>
      <w:proofErr w:type="spellStart"/>
      <w:r w:rsidRPr="005764EC">
        <w:rPr>
          <w:rFonts w:asciiTheme="majorHAnsi" w:hAnsiTheme="majorHAnsi" w:cstheme="majorHAnsi"/>
          <w:b w:val="0"/>
          <w:bCs w:val="0"/>
          <w:color w:val="000000" w:themeColor="text1"/>
          <w:sz w:val="22"/>
          <w:szCs w:val="22"/>
        </w:rPr>
        <w:t>Iacobucci</w:t>
      </w:r>
      <w:proofErr w:type="spellEnd"/>
      <w:r w:rsidRPr="005764EC">
        <w:rPr>
          <w:rFonts w:asciiTheme="majorHAnsi" w:hAnsiTheme="majorHAnsi" w:cstheme="majorHAnsi"/>
          <w:b w:val="0"/>
          <w:bCs w:val="0"/>
          <w:color w:val="000000" w:themeColor="text1"/>
          <w:sz w:val="22"/>
          <w:szCs w:val="22"/>
        </w:rPr>
        <w:t xml:space="preserve"> (2022) </w:t>
      </w:r>
      <w:r w:rsidRPr="005764EC">
        <w:rPr>
          <w:rFonts w:asciiTheme="majorHAnsi" w:hAnsiTheme="majorHAnsi" w:cstheme="majorHAnsi"/>
          <w:b w:val="0"/>
          <w:bCs w:val="0"/>
          <w:i/>
          <w:iCs/>
          <w:color w:val="000000" w:themeColor="text1"/>
          <w:sz w:val="22"/>
          <w:szCs w:val="22"/>
        </w:rPr>
        <w:t>Covid-19: Pandemic has disproportionately harmed children’s mental health, report finds</w:t>
      </w:r>
      <w:r>
        <w:rPr>
          <w:rFonts w:asciiTheme="majorHAnsi" w:hAnsiTheme="majorHAnsi" w:cstheme="majorHAnsi"/>
          <w:b w:val="0"/>
          <w:bCs w:val="0"/>
          <w:i/>
          <w:iCs/>
          <w:color w:val="000000" w:themeColor="text1"/>
          <w:sz w:val="22"/>
          <w:szCs w:val="22"/>
        </w:rPr>
        <w:t>.</w:t>
      </w:r>
      <w:r w:rsidRPr="005764EC">
        <w:rPr>
          <w:rFonts w:asciiTheme="majorHAnsi" w:hAnsiTheme="majorHAnsi" w:cstheme="majorHAnsi"/>
          <w:b w:val="0"/>
          <w:bCs w:val="0"/>
          <w:color w:val="000000" w:themeColor="text1"/>
          <w:sz w:val="22"/>
          <w:szCs w:val="22"/>
        </w:rPr>
        <w:t xml:space="preserve"> </w:t>
      </w:r>
      <w:r w:rsidRPr="005764EC">
        <w:rPr>
          <w:rStyle w:val="highwire-cite-journal"/>
          <w:rFonts w:asciiTheme="majorHAnsi" w:hAnsiTheme="majorHAnsi" w:cstheme="majorHAnsi"/>
          <w:b w:val="0"/>
          <w:bCs w:val="0"/>
          <w:color w:val="000000" w:themeColor="text1"/>
          <w:sz w:val="22"/>
          <w:szCs w:val="22"/>
          <w:bdr w:val="none" w:sz="0" w:space="0" w:color="auto" w:frame="1"/>
        </w:rPr>
        <w:t>BMJ</w:t>
      </w:r>
      <w:r w:rsidRPr="005764EC">
        <w:rPr>
          <w:rStyle w:val="apple-converted-space"/>
          <w:rFonts w:asciiTheme="majorHAnsi" w:hAnsiTheme="majorHAnsi" w:cstheme="majorHAnsi"/>
          <w:b w:val="0"/>
          <w:bCs w:val="0"/>
          <w:color w:val="000000" w:themeColor="text1"/>
          <w:sz w:val="22"/>
          <w:szCs w:val="22"/>
          <w:shd w:val="clear" w:color="auto" w:fill="FFFFFF"/>
        </w:rPr>
        <w:t> </w:t>
      </w:r>
      <w:r w:rsidRPr="005764EC">
        <w:rPr>
          <w:rStyle w:val="highwire-cite-published-year"/>
          <w:rFonts w:asciiTheme="majorHAnsi" w:hAnsiTheme="majorHAnsi" w:cstheme="majorHAnsi"/>
          <w:b w:val="0"/>
          <w:bCs w:val="0"/>
          <w:color w:val="000000" w:themeColor="text1"/>
          <w:sz w:val="22"/>
          <w:szCs w:val="22"/>
          <w:bdr w:val="none" w:sz="0" w:space="0" w:color="auto" w:frame="1"/>
        </w:rPr>
        <w:t>2022</w:t>
      </w:r>
      <w:r w:rsidRPr="005764EC">
        <w:rPr>
          <w:rFonts w:asciiTheme="majorHAnsi" w:hAnsiTheme="majorHAnsi" w:cstheme="majorHAnsi"/>
          <w:b w:val="0"/>
          <w:bCs w:val="0"/>
          <w:color w:val="000000" w:themeColor="text1"/>
          <w:sz w:val="22"/>
          <w:szCs w:val="22"/>
          <w:shd w:val="clear" w:color="auto" w:fill="FFFFFF"/>
        </w:rPr>
        <w:t>;</w:t>
      </w:r>
      <w:r w:rsidRPr="005764EC">
        <w:rPr>
          <w:rStyle w:val="apple-converted-space"/>
          <w:rFonts w:asciiTheme="majorHAnsi" w:hAnsiTheme="majorHAnsi" w:cstheme="majorHAnsi"/>
          <w:b w:val="0"/>
          <w:bCs w:val="0"/>
          <w:color w:val="000000" w:themeColor="text1"/>
          <w:sz w:val="22"/>
          <w:szCs w:val="22"/>
          <w:shd w:val="clear" w:color="auto" w:fill="FFFFFF"/>
        </w:rPr>
        <w:t> </w:t>
      </w:r>
      <w:r w:rsidRPr="005764EC">
        <w:rPr>
          <w:rStyle w:val="highwire-cite-volume-issue"/>
          <w:rFonts w:asciiTheme="majorHAnsi" w:hAnsiTheme="majorHAnsi" w:cstheme="majorHAnsi"/>
          <w:b w:val="0"/>
          <w:bCs w:val="0"/>
          <w:color w:val="000000" w:themeColor="text1"/>
          <w:sz w:val="22"/>
          <w:szCs w:val="22"/>
          <w:bdr w:val="none" w:sz="0" w:space="0" w:color="auto" w:frame="1"/>
        </w:rPr>
        <w:t>376</w:t>
      </w:r>
      <w:r w:rsidRPr="005764EC">
        <w:rPr>
          <w:rStyle w:val="apple-converted-space"/>
          <w:rFonts w:asciiTheme="majorHAnsi" w:hAnsiTheme="majorHAnsi" w:cstheme="majorHAnsi"/>
          <w:b w:val="0"/>
          <w:bCs w:val="0"/>
          <w:color w:val="000000" w:themeColor="text1"/>
          <w:sz w:val="22"/>
          <w:szCs w:val="22"/>
          <w:shd w:val="clear" w:color="auto" w:fill="FFFFFF"/>
        </w:rPr>
        <w:t> </w:t>
      </w:r>
      <w:proofErr w:type="spellStart"/>
      <w:r w:rsidRPr="005764EC">
        <w:rPr>
          <w:rStyle w:val="highwire-cite-doi"/>
          <w:rFonts w:asciiTheme="majorHAnsi" w:hAnsiTheme="majorHAnsi" w:cstheme="majorHAnsi"/>
          <w:b w:val="0"/>
          <w:bCs w:val="0"/>
          <w:color w:val="000000" w:themeColor="text1"/>
          <w:sz w:val="22"/>
          <w:szCs w:val="22"/>
          <w:bdr w:val="none" w:sz="0" w:space="0" w:color="auto" w:frame="1"/>
        </w:rPr>
        <w:t>doi</w:t>
      </w:r>
      <w:proofErr w:type="spellEnd"/>
      <w:r w:rsidRPr="005764EC">
        <w:rPr>
          <w:rStyle w:val="highwire-cite-doi"/>
          <w:rFonts w:asciiTheme="majorHAnsi" w:hAnsiTheme="majorHAnsi" w:cstheme="majorHAnsi"/>
          <w:b w:val="0"/>
          <w:bCs w:val="0"/>
          <w:color w:val="000000" w:themeColor="text1"/>
          <w:sz w:val="22"/>
          <w:szCs w:val="22"/>
          <w:bdr w:val="none" w:sz="0" w:space="0" w:color="auto" w:frame="1"/>
        </w:rPr>
        <w:t>:</w:t>
      </w:r>
      <w:r w:rsidRPr="005764EC">
        <w:rPr>
          <w:rStyle w:val="apple-converted-space"/>
          <w:rFonts w:asciiTheme="majorHAnsi" w:hAnsiTheme="majorHAnsi" w:cstheme="majorHAnsi"/>
          <w:b w:val="0"/>
          <w:bCs w:val="0"/>
          <w:color w:val="000000" w:themeColor="text1"/>
          <w:sz w:val="22"/>
          <w:szCs w:val="22"/>
          <w:bdr w:val="none" w:sz="0" w:space="0" w:color="auto" w:frame="1"/>
        </w:rPr>
        <w:t> </w:t>
      </w:r>
      <w:hyperlink r:id="rId18" w:history="1">
        <w:r w:rsidRPr="005764EC">
          <w:rPr>
            <w:rStyle w:val="Hyperlink"/>
            <w:rFonts w:asciiTheme="majorHAnsi" w:hAnsiTheme="majorHAnsi" w:cstheme="majorHAnsi"/>
            <w:b w:val="0"/>
            <w:bCs w:val="0"/>
            <w:color w:val="000000" w:themeColor="text1"/>
            <w:sz w:val="22"/>
            <w:szCs w:val="22"/>
            <w:u w:val="none"/>
            <w:bdr w:val="none" w:sz="0" w:space="0" w:color="auto" w:frame="1"/>
          </w:rPr>
          <w:t>https://doi.org/10.1136/bmj.o430</w:t>
        </w:r>
      </w:hyperlink>
      <w:r w:rsidRPr="005764EC">
        <w:rPr>
          <w:rStyle w:val="apple-converted-space"/>
          <w:rFonts w:asciiTheme="majorHAnsi" w:hAnsiTheme="majorHAnsi" w:cstheme="majorHAnsi"/>
          <w:b w:val="0"/>
          <w:bCs w:val="0"/>
          <w:color w:val="000000" w:themeColor="text1"/>
          <w:sz w:val="22"/>
          <w:szCs w:val="22"/>
          <w:shd w:val="clear" w:color="auto" w:fill="FFFFFF"/>
        </w:rPr>
        <w:t> </w:t>
      </w:r>
      <w:r w:rsidRPr="005764EC">
        <w:rPr>
          <w:rStyle w:val="highwire-cite-date"/>
          <w:rFonts w:asciiTheme="majorHAnsi" w:hAnsiTheme="majorHAnsi" w:cstheme="majorHAnsi"/>
          <w:b w:val="0"/>
          <w:bCs w:val="0"/>
          <w:color w:val="000000" w:themeColor="text1"/>
          <w:sz w:val="22"/>
          <w:szCs w:val="22"/>
          <w:bdr w:val="none" w:sz="0" w:space="0" w:color="auto" w:frame="1"/>
        </w:rPr>
        <w:t>(Published 18 February 2022)</w:t>
      </w:r>
    </w:p>
    <w:p w14:paraId="0A31CF8A" w14:textId="5AE2B687" w:rsidR="005764EC" w:rsidRPr="005764EC" w:rsidRDefault="005764EC" w:rsidP="005764EC">
      <w:pPr>
        <w:spacing w:line="360" w:lineRule="auto"/>
        <w:jc w:val="both"/>
        <w:rPr>
          <w:rFonts w:asciiTheme="majorHAnsi" w:eastAsia="Times New Roman" w:hAnsiTheme="majorHAnsi" w:cstheme="majorHAnsi"/>
          <w:color w:val="000000" w:themeColor="text1"/>
          <w:sz w:val="22"/>
          <w:szCs w:val="22"/>
          <w:lang w:eastAsia="en-GB"/>
        </w:rPr>
      </w:pPr>
      <w:r w:rsidRPr="005764EC">
        <w:rPr>
          <w:rFonts w:asciiTheme="majorHAnsi" w:eastAsia="Times New Roman" w:hAnsiTheme="majorHAnsi" w:cstheme="majorHAnsi"/>
          <w:color w:val="000000" w:themeColor="text1"/>
          <w:sz w:val="22"/>
          <w:szCs w:val="22"/>
          <w:shd w:val="clear" w:color="auto" w:fill="FFFFFF"/>
          <w:lang w:eastAsia="en-GB"/>
        </w:rPr>
        <w:t xml:space="preserve">McNicholas F, Kelleher I, Hedderman E, Lynch F, Healy E, Thornton T, </w:t>
      </w:r>
      <w:r>
        <w:rPr>
          <w:rFonts w:asciiTheme="majorHAnsi" w:eastAsia="Times New Roman" w:hAnsiTheme="majorHAnsi" w:cstheme="majorHAnsi"/>
          <w:color w:val="000000" w:themeColor="text1"/>
          <w:sz w:val="22"/>
          <w:szCs w:val="22"/>
          <w:shd w:val="clear" w:color="auto" w:fill="FFFFFF"/>
          <w:lang w:eastAsia="en-GB"/>
        </w:rPr>
        <w:t xml:space="preserve">(2021) </w:t>
      </w:r>
      <w:r w:rsidRPr="005764EC">
        <w:rPr>
          <w:rFonts w:asciiTheme="majorHAnsi" w:eastAsia="Times New Roman" w:hAnsiTheme="majorHAnsi" w:cstheme="majorHAnsi"/>
          <w:i/>
          <w:iCs/>
          <w:color w:val="000000" w:themeColor="text1"/>
          <w:sz w:val="22"/>
          <w:szCs w:val="22"/>
          <w:lang w:eastAsia="en-GB"/>
        </w:rPr>
        <w:t>Referral patterns for specialist child and adolescent mental health services in the Republic of Ireland during the COVID-19 pandemic compared with 2019 and 2018</w:t>
      </w:r>
      <w:r w:rsidRPr="005764EC">
        <w:rPr>
          <w:rFonts w:asciiTheme="majorHAnsi" w:eastAsia="Times New Roman" w:hAnsiTheme="majorHAnsi" w:cstheme="majorHAnsi"/>
          <w:color w:val="000000" w:themeColor="text1"/>
          <w:sz w:val="22"/>
          <w:szCs w:val="22"/>
          <w:shd w:val="clear" w:color="auto" w:fill="FFFFFF"/>
          <w:lang w:eastAsia="en-GB"/>
        </w:rPr>
        <w:t>. </w:t>
      </w:r>
      <w:proofErr w:type="spellStart"/>
      <w:r w:rsidRPr="005764EC">
        <w:rPr>
          <w:rFonts w:asciiTheme="majorHAnsi" w:eastAsia="Times New Roman" w:hAnsiTheme="majorHAnsi" w:cstheme="majorHAnsi"/>
          <w:color w:val="000000" w:themeColor="text1"/>
          <w:sz w:val="22"/>
          <w:szCs w:val="22"/>
          <w:lang w:eastAsia="en-GB"/>
        </w:rPr>
        <w:t>BJPsych</w:t>
      </w:r>
      <w:proofErr w:type="spellEnd"/>
      <w:r w:rsidRPr="005764EC">
        <w:rPr>
          <w:rFonts w:asciiTheme="majorHAnsi" w:eastAsia="Times New Roman" w:hAnsiTheme="majorHAnsi" w:cstheme="majorHAnsi"/>
          <w:color w:val="000000" w:themeColor="text1"/>
          <w:sz w:val="22"/>
          <w:szCs w:val="22"/>
          <w:lang w:eastAsia="en-GB"/>
        </w:rPr>
        <w:t xml:space="preserve"> Open</w:t>
      </w:r>
      <w:r w:rsidRPr="005764EC">
        <w:rPr>
          <w:rFonts w:asciiTheme="majorHAnsi" w:eastAsia="Times New Roman" w:hAnsiTheme="majorHAnsi" w:cstheme="majorHAnsi"/>
          <w:color w:val="000000" w:themeColor="text1"/>
          <w:sz w:val="22"/>
          <w:szCs w:val="22"/>
          <w:shd w:val="clear" w:color="auto" w:fill="FFFFFF"/>
          <w:lang w:eastAsia="en-GB"/>
        </w:rPr>
        <w:t> 2021; </w:t>
      </w:r>
      <w:r w:rsidRPr="005764EC">
        <w:rPr>
          <w:rFonts w:asciiTheme="majorHAnsi" w:eastAsia="Times New Roman" w:hAnsiTheme="majorHAnsi" w:cstheme="majorHAnsi"/>
          <w:color w:val="000000" w:themeColor="text1"/>
          <w:sz w:val="22"/>
          <w:szCs w:val="22"/>
          <w:lang w:eastAsia="en-GB"/>
        </w:rPr>
        <w:t>7</w:t>
      </w:r>
      <w:r w:rsidRPr="005764EC">
        <w:rPr>
          <w:rFonts w:asciiTheme="majorHAnsi" w:eastAsia="Times New Roman" w:hAnsiTheme="majorHAnsi" w:cstheme="majorHAnsi"/>
          <w:color w:val="000000" w:themeColor="text1"/>
          <w:sz w:val="22"/>
          <w:szCs w:val="22"/>
          <w:shd w:val="clear" w:color="auto" w:fill="FFFFFF"/>
          <w:lang w:eastAsia="en-GB"/>
        </w:rPr>
        <w:t>: e91.</w:t>
      </w:r>
    </w:p>
    <w:p w14:paraId="33F3944F" w14:textId="77777777" w:rsidR="005764EC" w:rsidRPr="005764EC" w:rsidRDefault="005764EC" w:rsidP="005764EC">
      <w:pPr>
        <w:spacing w:line="360" w:lineRule="auto"/>
        <w:jc w:val="both"/>
        <w:rPr>
          <w:rFonts w:asciiTheme="majorHAnsi" w:hAnsiTheme="majorHAnsi" w:cstheme="majorHAnsi"/>
          <w:color w:val="000000" w:themeColor="text1"/>
          <w:sz w:val="22"/>
          <w:szCs w:val="22"/>
        </w:rPr>
      </w:pPr>
    </w:p>
    <w:p w14:paraId="228D76DD" w14:textId="35821FE1" w:rsidR="005764EC" w:rsidRPr="005764EC" w:rsidRDefault="005764EC" w:rsidP="005764EC">
      <w:pPr>
        <w:spacing w:line="360" w:lineRule="auto"/>
        <w:jc w:val="both"/>
        <w:rPr>
          <w:rFonts w:asciiTheme="majorHAnsi" w:eastAsia="Times New Roman" w:hAnsiTheme="majorHAnsi" w:cstheme="majorHAnsi"/>
          <w:color w:val="000000" w:themeColor="text1"/>
          <w:sz w:val="22"/>
          <w:szCs w:val="22"/>
          <w:lang w:eastAsia="en-GB"/>
        </w:rPr>
      </w:pPr>
      <w:r w:rsidRPr="005764EC">
        <w:rPr>
          <w:rFonts w:asciiTheme="majorHAnsi" w:eastAsia="Times New Roman" w:hAnsiTheme="majorHAnsi" w:cstheme="majorHAnsi"/>
          <w:color w:val="000000" w:themeColor="text1"/>
          <w:sz w:val="22"/>
          <w:szCs w:val="22"/>
          <w:shd w:val="clear" w:color="auto" w:fill="FFFFFF"/>
          <w:lang w:eastAsia="en-GB"/>
        </w:rPr>
        <w:t>Smith</w:t>
      </w:r>
      <w:r>
        <w:rPr>
          <w:rFonts w:asciiTheme="majorHAnsi" w:eastAsia="Times New Roman" w:hAnsiTheme="majorHAnsi" w:cstheme="majorHAnsi"/>
          <w:color w:val="000000" w:themeColor="text1"/>
          <w:sz w:val="22"/>
          <w:szCs w:val="22"/>
          <w:shd w:val="clear" w:color="auto" w:fill="FFFFFF"/>
          <w:lang w:eastAsia="en-GB"/>
        </w:rPr>
        <w:t>,</w:t>
      </w:r>
      <w:r w:rsidRPr="005764EC">
        <w:rPr>
          <w:rFonts w:asciiTheme="majorHAnsi" w:eastAsia="Times New Roman" w:hAnsiTheme="majorHAnsi" w:cstheme="majorHAnsi"/>
          <w:color w:val="000000" w:themeColor="text1"/>
          <w:sz w:val="22"/>
          <w:szCs w:val="22"/>
          <w:shd w:val="clear" w:color="auto" w:fill="FFFFFF"/>
          <w:lang w:eastAsia="en-GB"/>
        </w:rPr>
        <w:t xml:space="preserve"> A</w:t>
      </w:r>
      <w:r>
        <w:rPr>
          <w:rFonts w:asciiTheme="majorHAnsi" w:eastAsia="Times New Roman" w:hAnsiTheme="majorHAnsi" w:cstheme="majorHAnsi"/>
          <w:color w:val="000000" w:themeColor="text1"/>
          <w:sz w:val="22"/>
          <w:szCs w:val="22"/>
          <w:shd w:val="clear" w:color="auto" w:fill="FFFFFF"/>
          <w:lang w:eastAsia="en-GB"/>
        </w:rPr>
        <w:t xml:space="preserve">, </w:t>
      </w:r>
      <w:r w:rsidRPr="005764EC">
        <w:rPr>
          <w:rFonts w:asciiTheme="majorHAnsi" w:eastAsia="Times New Roman" w:hAnsiTheme="majorHAnsi" w:cstheme="majorHAnsi"/>
          <w:color w:val="000000" w:themeColor="text1"/>
          <w:sz w:val="22"/>
          <w:szCs w:val="22"/>
          <w:shd w:val="clear" w:color="auto" w:fill="FFFFFF"/>
          <w:lang w:eastAsia="en-GB"/>
        </w:rPr>
        <w:t>C</w:t>
      </w:r>
      <w:r>
        <w:rPr>
          <w:rFonts w:asciiTheme="majorHAnsi" w:eastAsia="Times New Roman" w:hAnsiTheme="majorHAnsi" w:cstheme="majorHAnsi"/>
          <w:color w:val="000000" w:themeColor="text1"/>
          <w:sz w:val="22"/>
          <w:szCs w:val="22"/>
          <w:shd w:val="clear" w:color="auto" w:fill="FFFFFF"/>
          <w:lang w:eastAsia="en-GB"/>
        </w:rPr>
        <w:t>.</w:t>
      </w:r>
      <w:r w:rsidRPr="005764EC">
        <w:rPr>
          <w:rFonts w:asciiTheme="majorHAnsi" w:eastAsia="Times New Roman" w:hAnsiTheme="majorHAnsi" w:cstheme="majorHAnsi"/>
          <w:color w:val="000000" w:themeColor="text1"/>
          <w:sz w:val="22"/>
          <w:szCs w:val="22"/>
          <w:shd w:val="clear" w:color="auto" w:fill="FFFFFF"/>
          <w:lang w:eastAsia="en-GB"/>
        </w:rPr>
        <w:t xml:space="preserve"> Thomas</w:t>
      </w:r>
      <w:r>
        <w:rPr>
          <w:rFonts w:asciiTheme="majorHAnsi" w:eastAsia="Times New Roman" w:hAnsiTheme="majorHAnsi" w:cstheme="majorHAnsi"/>
          <w:color w:val="000000" w:themeColor="text1"/>
          <w:sz w:val="22"/>
          <w:szCs w:val="22"/>
          <w:shd w:val="clear" w:color="auto" w:fill="FFFFFF"/>
          <w:lang w:eastAsia="en-GB"/>
        </w:rPr>
        <w:t>,</w:t>
      </w:r>
      <w:r w:rsidRPr="005764EC">
        <w:rPr>
          <w:rFonts w:asciiTheme="majorHAnsi" w:eastAsia="Times New Roman" w:hAnsiTheme="majorHAnsi" w:cstheme="majorHAnsi"/>
          <w:color w:val="000000" w:themeColor="text1"/>
          <w:sz w:val="22"/>
          <w:szCs w:val="22"/>
          <w:shd w:val="clear" w:color="auto" w:fill="FFFFFF"/>
          <w:lang w:eastAsia="en-GB"/>
        </w:rPr>
        <w:t xml:space="preserve"> E</w:t>
      </w:r>
      <w:r>
        <w:rPr>
          <w:rFonts w:asciiTheme="majorHAnsi" w:eastAsia="Times New Roman" w:hAnsiTheme="majorHAnsi" w:cstheme="majorHAnsi"/>
          <w:color w:val="000000" w:themeColor="text1"/>
          <w:sz w:val="22"/>
          <w:szCs w:val="22"/>
          <w:shd w:val="clear" w:color="auto" w:fill="FFFFFF"/>
          <w:lang w:eastAsia="en-GB"/>
        </w:rPr>
        <w:t>.</w:t>
      </w:r>
      <w:r w:rsidRPr="005764EC">
        <w:rPr>
          <w:rFonts w:asciiTheme="majorHAnsi" w:eastAsia="Times New Roman" w:hAnsiTheme="majorHAnsi" w:cstheme="majorHAnsi"/>
          <w:color w:val="000000" w:themeColor="text1"/>
          <w:sz w:val="22"/>
          <w:szCs w:val="22"/>
          <w:shd w:val="clear" w:color="auto" w:fill="FFFFFF"/>
          <w:lang w:eastAsia="en-GB"/>
        </w:rPr>
        <w:t xml:space="preserve"> </w:t>
      </w:r>
      <w:proofErr w:type="spellStart"/>
      <w:r w:rsidRPr="005764EC">
        <w:rPr>
          <w:rFonts w:asciiTheme="majorHAnsi" w:eastAsia="Times New Roman" w:hAnsiTheme="majorHAnsi" w:cstheme="majorHAnsi"/>
          <w:color w:val="000000" w:themeColor="text1"/>
          <w:sz w:val="22"/>
          <w:szCs w:val="22"/>
          <w:shd w:val="clear" w:color="auto" w:fill="FFFFFF"/>
          <w:lang w:eastAsia="en-GB"/>
        </w:rPr>
        <w:t>Snoswell</w:t>
      </w:r>
      <w:proofErr w:type="spellEnd"/>
      <w:r>
        <w:rPr>
          <w:rFonts w:asciiTheme="majorHAnsi" w:eastAsia="Times New Roman" w:hAnsiTheme="majorHAnsi" w:cstheme="majorHAnsi"/>
          <w:color w:val="000000" w:themeColor="text1"/>
          <w:sz w:val="22"/>
          <w:szCs w:val="22"/>
          <w:shd w:val="clear" w:color="auto" w:fill="FFFFFF"/>
          <w:lang w:eastAsia="en-GB"/>
        </w:rPr>
        <w:t>,</w:t>
      </w:r>
      <w:r w:rsidRPr="005764EC">
        <w:rPr>
          <w:rFonts w:asciiTheme="majorHAnsi" w:eastAsia="Times New Roman" w:hAnsiTheme="majorHAnsi" w:cstheme="majorHAnsi"/>
          <w:color w:val="000000" w:themeColor="text1"/>
          <w:sz w:val="22"/>
          <w:szCs w:val="22"/>
          <w:shd w:val="clear" w:color="auto" w:fill="FFFFFF"/>
          <w:lang w:eastAsia="en-GB"/>
        </w:rPr>
        <w:t xml:space="preserve"> C</w:t>
      </w:r>
      <w:r>
        <w:rPr>
          <w:rFonts w:asciiTheme="majorHAnsi" w:eastAsia="Times New Roman" w:hAnsiTheme="majorHAnsi" w:cstheme="majorHAnsi"/>
          <w:color w:val="000000" w:themeColor="text1"/>
          <w:sz w:val="22"/>
          <w:szCs w:val="22"/>
          <w:shd w:val="clear" w:color="auto" w:fill="FFFFFF"/>
          <w:lang w:eastAsia="en-GB"/>
        </w:rPr>
        <w:t xml:space="preserve">, </w:t>
      </w:r>
      <w:r w:rsidRPr="005764EC">
        <w:rPr>
          <w:rFonts w:asciiTheme="majorHAnsi" w:eastAsia="Times New Roman" w:hAnsiTheme="majorHAnsi" w:cstheme="majorHAnsi"/>
          <w:color w:val="000000" w:themeColor="text1"/>
          <w:sz w:val="22"/>
          <w:szCs w:val="22"/>
          <w:shd w:val="clear" w:color="auto" w:fill="FFFFFF"/>
          <w:lang w:eastAsia="en-GB"/>
        </w:rPr>
        <w:t>L</w:t>
      </w:r>
      <w:r>
        <w:rPr>
          <w:rFonts w:asciiTheme="majorHAnsi" w:eastAsia="Times New Roman" w:hAnsiTheme="majorHAnsi" w:cstheme="majorHAnsi"/>
          <w:color w:val="000000" w:themeColor="text1"/>
          <w:sz w:val="22"/>
          <w:szCs w:val="22"/>
          <w:shd w:val="clear" w:color="auto" w:fill="FFFFFF"/>
          <w:lang w:eastAsia="en-GB"/>
        </w:rPr>
        <w:t>.</w:t>
      </w:r>
      <w:r w:rsidRPr="005764EC">
        <w:rPr>
          <w:rFonts w:asciiTheme="majorHAnsi" w:eastAsia="Times New Roman" w:hAnsiTheme="majorHAnsi" w:cstheme="majorHAnsi"/>
          <w:color w:val="000000" w:themeColor="text1"/>
          <w:sz w:val="22"/>
          <w:szCs w:val="22"/>
          <w:shd w:val="clear" w:color="auto" w:fill="FFFFFF"/>
          <w:lang w:eastAsia="en-GB"/>
        </w:rPr>
        <w:t xml:space="preserve"> Haydon</w:t>
      </w:r>
      <w:r>
        <w:rPr>
          <w:rFonts w:asciiTheme="majorHAnsi" w:eastAsia="Times New Roman" w:hAnsiTheme="majorHAnsi" w:cstheme="majorHAnsi"/>
          <w:color w:val="000000" w:themeColor="text1"/>
          <w:sz w:val="22"/>
          <w:szCs w:val="22"/>
          <w:shd w:val="clear" w:color="auto" w:fill="FFFFFF"/>
          <w:lang w:eastAsia="en-GB"/>
        </w:rPr>
        <w:t>,</w:t>
      </w:r>
      <w:r w:rsidRPr="005764EC">
        <w:rPr>
          <w:rFonts w:asciiTheme="majorHAnsi" w:eastAsia="Times New Roman" w:hAnsiTheme="majorHAnsi" w:cstheme="majorHAnsi"/>
          <w:color w:val="000000" w:themeColor="text1"/>
          <w:sz w:val="22"/>
          <w:szCs w:val="22"/>
          <w:shd w:val="clear" w:color="auto" w:fill="FFFFFF"/>
          <w:lang w:eastAsia="en-GB"/>
        </w:rPr>
        <w:t xml:space="preserve"> H</w:t>
      </w:r>
      <w:r>
        <w:rPr>
          <w:rFonts w:asciiTheme="majorHAnsi" w:eastAsia="Times New Roman" w:hAnsiTheme="majorHAnsi" w:cstheme="majorHAnsi"/>
          <w:color w:val="000000" w:themeColor="text1"/>
          <w:sz w:val="22"/>
          <w:szCs w:val="22"/>
          <w:shd w:val="clear" w:color="auto" w:fill="FFFFFF"/>
          <w:lang w:eastAsia="en-GB"/>
        </w:rPr>
        <w:t>.</w:t>
      </w:r>
      <w:r w:rsidRPr="005764EC">
        <w:rPr>
          <w:rFonts w:asciiTheme="majorHAnsi" w:eastAsia="Times New Roman" w:hAnsiTheme="majorHAnsi" w:cstheme="majorHAnsi"/>
          <w:color w:val="000000" w:themeColor="text1"/>
          <w:sz w:val="22"/>
          <w:szCs w:val="22"/>
          <w:shd w:val="clear" w:color="auto" w:fill="FFFFFF"/>
          <w:lang w:eastAsia="en-GB"/>
        </w:rPr>
        <w:t xml:space="preserve"> Mehrotra</w:t>
      </w:r>
      <w:r>
        <w:rPr>
          <w:rFonts w:asciiTheme="majorHAnsi" w:eastAsia="Times New Roman" w:hAnsiTheme="majorHAnsi" w:cstheme="majorHAnsi"/>
          <w:color w:val="000000" w:themeColor="text1"/>
          <w:sz w:val="22"/>
          <w:szCs w:val="22"/>
          <w:shd w:val="clear" w:color="auto" w:fill="FFFFFF"/>
          <w:lang w:eastAsia="en-GB"/>
        </w:rPr>
        <w:t>,</w:t>
      </w:r>
      <w:r w:rsidRPr="005764EC">
        <w:rPr>
          <w:rFonts w:asciiTheme="majorHAnsi" w:eastAsia="Times New Roman" w:hAnsiTheme="majorHAnsi" w:cstheme="majorHAnsi"/>
          <w:color w:val="000000" w:themeColor="text1"/>
          <w:sz w:val="22"/>
          <w:szCs w:val="22"/>
          <w:shd w:val="clear" w:color="auto" w:fill="FFFFFF"/>
          <w:lang w:eastAsia="en-GB"/>
        </w:rPr>
        <w:t xml:space="preserve"> A</w:t>
      </w:r>
      <w:r>
        <w:rPr>
          <w:rFonts w:asciiTheme="majorHAnsi" w:eastAsia="Times New Roman" w:hAnsiTheme="majorHAnsi" w:cstheme="majorHAnsi"/>
          <w:color w:val="000000" w:themeColor="text1"/>
          <w:sz w:val="22"/>
          <w:szCs w:val="22"/>
          <w:shd w:val="clear" w:color="auto" w:fill="FFFFFF"/>
          <w:lang w:eastAsia="en-GB"/>
        </w:rPr>
        <w:t>.</w:t>
      </w:r>
      <w:r w:rsidRPr="005764EC">
        <w:rPr>
          <w:rFonts w:asciiTheme="majorHAnsi" w:eastAsia="Times New Roman" w:hAnsiTheme="majorHAnsi" w:cstheme="majorHAnsi"/>
          <w:color w:val="000000" w:themeColor="text1"/>
          <w:sz w:val="22"/>
          <w:szCs w:val="22"/>
          <w:shd w:val="clear" w:color="auto" w:fill="FFFFFF"/>
          <w:lang w:eastAsia="en-GB"/>
        </w:rPr>
        <w:t xml:space="preserve"> </w:t>
      </w:r>
      <w:proofErr w:type="spellStart"/>
      <w:r w:rsidRPr="005764EC">
        <w:rPr>
          <w:rFonts w:asciiTheme="majorHAnsi" w:eastAsia="Times New Roman" w:hAnsiTheme="majorHAnsi" w:cstheme="majorHAnsi"/>
          <w:color w:val="000000" w:themeColor="text1"/>
          <w:sz w:val="22"/>
          <w:szCs w:val="22"/>
          <w:shd w:val="clear" w:color="auto" w:fill="FFFFFF"/>
          <w:lang w:eastAsia="en-GB"/>
        </w:rPr>
        <w:t>Clemensen</w:t>
      </w:r>
      <w:proofErr w:type="spellEnd"/>
      <w:r>
        <w:rPr>
          <w:rFonts w:asciiTheme="majorHAnsi" w:eastAsia="Times New Roman" w:hAnsiTheme="majorHAnsi" w:cstheme="majorHAnsi"/>
          <w:color w:val="000000" w:themeColor="text1"/>
          <w:sz w:val="22"/>
          <w:szCs w:val="22"/>
          <w:shd w:val="clear" w:color="auto" w:fill="FFFFFF"/>
          <w:lang w:eastAsia="en-GB"/>
        </w:rPr>
        <w:t xml:space="preserve">, J. (2020) </w:t>
      </w:r>
      <w:r w:rsidRPr="005764EC">
        <w:rPr>
          <w:rFonts w:asciiTheme="majorHAnsi" w:eastAsia="Times New Roman" w:hAnsiTheme="majorHAnsi" w:cstheme="majorHAnsi"/>
          <w:i/>
          <w:iCs/>
          <w:color w:val="000000" w:themeColor="text1"/>
          <w:sz w:val="22"/>
          <w:szCs w:val="22"/>
          <w:lang w:eastAsia="en-GB"/>
        </w:rPr>
        <w:t>Telehealth for global emergencies: implications for coronavirus disease 2019 (COVID-19)</w:t>
      </w:r>
      <w:r w:rsidRPr="005764EC">
        <w:rPr>
          <w:rFonts w:asciiTheme="majorHAnsi" w:eastAsia="Times New Roman" w:hAnsiTheme="majorHAnsi" w:cstheme="majorHAnsi"/>
          <w:color w:val="000000" w:themeColor="text1"/>
          <w:sz w:val="22"/>
          <w:szCs w:val="22"/>
          <w:shd w:val="clear" w:color="auto" w:fill="FFFFFF"/>
          <w:lang w:eastAsia="en-GB"/>
        </w:rPr>
        <w:t>. </w:t>
      </w:r>
      <w:r w:rsidRPr="005764EC">
        <w:rPr>
          <w:rFonts w:asciiTheme="majorHAnsi" w:eastAsia="Times New Roman" w:hAnsiTheme="majorHAnsi" w:cstheme="majorHAnsi"/>
          <w:color w:val="000000" w:themeColor="text1"/>
          <w:sz w:val="22"/>
          <w:szCs w:val="22"/>
          <w:lang w:eastAsia="en-GB"/>
        </w:rPr>
        <w:t xml:space="preserve">J </w:t>
      </w:r>
      <w:proofErr w:type="spellStart"/>
      <w:r w:rsidRPr="005764EC">
        <w:rPr>
          <w:rFonts w:asciiTheme="majorHAnsi" w:eastAsia="Times New Roman" w:hAnsiTheme="majorHAnsi" w:cstheme="majorHAnsi"/>
          <w:color w:val="000000" w:themeColor="text1"/>
          <w:sz w:val="22"/>
          <w:szCs w:val="22"/>
          <w:lang w:eastAsia="en-GB"/>
        </w:rPr>
        <w:t>Telemed</w:t>
      </w:r>
      <w:proofErr w:type="spellEnd"/>
      <w:r w:rsidRPr="005764EC">
        <w:rPr>
          <w:rFonts w:asciiTheme="majorHAnsi" w:eastAsia="Times New Roman" w:hAnsiTheme="majorHAnsi" w:cstheme="majorHAnsi"/>
          <w:color w:val="000000" w:themeColor="text1"/>
          <w:sz w:val="22"/>
          <w:szCs w:val="22"/>
          <w:lang w:eastAsia="en-GB"/>
        </w:rPr>
        <w:t xml:space="preserve"> Telecare</w:t>
      </w:r>
      <w:r>
        <w:rPr>
          <w:rFonts w:asciiTheme="majorHAnsi" w:eastAsia="Times New Roman" w:hAnsiTheme="majorHAnsi" w:cstheme="majorHAnsi"/>
          <w:color w:val="000000" w:themeColor="text1"/>
          <w:sz w:val="22"/>
          <w:szCs w:val="22"/>
          <w:lang w:eastAsia="en-GB"/>
        </w:rPr>
        <w:t xml:space="preserve"> </w:t>
      </w:r>
      <w:r w:rsidRPr="005764EC">
        <w:rPr>
          <w:rFonts w:asciiTheme="majorHAnsi" w:eastAsia="Times New Roman" w:hAnsiTheme="majorHAnsi" w:cstheme="majorHAnsi"/>
          <w:color w:val="000000" w:themeColor="text1"/>
          <w:sz w:val="22"/>
          <w:szCs w:val="22"/>
          <w:shd w:val="clear" w:color="auto" w:fill="FFFFFF"/>
          <w:lang w:eastAsia="en-GB"/>
        </w:rPr>
        <w:t>2020; </w:t>
      </w:r>
      <w:r w:rsidRPr="005764EC">
        <w:rPr>
          <w:rFonts w:asciiTheme="majorHAnsi" w:eastAsia="Times New Roman" w:hAnsiTheme="majorHAnsi" w:cstheme="majorHAnsi"/>
          <w:color w:val="000000" w:themeColor="text1"/>
          <w:sz w:val="22"/>
          <w:szCs w:val="22"/>
          <w:lang w:eastAsia="en-GB"/>
        </w:rPr>
        <w:t>26</w:t>
      </w:r>
      <w:r w:rsidRPr="005764EC">
        <w:rPr>
          <w:rFonts w:asciiTheme="majorHAnsi" w:eastAsia="Times New Roman" w:hAnsiTheme="majorHAnsi" w:cstheme="majorHAnsi"/>
          <w:color w:val="000000" w:themeColor="text1"/>
          <w:sz w:val="22"/>
          <w:szCs w:val="22"/>
          <w:shd w:val="clear" w:color="auto" w:fill="FFFFFF"/>
          <w:lang w:eastAsia="en-GB"/>
        </w:rPr>
        <w:t>: 309–13.</w:t>
      </w:r>
    </w:p>
    <w:p w14:paraId="2815BFCC" w14:textId="77777777" w:rsidR="005764EC" w:rsidRPr="005764EC" w:rsidRDefault="005764EC" w:rsidP="005764EC">
      <w:pPr>
        <w:spacing w:line="360" w:lineRule="auto"/>
        <w:jc w:val="both"/>
        <w:rPr>
          <w:rFonts w:asciiTheme="majorHAnsi" w:hAnsiTheme="majorHAnsi" w:cstheme="majorHAnsi"/>
          <w:color w:val="000000" w:themeColor="text1"/>
          <w:sz w:val="22"/>
          <w:szCs w:val="22"/>
        </w:rPr>
      </w:pPr>
    </w:p>
    <w:p w14:paraId="656BC1D6" w14:textId="35AF4B15" w:rsidR="005764EC" w:rsidRPr="005764EC" w:rsidRDefault="005764EC" w:rsidP="005764EC">
      <w:pPr>
        <w:spacing w:line="360" w:lineRule="auto"/>
        <w:jc w:val="both"/>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shd w:val="clear" w:color="auto" w:fill="FFFFFF"/>
        </w:rPr>
        <w:t>UK Government</w:t>
      </w:r>
      <w:r>
        <w:rPr>
          <w:rFonts w:asciiTheme="majorHAnsi" w:hAnsiTheme="majorHAnsi" w:cstheme="majorHAnsi"/>
          <w:color w:val="000000" w:themeColor="text1"/>
          <w:sz w:val="22"/>
          <w:szCs w:val="22"/>
          <w:shd w:val="clear" w:color="auto" w:fill="FFFFFF"/>
        </w:rPr>
        <w:t xml:space="preserve"> (2022) </w:t>
      </w:r>
      <w:r w:rsidRPr="005764EC">
        <w:rPr>
          <w:rStyle w:val="ref-journal"/>
          <w:rFonts w:asciiTheme="majorHAnsi" w:hAnsiTheme="majorHAnsi" w:cstheme="majorHAnsi"/>
          <w:i/>
          <w:iCs/>
          <w:color w:val="000000" w:themeColor="text1"/>
          <w:sz w:val="22"/>
          <w:szCs w:val="22"/>
        </w:rPr>
        <w:t>£79 Million to Boost Mental Health Support for Children and Young People</w:t>
      </w:r>
      <w:r w:rsidRPr="005764EC">
        <w:rPr>
          <w:rFonts w:asciiTheme="majorHAnsi" w:hAnsiTheme="majorHAnsi" w:cstheme="majorHAnsi"/>
          <w:i/>
          <w:iCs/>
          <w:color w:val="000000" w:themeColor="text1"/>
          <w:sz w:val="22"/>
          <w:szCs w:val="22"/>
          <w:shd w:val="clear" w:color="auto" w:fill="FFFFFF"/>
        </w:rPr>
        <w:t>. Department of Health and Social Care, 2021.</w:t>
      </w:r>
      <w:r w:rsidRPr="005764EC">
        <w:rPr>
          <w:rFonts w:asciiTheme="majorHAnsi" w:hAnsiTheme="majorHAnsi" w:cstheme="majorHAnsi"/>
          <w:color w:val="000000" w:themeColor="text1"/>
          <w:sz w:val="22"/>
          <w:szCs w:val="22"/>
          <w:shd w:val="clear" w:color="auto" w:fill="FFFFFF"/>
        </w:rPr>
        <w:t xml:space="preserve"> (</w:t>
      </w:r>
      <w:hyperlink r:id="rId19" w:history="1">
        <w:r w:rsidRPr="005764EC">
          <w:rPr>
            <w:rStyle w:val="Hyperlink"/>
            <w:rFonts w:asciiTheme="majorHAnsi" w:hAnsiTheme="majorHAnsi" w:cstheme="majorHAnsi"/>
            <w:color w:val="000000" w:themeColor="text1"/>
            <w:sz w:val="22"/>
            <w:szCs w:val="22"/>
            <w:u w:val="none"/>
          </w:rPr>
          <w:t>https://www.gov.uk/government/news/79-million-to-boost-mental-health-support-for-children-and-young-people</w:t>
        </w:r>
      </w:hyperlink>
      <w:r w:rsidRPr="005764EC">
        <w:rPr>
          <w:rFonts w:asciiTheme="majorHAnsi" w:hAnsiTheme="majorHAnsi" w:cstheme="majorHAnsi"/>
          <w:color w:val="000000" w:themeColor="text1"/>
          <w:sz w:val="22"/>
          <w:szCs w:val="22"/>
          <w:shd w:val="clear" w:color="auto" w:fill="FFFFFF"/>
        </w:rPr>
        <w:t>).</w:t>
      </w:r>
      <w:r w:rsidRPr="005764EC">
        <w:rPr>
          <w:rStyle w:val="apple-converted-space"/>
          <w:rFonts w:asciiTheme="majorHAnsi" w:hAnsiTheme="majorHAnsi" w:cstheme="majorHAnsi"/>
          <w:color w:val="000000" w:themeColor="text1"/>
          <w:sz w:val="22"/>
          <w:szCs w:val="22"/>
          <w:shd w:val="clear" w:color="auto" w:fill="FFFFFF"/>
        </w:rPr>
        <w:t> </w:t>
      </w:r>
    </w:p>
    <w:p w14:paraId="71F80894" w14:textId="77777777" w:rsidR="005764EC" w:rsidRPr="005764EC" w:rsidRDefault="005764EC" w:rsidP="005764EC">
      <w:pPr>
        <w:spacing w:line="360" w:lineRule="auto"/>
        <w:jc w:val="both"/>
        <w:rPr>
          <w:rFonts w:asciiTheme="majorHAnsi" w:hAnsiTheme="majorHAnsi" w:cstheme="majorHAnsi"/>
          <w:color w:val="000000" w:themeColor="text1"/>
          <w:sz w:val="22"/>
          <w:szCs w:val="22"/>
        </w:rPr>
      </w:pPr>
    </w:p>
    <w:p w14:paraId="536E0DCD" w14:textId="77777777" w:rsidR="005764EC" w:rsidRPr="005764EC" w:rsidRDefault="005764EC" w:rsidP="005764EC">
      <w:pPr>
        <w:spacing w:line="360" w:lineRule="auto"/>
        <w:jc w:val="both"/>
        <w:rPr>
          <w:rFonts w:asciiTheme="majorHAnsi" w:hAnsiTheme="majorHAnsi" w:cstheme="majorHAnsi"/>
          <w:color w:val="000000" w:themeColor="text1"/>
          <w:sz w:val="22"/>
          <w:szCs w:val="22"/>
        </w:rPr>
      </w:pPr>
      <w:r w:rsidRPr="005764EC">
        <w:rPr>
          <w:rFonts w:asciiTheme="majorHAnsi" w:hAnsiTheme="majorHAnsi" w:cstheme="majorHAnsi"/>
          <w:color w:val="000000" w:themeColor="text1"/>
          <w:sz w:val="22"/>
          <w:szCs w:val="22"/>
        </w:rPr>
        <w:t xml:space="preserve">Young Minds (2022) </w:t>
      </w:r>
      <w:r w:rsidRPr="005764EC">
        <w:rPr>
          <w:rFonts w:asciiTheme="majorHAnsi" w:hAnsiTheme="majorHAnsi" w:cstheme="majorHAnsi"/>
          <w:i/>
          <w:iCs/>
          <w:color w:val="000000" w:themeColor="text1"/>
          <w:sz w:val="22"/>
          <w:szCs w:val="22"/>
        </w:rPr>
        <w:t>Coronavirus: Impact on young people with mental illness</w:t>
      </w:r>
      <w:r w:rsidRPr="005764EC">
        <w:rPr>
          <w:rFonts w:asciiTheme="majorHAnsi" w:hAnsiTheme="majorHAnsi" w:cstheme="majorHAnsi"/>
          <w:color w:val="000000" w:themeColor="text1"/>
          <w:sz w:val="22"/>
          <w:szCs w:val="22"/>
        </w:rPr>
        <w:t xml:space="preserve">. Available at: </w:t>
      </w:r>
      <w:hyperlink r:id="rId20" w:history="1">
        <w:r w:rsidRPr="005764EC">
          <w:rPr>
            <w:rStyle w:val="Hyperlink"/>
            <w:rFonts w:asciiTheme="majorHAnsi" w:hAnsiTheme="majorHAnsi" w:cstheme="majorHAnsi"/>
            <w:color w:val="000000" w:themeColor="text1"/>
            <w:sz w:val="22"/>
            <w:szCs w:val="22"/>
            <w:u w:val="none"/>
          </w:rPr>
          <w:t>https://www.youngminds.org.uk/media/04apxfrt/youngminds-coronavirus-report-summer-2020.pdf</w:t>
        </w:r>
      </w:hyperlink>
      <w:r w:rsidRPr="005764EC">
        <w:rPr>
          <w:rFonts w:asciiTheme="majorHAnsi" w:hAnsiTheme="majorHAnsi" w:cstheme="majorHAnsi"/>
          <w:color w:val="000000" w:themeColor="text1"/>
          <w:sz w:val="22"/>
          <w:szCs w:val="22"/>
        </w:rPr>
        <w:t xml:space="preserve"> (accessed on: 31/03/2022)</w:t>
      </w:r>
    </w:p>
    <w:p w14:paraId="40144B03" w14:textId="77777777" w:rsidR="005764EC" w:rsidRPr="005764EC" w:rsidRDefault="005764EC" w:rsidP="005764EC">
      <w:pPr>
        <w:spacing w:line="360" w:lineRule="auto"/>
        <w:jc w:val="both"/>
        <w:rPr>
          <w:rFonts w:asciiTheme="majorHAnsi" w:hAnsiTheme="majorHAnsi" w:cstheme="majorHAnsi"/>
          <w:color w:val="000000" w:themeColor="text1"/>
          <w:sz w:val="22"/>
          <w:szCs w:val="22"/>
        </w:rPr>
      </w:pPr>
    </w:p>
    <w:p w14:paraId="481371F8" w14:textId="77777777" w:rsidR="005764EC" w:rsidRPr="005764EC" w:rsidRDefault="005764EC" w:rsidP="005764EC">
      <w:pPr>
        <w:spacing w:line="360" w:lineRule="auto"/>
        <w:jc w:val="both"/>
        <w:rPr>
          <w:rFonts w:asciiTheme="majorHAnsi" w:hAnsiTheme="majorHAnsi" w:cstheme="majorHAnsi"/>
          <w:color w:val="000000" w:themeColor="text1"/>
          <w:sz w:val="22"/>
          <w:szCs w:val="22"/>
        </w:rPr>
      </w:pPr>
    </w:p>
    <w:p w14:paraId="5CF99580" w14:textId="77777777" w:rsidR="005764EC" w:rsidRPr="005764EC" w:rsidRDefault="005764EC" w:rsidP="005764EC">
      <w:pPr>
        <w:spacing w:line="360" w:lineRule="auto"/>
        <w:jc w:val="both"/>
        <w:rPr>
          <w:rFonts w:asciiTheme="majorHAnsi" w:hAnsiTheme="majorHAnsi" w:cstheme="majorHAnsi"/>
          <w:color w:val="000000" w:themeColor="text1"/>
          <w:sz w:val="22"/>
          <w:szCs w:val="22"/>
        </w:rPr>
      </w:pPr>
    </w:p>
    <w:sectPr w:rsidR="005764EC" w:rsidRPr="005764EC" w:rsidSect="006A64A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4EC"/>
    <w:rsid w:val="00123441"/>
    <w:rsid w:val="004238F6"/>
    <w:rsid w:val="005764EC"/>
    <w:rsid w:val="006A64AC"/>
    <w:rsid w:val="00FF6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7E6C8E"/>
  <w15:chartTrackingRefBased/>
  <w15:docId w15:val="{B3AA25F9-DF21-E442-AF59-A896349F8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764E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4E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5764EC"/>
    <w:rPr>
      <w:color w:val="0563C1" w:themeColor="hyperlink"/>
      <w:u w:val="single"/>
    </w:rPr>
  </w:style>
  <w:style w:type="character" w:customStyle="1" w:styleId="highwire-cite-journal">
    <w:name w:val="highwire-cite-journal"/>
    <w:basedOn w:val="DefaultParagraphFont"/>
    <w:rsid w:val="005764EC"/>
  </w:style>
  <w:style w:type="character" w:customStyle="1" w:styleId="apple-converted-space">
    <w:name w:val="apple-converted-space"/>
    <w:basedOn w:val="DefaultParagraphFont"/>
    <w:rsid w:val="005764EC"/>
  </w:style>
  <w:style w:type="character" w:customStyle="1" w:styleId="highwire-cite-published-year">
    <w:name w:val="highwire-cite-published-year"/>
    <w:basedOn w:val="DefaultParagraphFont"/>
    <w:rsid w:val="005764EC"/>
  </w:style>
  <w:style w:type="character" w:customStyle="1" w:styleId="highwire-cite-volume-issue">
    <w:name w:val="highwire-cite-volume-issue"/>
    <w:basedOn w:val="DefaultParagraphFont"/>
    <w:rsid w:val="005764EC"/>
  </w:style>
  <w:style w:type="character" w:customStyle="1" w:styleId="highwire-cite-doi">
    <w:name w:val="highwire-cite-doi"/>
    <w:basedOn w:val="DefaultParagraphFont"/>
    <w:rsid w:val="005764EC"/>
  </w:style>
  <w:style w:type="character" w:customStyle="1" w:styleId="highwire-cite-date">
    <w:name w:val="highwire-cite-date"/>
    <w:basedOn w:val="DefaultParagraphFont"/>
    <w:rsid w:val="005764EC"/>
  </w:style>
  <w:style w:type="character" w:customStyle="1" w:styleId="ref-journal">
    <w:name w:val="ref-journal"/>
    <w:basedOn w:val="DefaultParagraphFont"/>
    <w:rsid w:val="005764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item/02-03-2022-covid-19-pandemic-triggers-25-increase-in-prevalence-of-anxiety-and-depression-worldwide" TargetMode="External"/><Relationship Id="rId13" Type="http://schemas.openxmlformats.org/officeDocument/2006/relationships/hyperlink" Target="https://www.centreformentalhealth.org.uk/news/covid-19-could-widen-mental-health-inequalities-generation-says-centre-mental-health-report" TargetMode="External"/><Relationship Id="rId18" Type="http://schemas.openxmlformats.org/officeDocument/2006/relationships/hyperlink" Target="https://doi.org/10.1136/bmj.o430"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bmj.com/content/369/bmj.m1815?gclid=EAIaIQobChMI-OLa4N-z9wIVQu7tCh2RQgcXEAMYASAAEgKfv_D_BwE" TargetMode="External"/><Relationship Id="rId12" Type="http://schemas.openxmlformats.org/officeDocument/2006/relationships/hyperlink" Target="https://www.instituteofhealthequity.org/resources-reports/build-back-fairer-the-covid-19-marmot-review" TargetMode="External"/><Relationship Id="rId17" Type="http://schemas.openxmlformats.org/officeDocument/2006/relationships/hyperlink" Target="https://www.gov.uk/government/publications/guidance-on-shielding-and-protecting-extremely-vulnerable-persons-from-covid-19" TargetMode="External"/><Relationship Id="rId2" Type="http://schemas.openxmlformats.org/officeDocument/2006/relationships/settings" Target="settings.xml"/><Relationship Id="rId16" Type="http://schemas.openxmlformats.org/officeDocument/2006/relationships/hyperlink" Target="https://www.gov.uk/government/publications/guidance-on-shielding-and-protecting-extremely-vulnerable-persons-from-covid-19" TargetMode="External"/><Relationship Id="rId20" Type="http://schemas.openxmlformats.org/officeDocument/2006/relationships/hyperlink" Target="https://www.youngminds.org.uk/media/04apxfrt/youngminds-coronavirus-report-summer-2020.pdf" TargetMode="External"/><Relationship Id="rId1" Type="http://schemas.openxmlformats.org/officeDocument/2006/relationships/styles" Target="styles.xml"/><Relationship Id="rId6" Type="http://schemas.openxmlformats.org/officeDocument/2006/relationships/hyperlink" Target="https://www.pssru.ac.uk/blog/the-impact-of-covid-19-on-social-care-workers-workload/" TargetMode="External"/><Relationship Id="rId11" Type="http://schemas.openxmlformats.org/officeDocument/2006/relationships/hyperlink" Target="https://www.covidsocialstudy.org" TargetMode="External"/><Relationship Id="rId5" Type="http://schemas.openxmlformats.org/officeDocument/2006/relationships/hyperlink" Target="https://www.qni.org.uk/wp-content/uploads/2020/08/The-Experience-of-Care-Home-Staff-During-Covid-19-2.pdf" TargetMode="External"/><Relationship Id="rId15" Type="http://schemas.openxmlformats.org/officeDocument/2006/relationships/hyperlink" Target="https://www.alzheimers.org.uk/sites/default/files/2020-09/Worst-hit-Dementia-during-coronavirus-report.pdf" TargetMode="External"/><Relationship Id="rId10" Type="http://schemas.openxmlformats.org/officeDocument/2006/relationships/hyperlink" Target="https://www.health.org.uk/news-and-comment/blogs/emerging-evidence-on-covid-19s-impact-on-mental-health-and-health" TargetMode="External"/><Relationship Id="rId19" Type="http://schemas.openxmlformats.org/officeDocument/2006/relationships/hyperlink" Target="https://www.gov.uk/government/news/79-million-to-boost-mental-health-support-for-children-and-young-people" TargetMode="External"/><Relationship Id="rId4" Type="http://schemas.openxmlformats.org/officeDocument/2006/relationships/hyperlink" Target="https://www.health.org.uk/publications/long-reads/spending-review-2020" TargetMode="External"/><Relationship Id="rId9" Type="http://schemas.openxmlformats.org/officeDocument/2006/relationships/hyperlink" Target="https://icd.who.int/browse11/l-m/en" TargetMode="External"/><Relationship Id="rId14" Type="http://schemas.openxmlformats.org/officeDocument/2006/relationships/hyperlink" Target="https://www.bacp.co.uk/news/news-from-bacp/coronavirus/archive/covid-19-campaign/17-november-coronavirus-psychological-impact-on-older-peopl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2711</Words>
  <Characters>15459</Characters>
  <Application>Microsoft Office Word</Application>
  <DocSecurity>0</DocSecurity>
  <Lines>128</Lines>
  <Paragraphs>36</Paragraphs>
  <ScaleCrop>false</ScaleCrop>
  <Company/>
  <LinksUpToDate>false</LinksUpToDate>
  <CharactersWithSpaces>18134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Leyson</dc:creator>
  <cp:keywords/>
  <dc:description/>
  <cp:lastModifiedBy>Jo Leyson</cp:lastModifiedBy>
  <cp:revision>2</cp:revision>
  <dcterms:created xsi:type="dcterms:W3CDTF">2022-04-27T22:01:00Z</dcterms:created>
  <dcterms:modified xsi:type="dcterms:W3CDTF">2022-04-27T22:01:00Z</dcterms:modified>
</cp:coreProperties>
</file>