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47C4A" w14:textId="77777777" w:rsidR="007B63D8" w:rsidRDefault="007B63D8" w:rsidP="00F0245E">
      <w:pPr>
        <w:spacing w:line="360" w:lineRule="auto"/>
        <w:rPr>
          <w:rFonts w:asciiTheme="majorHAnsi" w:hAnsiTheme="majorHAnsi"/>
          <w:b/>
          <w:bCs/>
          <w:sz w:val="24"/>
          <w:szCs w:val="24"/>
        </w:rPr>
      </w:pPr>
    </w:p>
    <w:p w14:paraId="0A684567" w14:textId="77777777" w:rsidR="00907556" w:rsidRPr="00667575" w:rsidRDefault="00907556" w:rsidP="00907556">
      <w:pPr>
        <w:spacing w:line="360" w:lineRule="auto"/>
        <w:jc w:val="center"/>
        <w:rPr>
          <w:sz w:val="24"/>
          <w:szCs w:val="24"/>
        </w:rPr>
      </w:pPr>
      <w:r w:rsidRPr="00667575">
        <w:rPr>
          <w:noProof/>
          <w:sz w:val="24"/>
          <w:szCs w:val="24"/>
        </w:rPr>
        <w:drawing>
          <wp:inline distT="0" distB="0" distL="0" distR="0" wp14:anchorId="73FC0694" wp14:editId="26954B8F">
            <wp:extent cx="3383280" cy="1356360"/>
            <wp:effectExtent l="0" t="0" r="7620" b="0"/>
            <wp:docPr id="148842393" name="Picture 3" descr="UWTSD Policy Template with blank p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Policy Template with blank page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6149C067" w14:textId="6ED57D50" w:rsidR="00963899" w:rsidRPr="00963899" w:rsidRDefault="00907556" w:rsidP="00C91752">
      <w:pPr>
        <w:spacing w:line="360" w:lineRule="auto"/>
        <w:jc w:val="center"/>
        <w:rPr>
          <w:sz w:val="24"/>
          <w:szCs w:val="24"/>
          <w:lang w:bidi="en-GB"/>
        </w:rPr>
      </w:pPr>
      <w:r w:rsidRPr="000A5A32">
        <w:rPr>
          <w:b/>
          <w:bCs/>
          <w:sz w:val="24"/>
          <w:szCs w:val="24"/>
          <w:u w:val="single"/>
          <w:lang w:bidi="en-GB"/>
        </w:rPr>
        <w:t>Title</w:t>
      </w:r>
      <w:r w:rsidRPr="000A5A32">
        <w:rPr>
          <w:sz w:val="24"/>
          <w:szCs w:val="24"/>
          <w:lang w:bidi="en-GB"/>
        </w:rPr>
        <w:t>:</w:t>
      </w:r>
      <w:r w:rsidRPr="00C91752">
        <w:rPr>
          <w:sz w:val="24"/>
          <w:szCs w:val="24"/>
          <w:lang w:bidi="en-GB"/>
        </w:rPr>
        <w:t xml:space="preserve"> </w:t>
      </w:r>
      <w:r w:rsidR="00B1241E" w:rsidRPr="00B1241E">
        <w:rPr>
          <w:sz w:val="24"/>
          <w:szCs w:val="24"/>
          <w:lang w:bidi="en-GB"/>
        </w:rPr>
        <w:t>Critically Evaluating Change Management and Quality Outcomes in Health and Social Care: The Case of NHS Digital Transformation</w:t>
      </w:r>
      <w:r w:rsidR="00B1241E">
        <w:rPr>
          <w:sz w:val="24"/>
          <w:szCs w:val="24"/>
          <w:lang w:bidi="en-GB"/>
        </w:rPr>
        <w:t>.</w:t>
      </w:r>
    </w:p>
    <w:p w14:paraId="462288C1" w14:textId="170621C2" w:rsidR="00907556" w:rsidRPr="00C91752" w:rsidRDefault="00907556" w:rsidP="00C91752">
      <w:pPr>
        <w:spacing w:line="360" w:lineRule="auto"/>
        <w:jc w:val="center"/>
        <w:rPr>
          <w:b/>
          <w:bCs/>
          <w:sz w:val="24"/>
          <w:szCs w:val="24"/>
          <w:u w:val="single"/>
          <w:lang w:bidi="en-GB"/>
        </w:rPr>
      </w:pPr>
      <w:r w:rsidRPr="00667575">
        <w:rPr>
          <w:b/>
          <w:bCs/>
          <w:sz w:val="24"/>
          <w:szCs w:val="24"/>
          <w:u w:val="single"/>
          <w:lang w:bidi="en-GB"/>
        </w:rPr>
        <w:t>Course:</w:t>
      </w:r>
      <w:r w:rsidRPr="00667575">
        <w:rPr>
          <w:b/>
          <w:bCs/>
          <w:sz w:val="24"/>
          <w:szCs w:val="24"/>
          <w:lang w:bidi="en-GB"/>
        </w:rPr>
        <w:t xml:space="preserve"> </w:t>
      </w:r>
      <w:r w:rsidRPr="00667575">
        <w:rPr>
          <w:sz w:val="24"/>
          <w:szCs w:val="24"/>
          <w:lang w:bidi="en-GB"/>
        </w:rPr>
        <w:t>Health and Care Management BSc (Hons)</w:t>
      </w:r>
    </w:p>
    <w:p w14:paraId="35E540AF" w14:textId="6E6FB28E" w:rsidR="00907556" w:rsidRPr="00B1241E" w:rsidRDefault="00907556" w:rsidP="00B1241E">
      <w:pPr>
        <w:spacing w:line="360" w:lineRule="auto"/>
        <w:jc w:val="center"/>
        <w:rPr>
          <w:b/>
          <w:bCs/>
          <w:sz w:val="24"/>
          <w:szCs w:val="24"/>
          <w:lang w:bidi="en-GB"/>
        </w:rPr>
      </w:pPr>
      <w:r w:rsidRPr="00667575">
        <w:rPr>
          <w:b/>
          <w:bCs/>
          <w:sz w:val="24"/>
          <w:szCs w:val="24"/>
          <w:u w:val="single"/>
          <w:lang w:bidi="en-GB"/>
        </w:rPr>
        <w:t>Module:</w:t>
      </w:r>
      <w:r w:rsidRPr="00667575">
        <w:rPr>
          <w:b/>
          <w:bCs/>
          <w:sz w:val="24"/>
          <w:szCs w:val="24"/>
          <w:lang w:bidi="en-GB"/>
        </w:rPr>
        <w:t xml:space="preserve"> </w:t>
      </w:r>
      <w:r w:rsidR="00E21759" w:rsidRPr="00B1241E">
        <w:rPr>
          <w:sz w:val="24"/>
          <w:szCs w:val="24"/>
          <w:lang w:bidi="en-GB"/>
        </w:rPr>
        <w:t>Facilitating Change and Managing Quality Outcomes in Health Ecosystems </w:t>
      </w:r>
    </w:p>
    <w:p w14:paraId="36EF5AFB" w14:textId="77777777" w:rsidR="00907556" w:rsidRPr="00667575" w:rsidRDefault="00907556" w:rsidP="00907556">
      <w:pPr>
        <w:spacing w:line="360" w:lineRule="auto"/>
        <w:jc w:val="center"/>
        <w:rPr>
          <w:b/>
          <w:bCs/>
          <w:sz w:val="24"/>
          <w:szCs w:val="24"/>
          <w:lang w:bidi="en-GB"/>
        </w:rPr>
      </w:pPr>
      <w:r w:rsidRPr="00667575">
        <w:rPr>
          <w:b/>
          <w:bCs/>
          <w:sz w:val="24"/>
          <w:szCs w:val="24"/>
          <w:u w:val="single"/>
          <w:lang w:bidi="en-GB"/>
        </w:rPr>
        <w:t>Module code:</w:t>
      </w:r>
      <w:r w:rsidRPr="00667575">
        <w:rPr>
          <w:b/>
          <w:bCs/>
          <w:sz w:val="24"/>
          <w:szCs w:val="24"/>
          <w:lang w:bidi="en-GB"/>
        </w:rPr>
        <w:t xml:space="preserve"> </w:t>
      </w:r>
      <w:r w:rsidRPr="000A5A32">
        <w:rPr>
          <w:sz w:val="24"/>
          <w:szCs w:val="24"/>
          <w:lang w:bidi="en-GB"/>
        </w:rPr>
        <w:t>BMHP6020</w:t>
      </w:r>
    </w:p>
    <w:p w14:paraId="17822E1F" w14:textId="77777777" w:rsidR="00907556" w:rsidRPr="00667575" w:rsidRDefault="00907556" w:rsidP="00907556">
      <w:pPr>
        <w:spacing w:line="360" w:lineRule="auto"/>
        <w:jc w:val="center"/>
        <w:rPr>
          <w:b/>
          <w:bCs/>
          <w:sz w:val="24"/>
          <w:szCs w:val="24"/>
          <w:lang w:bidi="en-GB"/>
        </w:rPr>
      </w:pPr>
      <w:r w:rsidRPr="00667575">
        <w:rPr>
          <w:b/>
          <w:bCs/>
          <w:sz w:val="24"/>
          <w:szCs w:val="24"/>
          <w:u w:val="single"/>
          <w:lang w:bidi="en-GB"/>
        </w:rPr>
        <w:t>Name:</w:t>
      </w:r>
      <w:r w:rsidRPr="00667575">
        <w:rPr>
          <w:b/>
          <w:bCs/>
          <w:sz w:val="24"/>
          <w:szCs w:val="24"/>
          <w:lang w:bidi="en-GB"/>
        </w:rPr>
        <w:t xml:space="preserve"> </w:t>
      </w:r>
      <w:r w:rsidRPr="00667575">
        <w:rPr>
          <w:sz w:val="24"/>
          <w:szCs w:val="24"/>
          <w:lang w:bidi="en-GB"/>
        </w:rPr>
        <w:t>Stacey King</w:t>
      </w:r>
    </w:p>
    <w:p w14:paraId="7830140E" w14:textId="77777777" w:rsidR="00907556" w:rsidRPr="00667575" w:rsidRDefault="00907556" w:rsidP="00907556">
      <w:pPr>
        <w:spacing w:line="360" w:lineRule="auto"/>
        <w:jc w:val="center"/>
        <w:rPr>
          <w:b/>
          <w:bCs/>
          <w:sz w:val="24"/>
          <w:szCs w:val="24"/>
          <w:lang w:bidi="en-GB"/>
        </w:rPr>
      </w:pPr>
      <w:r w:rsidRPr="00667575">
        <w:rPr>
          <w:b/>
          <w:bCs/>
          <w:sz w:val="24"/>
          <w:szCs w:val="24"/>
          <w:u w:val="single"/>
          <w:lang w:bidi="en-GB"/>
        </w:rPr>
        <w:t>Student Number:</w:t>
      </w:r>
      <w:r w:rsidRPr="00667575">
        <w:rPr>
          <w:b/>
          <w:bCs/>
          <w:sz w:val="24"/>
          <w:szCs w:val="24"/>
          <w:lang w:bidi="en-GB"/>
        </w:rPr>
        <w:t xml:space="preserve"> </w:t>
      </w:r>
      <w:r w:rsidRPr="00667575">
        <w:rPr>
          <w:sz w:val="24"/>
          <w:szCs w:val="24"/>
          <w:lang w:bidi="en-GB"/>
        </w:rPr>
        <w:t>2114341</w:t>
      </w:r>
    </w:p>
    <w:p w14:paraId="677E5126" w14:textId="77777777" w:rsidR="00907556" w:rsidRPr="00667575" w:rsidRDefault="00907556" w:rsidP="00907556">
      <w:pPr>
        <w:spacing w:line="360" w:lineRule="auto"/>
        <w:jc w:val="center"/>
        <w:rPr>
          <w:sz w:val="24"/>
          <w:szCs w:val="24"/>
          <w:lang w:bidi="en-GB"/>
        </w:rPr>
      </w:pPr>
      <w:r w:rsidRPr="00667575">
        <w:rPr>
          <w:b/>
          <w:bCs/>
          <w:sz w:val="24"/>
          <w:szCs w:val="24"/>
          <w:u w:val="single"/>
          <w:lang w:bidi="en-GB"/>
        </w:rPr>
        <w:t xml:space="preserve">Date: </w:t>
      </w:r>
      <w:r w:rsidRPr="00667575">
        <w:rPr>
          <w:sz w:val="24"/>
          <w:szCs w:val="24"/>
          <w:lang w:bidi="en-GB"/>
        </w:rPr>
        <w:t>8</w:t>
      </w:r>
      <w:r w:rsidRPr="00667575">
        <w:rPr>
          <w:sz w:val="24"/>
          <w:szCs w:val="24"/>
          <w:vertAlign w:val="superscript"/>
          <w:lang w:bidi="en-GB"/>
        </w:rPr>
        <w:t>th</w:t>
      </w:r>
      <w:r w:rsidRPr="00667575">
        <w:rPr>
          <w:sz w:val="24"/>
          <w:szCs w:val="24"/>
          <w:lang w:bidi="en-GB"/>
        </w:rPr>
        <w:t xml:space="preserve"> May 2026</w:t>
      </w:r>
    </w:p>
    <w:p w14:paraId="24D3A2C7" w14:textId="77777777" w:rsidR="007B63D8" w:rsidRDefault="007B63D8" w:rsidP="00F0245E">
      <w:pPr>
        <w:spacing w:line="360" w:lineRule="auto"/>
        <w:rPr>
          <w:rFonts w:asciiTheme="majorHAnsi" w:hAnsiTheme="majorHAnsi"/>
          <w:b/>
          <w:bCs/>
          <w:sz w:val="24"/>
          <w:szCs w:val="24"/>
        </w:rPr>
      </w:pPr>
    </w:p>
    <w:p w14:paraId="5520E08F" w14:textId="77777777" w:rsidR="007B63D8" w:rsidRDefault="007B63D8" w:rsidP="00F0245E">
      <w:pPr>
        <w:spacing w:line="360" w:lineRule="auto"/>
        <w:rPr>
          <w:rFonts w:asciiTheme="majorHAnsi" w:hAnsiTheme="majorHAnsi"/>
          <w:b/>
          <w:bCs/>
          <w:sz w:val="24"/>
          <w:szCs w:val="24"/>
        </w:rPr>
      </w:pPr>
    </w:p>
    <w:p w14:paraId="49CBBCE2" w14:textId="77777777" w:rsidR="007B63D8" w:rsidRDefault="007B63D8" w:rsidP="00F0245E">
      <w:pPr>
        <w:spacing w:line="360" w:lineRule="auto"/>
        <w:rPr>
          <w:rFonts w:asciiTheme="majorHAnsi" w:hAnsiTheme="majorHAnsi"/>
          <w:b/>
          <w:bCs/>
          <w:sz w:val="24"/>
          <w:szCs w:val="24"/>
        </w:rPr>
      </w:pPr>
    </w:p>
    <w:p w14:paraId="074FDAA9" w14:textId="77777777" w:rsidR="007B63D8" w:rsidRDefault="007B63D8" w:rsidP="00F0245E">
      <w:pPr>
        <w:spacing w:line="360" w:lineRule="auto"/>
        <w:rPr>
          <w:rFonts w:asciiTheme="majorHAnsi" w:hAnsiTheme="majorHAnsi"/>
          <w:b/>
          <w:bCs/>
          <w:sz w:val="24"/>
          <w:szCs w:val="24"/>
        </w:rPr>
      </w:pPr>
    </w:p>
    <w:p w14:paraId="744D1744" w14:textId="77777777" w:rsidR="007B63D8" w:rsidRDefault="007B63D8" w:rsidP="00F0245E">
      <w:pPr>
        <w:spacing w:line="360" w:lineRule="auto"/>
        <w:rPr>
          <w:rFonts w:asciiTheme="majorHAnsi" w:hAnsiTheme="majorHAnsi"/>
          <w:b/>
          <w:bCs/>
          <w:sz w:val="24"/>
          <w:szCs w:val="24"/>
        </w:rPr>
      </w:pPr>
    </w:p>
    <w:p w14:paraId="48074BFA" w14:textId="77777777" w:rsidR="007B63D8" w:rsidRDefault="007B63D8" w:rsidP="00F0245E">
      <w:pPr>
        <w:spacing w:line="360" w:lineRule="auto"/>
        <w:rPr>
          <w:rFonts w:asciiTheme="majorHAnsi" w:hAnsiTheme="majorHAnsi"/>
          <w:b/>
          <w:bCs/>
          <w:sz w:val="24"/>
          <w:szCs w:val="24"/>
        </w:rPr>
      </w:pPr>
    </w:p>
    <w:p w14:paraId="57638F37" w14:textId="77777777" w:rsidR="007B63D8" w:rsidRDefault="007B63D8" w:rsidP="00F0245E">
      <w:pPr>
        <w:spacing w:line="360" w:lineRule="auto"/>
        <w:rPr>
          <w:rFonts w:asciiTheme="majorHAnsi" w:hAnsiTheme="majorHAnsi"/>
          <w:b/>
          <w:bCs/>
          <w:sz w:val="24"/>
          <w:szCs w:val="24"/>
        </w:rPr>
      </w:pPr>
    </w:p>
    <w:p w14:paraId="633CFD9B" w14:textId="77777777" w:rsidR="007B63D8" w:rsidRDefault="007B63D8" w:rsidP="00F0245E">
      <w:pPr>
        <w:spacing w:line="360" w:lineRule="auto"/>
        <w:rPr>
          <w:rFonts w:asciiTheme="majorHAnsi" w:hAnsiTheme="majorHAnsi"/>
          <w:b/>
          <w:bCs/>
          <w:sz w:val="24"/>
          <w:szCs w:val="24"/>
        </w:rPr>
      </w:pPr>
    </w:p>
    <w:p w14:paraId="07304836" w14:textId="77777777" w:rsidR="007B63D8" w:rsidRDefault="007B63D8" w:rsidP="00F0245E">
      <w:pPr>
        <w:spacing w:line="360" w:lineRule="auto"/>
        <w:rPr>
          <w:rFonts w:asciiTheme="majorHAnsi" w:hAnsiTheme="majorHAnsi"/>
          <w:b/>
          <w:bCs/>
          <w:sz w:val="24"/>
          <w:szCs w:val="24"/>
        </w:rPr>
      </w:pPr>
    </w:p>
    <w:p w14:paraId="0C5D3409" w14:textId="77777777" w:rsidR="007B63D8" w:rsidRDefault="007B63D8" w:rsidP="00F0245E">
      <w:pPr>
        <w:spacing w:line="360" w:lineRule="auto"/>
        <w:rPr>
          <w:rFonts w:asciiTheme="majorHAnsi" w:hAnsiTheme="majorHAnsi"/>
          <w:b/>
          <w:bCs/>
          <w:sz w:val="24"/>
          <w:szCs w:val="24"/>
        </w:rPr>
      </w:pPr>
    </w:p>
    <w:p w14:paraId="6FF6A711" w14:textId="746E2A77" w:rsidR="0009238C" w:rsidRPr="007C1304" w:rsidRDefault="00B1241E" w:rsidP="00F0245E">
      <w:pPr>
        <w:spacing w:line="360" w:lineRule="auto"/>
        <w:rPr>
          <w:rFonts w:asciiTheme="majorHAnsi" w:hAnsiTheme="majorHAnsi"/>
          <w:sz w:val="24"/>
          <w:szCs w:val="24"/>
          <w:u w:val="single"/>
        </w:rPr>
      </w:pPr>
      <w:r w:rsidRPr="007C1304">
        <w:rPr>
          <w:rFonts w:asciiTheme="majorHAnsi" w:hAnsiTheme="majorHAnsi"/>
          <w:sz w:val="24"/>
          <w:szCs w:val="24"/>
          <w:u w:val="single"/>
        </w:rPr>
        <w:lastRenderedPageBreak/>
        <w:t>Critically Evaluating Change Management and Quality Outcomes in Health and Social Care: The Case of NHS Digital Transformation</w:t>
      </w:r>
    </w:p>
    <w:p w14:paraId="100FD21F" w14:textId="517AD2D2"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Introduction</w:t>
      </w:r>
    </w:p>
    <w:p w14:paraId="49FCA908" w14:textId="25FE0666"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 xml:space="preserve">Change management </w:t>
      </w:r>
      <w:r w:rsidR="003707A8" w:rsidRPr="007C1304">
        <w:rPr>
          <w:rFonts w:asciiTheme="majorHAnsi" w:hAnsiTheme="majorHAnsi"/>
          <w:sz w:val="24"/>
          <w:szCs w:val="24"/>
        </w:rPr>
        <w:t>constitutes an essential</w:t>
      </w:r>
      <w:r w:rsidRPr="006B64BD">
        <w:rPr>
          <w:rFonts w:asciiTheme="majorHAnsi" w:hAnsiTheme="majorHAnsi"/>
          <w:sz w:val="24"/>
          <w:szCs w:val="24"/>
        </w:rPr>
        <w:t xml:space="preserve"> component </w:t>
      </w:r>
      <w:r w:rsidR="003707A8" w:rsidRPr="007C1304">
        <w:rPr>
          <w:rFonts w:asciiTheme="majorHAnsi" w:hAnsiTheme="majorHAnsi"/>
          <w:sz w:val="24"/>
          <w:szCs w:val="24"/>
        </w:rPr>
        <w:t xml:space="preserve">in the context of health and social care systems </w:t>
      </w:r>
      <w:r w:rsidRPr="006B64BD">
        <w:rPr>
          <w:rFonts w:asciiTheme="majorHAnsi" w:hAnsiTheme="majorHAnsi"/>
          <w:sz w:val="24"/>
          <w:szCs w:val="24"/>
        </w:rPr>
        <w:t xml:space="preserve">referring to the structured processes used to transition organisations, services and practices in response to evolving demands, policies and innovations (Burnes, 2020). Within healthcare, change is both inevitable and continuous, driven </w:t>
      </w:r>
      <w:r w:rsidR="003707A8" w:rsidRPr="007C1304">
        <w:rPr>
          <w:rFonts w:asciiTheme="majorHAnsi" w:hAnsiTheme="majorHAnsi"/>
          <w:sz w:val="24"/>
          <w:szCs w:val="24"/>
        </w:rPr>
        <w:t xml:space="preserve">by a diverse set of complex and dynamic </w:t>
      </w:r>
      <w:r w:rsidRPr="006B64BD">
        <w:rPr>
          <w:rFonts w:asciiTheme="majorHAnsi" w:hAnsiTheme="majorHAnsi"/>
          <w:sz w:val="24"/>
          <w:szCs w:val="24"/>
        </w:rPr>
        <w:t>interrelated factors. These include demographic shifts such as an ageing population, increasing prevalence of chronic conditions, rising patient expectations, and ongoing financial pressures within the NHS (Charlesworth and Johnson, 2018). Additionally, rapid technological advancements have accelerated the need for system-wide transformation, particularly in relation to digital healthcare delivery.</w:t>
      </w:r>
    </w:p>
    <w:p w14:paraId="7CED7377" w14:textId="557348C1" w:rsidR="006B64BD" w:rsidRPr="006B64BD" w:rsidRDefault="006B64BD" w:rsidP="007611F2">
      <w:pPr>
        <w:spacing w:line="360" w:lineRule="auto"/>
        <w:rPr>
          <w:rFonts w:asciiTheme="majorHAnsi" w:hAnsiTheme="majorHAnsi"/>
          <w:sz w:val="24"/>
          <w:szCs w:val="24"/>
        </w:rPr>
      </w:pPr>
      <w:r w:rsidRPr="006B64BD">
        <w:rPr>
          <w:rFonts w:asciiTheme="majorHAnsi" w:hAnsiTheme="majorHAnsi"/>
          <w:sz w:val="24"/>
          <w:szCs w:val="24"/>
        </w:rPr>
        <w:t xml:space="preserve">In this context, quality outcomes remain central to health and care provision. </w:t>
      </w:r>
      <w:r w:rsidR="00817714" w:rsidRPr="007C1304">
        <w:rPr>
          <w:rFonts w:asciiTheme="majorHAnsi" w:hAnsiTheme="majorHAnsi"/>
          <w:sz w:val="24"/>
          <w:szCs w:val="24"/>
        </w:rPr>
        <w:t>According to the NHS, high-quality care encompasses dimensions of safety, effectiveness, patient-centredness, timeliness, efficiency and equity (NHS England, 2019).</w:t>
      </w:r>
      <w:r w:rsidRPr="006B64BD">
        <w:rPr>
          <w:rFonts w:asciiTheme="majorHAnsi" w:hAnsiTheme="majorHAnsi"/>
          <w:sz w:val="24"/>
          <w:szCs w:val="24"/>
        </w:rPr>
        <w:t>However, maintaining these standards during periods of significant change presents substantial challenges. Poorly managed change can negatively impact patient safety, staff performance and service delivery, while effective change management</w:t>
      </w:r>
      <w:r w:rsidR="007611F2" w:rsidRPr="007C1304">
        <w:rPr>
          <w:rFonts w:asciiTheme="majorHAnsi" w:hAnsiTheme="majorHAnsi"/>
          <w:sz w:val="24"/>
          <w:szCs w:val="24"/>
        </w:rPr>
        <w:t xml:space="preserve"> offers the potential</w:t>
      </w:r>
      <w:r w:rsidR="003B6FCB" w:rsidRPr="007C1304">
        <w:rPr>
          <w:rFonts w:asciiTheme="majorHAnsi" w:hAnsiTheme="majorHAnsi"/>
          <w:sz w:val="24"/>
          <w:szCs w:val="24"/>
        </w:rPr>
        <w:t xml:space="preserve"> to</w:t>
      </w:r>
      <w:r w:rsidR="003B6FCB" w:rsidRPr="007C1304">
        <w:t xml:space="preserve"> </w:t>
      </w:r>
      <w:r w:rsidR="003B6FCB" w:rsidRPr="007C1304">
        <w:rPr>
          <w:rFonts w:asciiTheme="majorHAnsi" w:hAnsiTheme="majorHAnsi"/>
          <w:sz w:val="24"/>
          <w:szCs w:val="24"/>
        </w:rPr>
        <w:t>strengthen the</w:t>
      </w:r>
      <w:r w:rsidR="007611F2" w:rsidRPr="007C1304">
        <w:rPr>
          <w:rFonts w:asciiTheme="majorHAnsi" w:hAnsiTheme="majorHAnsi"/>
          <w:sz w:val="24"/>
          <w:szCs w:val="24"/>
        </w:rPr>
        <w:t xml:space="preserve"> care delivery</w:t>
      </w:r>
      <w:r w:rsidR="0059475D" w:rsidRPr="007C1304">
        <w:t xml:space="preserve"> </w:t>
      </w:r>
      <w:r w:rsidR="0059475D" w:rsidRPr="007C1304">
        <w:rPr>
          <w:rFonts w:asciiTheme="majorHAnsi" w:hAnsiTheme="majorHAnsi"/>
          <w:sz w:val="24"/>
          <w:szCs w:val="24"/>
        </w:rPr>
        <w:t>and optimise</w:t>
      </w:r>
      <w:r w:rsidRPr="006B64BD">
        <w:rPr>
          <w:rFonts w:asciiTheme="majorHAnsi" w:hAnsiTheme="majorHAnsi"/>
          <w:sz w:val="24"/>
          <w:szCs w:val="24"/>
        </w:rPr>
        <w:t xml:space="preserve"> health outcomes (Kotter, 1996).</w:t>
      </w:r>
    </w:p>
    <w:p w14:paraId="3C739B16" w14:textId="302B56D5"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A key example of strategic change within the UK health system is the digital transformation of the NHS, particularly the</w:t>
      </w:r>
      <w:r w:rsidR="00981D53" w:rsidRPr="007C1304">
        <w:rPr>
          <w:rFonts w:asciiTheme="majorHAnsi" w:hAnsiTheme="majorHAnsi"/>
          <w:sz w:val="24"/>
          <w:szCs w:val="24"/>
        </w:rPr>
        <w:t xml:space="preserve"> integration of electronic health records (EHRs) into practice. </w:t>
      </w:r>
      <w:r w:rsidRPr="006B64BD">
        <w:rPr>
          <w:rFonts w:asciiTheme="majorHAnsi" w:hAnsiTheme="majorHAnsi"/>
          <w:sz w:val="24"/>
          <w:szCs w:val="24"/>
        </w:rPr>
        <w:t>This initiative aims to improve information sharing, enhance clinical decision-making and increase efficiency across healthcare services (Topol, 2019). While digital transformation offers significant opportunities to improve care, it also raises concerns regarding data security, staff training, digital exclusion and the potential impact on patient–professional relationships (Wachter, 2016). As such, it provides a valuable case study for examining the complexities of change management in practice.</w:t>
      </w:r>
    </w:p>
    <w:p w14:paraId="3A116266" w14:textId="28E26B00" w:rsidR="006B64BD" w:rsidRPr="006B64BD" w:rsidRDefault="00FB48EA" w:rsidP="00F0245E">
      <w:pPr>
        <w:spacing w:line="360" w:lineRule="auto"/>
        <w:rPr>
          <w:rFonts w:asciiTheme="majorHAnsi" w:hAnsiTheme="majorHAnsi"/>
          <w:sz w:val="24"/>
          <w:szCs w:val="24"/>
        </w:rPr>
      </w:pPr>
      <w:r w:rsidRPr="007C1304">
        <w:rPr>
          <w:rFonts w:asciiTheme="majorHAnsi" w:hAnsiTheme="majorHAnsi"/>
          <w:sz w:val="24"/>
          <w:szCs w:val="24"/>
        </w:rPr>
        <w:t xml:space="preserve">This essay aims to critically explore the key factors driving change in health and social care systems, </w:t>
      </w:r>
      <w:r w:rsidR="00EB6939" w:rsidRPr="007C1304">
        <w:rPr>
          <w:rFonts w:asciiTheme="majorHAnsi" w:hAnsiTheme="majorHAnsi"/>
          <w:sz w:val="24"/>
          <w:szCs w:val="24"/>
        </w:rPr>
        <w:t>Critically evaluate strategies for managing change</w:t>
      </w:r>
      <w:r w:rsidR="00827B48" w:rsidRPr="007C1304">
        <w:rPr>
          <w:rFonts w:asciiTheme="majorHAnsi" w:hAnsiTheme="majorHAnsi"/>
          <w:sz w:val="24"/>
          <w:szCs w:val="24"/>
        </w:rPr>
        <w:t xml:space="preserve"> </w:t>
      </w:r>
      <w:r w:rsidR="006B64BD" w:rsidRPr="006B64BD">
        <w:rPr>
          <w:rFonts w:asciiTheme="majorHAnsi" w:hAnsiTheme="majorHAnsi"/>
          <w:sz w:val="24"/>
          <w:szCs w:val="24"/>
        </w:rPr>
        <w:t>effectively, and discuss</w:t>
      </w:r>
      <w:r w:rsidR="00EB6939" w:rsidRPr="007C1304">
        <w:rPr>
          <w:rFonts w:asciiTheme="majorHAnsi" w:hAnsiTheme="majorHAnsi"/>
          <w:sz w:val="24"/>
          <w:szCs w:val="24"/>
        </w:rPr>
        <w:t xml:space="preserve"> mechanisms for sustaining quality outcomes </w:t>
      </w:r>
      <w:r w:rsidR="006B64BD" w:rsidRPr="006B64BD">
        <w:rPr>
          <w:rFonts w:asciiTheme="majorHAnsi" w:hAnsiTheme="majorHAnsi"/>
          <w:sz w:val="24"/>
          <w:szCs w:val="24"/>
        </w:rPr>
        <w:t xml:space="preserve">or improved in the context of rapid </w:t>
      </w:r>
      <w:r w:rsidR="006B64BD" w:rsidRPr="006B64BD">
        <w:rPr>
          <w:rFonts w:asciiTheme="majorHAnsi" w:hAnsiTheme="majorHAnsi"/>
          <w:sz w:val="24"/>
          <w:szCs w:val="24"/>
        </w:rPr>
        <w:lastRenderedPageBreak/>
        <w:t>transformation, with particular reference to the NHS digital transformation and the i</w:t>
      </w:r>
      <w:r w:rsidR="007611F2" w:rsidRPr="007C1304">
        <w:rPr>
          <w:rFonts w:asciiTheme="majorHAnsi" w:hAnsiTheme="majorHAnsi"/>
          <w:sz w:val="24"/>
          <w:szCs w:val="24"/>
        </w:rPr>
        <w:t>ntroduction</w:t>
      </w:r>
      <w:r w:rsidR="006B64BD" w:rsidRPr="006B64BD">
        <w:rPr>
          <w:rFonts w:asciiTheme="majorHAnsi" w:hAnsiTheme="majorHAnsi"/>
          <w:sz w:val="24"/>
          <w:szCs w:val="24"/>
        </w:rPr>
        <w:t xml:space="preserve"> of electronic health records.</w:t>
      </w:r>
    </w:p>
    <w:p w14:paraId="4AD4A518" w14:textId="38AEB098"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Drivers of Change in Health and Social Care Systems</w:t>
      </w:r>
    </w:p>
    <w:p w14:paraId="5ACE6B59" w14:textId="77777777"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Change within health and social care systems is driven by a complex interplay of demographic, technological, political and economic factors. These drivers operate across multiple levels, shaping both the need for reform and the way in which change is implemented. Understanding these forces is essential for evaluating the effectiveness of change management strategies, particularly in the context of large-scale transformations such as the digitalisation of the NHS.</w:t>
      </w:r>
    </w:p>
    <w:p w14:paraId="3BF9292C" w14:textId="35058781"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One of the most significant drivers of change is demographic transformation, particularly</w:t>
      </w:r>
      <w:r w:rsidR="00F35297" w:rsidRPr="007C1304">
        <w:rPr>
          <w:rFonts w:asciiTheme="majorHAnsi" w:hAnsiTheme="majorHAnsi"/>
          <w:sz w:val="24"/>
          <w:szCs w:val="24"/>
        </w:rPr>
        <w:t xml:space="preserve"> with</w:t>
      </w:r>
      <w:r w:rsidRPr="006B64BD">
        <w:rPr>
          <w:rFonts w:asciiTheme="majorHAnsi" w:hAnsiTheme="majorHAnsi"/>
          <w:sz w:val="24"/>
          <w:szCs w:val="24"/>
        </w:rPr>
        <w:t xml:space="preserve"> </w:t>
      </w:r>
      <w:r w:rsidR="00F35297" w:rsidRPr="007C1304">
        <w:rPr>
          <w:rFonts w:asciiTheme="majorHAnsi" w:hAnsiTheme="majorHAnsi"/>
          <w:sz w:val="24"/>
          <w:szCs w:val="24"/>
        </w:rPr>
        <w:t>a population with a rising proportion of older adults</w:t>
      </w:r>
      <w:r w:rsidRPr="006B64BD">
        <w:rPr>
          <w:rFonts w:asciiTheme="majorHAnsi" w:hAnsiTheme="majorHAnsi"/>
          <w:sz w:val="24"/>
          <w:szCs w:val="24"/>
        </w:rPr>
        <w:t xml:space="preserve">. In the UK, life expectancy has increased considerably, resulting in a growing proportion of </w:t>
      </w:r>
      <w:r w:rsidR="00FB48EA" w:rsidRPr="007C1304">
        <w:rPr>
          <w:rFonts w:asciiTheme="majorHAnsi" w:hAnsiTheme="majorHAnsi"/>
          <w:sz w:val="24"/>
          <w:szCs w:val="24"/>
        </w:rPr>
        <w:t xml:space="preserve">an ageing population </w:t>
      </w:r>
      <w:r w:rsidR="00C57C9A" w:rsidRPr="007C1304">
        <w:rPr>
          <w:rFonts w:asciiTheme="majorHAnsi" w:hAnsiTheme="majorHAnsi"/>
          <w:sz w:val="24"/>
          <w:szCs w:val="24"/>
        </w:rPr>
        <w:t xml:space="preserve">who have an increased likelihood of experiencing multiple chronic conditions </w:t>
      </w:r>
      <w:r w:rsidRPr="006B64BD">
        <w:rPr>
          <w:rFonts w:asciiTheme="majorHAnsi" w:hAnsiTheme="majorHAnsi"/>
          <w:sz w:val="24"/>
          <w:szCs w:val="24"/>
        </w:rPr>
        <w:t>(Office for National Statistics, 2022). This demographic shift places sustained pressure on healthcare systems, increasing demand for services while also requiring more complex, coordinated care. As a result, traditional models of episodic, hospital-based care are increasingly inadequate, necessitating integrated and digitally supported approaches. Electronic health records (EHRs), for example, have been promoted as a means of improving continuity of care for patients with complex needs by enabling better information sharing across services (Topol, 2019). However, while demographic pressures create a clear rationale for change, they also expose limitations in system capacity, highlighting the need for not only technological solutions but also workforce and structural reform.</w:t>
      </w:r>
    </w:p>
    <w:p w14:paraId="60AD4FC7" w14:textId="2FE8D325"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 xml:space="preserve">Technological advancement represents another key driver, </w:t>
      </w:r>
      <w:r w:rsidR="00D602A8" w:rsidRPr="007C1304">
        <w:rPr>
          <w:rFonts w:asciiTheme="majorHAnsi" w:hAnsiTheme="majorHAnsi"/>
          <w:sz w:val="24"/>
          <w:szCs w:val="24"/>
        </w:rPr>
        <w:t xml:space="preserve">in particular when considering </w:t>
      </w:r>
      <w:r w:rsidRPr="006B64BD">
        <w:rPr>
          <w:rFonts w:asciiTheme="majorHAnsi" w:hAnsiTheme="majorHAnsi"/>
          <w:sz w:val="24"/>
          <w:szCs w:val="24"/>
        </w:rPr>
        <w:t xml:space="preserve">digital health innovations. The implementation of EHRs within the NHS reflects a broader shift towards data-driven healthcare, aimed at improving efficiency, accuracy and clinical decision-making (Wachter, 2016). Digital systems can enhance patient safety by reducing errors, improving access to information and supporting evidence-based practice (Campanella et al., 2016). However, the adoption of technology is not without challenges. Issues such as interoperability between systems, data security concerns and the need for staff training can limit effectiveness (Greenhalgh et al., 2017). Furthermore, the rapid pace of technological </w:t>
      </w:r>
      <w:r w:rsidRPr="006B64BD">
        <w:rPr>
          <w:rFonts w:asciiTheme="majorHAnsi" w:hAnsiTheme="majorHAnsi"/>
          <w:sz w:val="24"/>
          <w:szCs w:val="24"/>
        </w:rPr>
        <w:lastRenderedPageBreak/>
        <w:t>change can outstrip organisational readiness, leading to implementation gaps. This suggests that while technology is often positioned as a solution to healthcare pressures, it also introduces new complexities that must be carefully managed.</w:t>
      </w:r>
    </w:p>
    <w:p w14:paraId="73DA7A7A" w14:textId="3C4F4CBA"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 xml:space="preserve">Political and policy drivers </w:t>
      </w:r>
      <w:r w:rsidR="00DE623F" w:rsidRPr="007C1304">
        <w:rPr>
          <w:rFonts w:asciiTheme="majorHAnsi" w:hAnsiTheme="majorHAnsi"/>
          <w:sz w:val="24"/>
          <w:szCs w:val="24"/>
        </w:rPr>
        <w:t xml:space="preserve">also serve an essential function </w:t>
      </w:r>
      <w:r w:rsidRPr="006B64BD">
        <w:rPr>
          <w:rFonts w:asciiTheme="majorHAnsi" w:hAnsiTheme="majorHAnsi"/>
          <w:sz w:val="24"/>
          <w:szCs w:val="24"/>
        </w:rPr>
        <w:t xml:space="preserve">in shaping change. Government strategies, </w:t>
      </w:r>
      <w:r w:rsidR="00545C67" w:rsidRPr="007C1304">
        <w:rPr>
          <w:rFonts w:asciiTheme="majorHAnsi" w:hAnsiTheme="majorHAnsi"/>
          <w:sz w:val="24"/>
          <w:szCs w:val="24"/>
        </w:rPr>
        <w:t>as reflected within broader health policy strategies, including the NHS Long Term Plan</w:t>
      </w:r>
      <w:r w:rsidRPr="006B64BD">
        <w:rPr>
          <w:rFonts w:asciiTheme="majorHAnsi" w:hAnsiTheme="majorHAnsi"/>
          <w:sz w:val="24"/>
          <w:szCs w:val="24"/>
        </w:rPr>
        <w:t>, emphasise digital transformation and integrated care as key priorities (NHS England, 2019). These policies are often influenced by broader political agendas, including the need to demonstrate efficiency, accountability and improved patient outcomes. However, political cycles can result in short-term decision-making, which may conflict with the long-term nature of meaningful system change (Exworthy et al., 2017). For example, while digital transformation is promoted as a solution to system inefficiencies, its implementation requires sustained investment and long-term planning. The influence of political priorities can therefore both drive and constrain change, depending on the alignment between policy objectives and practical realities.</w:t>
      </w:r>
    </w:p>
    <w:p w14:paraId="1F999DD2" w14:textId="62F120B7"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 xml:space="preserve">Economic pressures are another critical driver, particularly in the context of rising healthcare costs and constrained public funding. The NHS operates within a limited budget, yet demand for services continues to increase (Charlesworth and Johnson, 2018). This creates a need for more efficient models of care, with digital technologies often presented as a cost-saving solution. EHRs, for instance, are expected to reduce duplication, streamline processes and improve resource allocation (Black et al., 2011). However, </w:t>
      </w:r>
      <w:r w:rsidR="00CD521A" w:rsidRPr="007C1304">
        <w:rPr>
          <w:rFonts w:asciiTheme="majorHAnsi" w:hAnsiTheme="majorHAnsi"/>
          <w:sz w:val="24"/>
          <w:szCs w:val="24"/>
        </w:rPr>
        <w:t>the initial resource investment required for implementation</w:t>
      </w:r>
      <w:r w:rsidRPr="006B64BD">
        <w:rPr>
          <w:rFonts w:asciiTheme="majorHAnsi" w:hAnsiTheme="majorHAnsi"/>
          <w:sz w:val="24"/>
          <w:szCs w:val="24"/>
        </w:rPr>
        <w:t>, including infrastructure, training and system integration, can be substantial. Evidence suggests that anticipated cost savings are not always realised in the short term, raising questions about the economic assumptions underpinning digital transformation (Buntin et al., 2011). This highlights a key tension within health policy: the need to balance immediate financial constraints with long-term investment in system improvement.</w:t>
      </w:r>
    </w:p>
    <w:p w14:paraId="634852BC" w14:textId="083F0620"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In addition to structural and systemic drivers, changing public expectations have also influenced the direction of health and social care reform. Patients increasingly expect accessible, personalised and digitally enabled services, reflecting broader societal shifts towards convenience and consumer choice (Coulter et al., 201</w:t>
      </w:r>
      <w:r w:rsidR="00C870D4" w:rsidRPr="007C1304">
        <w:rPr>
          <w:rFonts w:asciiTheme="majorHAnsi" w:hAnsiTheme="majorHAnsi"/>
          <w:sz w:val="24"/>
          <w:szCs w:val="24"/>
        </w:rPr>
        <w:t>4</w:t>
      </w:r>
      <w:r w:rsidRPr="006B64BD">
        <w:rPr>
          <w:rFonts w:asciiTheme="majorHAnsi" w:hAnsiTheme="majorHAnsi"/>
          <w:sz w:val="24"/>
          <w:szCs w:val="24"/>
        </w:rPr>
        <w:t xml:space="preserve">). The NHS digital transformation agenda, including online access to health records and appointment systems, </w:t>
      </w:r>
      <w:r w:rsidRPr="006B64BD">
        <w:rPr>
          <w:rFonts w:asciiTheme="majorHAnsi" w:hAnsiTheme="majorHAnsi"/>
          <w:sz w:val="24"/>
          <w:szCs w:val="24"/>
        </w:rPr>
        <w:lastRenderedPageBreak/>
        <w:t>is partly a response to these expectations. While this has the potential to improve patient engagement and satisfaction, it also risks exacerbating inequalities</w:t>
      </w:r>
      <w:r w:rsidR="00150617" w:rsidRPr="007C1304">
        <w:rPr>
          <w:rFonts w:asciiTheme="majorHAnsi" w:hAnsiTheme="majorHAnsi"/>
          <w:sz w:val="24"/>
          <w:szCs w:val="24"/>
        </w:rPr>
        <w:t>. Digital exclusion continues to represent a significant challenge, particularly affecting older individuals, those from lower socioeconomic backgrounds and people with limited digital literacy</w:t>
      </w:r>
      <w:r w:rsidR="002D35A4">
        <w:rPr>
          <w:rFonts w:asciiTheme="majorHAnsi" w:hAnsiTheme="majorHAnsi"/>
          <w:sz w:val="24"/>
          <w:szCs w:val="24"/>
        </w:rPr>
        <w:t xml:space="preserve"> </w:t>
      </w:r>
      <w:r w:rsidR="002D35A4" w:rsidRPr="002D35A4">
        <w:rPr>
          <w:rFonts w:asciiTheme="majorHAnsi" w:hAnsiTheme="majorHAnsi"/>
          <w:sz w:val="24"/>
          <w:szCs w:val="24"/>
        </w:rPr>
        <w:t>(NHS Digital, 2022). This reflects wider social determinants of health, where socioeconomic position, living conditions and access to resources shape health outcomes (Dahlgren and Whitehead, 1991; Marmot, 2010)</w:t>
      </w:r>
      <w:r w:rsidRPr="006B64BD">
        <w:rPr>
          <w:rFonts w:asciiTheme="majorHAnsi" w:hAnsiTheme="majorHAnsi"/>
          <w:sz w:val="24"/>
          <w:szCs w:val="24"/>
        </w:rPr>
        <w:t>. This suggests that while patient expectations drive innovation, they also create challenges in ensuring equitable access to care, directly linking to the objectives of SDG 10</w:t>
      </w:r>
      <w:r w:rsidR="00A22D90">
        <w:rPr>
          <w:rFonts w:asciiTheme="majorHAnsi" w:hAnsiTheme="majorHAnsi"/>
          <w:sz w:val="24"/>
          <w:szCs w:val="24"/>
        </w:rPr>
        <w:t xml:space="preserve">, </w:t>
      </w:r>
      <w:r w:rsidR="00A22D90" w:rsidRPr="00A22D90">
        <w:rPr>
          <w:rFonts w:asciiTheme="majorHAnsi" w:hAnsiTheme="majorHAnsi"/>
          <w:sz w:val="24"/>
          <w:szCs w:val="24"/>
        </w:rPr>
        <w:t>which focuses on reducing inequalities within and between countries (United Nations Development Programme, 2015).</w:t>
      </w:r>
      <w:r w:rsidRPr="006B64BD">
        <w:rPr>
          <w:rFonts w:asciiTheme="majorHAnsi" w:hAnsiTheme="majorHAnsi"/>
          <w:sz w:val="24"/>
          <w:szCs w:val="24"/>
        </w:rPr>
        <w:t>.</w:t>
      </w:r>
    </w:p>
    <w:p w14:paraId="689AE124" w14:textId="3A3DCB9A"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 xml:space="preserve">Another important driver of change is the impact of global health crises, particularly </w:t>
      </w:r>
      <w:r w:rsidR="00C1551D" w:rsidRPr="007C1304">
        <w:rPr>
          <w:rFonts w:asciiTheme="majorHAnsi" w:hAnsiTheme="majorHAnsi"/>
          <w:sz w:val="24"/>
          <w:szCs w:val="24"/>
        </w:rPr>
        <w:t>the COVID-19 global health crisis</w:t>
      </w:r>
      <w:r w:rsidRPr="006B64BD">
        <w:rPr>
          <w:rFonts w:asciiTheme="majorHAnsi" w:hAnsiTheme="majorHAnsi"/>
          <w:sz w:val="24"/>
          <w:szCs w:val="24"/>
        </w:rPr>
        <w:t xml:space="preserve">. The pandemic </w:t>
      </w:r>
      <w:r w:rsidR="00C1551D" w:rsidRPr="007C1304">
        <w:rPr>
          <w:rFonts w:asciiTheme="majorHAnsi" w:hAnsiTheme="majorHAnsi"/>
          <w:sz w:val="24"/>
          <w:szCs w:val="24"/>
        </w:rPr>
        <w:t xml:space="preserve">rapid digital transformation </w:t>
      </w:r>
      <w:r w:rsidRPr="006B64BD">
        <w:rPr>
          <w:rFonts w:asciiTheme="majorHAnsi" w:hAnsiTheme="majorHAnsi"/>
          <w:sz w:val="24"/>
          <w:szCs w:val="24"/>
        </w:rPr>
        <w:t>within the NHS, including the rapid expansion of remote consultations and electronic record systems (Hollander and Carr, 2020). This demonstrated the capacity of health systems to adapt quickly in response to crisis, but also exposed underlying weaknesses, such as workforce shortages and digital inequalities. While some of these changes have been sustained, questions remain regarding their long-term effectiveness and impact on care quality (Greenhalgh et al., 2020). This highlights how crisis-driven change, although necessary, may prioritise speed over sustainability, potentially affecting quality outcomes.</w:t>
      </w:r>
    </w:p>
    <w:p w14:paraId="18BC2308" w14:textId="7A579E60"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From a theoretical perspective,</w:t>
      </w:r>
      <w:r w:rsidR="00C1551D" w:rsidRPr="007C1304">
        <w:t xml:space="preserve"> </w:t>
      </w:r>
      <w:r w:rsidR="00C1551D" w:rsidRPr="007C1304">
        <w:rPr>
          <w:rFonts w:asciiTheme="majorHAnsi" w:hAnsiTheme="majorHAnsi"/>
          <w:sz w:val="24"/>
          <w:szCs w:val="24"/>
        </w:rPr>
        <w:t>Frameworks such as PESTLE analysis (Political, Economic, Social, Technological, Legal and Environmental factors) offer a valuable perspective for examining the complex drivers of change (Johnson et al., 2017)</w:t>
      </w:r>
      <w:r w:rsidRPr="006B64BD">
        <w:rPr>
          <w:rFonts w:asciiTheme="majorHAnsi" w:hAnsiTheme="majorHAnsi"/>
          <w:sz w:val="24"/>
          <w:szCs w:val="24"/>
        </w:rPr>
        <w:t>. Applying this framework to NHS digital transformation illustrates how multiple external pressures interact to shape policy and practice. However, while such models help to conceptualise change, they may oversimplify the complexity of real-world healthcare systems, where competing priorities and uncertainties are common.</w:t>
      </w:r>
    </w:p>
    <w:p w14:paraId="0498B48A" w14:textId="77777777"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 xml:space="preserve">Overall, the drivers of change in health and social care are interconnected and often reinforce one another. While demographic pressures and technological advancements create opportunities for innovation, political, economic and social factors influence how change is implemented and experienced. In the case of NHS digital transformation, these drivers have facilitated significant progress, but also introduced new challenges, particularly in relation to </w:t>
      </w:r>
      <w:r w:rsidRPr="006B64BD">
        <w:rPr>
          <w:rFonts w:asciiTheme="majorHAnsi" w:hAnsiTheme="majorHAnsi"/>
          <w:sz w:val="24"/>
          <w:szCs w:val="24"/>
        </w:rPr>
        <w:lastRenderedPageBreak/>
        <w:t>equity, cost and system integration. This suggests that while change is necessary, its effectiveness depends on a comprehensive understanding of the underlying drivers and the ability to address their associated complexities.</w:t>
      </w:r>
    </w:p>
    <w:p w14:paraId="03D61002" w14:textId="77777777"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Strategies for Managing Change in Health and Social Care Systems</w:t>
      </w:r>
    </w:p>
    <w:p w14:paraId="4630C63D" w14:textId="1270150A" w:rsidR="006B64BD" w:rsidRPr="007C1304" w:rsidRDefault="006B64BD" w:rsidP="00F0245E">
      <w:pPr>
        <w:spacing w:line="360" w:lineRule="auto"/>
        <w:rPr>
          <w:rFonts w:asciiTheme="majorHAnsi" w:hAnsiTheme="majorHAnsi"/>
          <w:sz w:val="24"/>
          <w:szCs w:val="24"/>
        </w:rPr>
      </w:pPr>
      <w:r w:rsidRPr="006B64BD">
        <w:rPr>
          <w:rFonts w:asciiTheme="majorHAnsi" w:hAnsiTheme="majorHAnsi"/>
          <w:sz w:val="24"/>
          <w:szCs w:val="24"/>
        </w:rPr>
        <w:t xml:space="preserve">Effective change management is essential within health and social care systems </w:t>
      </w:r>
      <w:r w:rsidR="00F72FBD" w:rsidRPr="007C1304">
        <w:rPr>
          <w:rFonts w:asciiTheme="majorHAnsi" w:hAnsiTheme="majorHAnsi"/>
          <w:sz w:val="24"/>
          <w:szCs w:val="24"/>
        </w:rPr>
        <w:t>to maximise the likelihood that</w:t>
      </w:r>
      <w:r w:rsidRPr="006B64BD">
        <w:rPr>
          <w:rFonts w:asciiTheme="majorHAnsi" w:hAnsiTheme="majorHAnsi"/>
          <w:sz w:val="24"/>
          <w:szCs w:val="24"/>
        </w:rPr>
        <w:t xml:space="preserve"> transformation initiatives, </w:t>
      </w:r>
      <w:r w:rsidR="0006424F" w:rsidRPr="007C1304">
        <w:rPr>
          <w:rFonts w:asciiTheme="majorHAnsi" w:hAnsiTheme="majorHAnsi"/>
          <w:sz w:val="24"/>
          <w:szCs w:val="24"/>
        </w:rPr>
        <w:t>including the incorporation of electronic health records (EHRs) within clinical practice</w:t>
      </w:r>
      <w:r w:rsidRPr="006B64BD">
        <w:rPr>
          <w:rFonts w:asciiTheme="majorHAnsi" w:hAnsiTheme="majorHAnsi"/>
          <w:sz w:val="24"/>
          <w:szCs w:val="24"/>
        </w:rPr>
        <w:t>, are successfully embedded while maintaining service quality. Given the complexity of healthcare environments, change is rarely linear and requires structured approaches, strong leadership and continuous stakeholder engagement. While several theoretical models offer frameworks for managing change, their application within healthcare must be critically evaluated due to the unique challenges of the sector.</w:t>
      </w:r>
    </w:p>
    <w:p w14:paraId="665DCCE4" w14:textId="77777777" w:rsidR="007C1304" w:rsidRPr="007C1304" w:rsidRDefault="007C1304" w:rsidP="007C1304">
      <w:pPr>
        <w:spacing w:line="360" w:lineRule="auto"/>
        <w:rPr>
          <w:sz w:val="24"/>
          <w:szCs w:val="24"/>
        </w:rPr>
      </w:pPr>
      <w:r w:rsidRPr="007C1304">
        <w:rPr>
          <w:sz w:val="24"/>
          <w:szCs w:val="24"/>
        </w:rPr>
        <w:t>One of the most widely recognised models is Lewin’s three-stage model, which conceptualises change as a process of unfreezing, moving and refreezing (Lewin, 1951). In the context of NHS digital transformation, the unfreezing stage involves creating awareness of the limitations of traditional paper-based systems, such as inefficiencies, fragmented patient information and risks to patient safety. This stage also requires addressing resistance among healthcare professionals, whose existing practices are often deeply embedded and closely linked to clinical identity and patient care routines. Effective unfreezing within the NHS therefore depends on strong leadership, clear communication and evidence demonstrating the need for digital change.</w:t>
      </w:r>
    </w:p>
    <w:p w14:paraId="378A42D6" w14:textId="77777777" w:rsidR="007C1304" w:rsidRPr="007C1304" w:rsidRDefault="007C1304" w:rsidP="007C1304">
      <w:pPr>
        <w:spacing w:line="360" w:lineRule="auto"/>
        <w:rPr>
          <w:sz w:val="24"/>
          <w:szCs w:val="24"/>
        </w:rPr>
      </w:pPr>
      <w:r w:rsidRPr="007C1304">
        <w:rPr>
          <w:sz w:val="24"/>
          <w:szCs w:val="24"/>
        </w:rPr>
        <w:t>The moving stage represents the implementation of new systems, such as the introduction of electronic health records (EHRs), alongside staff training and workflow redesign. However, in practice, this stage is rarely linear. The implementation of EHRs often involves ongoing adaptation, system adjustments and feedback from clinicians to ensure usability and safety. This highlights a key limitation of Lewin’s model, as it assumes a relatively straightforward transition, whereas digital transformation within the NHS is complex, iterative and influenced by organisational and technological factors.</w:t>
      </w:r>
    </w:p>
    <w:p w14:paraId="4E32D6D2" w14:textId="77777777" w:rsidR="007C1304" w:rsidRPr="007C1304" w:rsidRDefault="007C1304" w:rsidP="007C1304">
      <w:pPr>
        <w:spacing w:line="360" w:lineRule="auto"/>
        <w:rPr>
          <w:sz w:val="24"/>
          <w:szCs w:val="24"/>
        </w:rPr>
      </w:pPr>
      <w:r w:rsidRPr="007C1304">
        <w:rPr>
          <w:sz w:val="24"/>
          <w:szCs w:val="24"/>
        </w:rPr>
        <w:t xml:space="preserve">The refreezing stage involves embedding digital systems into routine clinical practice through policies, standardisation and reinforcement. In the NHS, this may include </w:t>
      </w:r>
      <w:r w:rsidRPr="007C1304">
        <w:rPr>
          <w:sz w:val="24"/>
          <w:szCs w:val="24"/>
        </w:rPr>
        <w:lastRenderedPageBreak/>
        <w:t>integrating EHR use into clinical guidelines, performance measures and professional expectations. However, the concept of refreezing has been criticised as unrealistic in modern healthcare contexts, where change is continuous due to ongoing technological advancement and policy reform. This suggests that while Lewin’s model provides a useful foundation for understanding behavioural change, it lacks flexibility when applied to large-scale, continuous transformations such as NHS digitalisation.</w:t>
      </w:r>
    </w:p>
    <w:p w14:paraId="0F681048" w14:textId="77777777" w:rsidR="007C1304" w:rsidRPr="007C1304" w:rsidRDefault="007C1304" w:rsidP="007C1304">
      <w:pPr>
        <w:spacing w:line="360" w:lineRule="auto"/>
        <w:rPr>
          <w:sz w:val="24"/>
          <w:szCs w:val="24"/>
        </w:rPr>
      </w:pPr>
      <w:r w:rsidRPr="007C1304">
        <w:rPr>
          <w:sz w:val="24"/>
          <w:szCs w:val="24"/>
        </w:rPr>
        <w:t>Kotter’s eight-step model offers a more detailed and strategic framework for managing change (Kotter, 1996). The first step, creating a sense of urgency, is evident in NHS policy narratives that frame digital transformation as essential for addressing rising demand, improving efficiency and enhancing patient safety. This is followed by building a guiding coalition, involving leadership teams, clinical champions and digital specialists who drive the implementation process.</w:t>
      </w:r>
    </w:p>
    <w:p w14:paraId="26455367" w14:textId="77777777" w:rsidR="007C1304" w:rsidRPr="007C1304" w:rsidRDefault="007C1304" w:rsidP="007C1304">
      <w:pPr>
        <w:spacing w:line="360" w:lineRule="auto"/>
        <w:rPr>
          <w:sz w:val="24"/>
          <w:szCs w:val="24"/>
        </w:rPr>
      </w:pPr>
      <w:r w:rsidRPr="007C1304">
        <w:rPr>
          <w:sz w:val="24"/>
          <w:szCs w:val="24"/>
        </w:rPr>
        <w:t>The development of a clear vision and strategy is particularly important in the NHS, where digital transformation must align with broader objectives such as integrated care and improved patient outcomes. However, translating this vision into practice can be challenging due to variation in digital readiness and resource availability across organisations. Communicating the vision and empowering staff to act are critical stages, particularly in overcoming resistance from clinicians who may perceive EHRs as increasing workload or disrupting patient interaction.</w:t>
      </w:r>
    </w:p>
    <w:p w14:paraId="4C9D6791" w14:textId="1BCC1AF9" w:rsidR="007C1304" w:rsidRPr="007C1304" w:rsidRDefault="007C1304" w:rsidP="007C1304">
      <w:pPr>
        <w:spacing w:line="360" w:lineRule="auto"/>
        <w:rPr>
          <w:sz w:val="24"/>
          <w:szCs w:val="24"/>
        </w:rPr>
      </w:pPr>
      <w:r w:rsidRPr="007C1304">
        <w:rPr>
          <w:sz w:val="24"/>
          <w:szCs w:val="24"/>
        </w:rPr>
        <w:t>Kotter also emphasises the importance of generating short-term wins, which in the context of digital transformation may include early improvements in information accessibility or reductions in administrative duplication. These early successes can help to build confidence and sustain momentum. The later stages consolidating gains and anchoring change within organisational culture highlight the need for long-term commitment and the integration of digital practices into everyday care delivery.</w:t>
      </w:r>
    </w:p>
    <w:p w14:paraId="4D9AF4A6" w14:textId="77777777" w:rsidR="007C1304" w:rsidRPr="007C1304" w:rsidRDefault="007C1304" w:rsidP="007C1304">
      <w:pPr>
        <w:spacing w:line="360" w:lineRule="auto"/>
        <w:rPr>
          <w:sz w:val="24"/>
          <w:szCs w:val="24"/>
        </w:rPr>
      </w:pPr>
      <w:r w:rsidRPr="007C1304">
        <w:rPr>
          <w:sz w:val="24"/>
          <w:szCs w:val="24"/>
        </w:rPr>
        <w:t xml:space="preserve">However, despite its strengths, Kotter’s model has limitations when applied to healthcare systems. Its linear structure does not fully reflect the complexity of the NHS, where change often occurs simultaneously across multiple levels and is influenced by external pressures such as policy changes and funding constraints. Additionally, the model assumes a level of organisational control that may not be achievable within a </w:t>
      </w:r>
      <w:r w:rsidRPr="007C1304">
        <w:rPr>
          <w:sz w:val="24"/>
          <w:szCs w:val="24"/>
        </w:rPr>
        <w:lastRenderedPageBreak/>
        <w:t>large, decentralised system. Therefore, while Kotter’s framework provides valuable strategic guidance, it must be applied flexibly and adapted to the realities of healthcare environments.</w:t>
      </w:r>
    </w:p>
    <w:p w14:paraId="2D4CFEA1" w14:textId="77777777" w:rsidR="007C1304" w:rsidRPr="006B64BD" w:rsidRDefault="007C1304" w:rsidP="00F0245E">
      <w:pPr>
        <w:spacing w:line="360" w:lineRule="auto"/>
        <w:rPr>
          <w:rFonts w:asciiTheme="majorHAnsi" w:hAnsiTheme="majorHAnsi"/>
          <w:sz w:val="24"/>
          <w:szCs w:val="24"/>
        </w:rPr>
      </w:pPr>
    </w:p>
    <w:p w14:paraId="2C0041A6" w14:textId="77777777"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Leadership is widely recognised as a critical factor in successful change management. Transformational leadership, which focuses on inspiring and motivating staff, is particularly relevant in healthcare settings where resistance to change is common (West et al., 2015). Leaders who engage staff, encourage participation and provide support can facilitate smoother transitions and improve outcomes. In the context of EHR implementation, effective leadership is essential for addressing staff concerns, ensuring adequate training and fostering a culture of innovation. However, leadership alone is insufficient without organisational support and resources. Research suggests that even well-led initiatives can fail if they are not adequately resourced or aligned with frontline realities (Grol and Wensing, 2013).</w:t>
      </w:r>
    </w:p>
    <w:p w14:paraId="20E35114" w14:textId="3ECC1112" w:rsidR="006B64BD" w:rsidRPr="006B64BD" w:rsidRDefault="006B64BD" w:rsidP="00802592">
      <w:pPr>
        <w:spacing w:line="360" w:lineRule="auto"/>
        <w:rPr>
          <w:rFonts w:asciiTheme="majorHAnsi" w:hAnsiTheme="majorHAnsi"/>
          <w:sz w:val="24"/>
          <w:szCs w:val="24"/>
        </w:rPr>
      </w:pPr>
      <w:r w:rsidRPr="006B64BD">
        <w:rPr>
          <w:rFonts w:asciiTheme="majorHAnsi" w:hAnsiTheme="majorHAnsi"/>
          <w:sz w:val="24"/>
          <w:szCs w:val="24"/>
        </w:rPr>
        <w:t>Stakeholder engagement is another key strategy in managing change. Healthcare systems involve a wide range of stakeholders, including clinicians, patients, managers and policymakers. Engaging these groups throughout the change process can improve acceptance and reduce resistance (Reed et al., 20</w:t>
      </w:r>
      <w:r w:rsidR="00C870D4" w:rsidRPr="007C1304">
        <w:rPr>
          <w:rFonts w:asciiTheme="majorHAnsi" w:hAnsiTheme="majorHAnsi"/>
          <w:sz w:val="24"/>
          <w:szCs w:val="24"/>
        </w:rPr>
        <w:t>18</w:t>
      </w:r>
      <w:r w:rsidRPr="006B64BD">
        <w:rPr>
          <w:rFonts w:asciiTheme="majorHAnsi" w:hAnsiTheme="majorHAnsi"/>
          <w:sz w:val="24"/>
          <w:szCs w:val="24"/>
        </w:rPr>
        <w:t>). For example, involving clinicians</w:t>
      </w:r>
      <w:r w:rsidR="00802592" w:rsidRPr="007C1304">
        <w:rPr>
          <w:rFonts w:asciiTheme="majorHAnsi" w:hAnsiTheme="majorHAnsi"/>
          <w:sz w:val="24"/>
          <w:szCs w:val="24"/>
        </w:rPr>
        <w:t xml:space="preserve"> in the planning and execution of </w:t>
      </w:r>
      <w:r w:rsidRPr="006B64BD">
        <w:rPr>
          <w:rFonts w:asciiTheme="majorHAnsi" w:hAnsiTheme="majorHAnsi"/>
          <w:sz w:val="24"/>
          <w:szCs w:val="24"/>
        </w:rPr>
        <w:t>EHR systems</w:t>
      </w:r>
      <w:r w:rsidR="009220AE" w:rsidRPr="007C1304">
        <w:t xml:space="preserve"> </w:t>
      </w:r>
      <w:r w:rsidR="009220AE" w:rsidRPr="007C1304">
        <w:rPr>
          <w:rFonts w:asciiTheme="majorHAnsi" w:hAnsiTheme="majorHAnsi"/>
          <w:sz w:val="24"/>
          <w:szCs w:val="24"/>
        </w:rPr>
        <w:t>has the potential to strengthen</w:t>
      </w:r>
      <w:r w:rsidRPr="006B64BD">
        <w:rPr>
          <w:rFonts w:asciiTheme="majorHAnsi" w:hAnsiTheme="majorHAnsi"/>
          <w:sz w:val="24"/>
          <w:szCs w:val="24"/>
        </w:rPr>
        <w:t xml:space="preserve"> usability</w:t>
      </w:r>
      <w:r w:rsidR="00A267AB" w:rsidRPr="007C1304">
        <w:t xml:space="preserve"> </w:t>
      </w:r>
      <w:r w:rsidR="00A267AB" w:rsidRPr="007C1304">
        <w:rPr>
          <w:rFonts w:asciiTheme="majorHAnsi" w:hAnsiTheme="majorHAnsi"/>
          <w:sz w:val="24"/>
          <w:szCs w:val="24"/>
        </w:rPr>
        <w:t>and enable</w:t>
      </w:r>
      <w:r w:rsidRPr="006B64BD">
        <w:rPr>
          <w:rFonts w:asciiTheme="majorHAnsi" w:hAnsiTheme="majorHAnsi"/>
          <w:sz w:val="24"/>
          <w:szCs w:val="24"/>
        </w:rPr>
        <w:t xml:space="preserve"> that systems meet clinical needs. However, achieving meaningful engagement can be challenging due to time constraints, competing priorities and power dynamics within organisations. Tokenistic engagement, where stakeholders are consulted but not genuinely involved in decision-making, may undermine trust and limit the effectiveness of change initiatives.</w:t>
      </w:r>
    </w:p>
    <w:p w14:paraId="4BAA2297" w14:textId="74403EE6"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 xml:space="preserve">Communication is also fundamental to successful change management. Clear, consistent and transparent communication helps to reduce uncertainty and build confidence among staff (Lewis, 2019). </w:t>
      </w:r>
      <w:r w:rsidR="00C26C70" w:rsidRPr="007C1304">
        <w:rPr>
          <w:rFonts w:asciiTheme="majorHAnsi" w:hAnsiTheme="majorHAnsi"/>
          <w:sz w:val="24"/>
          <w:szCs w:val="24"/>
        </w:rPr>
        <w:t>Within the evolving landscape of digital transformation</w:t>
      </w:r>
      <w:r w:rsidRPr="006B64BD">
        <w:rPr>
          <w:rFonts w:asciiTheme="majorHAnsi" w:hAnsiTheme="majorHAnsi"/>
          <w:sz w:val="24"/>
          <w:szCs w:val="24"/>
        </w:rPr>
        <w:t>, communication is essential for explaining the rationale for change, outlining expected benefits and addressing concerns. Poor communication, on the other hand, can contribute to resistance and implementation failure. However, communication strategies must be tailored to different audiences, recognising that staff at different levels may have varying concerns and information needs.</w:t>
      </w:r>
    </w:p>
    <w:p w14:paraId="58FDC8C8" w14:textId="29B038C4" w:rsidR="006B64BD" w:rsidRPr="007C1304" w:rsidRDefault="006B64BD" w:rsidP="00F0245E">
      <w:pPr>
        <w:spacing w:line="360" w:lineRule="auto"/>
        <w:rPr>
          <w:rFonts w:asciiTheme="majorHAnsi" w:hAnsiTheme="majorHAnsi"/>
          <w:sz w:val="24"/>
          <w:szCs w:val="24"/>
        </w:rPr>
      </w:pPr>
      <w:r w:rsidRPr="006B64BD">
        <w:rPr>
          <w:rFonts w:asciiTheme="majorHAnsi" w:hAnsiTheme="majorHAnsi"/>
          <w:sz w:val="24"/>
          <w:szCs w:val="24"/>
        </w:rPr>
        <w:lastRenderedPageBreak/>
        <w:t>Training and workforce development are particularly important</w:t>
      </w:r>
      <w:r w:rsidR="0022417C" w:rsidRPr="007C1304">
        <w:t xml:space="preserve"> </w:t>
      </w:r>
      <w:r w:rsidR="0022417C" w:rsidRPr="007C1304">
        <w:rPr>
          <w:rFonts w:asciiTheme="majorHAnsi" w:hAnsiTheme="majorHAnsi"/>
          <w:sz w:val="24"/>
          <w:szCs w:val="24"/>
        </w:rPr>
        <w:t>within an increasingly dynamic technological environment</w:t>
      </w:r>
      <w:r w:rsidRPr="006B64BD">
        <w:rPr>
          <w:rFonts w:asciiTheme="majorHAnsi" w:hAnsiTheme="majorHAnsi"/>
          <w:sz w:val="24"/>
          <w:szCs w:val="24"/>
        </w:rPr>
        <w:t xml:space="preserve">. The successful implementation of EHRs depends on staff having </w:t>
      </w:r>
      <w:r w:rsidR="00E8302D" w:rsidRPr="007C1304">
        <w:rPr>
          <w:rFonts w:asciiTheme="majorHAnsi" w:hAnsiTheme="majorHAnsi"/>
          <w:sz w:val="24"/>
          <w:szCs w:val="24"/>
        </w:rPr>
        <w:t xml:space="preserve">the required skills and confidence to </w:t>
      </w:r>
      <w:r w:rsidRPr="006B64BD">
        <w:rPr>
          <w:rFonts w:asciiTheme="majorHAnsi" w:hAnsiTheme="majorHAnsi"/>
          <w:sz w:val="24"/>
          <w:szCs w:val="24"/>
        </w:rPr>
        <w:t>use digital systems effectively (Topol, 2019). Investment in training can improve user engagement and reduce errors, thereby supporting quality outcomes. However, training programmes are often constrained by time and resource limitations, which can result in inadequate preparation and reduced system effectiveness (Cresswell and Sheikh, 2013). This highlights the importance of aligning training strategies with broader organisational priorities and ensuring that staff are supported throughout the transition process.</w:t>
      </w:r>
    </w:p>
    <w:p w14:paraId="1E69B81D" w14:textId="11F0E803" w:rsidR="005A26BC" w:rsidRPr="006B64BD" w:rsidRDefault="005A26BC" w:rsidP="00F0245E">
      <w:pPr>
        <w:spacing w:line="360" w:lineRule="auto"/>
        <w:rPr>
          <w:rFonts w:asciiTheme="majorHAnsi" w:hAnsiTheme="majorHAnsi"/>
          <w:sz w:val="24"/>
          <w:szCs w:val="24"/>
        </w:rPr>
      </w:pPr>
      <w:r w:rsidRPr="007C1304">
        <w:rPr>
          <w:rFonts w:asciiTheme="majorHAnsi" w:hAnsiTheme="majorHAnsi"/>
          <w:sz w:val="24"/>
          <w:szCs w:val="24"/>
        </w:rPr>
        <w:t>Organisational culture is a critical factor influencing how change is perceived and adopted. Environments that encourage innovation, continuous learning and collaborative working are more conducive to the effective implementation of change initiatives (Schein, 2010). Conversely, cultures that are characterised by resistance or a reluctance to take risks can impede progress and limit the success of transformation efforts. Within the NHS, cultural challenges have been widely recognised as a barrier to digital transformation, particularly where staff view new technologies as disruptive to established practices or as an additional burden (Mannion et al., 2018). Addressing these challenges requires sustained leadership, alongside a clear alignment between organisational values and the goals of change initiatives.</w:t>
      </w:r>
    </w:p>
    <w:p w14:paraId="7B9DA2D5" w14:textId="5593C774"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Despite the availability of these strategies, managing change in healthcare remains challenging due to structural and systemic constraints. Resource limitations, workforce shortages and organisational complexity can all impact the success of change initiatives. Furthermore, the scale of NHS digital transformation means that implementation is often uneven, with variations in capacity and readiness across different organisations (Alderwick et al., 2021). This suggests that while theoretical models provide useful guidance, their effectiveness is dependent on context and must be adapted to local conditions.</w:t>
      </w:r>
      <w:r w:rsidR="00135581" w:rsidRPr="007C1304">
        <w:rPr>
          <w:rFonts w:asciiTheme="majorHAnsi" w:hAnsiTheme="majorHAnsi"/>
          <w:sz w:val="24"/>
          <w:szCs w:val="24"/>
        </w:rPr>
        <w:t xml:space="preserve"> </w:t>
      </w:r>
      <w:r w:rsidRPr="006B64BD">
        <w:rPr>
          <w:rFonts w:asciiTheme="majorHAnsi" w:hAnsiTheme="majorHAnsi"/>
          <w:sz w:val="24"/>
          <w:szCs w:val="24"/>
        </w:rPr>
        <w:t xml:space="preserve">Critically, there is often a gap between planned change and actual practice. While </w:t>
      </w:r>
      <w:r w:rsidR="00135581" w:rsidRPr="007C1304">
        <w:rPr>
          <w:rFonts w:asciiTheme="majorHAnsi" w:hAnsiTheme="majorHAnsi"/>
          <w:sz w:val="24"/>
          <w:szCs w:val="24"/>
        </w:rPr>
        <w:t>elements such as leadership, effective communication and the involvement of stakeholders play a central role</w:t>
      </w:r>
      <w:r w:rsidRPr="006B64BD">
        <w:rPr>
          <w:rFonts w:asciiTheme="majorHAnsi" w:hAnsiTheme="majorHAnsi"/>
          <w:sz w:val="24"/>
          <w:szCs w:val="24"/>
        </w:rPr>
        <w:t>, their implementation may be inconsistent. This can result in partial or ineffective change, limiting the potential benefits of initiatives such as EHRs. Additionally, the focus on achieving policy targets may prioritise implementation speed over quality, increasing the risk of unintended consequences.</w:t>
      </w:r>
    </w:p>
    <w:p w14:paraId="697CCE58" w14:textId="25345F4B"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lastRenderedPageBreak/>
        <w:t>Overall, effective</w:t>
      </w:r>
      <w:r w:rsidR="005B1E86" w:rsidRPr="007C1304">
        <w:rPr>
          <w:rFonts w:asciiTheme="majorHAnsi" w:hAnsiTheme="majorHAnsi"/>
          <w:sz w:val="24"/>
          <w:szCs w:val="24"/>
        </w:rPr>
        <w:t xml:space="preserve"> change in</w:t>
      </w:r>
      <w:r w:rsidR="005B1E86" w:rsidRPr="007C1304">
        <w:t xml:space="preserve"> </w:t>
      </w:r>
      <w:r w:rsidR="005B1E86" w:rsidRPr="007C1304">
        <w:rPr>
          <w:rFonts w:asciiTheme="majorHAnsi" w:hAnsiTheme="majorHAnsi"/>
          <w:sz w:val="24"/>
          <w:szCs w:val="24"/>
        </w:rPr>
        <w:t>management within health and social care</w:t>
      </w:r>
      <w:r w:rsidRPr="006B64BD">
        <w:rPr>
          <w:rFonts w:asciiTheme="majorHAnsi" w:hAnsiTheme="majorHAnsi"/>
          <w:sz w:val="24"/>
          <w:szCs w:val="24"/>
        </w:rPr>
        <w:t xml:space="preserve"> requires a combination of structured approaches, strong leadership and ongoing evaluation. </w:t>
      </w:r>
      <w:r w:rsidR="008204EF" w:rsidRPr="007C1304">
        <w:rPr>
          <w:rFonts w:asciiTheme="majorHAnsi" w:hAnsiTheme="majorHAnsi"/>
          <w:sz w:val="24"/>
          <w:szCs w:val="24"/>
        </w:rPr>
        <w:t xml:space="preserve">Although models such as Lewin’s and Kotter’s offer valuable frameworks, </w:t>
      </w:r>
      <w:r w:rsidRPr="006B64BD">
        <w:rPr>
          <w:rFonts w:asciiTheme="majorHAnsi" w:hAnsiTheme="majorHAnsi"/>
          <w:sz w:val="24"/>
          <w:szCs w:val="24"/>
        </w:rPr>
        <w:t xml:space="preserve">they must be applied flexibly and in conjunction </w:t>
      </w:r>
      <w:r w:rsidR="00725D14" w:rsidRPr="007C1304">
        <w:rPr>
          <w:rFonts w:asciiTheme="majorHAnsi" w:hAnsiTheme="majorHAnsi"/>
          <w:sz w:val="24"/>
          <w:szCs w:val="24"/>
        </w:rPr>
        <w:t xml:space="preserve">with an awareness of the </w:t>
      </w:r>
      <w:r w:rsidRPr="006B64BD">
        <w:rPr>
          <w:rFonts w:asciiTheme="majorHAnsi" w:hAnsiTheme="majorHAnsi"/>
          <w:sz w:val="24"/>
          <w:szCs w:val="24"/>
        </w:rPr>
        <w:t xml:space="preserve">broader organisational and political context. In the case of NHS digital transformation, </w:t>
      </w:r>
      <w:r w:rsidR="00135581" w:rsidRPr="007C1304">
        <w:rPr>
          <w:rFonts w:asciiTheme="majorHAnsi" w:hAnsiTheme="majorHAnsi"/>
          <w:sz w:val="24"/>
          <w:szCs w:val="24"/>
        </w:rPr>
        <w:t xml:space="preserve">success is not solely </w:t>
      </w:r>
      <w:r w:rsidR="00AB3DB7" w:rsidRPr="007C1304">
        <w:rPr>
          <w:rFonts w:asciiTheme="majorHAnsi" w:hAnsiTheme="majorHAnsi"/>
          <w:sz w:val="24"/>
          <w:szCs w:val="24"/>
        </w:rPr>
        <w:t xml:space="preserve">influenced by the uptake of </w:t>
      </w:r>
      <w:r w:rsidRPr="006B64BD">
        <w:rPr>
          <w:rFonts w:asciiTheme="majorHAnsi" w:hAnsiTheme="majorHAnsi"/>
          <w:sz w:val="24"/>
          <w:szCs w:val="24"/>
        </w:rPr>
        <w:t>technology but also on the ability to manage change in a way that supports staff, engages stakeholders and maintains quality outcomes.</w:t>
      </w:r>
    </w:p>
    <w:p w14:paraId="5607A8C2" w14:textId="77777777"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Quality Outcomes in the Context of Change in Health and Social Care</w:t>
      </w:r>
    </w:p>
    <w:p w14:paraId="7EE207DE" w14:textId="77777777"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Maintaining and improving quality outcomes is a central priority within health and social care systems, particularly during periods of significant organisational change. Quality in healthcare is commonly defined using the NHS framework, which emphasises care that is safe, effective, patient-centred, timely, efficient and equitable (NHS England, 2019). However, achieving and sustaining these dimensions of quality during large-scale transformations, such as the implementation of electronic health records (EHRs), presents considerable challenges. While change has the potential to enhance care delivery, it also introduces risks that may compromise patient safety and service effectiveness if not carefully managed.</w:t>
      </w:r>
    </w:p>
    <w:p w14:paraId="4054D758" w14:textId="30B90E8B"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The Donabedian model provides a useful framework for analysing quality outcomes, distinguishing between structure, process and outcomes (Donabedian, 1988).</w:t>
      </w:r>
      <w:r w:rsidR="00523768" w:rsidRPr="007C1304">
        <w:t xml:space="preserve"> </w:t>
      </w:r>
      <w:r w:rsidR="00523768" w:rsidRPr="007C1304">
        <w:rPr>
          <w:rFonts w:asciiTheme="majorHAnsi" w:hAnsiTheme="majorHAnsi"/>
          <w:sz w:val="24"/>
          <w:szCs w:val="24"/>
        </w:rPr>
        <w:t>Within the framework of NHS digital transformation</w:t>
      </w:r>
      <w:r w:rsidRPr="006B64BD">
        <w:rPr>
          <w:rFonts w:asciiTheme="majorHAnsi" w:hAnsiTheme="majorHAnsi"/>
          <w:sz w:val="24"/>
          <w:szCs w:val="24"/>
        </w:rPr>
        <w:t xml:space="preserve">, structural changes include the introduction of digital infrastructure and EHR systems, while process changes involve new ways of recording, accessing and sharing patient information. Ideally, these changes should lead to improved outcomes, such as reduced medical errors and enhanced continuity of care. Evidence suggests that EHRs can improve clinical decision-making and patient safety by providing accurate and accessible information (Kruse et al., 2017). However, </w:t>
      </w:r>
      <w:r w:rsidR="00387ADB" w:rsidRPr="007C1304">
        <w:rPr>
          <w:rFonts w:asciiTheme="majorHAnsi" w:hAnsiTheme="majorHAnsi"/>
          <w:sz w:val="24"/>
          <w:szCs w:val="24"/>
        </w:rPr>
        <w:t xml:space="preserve">the association between </w:t>
      </w:r>
      <w:r w:rsidRPr="006B64BD">
        <w:rPr>
          <w:rFonts w:asciiTheme="majorHAnsi" w:hAnsiTheme="majorHAnsi"/>
          <w:sz w:val="24"/>
          <w:szCs w:val="24"/>
        </w:rPr>
        <w:t>structural change and improved outcomes is not always straightforward, as implementation challenges can disrupt care processes.</w:t>
      </w:r>
    </w:p>
    <w:p w14:paraId="11D62303" w14:textId="77777777"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 xml:space="preserve">One of the key potential benefits of digital transformation is improved patient safety. Electronic systems can reduce medication errors, improve documentation accuracy and support clinical guidelines (Campanella et al., 2016). However, during the transition phase, there is an increased risk of errors due to unfamiliarity with new systems, technical failures </w:t>
      </w:r>
      <w:r w:rsidRPr="006B64BD">
        <w:rPr>
          <w:rFonts w:asciiTheme="majorHAnsi" w:hAnsiTheme="majorHAnsi"/>
          <w:sz w:val="24"/>
          <w:szCs w:val="24"/>
        </w:rPr>
        <w:lastRenderedPageBreak/>
        <w:t>and workflow disruptions (Ash et al., 2004). This highlights a critical tension: while digital systems are designed to enhance safety, poorly managed implementation can temporarily reduce it. This suggests that the effectiveness of change is dependent not only on the innovation itself but also on how it is introduced and integrated into practice.</w:t>
      </w:r>
    </w:p>
    <w:p w14:paraId="5F09EDF9" w14:textId="5DEC074F"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 xml:space="preserve">Effectiveness, as a dimension of quality, is also influenced by digital transformation. EHRs have the potential to improve care coordination by enabling information sharing across different services, which is particularly important for patients with complex needs (Evans, 2016). However, issues such as lack of interoperability between systems can limit these benefits, resulting in fragmented care (Adler-Milstein and Jha, 2017). Furthermore, the standardisation required by digital systems may constrain clinical flexibility, potentially impacting personalised care. This suggests that while digital transformation can enhance effectiveness, its impact is uneven and </w:t>
      </w:r>
      <w:r w:rsidR="001E289E" w:rsidRPr="007C1304">
        <w:rPr>
          <w:rFonts w:asciiTheme="majorHAnsi" w:hAnsiTheme="majorHAnsi"/>
          <w:sz w:val="24"/>
          <w:szCs w:val="24"/>
        </w:rPr>
        <w:t>context dependent</w:t>
      </w:r>
      <w:r w:rsidRPr="006B64BD">
        <w:rPr>
          <w:rFonts w:asciiTheme="majorHAnsi" w:hAnsiTheme="majorHAnsi"/>
          <w:sz w:val="24"/>
          <w:szCs w:val="24"/>
        </w:rPr>
        <w:t>.</w:t>
      </w:r>
    </w:p>
    <w:p w14:paraId="1AFB5907" w14:textId="160CE11D"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 xml:space="preserve">Patient-centred care is another critical dimension of quality that is affected by change. Digital technologies </w:t>
      </w:r>
      <w:r w:rsidR="00AB3DB7" w:rsidRPr="007C1304">
        <w:rPr>
          <w:rFonts w:asciiTheme="majorHAnsi" w:hAnsiTheme="majorHAnsi"/>
          <w:sz w:val="24"/>
          <w:szCs w:val="24"/>
        </w:rPr>
        <w:t xml:space="preserve">can enhance patient autonomy by enabling access to their health record </w:t>
      </w:r>
      <w:r w:rsidRPr="006B64BD">
        <w:rPr>
          <w:rFonts w:asciiTheme="majorHAnsi" w:hAnsiTheme="majorHAnsi"/>
          <w:sz w:val="24"/>
          <w:szCs w:val="24"/>
        </w:rPr>
        <w:t>and enabling greater involvement in decision</w:t>
      </w:r>
      <w:r w:rsidR="00506C88" w:rsidRPr="007C1304">
        <w:rPr>
          <w:rFonts w:asciiTheme="majorHAnsi" w:hAnsiTheme="majorHAnsi"/>
          <w:sz w:val="24"/>
          <w:szCs w:val="24"/>
        </w:rPr>
        <w:t xml:space="preserve"> </w:t>
      </w:r>
      <w:r w:rsidRPr="006B64BD">
        <w:rPr>
          <w:rFonts w:asciiTheme="majorHAnsi" w:hAnsiTheme="majorHAnsi"/>
          <w:sz w:val="24"/>
          <w:szCs w:val="24"/>
        </w:rPr>
        <w:t>making (Otte-Trojel et al., 2014). However, there is also concern that increased reliance on digital systems may</w:t>
      </w:r>
      <w:r w:rsidR="00F17A56" w:rsidRPr="007C1304">
        <w:t xml:space="preserve"> </w:t>
      </w:r>
      <w:r w:rsidR="00F17A56" w:rsidRPr="007C1304">
        <w:rPr>
          <w:rFonts w:asciiTheme="majorHAnsi" w:hAnsiTheme="majorHAnsi"/>
          <w:sz w:val="24"/>
          <w:szCs w:val="24"/>
        </w:rPr>
        <w:t xml:space="preserve">diminish opportunities </w:t>
      </w:r>
      <w:r w:rsidR="006720BA" w:rsidRPr="007C1304">
        <w:rPr>
          <w:rFonts w:asciiTheme="majorHAnsi" w:hAnsiTheme="majorHAnsi"/>
          <w:sz w:val="24"/>
          <w:szCs w:val="24"/>
        </w:rPr>
        <w:t xml:space="preserve">for in-person interaction between patients and healthcare professionals, potentially weakening the therapeutic relationship </w:t>
      </w:r>
      <w:r w:rsidRPr="006B64BD">
        <w:rPr>
          <w:rFonts w:asciiTheme="majorHAnsi" w:hAnsiTheme="majorHAnsi"/>
          <w:sz w:val="24"/>
          <w:szCs w:val="24"/>
        </w:rPr>
        <w:t>(Greenhalgh et al., 201</w:t>
      </w:r>
      <w:r w:rsidR="00D20D53" w:rsidRPr="007C1304">
        <w:rPr>
          <w:rFonts w:asciiTheme="majorHAnsi" w:hAnsiTheme="majorHAnsi"/>
          <w:sz w:val="24"/>
          <w:szCs w:val="24"/>
        </w:rPr>
        <w:t>9</w:t>
      </w:r>
      <w:r w:rsidRPr="006B64BD">
        <w:rPr>
          <w:rFonts w:asciiTheme="majorHAnsi" w:hAnsiTheme="majorHAnsi"/>
          <w:sz w:val="24"/>
          <w:szCs w:val="24"/>
        </w:rPr>
        <w:t>). Additionally, digital exclusion remains a significant issue, particularly among older adults and disadvantaged populations, limiting access to digital services and exacerbating health inequalities (van Dijk, 2020). This directly challenges the principle of equity within healthcare.</w:t>
      </w:r>
    </w:p>
    <w:p w14:paraId="379326C7" w14:textId="2BD56C05"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Timeliness and efficiency are often cited as key benefits of digital transformation. Electronic systems can streamline administrative processes</w:t>
      </w:r>
      <w:r w:rsidR="00A0469E" w:rsidRPr="007C1304">
        <w:rPr>
          <w:rFonts w:asciiTheme="majorHAnsi" w:hAnsiTheme="majorHAnsi"/>
          <w:sz w:val="24"/>
          <w:szCs w:val="24"/>
        </w:rPr>
        <w:t>, reduce redundancy and improve accessibility to information</w:t>
      </w:r>
      <w:r w:rsidRPr="006B64BD">
        <w:rPr>
          <w:rFonts w:asciiTheme="majorHAnsi" w:hAnsiTheme="majorHAnsi"/>
          <w:sz w:val="24"/>
          <w:szCs w:val="24"/>
        </w:rPr>
        <w:t>, leading to faster decision</w:t>
      </w:r>
      <w:r w:rsidR="00506C88" w:rsidRPr="007C1304">
        <w:rPr>
          <w:rFonts w:asciiTheme="majorHAnsi" w:hAnsiTheme="majorHAnsi"/>
          <w:sz w:val="24"/>
          <w:szCs w:val="24"/>
        </w:rPr>
        <w:t xml:space="preserve"> </w:t>
      </w:r>
      <w:r w:rsidRPr="006B64BD">
        <w:rPr>
          <w:rFonts w:asciiTheme="majorHAnsi" w:hAnsiTheme="majorHAnsi"/>
          <w:sz w:val="24"/>
          <w:szCs w:val="24"/>
        </w:rPr>
        <w:t>making and more efficient use of resources (McGinn et al., 201</w:t>
      </w:r>
      <w:r w:rsidR="00F527FF" w:rsidRPr="007C1304">
        <w:rPr>
          <w:rFonts w:asciiTheme="majorHAnsi" w:hAnsiTheme="majorHAnsi"/>
          <w:sz w:val="24"/>
          <w:szCs w:val="24"/>
        </w:rPr>
        <w:t>2</w:t>
      </w:r>
      <w:r w:rsidRPr="006B64BD">
        <w:rPr>
          <w:rFonts w:asciiTheme="majorHAnsi" w:hAnsiTheme="majorHAnsi"/>
          <w:sz w:val="24"/>
          <w:szCs w:val="24"/>
        </w:rPr>
        <w:t xml:space="preserve">). However, these benefits are not always realised immediately. In some cases, the introduction of EHRs has been associated with increased administrative burden for clinicians, </w:t>
      </w:r>
      <w:r w:rsidR="00AD0CCD" w:rsidRPr="007C1304">
        <w:rPr>
          <w:rFonts w:asciiTheme="majorHAnsi" w:hAnsiTheme="majorHAnsi"/>
          <w:sz w:val="24"/>
          <w:szCs w:val="24"/>
        </w:rPr>
        <w:t xml:space="preserve">notably in the initial phase of implementation </w:t>
      </w:r>
      <w:r w:rsidRPr="006B64BD">
        <w:rPr>
          <w:rFonts w:asciiTheme="majorHAnsi" w:hAnsiTheme="majorHAnsi"/>
          <w:sz w:val="24"/>
          <w:szCs w:val="24"/>
        </w:rPr>
        <w:t>(Shanafelt et al., 2016). This can contribute to staff burnout and reduced productivity, ultimately affecting care quality. This suggests that while digital transformation aims to improve efficiency, its impact may vary over time and across different contexts.</w:t>
      </w:r>
    </w:p>
    <w:p w14:paraId="234373D7" w14:textId="4238567C"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lastRenderedPageBreak/>
        <w:t>Equity is a particularly important</w:t>
      </w:r>
      <w:r w:rsidR="0043631A" w:rsidRPr="007C1304">
        <w:rPr>
          <w:rFonts w:asciiTheme="majorHAnsi" w:hAnsiTheme="majorHAnsi"/>
          <w:sz w:val="24"/>
          <w:szCs w:val="24"/>
        </w:rPr>
        <w:t>,</w:t>
      </w:r>
      <w:r w:rsidR="0043631A" w:rsidRPr="007C1304">
        <w:t xml:space="preserve"> </w:t>
      </w:r>
      <w:r w:rsidR="0043631A" w:rsidRPr="007C1304">
        <w:rPr>
          <w:rFonts w:asciiTheme="majorHAnsi" w:hAnsiTheme="majorHAnsi"/>
          <w:sz w:val="24"/>
          <w:szCs w:val="24"/>
        </w:rPr>
        <w:t>a critical consideration during periods of accelerated change</w:t>
      </w:r>
      <w:r w:rsidRPr="006B64BD">
        <w:rPr>
          <w:rFonts w:asciiTheme="majorHAnsi" w:hAnsiTheme="majorHAnsi"/>
          <w:sz w:val="24"/>
          <w:szCs w:val="24"/>
        </w:rPr>
        <w:t xml:space="preserve">. While digital transformation has </w:t>
      </w:r>
      <w:r w:rsidR="0043631A" w:rsidRPr="007C1304">
        <w:rPr>
          <w:rFonts w:asciiTheme="majorHAnsi" w:hAnsiTheme="majorHAnsi"/>
          <w:sz w:val="24"/>
          <w:szCs w:val="24"/>
        </w:rPr>
        <w:t xml:space="preserve">the capacity to enhance access </w:t>
      </w:r>
      <w:r w:rsidRPr="006B64BD">
        <w:rPr>
          <w:rFonts w:asciiTheme="majorHAnsi" w:hAnsiTheme="majorHAnsi"/>
          <w:sz w:val="24"/>
          <w:szCs w:val="24"/>
        </w:rPr>
        <w:t>to services, it can also reinforce existing inequalities</w:t>
      </w:r>
      <w:r w:rsidR="0075576F">
        <w:rPr>
          <w:rFonts w:asciiTheme="majorHAnsi" w:hAnsiTheme="majorHAnsi"/>
          <w:sz w:val="24"/>
          <w:szCs w:val="24"/>
        </w:rPr>
        <w:t xml:space="preserve">, </w:t>
      </w:r>
      <w:r w:rsidR="0075576F" w:rsidRPr="0075576F">
        <w:rPr>
          <w:rFonts w:asciiTheme="majorHAnsi" w:hAnsiTheme="majorHAnsi"/>
          <w:sz w:val="24"/>
          <w:szCs w:val="24"/>
        </w:rPr>
        <w:t>, particularly where poverty and unequal access to resources limit people’s ability to benefit from digital healthcare (Marmot, 2010; Pickett and Wilkinson, 2015).</w:t>
      </w:r>
      <w:r w:rsidRPr="006B64BD">
        <w:rPr>
          <w:rFonts w:asciiTheme="majorHAnsi" w:hAnsiTheme="majorHAnsi"/>
          <w:sz w:val="24"/>
          <w:szCs w:val="24"/>
        </w:rPr>
        <w:t xml:space="preserve"> Individuals </w:t>
      </w:r>
      <w:r w:rsidR="0043631A" w:rsidRPr="007C1304">
        <w:rPr>
          <w:rFonts w:asciiTheme="majorHAnsi" w:hAnsiTheme="majorHAnsi"/>
          <w:sz w:val="24"/>
          <w:szCs w:val="24"/>
        </w:rPr>
        <w:t xml:space="preserve">who do not have access to digital tools or the capability to use them </w:t>
      </w:r>
      <w:r w:rsidRPr="006B64BD">
        <w:rPr>
          <w:rFonts w:asciiTheme="majorHAnsi" w:hAnsiTheme="majorHAnsi"/>
          <w:sz w:val="24"/>
          <w:szCs w:val="24"/>
        </w:rPr>
        <w:t xml:space="preserve">may be excluded from new models of care (Robinson et al., 2015). </w:t>
      </w:r>
      <w:r w:rsidR="0043631A" w:rsidRPr="007C1304">
        <w:rPr>
          <w:rFonts w:asciiTheme="majorHAnsi" w:hAnsiTheme="majorHAnsi"/>
          <w:sz w:val="24"/>
          <w:szCs w:val="24"/>
        </w:rPr>
        <w:t xml:space="preserve">This reinforces </w:t>
      </w:r>
      <w:r w:rsidR="00EB3409" w:rsidRPr="007C1304">
        <w:rPr>
          <w:rFonts w:asciiTheme="majorHAnsi" w:hAnsiTheme="majorHAnsi"/>
          <w:sz w:val="24"/>
          <w:szCs w:val="24"/>
        </w:rPr>
        <w:t xml:space="preserve">the importance of responding to </w:t>
      </w:r>
      <w:r w:rsidR="0043631A" w:rsidRPr="007C1304">
        <w:rPr>
          <w:rFonts w:asciiTheme="majorHAnsi" w:hAnsiTheme="majorHAnsi"/>
          <w:sz w:val="24"/>
          <w:szCs w:val="24"/>
        </w:rPr>
        <w:t xml:space="preserve">the </w:t>
      </w:r>
      <w:r w:rsidRPr="006B64BD">
        <w:rPr>
          <w:rFonts w:asciiTheme="majorHAnsi" w:hAnsiTheme="majorHAnsi"/>
          <w:sz w:val="24"/>
          <w:szCs w:val="24"/>
        </w:rPr>
        <w:t>broader</w:t>
      </w:r>
      <w:r w:rsidR="00EB3409" w:rsidRPr="007C1304">
        <w:rPr>
          <w:rFonts w:asciiTheme="majorHAnsi" w:hAnsiTheme="majorHAnsi"/>
          <w:sz w:val="24"/>
          <w:szCs w:val="24"/>
        </w:rPr>
        <w:t xml:space="preserve"> structural and social factors shaping health outcomes </w:t>
      </w:r>
      <w:r w:rsidRPr="006B64BD">
        <w:rPr>
          <w:rFonts w:asciiTheme="majorHAnsi" w:hAnsiTheme="majorHAnsi"/>
          <w:sz w:val="24"/>
          <w:szCs w:val="24"/>
        </w:rPr>
        <w:t>when implementing change, as failure to do so may undermine the goals of S</w:t>
      </w:r>
      <w:r w:rsidR="00506C88" w:rsidRPr="007C1304">
        <w:rPr>
          <w:rFonts w:asciiTheme="majorHAnsi" w:hAnsiTheme="majorHAnsi"/>
          <w:sz w:val="24"/>
          <w:szCs w:val="24"/>
        </w:rPr>
        <w:t xml:space="preserve">ustainable </w:t>
      </w:r>
      <w:r w:rsidRPr="006B64BD">
        <w:rPr>
          <w:rFonts w:asciiTheme="majorHAnsi" w:hAnsiTheme="majorHAnsi"/>
          <w:sz w:val="24"/>
          <w:szCs w:val="24"/>
        </w:rPr>
        <w:t>D</w:t>
      </w:r>
      <w:r w:rsidR="00506C88" w:rsidRPr="007C1304">
        <w:rPr>
          <w:rFonts w:asciiTheme="majorHAnsi" w:hAnsiTheme="majorHAnsi"/>
          <w:sz w:val="24"/>
          <w:szCs w:val="24"/>
        </w:rPr>
        <w:t xml:space="preserve">evelopment </w:t>
      </w:r>
      <w:r w:rsidRPr="006B64BD">
        <w:rPr>
          <w:rFonts w:asciiTheme="majorHAnsi" w:hAnsiTheme="majorHAnsi"/>
          <w:sz w:val="24"/>
          <w:szCs w:val="24"/>
        </w:rPr>
        <w:t>G</w:t>
      </w:r>
      <w:r w:rsidR="00506C88" w:rsidRPr="007C1304">
        <w:rPr>
          <w:rFonts w:asciiTheme="majorHAnsi" w:hAnsiTheme="majorHAnsi"/>
          <w:sz w:val="24"/>
          <w:szCs w:val="24"/>
        </w:rPr>
        <w:t>oal</w:t>
      </w:r>
      <w:r w:rsidRPr="006B64BD">
        <w:rPr>
          <w:rFonts w:asciiTheme="majorHAnsi" w:hAnsiTheme="majorHAnsi"/>
          <w:sz w:val="24"/>
          <w:szCs w:val="24"/>
        </w:rPr>
        <w:t xml:space="preserve"> 10.</w:t>
      </w:r>
    </w:p>
    <w:p w14:paraId="6DBFC6E2" w14:textId="445E6A92"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 xml:space="preserve">From a workforce perspective, maintaining quality during change requires adequate training, support and engagement. Staff </w:t>
      </w:r>
      <w:r w:rsidR="009F3F36" w:rsidRPr="007C1304">
        <w:rPr>
          <w:rFonts w:asciiTheme="majorHAnsi" w:hAnsiTheme="majorHAnsi"/>
          <w:sz w:val="24"/>
          <w:szCs w:val="24"/>
        </w:rPr>
        <w:t xml:space="preserve">are fundamental to the provision of care </w:t>
      </w:r>
      <w:r w:rsidRPr="006B64BD">
        <w:rPr>
          <w:rFonts w:asciiTheme="majorHAnsi" w:hAnsiTheme="majorHAnsi"/>
          <w:sz w:val="24"/>
          <w:szCs w:val="24"/>
        </w:rPr>
        <w:t>and their ability to adapt to new systems directly impacts patient outcomes (Carayon et al., 2015). However, rapid or poorly supported change can lead to stress, resistance and reduced morale, all of which can negatively affect care quality. This reinforces the importance of aligning change management strategies with workforce needs.</w:t>
      </w:r>
    </w:p>
    <w:p w14:paraId="713DCCC0" w14:textId="4357114A"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 xml:space="preserve">Critically, there is often a gap between the intended and actual outcomes of change. While policies promoting digital transformation emphasise improved quality and efficiency, evidence suggests that these outcomes are not always fully realised (Bates et al., 2018). This may be </w:t>
      </w:r>
      <w:r w:rsidR="009F3F36" w:rsidRPr="007C1304">
        <w:rPr>
          <w:rFonts w:asciiTheme="majorHAnsi" w:hAnsiTheme="majorHAnsi"/>
          <w:sz w:val="24"/>
          <w:szCs w:val="24"/>
        </w:rPr>
        <w:t>as a result of a</w:t>
      </w:r>
      <w:r w:rsidRPr="006B64BD">
        <w:rPr>
          <w:rFonts w:asciiTheme="majorHAnsi" w:hAnsiTheme="majorHAnsi"/>
          <w:sz w:val="24"/>
          <w:szCs w:val="24"/>
        </w:rPr>
        <w:t xml:space="preserve"> range</w:t>
      </w:r>
      <w:r w:rsidR="009F3F36" w:rsidRPr="007C1304">
        <w:t xml:space="preserve"> </w:t>
      </w:r>
      <w:r w:rsidR="009F3F36" w:rsidRPr="007C1304">
        <w:rPr>
          <w:rFonts w:asciiTheme="majorHAnsi" w:hAnsiTheme="majorHAnsi"/>
          <w:sz w:val="24"/>
          <w:szCs w:val="24"/>
        </w:rPr>
        <w:t>of multiple contributing factors, such as</w:t>
      </w:r>
      <w:r w:rsidRPr="006B64BD">
        <w:rPr>
          <w:rFonts w:asciiTheme="majorHAnsi" w:hAnsiTheme="majorHAnsi"/>
          <w:sz w:val="24"/>
          <w:szCs w:val="24"/>
        </w:rPr>
        <w:t xml:space="preserve"> insufficient investment, lack of integration and inadequate evaluation. Furthermore, </w:t>
      </w:r>
      <w:r w:rsidR="009F766A" w:rsidRPr="007C1304">
        <w:rPr>
          <w:rFonts w:asciiTheme="majorHAnsi" w:hAnsiTheme="majorHAnsi"/>
          <w:sz w:val="24"/>
          <w:szCs w:val="24"/>
        </w:rPr>
        <w:t xml:space="preserve">an emphasis on measurable outcomes may neglect more intangible aspects of care, </w:t>
      </w:r>
      <w:r w:rsidRPr="006B64BD">
        <w:rPr>
          <w:rFonts w:asciiTheme="majorHAnsi" w:hAnsiTheme="majorHAnsi"/>
          <w:sz w:val="24"/>
          <w:szCs w:val="24"/>
        </w:rPr>
        <w:t>such as patient experience and relational care.</w:t>
      </w:r>
    </w:p>
    <w:p w14:paraId="6AE4DD4E" w14:textId="14297282" w:rsidR="006B64BD" w:rsidRPr="006B64BD" w:rsidRDefault="006B64BD" w:rsidP="00F0245E">
      <w:pPr>
        <w:spacing w:line="360" w:lineRule="auto"/>
        <w:rPr>
          <w:rFonts w:asciiTheme="majorHAnsi" w:hAnsiTheme="majorHAnsi"/>
          <w:sz w:val="24"/>
          <w:szCs w:val="24"/>
        </w:rPr>
      </w:pPr>
      <w:r w:rsidRPr="006B64BD">
        <w:rPr>
          <w:rFonts w:asciiTheme="majorHAnsi" w:hAnsiTheme="majorHAnsi"/>
          <w:sz w:val="24"/>
          <w:szCs w:val="24"/>
        </w:rPr>
        <w:t>Overall, while change within health and social care systems</w:t>
      </w:r>
      <w:r w:rsidR="00980669" w:rsidRPr="007C1304">
        <w:t xml:space="preserve"> </w:t>
      </w:r>
      <w:r w:rsidR="00980669" w:rsidRPr="007C1304">
        <w:rPr>
          <w:rFonts w:asciiTheme="majorHAnsi" w:hAnsiTheme="majorHAnsi"/>
          <w:sz w:val="24"/>
          <w:szCs w:val="24"/>
        </w:rPr>
        <w:t>has the capacity to enhance quality outcomes</w:t>
      </w:r>
      <w:r w:rsidRPr="006B64BD">
        <w:rPr>
          <w:rFonts w:asciiTheme="majorHAnsi" w:hAnsiTheme="majorHAnsi"/>
          <w:sz w:val="24"/>
          <w:szCs w:val="24"/>
        </w:rPr>
        <w:t>, its effectiveness is highly dependent on implementation. Digital transformation, including the adoption of EHRs, offers significant opportunities to enhance safety, efficiency and patient engagement. However, it also introduces risks and challenges that must be carefully managed. This suggests that achieving high-quality care in the context of change requires a balanced approach that considers both technological innovation and the broader social, organisational and human factors that influence healthcare delivery.</w:t>
      </w:r>
    </w:p>
    <w:p w14:paraId="468FC2B1" w14:textId="77777777" w:rsidR="00116C1C" w:rsidRPr="00116C1C" w:rsidRDefault="00116C1C" w:rsidP="00F0245E">
      <w:pPr>
        <w:spacing w:line="360" w:lineRule="auto"/>
        <w:rPr>
          <w:rFonts w:asciiTheme="majorHAnsi" w:hAnsiTheme="majorHAnsi"/>
          <w:sz w:val="24"/>
          <w:szCs w:val="24"/>
        </w:rPr>
      </w:pPr>
      <w:r w:rsidRPr="00116C1C">
        <w:rPr>
          <w:rFonts w:asciiTheme="majorHAnsi" w:hAnsiTheme="majorHAnsi"/>
          <w:sz w:val="24"/>
          <w:szCs w:val="24"/>
        </w:rPr>
        <w:t>Conclusion</w:t>
      </w:r>
    </w:p>
    <w:p w14:paraId="142CEAED" w14:textId="58478476" w:rsidR="00116C1C" w:rsidRPr="00116C1C" w:rsidRDefault="00116C1C" w:rsidP="00F0245E">
      <w:pPr>
        <w:spacing w:line="360" w:lineRule="auto"/>
        <w:rPr>
          <w:rFonts w:asciiTheme="majorHAnsi" w:hAnsiTheme="majorHAnsi"/>
          <w:sz w:val="24"/>
          <w:szCs w:val="24"/>
        </w:rPr>
      </w:pPr>
      <w:r w:rsidRPr="00116C1C">
        <w:rPr>
          <w:rFonts w:asciiTheme="majorHAnsi" w:hAnsiTheme="majorHAnsi"/>
          <w:sz w:val="24"/>
          <w:szCs w:val="24"/>
        </w:rPr>
        <w:lastRenderedPageBreak/>
        <w:t xml:space="preserve">This essay has critically examined the key </w:t>
      </w:r>
      <w:r w:rsidR="00D714B6" w:rsidRPr="007C1304">
        <w:rPr>
          <w:rFonts w:asciiTheme="majorHAnsi" w:hAnsiTheme="majorHAnsi"/>
          <w:sz w:val="24"/>
          <w:szCs w:val="24"/>
        </w:rPr>
        <w:t xml:space="preserve">underlying drivers influencing change within the health </w:t>
      </w:r>
      <w:r w:rsidRPr="00116C1C">
        <w:rPr>
          <w:rFonts w:asciiTheme="majorHAnsi" w:hAnsiTheme="majorHAnsi"/>
          <w:sz w:val="24"/>
          <w:szCs w:val="24"/>
        </w:rPr>
        <w:t>and social care systems, evaluated strategies for managing change, and analysed the impact of these changes on quality outcomes, with particular reference to NHS digital transformation and the</w:t>
      </w:r>
      <w:r w:rsidR="006A17FB" w:rsidRPr="007C1304">
        <w:rPr>
          <w:rFonts w:asciiTheme="majorHAnsi" w:hAnsiTheme="majorHAnsi"/>
          <w:sz w:val="24"/>
          <w:szCs w:val="24"/>
        </w:rPr>
        <w:t xml:space="preserve"> application of </w:t>
      </w:r>
      <w:r w:rsidRPr="00116C1C">
        <w:rPr>
          <w:rFonts w:asciiTheme="majorHAnsi" w:hAnsiTheme="majorHAnsi"/>
          <w:sz w:val="24"/>
          <w:szCs w:val="24"/>
        </w:rPr>
        <w:t>electronic health records (EHRs). The analysis demonstrates that change within healthcare is both necessary and inevitable, driven by demographic pressures, technological advancement, economic constraints and evolving patient expectations. However, while these drivers create opportunities for innovation and improvement, they also introduce significant complexity and challenge.</w:t>
      </w:r>
    </w:p>
    <w:p w14:paraId="1A3D4BC9" w14:textId="6348DD5C" w:rsidR="00116C1C" w:rsidRPr="00116C1C" w:rsidRDefault="00116C1C" w:rsidP="00F0245E">
      <w:pPr>
        <w:spacing w:line="360" w:lineRule="auto"/>
        <w:rPr>
          <w:rFonts w:asciiTheme="majorHAnsi" w:hAnsiTheme="majorHAnsi"/>
          <w:sz w:val="24"/>
          <w:szCs w:val="24"/>
        </w:rPr>
      </w:pPr>
      <w:r w:rsidRPr="00116C1C">
        <w:rPr>
          <w:rFonts w:asciiTheme="majorHAnsi" w:hAnsiTheme="majorHAnsi"/>
          <w:sz w:val="24"/>
          <w:szCs w:val="24"/>
        </w:rPr>
        <w:t>The findings suggest that although theoretical</w:t>
      </w:r>
      <w:r w:rsidR="00D714B6" w:rsidRPr="007C1304">
        <w:t xml:space="preserve"> </w:t>
      </w:r>
      <w:r w:rsidR="00D714B6" w:rsidRPr="007C1304">
        <w:rPr>
          <w:rFonts w:asciiTheme="majorHAnsi" w:hAnsiTheme="majorHAnsi"/>
          <w:sz w:val="24"/>
          <w:szCs w:val="24"/>
        </w:rPr>
        <w:t>frameworks such as those proposed by Lewin and Kotter offer valuable approaches to managing change</w:t>
      </w:r>
      <w:r w:rsidRPr="00116C1C">
        <w:rPr>
          <w:rFonts w:asciiTheme="majorHAnsi" w:hAnsiTheme="majorHAnsi"/>
          <w:sz w:val="24"/>
          <w:szCs w:val="24"/>
        </w:rPr>
        <w:t xml:space="preserve">, their effectiveness within healthcare settings </w:t>
      </w:r>
      <w:r w:rsidR="00DB3517" w:rsidRPr="007C1304">
        <w:rPr>
          <w:rFonts w:asciiTheme="majorHAnsi" w:hAnsiTheme="majorHAnsi"/>
          <w:sz w:val="24"/>
          <w:szCs w:val="24"/>
        </w:rPr>
        <w:t xml:space="preserve">is frequently constrained by the </w:t>
      </w:r>
      <w:r w:rsidRPr="00116C1C">
        <w:rPr>
          <w:rFonts w:asciiTheme="majorHAnsi" w:hAnsiTheme="majorHAnsi"/>
          <w:sz w:val="24"/>
          <w:szCs w:val="24"/>
        </w:rPr>
        <w:t>dynamic and unpredictable nature of the system (Burnes, 2020; Appelbaum et al., 2012). In practice, successful change management requires a</w:t>
      </w:r>
      <w:r w:rsidR="00D74E49" w:rsidRPr="007C1304">
        <w:rPr>
          <w:rFonts w:asciiTheme="majorHAnsi" w:hAnsiTheme="majorHAnsi"/>
          <w:sz w:val="24"/>
          <w:szCs w:val="24"/>
        </w:rPr>
        <w:t xml:space="preserve"> more adaptable and context</w:t>
      </w:r>
      <w:r w:rsidR="00674569" w:rsidRPr="007C1304">
        <w:rPr>
          <w:rFonts w:asciiTheme="majorHAnsi" w:hAnsiTheme="majorHAnsi"/>
          <w:sz w:val="24"/>
          <w:szCs w:val="24"/>
        </w:rPr>
        <w:t xml:space="preserve"> </w:t>
      </w:r>
      <w:r w:rsidR="00220B55" w:rsidRPr="007C1304">
        <w:rPr>
          <w:rFonts w:asciiTheme="majorHAnsi" w:hAnsiTheme="majorHAnsi"/>
          <w:sz w:val="24"/>
          <w:szCs w:val="24"/>
        </w:rPr>
        <w:t xml:space="preserve">o   </w:t>
      </w:r>
      <w:r w:rsidR="00D74E49" w:rsidRPr="007C1304">
        <w:rPr>
          <w:rFonts w:asciiTheme="majorHAnsi" w:hAnsiTheme="majorHAnsi"/>
          <w:sz w:val="24"/>
          <w:szCs w:val="24"/>
        </w:rPr>
        <w:t xml:space="preserve">sensitive approach, underpinned by effective leadership and stakeholder </w:t>
      </w:r>
      <w:r w:rsidRPr="00116C1C">
        <w:rPr>
          <w:rFonts w:asciiTheme="majorHAnsi" w:hAnsiTheme="majorHAnsi"/>
          <w:sz w:val="24"/>
          <w:szCs w:val="24"/>
        </w:rPr>
        <w:t>engagement and adequate resourcing. Without these elements, change initiatives risk partial implementation and reduced effectiveness.</w:t>
      </w:r>
    </w:p>
    <w:p w14:paraId="3C910EA6" w14:textId="77777777" w:rsidR="00116C1C" w:rsidRPr="00116C1C" w:rsidRDefault="00116C1C" w:rsidP="00F0245E">
      <w:pPr>
        <w:spacing w:line="360" w:lineRule="auto"/>
        <w:rPr>
          <w:rFonts w:asciiTheme="majorHAnsi" w:hAnsiTheme="majorHAnsi"/>
          <w:sz w:val="24"/>
          <w:szCs w:val="24"/>
        </w:rPr>
      </w:pPr>
      <w:r w:rsidRPr="00116C1C">
        <w:rPr>
          <w:rFonts w:asciiTheme="majorHAnsi" w:hAnsiTheme="majorHAnsi"/>
          <w:sz w:val="24"/>
          <w:szCs w:val="24"/>
        </w:rPr>
        <w:t>In relation to quality outcomes, digital transformation offers considerable potential to enhance patient safety, efficiency and care coordination. The implementation of EHRs, for example, can improve information accessibility and support clinical decision-making (Campanella et al., 2016). However, the evidence also highlights that these benefits are not guaranteed. Challenges such as digital exclusion, staff resistance, interoperability issues and increased administrative burden can undermine quality, particularly during the transition phase (Greenhalgh et al., 2017; Shanafelt et al., 2016). This suggests that the impact of change on quality is highly dependent on how it is managed.</w:t>
      </w:r>
    </w:p>
    <w:p w14:paraId="23EBCBBA" w14:textId="44BA60DD" w:rsidR="00116C1C" w:rsidRPr="007C1304" w:rsidRDefault="004C4275" w:rsidP="00F0245E">
      <w:pPr>
        <w:spacing w:line="360" w:lineRule="auto"/>
        <w:rPr>
          <w:rFonts w:asciiTheme="majorHAnsi" w:hAnsiTheme="majorHAnsi"/>
          <w:sz w:val="24"/>
          <w:szCs w:val="24"/>
        </w:rPr>
      </w:pPr>
      <w:r w:rsidRPr="007C1304">
        <w:rPr>
          <w:rFonts w:asciiTheme="majorHAnsi" w:hAnsiTheme="majorHAnsi"/>
          <w:sz w:val="24"/>
          <w:szCs w:val="24"/>
        </w:rPr>
        <w:t>This analysis demonstrates that, although change is integral to the sustainability of health and social care systems</w:t>
      </w:r>
      <w:r w:rsidR="00116C1C" w:rsidRPr="00116C1C">
        <w:rPr>
          <w:rFonts w:asciiTheme="majorHAnsi" w:hAnsiTheme="majorHAnsi"/>
          <w:sz w:val="24"/>
          <w:szCs w:val="24"/>
        </w:rPr>
        <w:t xml:space="preserve">, its success is constrained by structural, political and economic factors. In the context of NHS digital transformation, progress has been significant but uneven, indicating that current approaches achieve only partial effectiveness. To ensure that quality outcomes are maintained and improved, future strategies must adopt a more holistic approach, addressing not only technological innovation but also workforce needs, organisational culture and health inequalities. Ultimately, achieving sustainable improvement </w:t>
      </w:r>
      <w:r w:rsidR="00116C1C" w:rsidRPr="00116C1C">
        <w:rPr>
          <w:rFonts w:asciiTheme="majorHAnsi" w:hAnsiTheme="majorHAnsi"/>
          <w:sz w:val="24"/>
          <w:szCs w:val="24"/>
        </w:rPr>
        <w:lastRenderedPageBreak/>
        <w:t>requires long-term investment, integrated policy approaches and a continued focus on patient-centred care.</w:t>
      </w:r>
    </w:p>
    <w:p w14:paraId="1C63EE29" w14:textId="77777777" w:rsidR="00F0245E" w:rsidRPr="00116C1C" w:rsidRDefault="00F0245E" w:rsidP="00F0245E">
      <w:pPr>
        <w:spacing w:line="360" w:lineRule="auto"/>
        <w:rPr>
          <w:rFonts w:asciiTheme="majorHAnsi" w:hAnsiTheme="majorHAnsi"/>
          <w:sz w:val="24"/>
          <w:szCs w:val="24"/>
        </w:rPr>
      </w:pPr>
    </w:p>
    <w:p w14:paraId="50A3BECA" w14:textId="77777777" w:rsidR="00F0245E" w:rsidRDefault="00F0245E" w:rsidP="00F0245E">
      <w:pPr>
        <w:spacing w:line="360" w:lineRule="auto"/>
        <w:rPr>
          <w:rFonts w:asciiTheme="majorHAnsi" w:hAnsiTheme="majorHAnsi"/>
          <w:b/>
          <w:bCs/>
          <w:sz w:val="24"/>
          <w:szCs w:val="24"/>
          <w:u w:val="single"/>
        </w:rPr>
      </w:pPr>
    </w:p>
    <w:p w14:paraId="55A8B375" w14:textId="77777777" w:rsidR="00F0245E" w:rsidRDefault="00F0245E" w:rsidP="00F0245E">
      <w:pPr>
        <w:spacing w:line="360" w:lineRule="auto"/>
        <w:rPr>
          <w:rFonts w:asciiTheme="majorHAnsi" w:hAnsiTheme="majorHAnsi"/>
          <w:b/>
          <w:bCs/>
          <w:sz w:val="24"/>
          <w:szCs w:val="24"/>
          <w:u w:val="single"/>
        </w:rPr>
      </w:pPr>
    </w:p>
    <w:p w14:paraId="5281C42F" w14:textId="77777777" w:rsidR="00F0245E" w:rsidRDefault="00F0245E" w:rsidP="00F0245E">
      <w:pPr>
        <w:spacing w:line="360" w:lineRule="auto"/>
        <w:rPr>
          <w:rFonts w:asciiTheme="majorHAnsi" w:hAnsiTheme="majorHAnsi"/>
          <w:b/>
          <w:bCs/>
          <w:sz w:val="24"/>
          <w:szCs w:val="24"/>
          <w:u w:val="single"/>
        </w:rPr>
      </w:pPr>
    </w:p>
    <w:p w14:paraId="574D7E02" w14:textId="77777777" w:rsidR="007F62D8" w:rsidRDefault="007F62D8" w:rsidP="00F0245E">
      <w:pPr>
        <w:spacing w:line="360" w:lineRule="auto"/>
        <w:rPr>
          <w:rFonts w:asciiTheme="majorHAnsi" w:hAnsiTheme="majorHAnsi"/>
          <w:b/>
          <w:bCs/>
          <w:sz w:val="24"/>
          <w:szCs w:val="24"/>
          <w:u w:val="single"/>
        </w:rPr>
      </w:pPr>
    </w:p>
    <w:p w14:paraId="5C79B686" w14:textId="77777777" w:rsidR="00B30F5E" w:rsidRDefault="00B30F5E" w:rsidP="00F0245E">
      <w:pPr>
        <w:spacing w:line="360" w:lineRule="auto"/>
        <w:rPr>
          <w:rFonts w:asciiTheme="majorHAnsi" w:hAnsiTheme="majorHAnsi"/>
          <w:b/>
          <w:bCs/>
          <w:sz w:val="24"/>
          <w:szCs w:val="24"/>
          <w:u w:val="single"/>
        </w:rPr>
      </w:pPr>
    </w:p>
    <w:p w14:paraId="1C3086C8" w14:textId="77777777" w:rsidR="00B30F5E" w:rsidRDefault="00B30F5E" w:rsidP="00F0245E">
      <w:pPr>
        <w:spacing w:line="360" w:lineRule="auto"/>
        <w:rPr>
          <w:rFonts w:asciiTheme="majorHAnsi" w:hAnsiTheme="majorHAnsi"/>
          <w:b/>
          <w:bCs/>
          <w:sz w:val="24"/>
          <w:szCs w:val="24"/>
          <w:u w:val="single"/>
        </w:rPr>
      </w:pPr>
    </w:p>
    <w:p w14:paraId="4043C374" w14:textId="77777777" w:rsidR="00B30F5E" w:rsidRDefault="00B30F5E" w:rsidP="00F0245E">
      <w:pPr>
        <w:spacing w:line="360" w:lineRule="auto"/>
        <w:rPr>
          <w:rFonts w:asciiTheme="majorHAnsi" w:hAnsiTheme="majorHAnsi"/>
          <w:b/>
          <w:bCs/>
          <w:sz w:val="24"/>
          <w:szCs w:val="24"/>
          <w:u w:val="single"/>
        </w:rPr>
      </w:pPr>
    </w:p>
    <w:p w14:paraId="68AE14CA" w14:textId="77777777" w:rsidR="00B30F5E" w:rsidRDefault="00B30F5E" w:rsidP="00F0245E">
      <w:pPr>
        <w:spacing w:line="360" w:lineRule="auto"/>
        <w:rPr>
          <w:rFonts w:asciiTheme="majorHAnsi" w:hAnsiTheme="majorHAnsi"/>
          <w:b/>
          <w:bCs/>
          <w:sz w:val="24"/>
          <w:szCs w:val="24"/>
          <w:u w:val="single"/>
        </w:rPr>
      </w:pPr>
    </w:p>
    <w:p w14:paraId="02E51DB6" w14:textId="77777777" w:rsidR="00B30F5E" w:rsidRDefault="00B30F5E" w:rsidP="00F0245E">
      <w:pPr>
        <w:spacing w:line="360" w:lineRule="auto"/>
        <w:rPr>
          <w:rFonts w:asciiTheme="majorHAnsi" w:hAnsiTheme="majorHAnsi"/>
          <w:b/>
          <w:bCs/>
          <w:sz w:val="24"/>
          <w:szCs w:val="24"/>
          <w:u w:val="single"/>
        </w:rPr>
      </w:pPr>
    </w:p>
    <w:p w14:paraId="783943E3" w14:textId="77777777" w:rsidR="00B30F5E" w:rsidRDefault="00B30F5E" w:rsidP="00F0245E">
      <w:pPr>
        <w:spacing w:line="360" w:lineRule="auto"/>
        <w:rPr>
          <w:rFonts w:asciiTheme="majorHAnsi" w:hAnsiTheme="majorHAnsi"/>
          <w:b/>
          <w:bCs/>
          <w:sz w:val="24"/>
          <w:szCs w:val="24"/>
          <w:u w:val="single"/>
        </w:rPr>
      </w:pPr>
    </w:p>
    <w:p w14:paraId="1EFA5864" w14:textId="77777777" w:rsidR="00B30F5E" w:rsidRDefault="00B30F5E" w:rsidP="00F0245E">
      <w:pPr>
        <w:spacing w:line="360" w:lineRule="auto"/>
        <w:rPr>
          <w:rFonts w:asciiTheme="majorHAnsi" w:hAnsiTheme="majorHAnsi"/>
          <w:b/>
          <w:bCs/>
          <w:sz w:val="24"/>
          <w:szCs w:val="24"/>
          <w:u w:val="single"/>
        </w:rPr>
      </w:pPr>
    </w:p>
    <w:p w14:paraId="5DC3FB1E" w14:textId="77777777" w:rsidR="00B30F5E" w:rsidRDefault="00B30F5E" w:rsidP="00F0245E">
      <w:pPr>
        <w:spacing w:line="360" w:lineRule="auto"/>
        <w:rPr>
          <w:rFonts w:asciiTheme="majorHAnsi" w:hAnsiTheme="majorHAnsi"/>
          <w:b/>
          <w:bCs/>
          <w:sz w:val="24"/>
          <w:szCs w:val="24"/>
          <w:u w:val="single"/>
        </w:rPr>
      </w:pPr>
    </w:p>
    <w:p w14:paraId="1B89633C" w14:textId="77777777" w:rsidR="00B30F5E" w:rsidRDefault="00B30F5E" w:rsidP="00F0245E">
      <w:pPr>
        <w:spacing w:line="360" w:lineRule="auto"/>
        <w:rPr>
          <w:rFonts w:asciiTheme="majorHAnsi" w:hAnsiTheme="majorHAnsi"/>
          <w:b/>
          <w:bCs/>
          <w:sz w:val="24"/>
          <w:szCs w:val="24"/>
          <w:u w:val="single"/>
        </w:rPr>
      </w:pPr>
    </w:p>
    <w:p w14:paraId="16425F70" w14:textId="77777777" w:rsidR="00B30F5E" w:rsidRDefault="00B30F5E" w:rsidP="00F0245E">
      <w:pPr>
        <w:spacing w:line="360" w:lineRule="auto"/>
        <w:rPr>
          <w:rFonts w:asciiTheme="majorHAnsi" w:hAnsiTheme="majorHAnsi"/>
          <w:b/>
          <w:bCs/>
          <w:sz w:val="24"/>
          <w:szCs w:val="24"/>
          <w:u w:val="single"/>
        </w:rPr>
      </w:pPr>
    </w:p>
    <w:p w14:paraId="32569594" w14:textId="77777777" w:rsidR="00B30F5E" w:rsidRDefault="00B30F5E" w:rsidP="00F0245E">
      <w:pPr>
        <w:spacing w:line="360" w:lineRule="auto"/>
        <w:rPr>
          <w:rFonts w:asciiTheme="majorHAnsi" w:hAnsiTheme="majorHAnsi"/>
          <w:b/>
          <w:bCs/>
          <w:sz w:val="24"/>
          <w:szCs w:val="24"/>
          <w:u w:val="single"/>
        </w:rPr>
      </w:pPr>
    </w:p>
    <w:p w14:paraId="426177E8" w14:textId="77777777" w:rsidR="00B30F5E" w:rsidRDefault="00B30F5E" w:rsidP="00F0245E">
      <w:pPr>
        <w:spacing w:line="360" w:lineRule="auto"/>
        <w:rPr>
          <w:rFonts w:asciiTheme="majorHAnsi" w:hAnsiTheme="majorHAnsi"/>
          <w:b/>
          <w:bCs/>
          <w:sz w:val="24"/>
          <w:szCs w:val="24"/>
          <w:u w:val="single"/>
        </w:rPr>
      </w:pPr>
    </w:p>
    <w:p w14:paraId="6702C526" w14:textId="77777777" w:rsidR="00B30F5E" w:rsidRDefault="00B30F5E" w:rsidP="00F0245E">
      <w:pPr>
        <w:spacing w:line="360" w:lineRule="auto"/>
        <w:rPr>
          <w:rFonts w:asciiTheme="majorHAnsi" w:hAnsiTheme="majorHAnsi"/>
          <w:b/>
          <w:bCs/>
          <w:sz w:val="24"/>
          <w:szCs w:val="24"/>
          <w:u w:val="single"/>
        </w:rPr>
      </w:pPr>
    </w:p>
    <w:p w14:paraId="1E8299AB" w14:textId="77777777" w:rsidR="00B30F5E" w:rsidRDefault="00B30F5E" w:rsidP="00F0245E">
      <w:pPr>
        <w:spacing w:line="360" w:lineRule="auto"/>
        <w:rPr>
          <w:rFonts w:asciiTheme="majorHAnsi" w:hAnsiTheme="majorHAnsi"/>
          <w:b/>
          <w:bCs/>
          <w:sz w:val="24"/>
          <w:szCs w:val="24"/>
          <w:u w:val="single"/>
        </w:rPr>
      </w:pPr>
    </w:p>
    <w:p w14:paraId="31F4A3D2" w14:textId="77777777" w:rsidR="00B30F5E" w:rsidRDefault="00B30F5E" w:rsidP="00F0245E">
      <w:pPr>
        <w:spacing w:line="360" w:lineRule="auto"/>
        <w:rPr>
          <w:rFonts w:asciiTheme="majorHAnsi" w:hAnsiTheme="majorHAnsi"/>
          <w:b/>
          <w:bCs/>
          <w:sz w:val="24"/>
          <w:szCs w:val="24"/>
          <w:u w:val="single"/>
        </w:rPr>
      </w:pPr>
    </w:p>
    <w:p w14:paraId="7E332625" w14:textId="77777777" w:rsidR="00B30F5E" w:rsidRDefault="00B30F5E" w:rsidP="00F0245E">
      <w:pPr>
        <w:spacing w:line="360" w:lineRule="auto"/>
        <w:rPr>
          <w:rFonts w:asciiTheme="majorHAnsi" w:hAnsiTheme="majorHAnsi"/>
          <w:b/>
          <w:bCs/>
          <w:sz w:val="24"/>
          <w:szCs w:val="24"/>
          <w:u w:val="single"/>
        </w:rPr>
      </w:pPr>
    </w:p>
    <w:p w14:paraId="35AF7BCF" w14:textId="77777777" w:rsidR="00B30F5E" w:rsidRDefault="00B30F5E" w:rsidP="00F0245E">
      <w:pPr>
        <w:spacing w:line="360" w:lineRule="auto"/>
        <w:rPr>
          <w:rFonts w:asciiTheme="majorHAnsi" w:hAnsiTheme="majorHAnsi"/>
          <w:b/>
          <w:bCs/>
          <w:sz w:val="24"/>
          <w:szCs w:val="24"/>
          <w:u w:val="single"/>
        </w:rPr>
      </w:pPr>
    </w:p>
    <w:p w14:paraId="27F354BF" w14:textId="5230D02F" w:rsidR="00116C1C" w:rsidRPr="00116C1C" w:rsidRDefault="00F0245E" w:rsidP="00F0245E">
      <w:pPr>
        <w:spacing w:line="360" w:lineRule="auto"/>
        <w:rPr>
          <w:rFonts w:asciiTheme="majorHAnsi" w:hAnsiTheme="majorHAnsi"/>
          <w:b/>
          <w:bCs/>
          <w:sz w:val="24"/>
          <w:szCs w:val="24"/>
          <w:u w:val="single"/>
        </w:rPr>
      </w:pPr>
      <w:r w:rsidRPr="00F0245E">
        <w:rPr>
          <w:rFonts w:asciiTheme="majorHAnsi" w:hAnsiTheme="majorHAnsi"/>
          <w:b/>
          <w:bCs/>
          <w:sz w:val="24"/>
          <w:szCs w:val="24"/>
          <w:u w:val="single"/>
        </w:rPr>
        <w:lastRenderedPageBreak/>
        <w:t>Reference List.</w:t>
      </w:r>
    </w:p>
    <w:p w14:paraId="198492E6" w14:textId="77777777" w:rsidR="00B30F5E" w:rsidRPr="00B30F5E" w:rsidRDefault="00B30F5E" w:rsidP="00B30F5E">
      <w:r w:rsidRPr="00B30F5E">
        <w:t xml:space="preserve">Adler-Milstein, J. and Jha, A.K. (2017) ‘Health information exchange and interoperability’, </w:t>
      </w:r>
      <w:r w:rsidRPr="00B30F5E">
        <w:rPr>
          <w:i/>
          <w:iCs/>
        </w:rPr>
        <w:t>Health Affairs</w:t>
      </w:r>
      <w:r w:rsidRPr="00B30F5E">
        <w:t xml:space="preserve">, 36(8), pp. 1416–1422. Available at: </w:t>
      </w:r>
      <w:hyperlink r:id="rId9" w:tgtFrame="_new" w:history="1">
        <w:r w:rsidRPr="00B30F5E">
          <w:rPr>
            <w:rStyle w:val="Hyperlink"/>
          </w:rPr>
          <w:t>https://doi:10.1377/hlthaff.2016.1651</w:t>
        </w:r>
      </w:hyperlink>
      <w:r w:rsidRPr="00B30F5E">
        <w:t xml:space="preserve"> (Accessed: 21 February 2026).</w:t>
      </w:r>
    </w:p>
    <w:p w14:paraId="0E0447D7" w14:textId="77777777" w:rsidR="00B30F5E" w:rsidRPr="00B30F5E" w:rsidRDefault="00B30F5E" w:rsidP="00B30F5E">
      <w:r w:rsidRPr="00B30F5E">
        <w:t xml:space="preserve">Alderwick, H. et al. (2021) ‘England’s new health and care bill’, </w:t>
      </w:r>
      <w:r w:rsidRPr="00B30F5E">
        <w:rPr>
          <w:i/>
          <w:iCs/>
        </w:rPr>
        <w:t>BMJ</w:t>
      </w:r>
      <w:r w:rsidRPr="00B30F5E">
        <w:t xml:space="preserve">, 374, n1767. Available at: </w:t>
      </w:r>
      <w:hyperlink r:id="rId10" w:tgtFrame="_new" w:history="1">
        <w:r w:rsidRPr="00B30F5E">
          <w:rPr>
            <w:rStyle w:val="Hyperlink"/>
          </w:rPr>
          <w:t>https://doi:10.1136/bmj.n1767</w:t>
        </w:r>
      </w:hyperlink>
      <w:r w:rsidRPr="00B30F5E">
        <w:t xml:space="preserve"> (Accessed: 21 February 2026).</w:t>
      </w:r>
    </w:p>
    <w:p w14:paraId="5544C51E" w14:textId="77777777" w:rsidR="00B30F5E" w:rsidRPr="00B30F5E" w:rsidRDefault="00B30F5E" w:rsidP="00B30F5E">
      <w:r w:rsidRPr="00B30F5E">
        <w:t xml:space="preserve">Appelbaum, S.H. et al. (2012) ‘Back to the future: revisiting Kotter’s 1996 change model’, </w:t>
      </w:r>
      <w:r w:rsidRPr="00B30F5E">
        <w:rPr>
          <w:i/>
          <w:iCs/>
        </w:rPr>
        <w:t>Journal of Management Development</w:t>
      </w:r>
      <w:r w:rsidRPr="00B30F5E">
        <w:t xml:space="preserve">, 31(8), pp. 764–782. Available at: </w:t>
      </w:r>
      <w:hyperlink r:id="rId11" w:tgtFrame="_new" w:history="1">
        <w:r w:rsidRPr="00B30F5E">
          <w:rPr>
            <w:rStyle w:val="Hyperlink"/>
          </w:rPr>
          <w:t>https://doi:10.1108/02621711211253231</w:t>
        </w:r>
      </w:hyperlink>
      <w:r w:rsidRPr="00B30F5E">
        <w:t xml:space="preserve"> (Accessed: 26 February 2026).</w:t>
      </w:r>
    </w:p>
    <w:p w14:paraId="4A4AEAB6" w14:textId="77777777" w:rsidR="00B30F5E" w:rsidRPr="00B30F5E" w:rsidRDefault="00B30F5E" w:rsidP="00B30F5E">
      <w:r w:rsidRPr="00B30F5E">
        <w:t xml:space="preserve">Ash, J.S., Berg, M. and Coiera, E. (2004) ‘Some unintended consequences of information technology in health care: the nature of patient care information system-related errors’, </w:t>
      </w:r>
      <w:r w:rsidRPr="00B30F5E">
        <w:rPr>
          <w:i/>
          <w:iCs/>
        </w:rPr>
        <w:t>Journal of the American Medical Informatics Association</w:t>
      </w:r>
      <w:r w:rsidRPr="00B30F5E">
        <w:t xml:space="preserve">, 11(2), pp. 104–112. Available at: </w:t>
      </w:r>
      <w:hyperlink r:id="rId12" w:tgtFrame="_new" w:history="1">
        <w:r w:rsidRPr="00B30F5E">
          <w:rPr>
            <w:rStyle w:val="Hyperlink"/>
          </w:rPr>
          <w:t>https://doi.org/10.1197/jamia.M1471</w:t>
        </w:r>
      </w:hyperlink>
      <w:r w:rsidRPr="00B30F5E">
        <w:t xml:space="preserve"> (Accessed: 2 March 2026).</w:t>
      </w:r>
    </w:p>
    <w:p w14:paraId="371B27A7" w14:textId="77777777" w:rsidR="00B30F5E" w:rsidRPr="00B30F5E" w:rsidRDefault="00B30F5E" w:rsidP="00B30F5E">
      <w:r w:rsidRPr="00B30F5E">
        <w:t xml:space="preserve">Bates, D.W. and Singh, H. (2018) ‘Two decades since To Err Is Human: an assessment of progress and emerging priorities in patient safety’, </w:t>
      </w:r>
      <w:r w:rsidRPr="00B30F5E">
        <w:rPr>
          <w:i/>
          <w:iCs/>
        </w:rPr>
        <w:t>Health Affairs</w:t>
      </w:r>
      <w:r w:rsidRPr="00B30F5E">
        <w:t xml:space="preserve">, 37(11), pp. 1736–1743. Available at: </w:t>
      </w:r>
      <w:hyperlink r:id="rId13" w:tgtFrame="_new" w:history="1">
        <w:r w:rsidRPr="00B30F5E">
          <w:rPr>
            <w:rStyle w:val="Hyperlink"/>
          </w:rPr>
          <w:t>https://doi:10.1377/hlthaff.2018.0738</w:t>
        </w:r>
      </w:hyperlink>
      <w:r w:rsidRPr="00B30F5E">
        <w:t xml:space="preserve"> (Accessed: 26 February 2026).</w:t>
      </w:r>
    </w:p>
    <w:p w14:paraId="27CCFBD9" w14:textId="77777777" w:rsidR="00B30F5E" w:rsidRPr="00B30F5E" w:rsidRDefault="00B30F5E" w:rsidP="00B30F5E">
      <w:r w:rsidRPr="00B30F5E">
        <w:t xml:space="preserve">Black, A.D. et al. (2011) ‘The impact of eHealth on the quality and safety of health care: a systematic overview’, </w:t>
      </w:r>
      <w:r w:rsidRPr="00B30F5E">
        <w:rPr>
          <w:i/>
          <w:iCs/>
        </w:rPr>
        <w:t>PLoS Medicine</w:t>
      </w:r>
      <w:r w:rsidRPr="00B30F5E">
        <w:t xml:space="preserve">, 8(1), e1000387. Available at: </w:t>
      </w:r>
      <w:hyperlink r:id="rId14" w:tgtFrame="_new" w:history="1">
        <w:r w:rsidRPr="00B30F5E">
          <w:rPr>
            <w:rStyle w:val="Hyperlink"/>
          </w:rPr>
          <w:t>https://doi.org/10.1371/journal.pmed.1000387</w:t>
        </w:r>
      </w:hyperlink>
      <w:r w:rsidRPr="00B30F5E">
        <w:t xml:space="preserve"> (Accessed: 21 February 2026).</w:t>
      </w:r>
    </w:p>
    <w:p w14:paraId="7DE686ED" w14:textId="77777777" w:rsidR="00B30F5E" w:rsidRPr="00B30F5E" w:rsidRDefault="00B30F5E" w:rsidP="00B30F5E">
      <w:r w:rsidRPr="00B30F5E">
        <w:t xml:space="preserve">Buntin, M.B. et al. (2011) ‘The benefits of health information technology: a review of the recent literature shows predominantly positive results’, </w:t>
      </w:r>
      <w:r w:rsidRPr="00B30F5E">
        <w:rPr>
          <w:i/>
          <w:iCs/>
        </w:rPr>
        <w:t>Health Affairs</w:t>
      </w:r>
      <w:r w:rsidRPr="00B30F5E">
        <w:t xml:space="preserve">, 30(3), pp. 464–471. Available at: </w:t>
      </w:r>
      <w:hyperlink r:id="rId15" w:tgtFrame="_new" w:history="1">
        <w:r w:rsidRPr="00B30F5E">
          <w:rPr>
            <w:rStyle w:val="Hyperlink"/>
          </w:rPr>
          <w:t>https://doi.org/10.1377/hlthaff.2011.0178</w:t>
        </w:r>
      </w:hyperlink>
      <w:r w:rsidRPr="00B30F5E">
        <w:t xml:space="preserve"> (Accessed: 20 February 2026).</w:t>
      </w:r>
    </w:p>
    <w:p w14:paraId="0FD31CCC" w14:textId="77777777" w:rsidR="00B30F5E" w:rsidRPr="00B30F5E" w:rsidRDefault="00B30F5E" w:rsidP="00B30F5E">
      <w:r w:rsidRPr="00B30F5E">
        <w:t xml:space="preserve">Burnes, B. (2020) </w:t>
      </w:r>
      <w:r w:rsidRPr="00B30F5E">
        <w:rPr>
          <w:i/>
          <w:iCs/>
        </w:rPr>
        <w:t>Managing change</w:t>
      </w:r>
      <w:r w:rsidRPr="00B30F5E">
        <w:t>. 8th edn. Harlow: Pearson.</w:t>
      </w:r>
    </w:p>
    <w:p w14:paraId="31048AC3" w14:textId="77777777" w:rsidR="00B30F5E" w:rsidRPr="00B30F5E" w:rsidRDefault="00B30F5E" w:rsidP="00B30F5E">
      <w:r w:rsidRPr="00B30F5E">
        <w:t xml:space="preserve">Campanella, P. et al. (2016) ‘The impact of electronic health records on healthcare quality: a systematic review and meta-analysis’, </w:t>
      </w:r>
      <w:r w:rsidRPr="00B30F5E">
        <w:rPr>
          <w:i/>
          <w:iCs/>
        </w:rPr>
        <w:t>European Journal of Public Health</w:t>
      </w:r>
      <w:r w:rsidRPr="00B30F5E">
        <w:t xml:space="preserve">, 26(1), pp. 60–64. Available at: </w:t>
      </w:r>
      <w:hyperlink r:id="rId16" w:tgtFrame="_new" w:history="1">
        <w:r w:rsidRPr="00B30F5E">
          <w:rPr>
            <w:rStyle w:val="Hyperlink"/>
          </w:rPr>
          <w:t>https://doi.org/10.1093/eurpub/ckv122</w:t>
        </w:r>
      </w:hyperlink>
      <w:r w:rsidRPr="00B30F5E">
        <w:t xml:space="preserve"> (Accessed: 20 February 2026).</w:t>
      </w:r>
    </w:p>
    <w:p w14:paraId="164C2DB7" w14:textId="77777777" w:rsidR="00B30F5E" w:rsidRPr="00B30F5E" w:rsidRDefault="00B30F5E" w:rsidP="00B30F5E">
      <w:r w:rsidRPr="00B30F5E">
        <w:t xml:space="preserve">Carayon, P. et al. (2015) ‘Work system design for patient safety: the SEIPS model’, </w:t>
      </w:r>
      <w:r w:rsidRPr="00B30F5E">
        <w:rPr>
          <w:i/>
          <w:iCs/>
        </w:rPr>
        <w:t>BMJ Quality &amp; Safety</w:t>
      </w:r>
      <w:r w:rsidRPr="00B30F5E">
        <w:t xml:space="preserve">, 23(11), pp. 937–944. Available at: </w:t>
      </w:r>
      <w:hyperlink r:id="rId17" w:tgtFrame="_new" w:history="1">
        <w:r w:rsidRPr="00B30F5E">
          <w:rPr>
            <w:rStyle w:val="Hyperlink"/>
          </w:rPr>
          <w:t>https://doi:10.1136/bmjqs-2014-003103</w:t>
        </w:r>
      </w:hyperlink>
      <w:r w:rsidRPr="00B30F5E">
        <w:t xml:space="preserve"> (Accessed: 10 March 2026).</w:t>
      </w:r>
    </w:p>
    <w:p w14:paraId="038274EA" w14:textId="77777777" w:rsidR="00B30F5E" w:rsidRPr="00B30F5E" w:rsidRDefault="00B30F5E" w:rsidP="00B30F5E">
      <w:r w:rsidRPr="00B30F5E">
        <w:t xml:space="preserve">Charlesworth, A. and Johnson, P. (2018) </w:t>
      </w:r>
      <w:r w:rsidRPr="00B30F5E">
        <w:rPr>
          <w:i/>
          <w:iCs/>
        </w:rPr>
        <w:t>Securing the future: funding health and social care</w:t>
      </w:r>
      <w:r w:rsidRPr="00B30F5E">
        <w:t>. London: Institute for Fiscal Studies.</w:t>
      </w:r>
    </w:p>
    <w:p w14:paraId="3ECBE7A9" w14:textId="77777777" w:rsidR="00B30F5E" w:rsidRPr="00B30F5E" w:rsidRDefault="00B30F5E" w:rsidP="00B30F5E">
      <w:r w:rsidRPr="00B30F5E">
        <w:t xml:space="preserve">Coulter, A. et al. (2014) ‘Collecting data on patient experience is not enough: they must be used to improve care’, </w:t>
      </w:r>
      <w:r w:rsidRPr="00B30F5E">
        <w:rPr>
          <w:i/>
          <w:iCs/>
        </w:rPr>
        <w:t>BMJ</w:t>
      </w:r>
      <w:r w:rsidRPr="00B30F5E">
        <w:t xml:space="preserve">, 348, g2225. Available at: </w:t>
      </w:r>
      <w:hyperlink r:id="rId18" w:tgtFrame="_new" w:history="1">
        <w:r w:rsidRPr="00B30F5E">
          <w:rPr>
            <w:rStyle w:val="Hyperlink"/>
          </w:rPr>
          <w:t>https://doi.org/10.1136/bmj.g2225</w:t>
        </w:r>
      </w:hyperlink>
      <w:r w:rsidRPr="00B30F5E">
        <w:t xml:space="preserve"> (Accessed: 10 March 2026).</w:t>
      </w:r>
    </w:p>
    <w:p w14:paraId="2F831025" w14:textId="77777777" w:rsidR="00B30F5E" w:rsidRPr="00B30F5E" w:rsidRDefault="00B30F5E" w:rsidP="00B30F5E">
      <w:r w:rsidRPr="00B30F5E">
        <w:t xml:space="preserve">Cresswell, K. and Sheikh, A. (2013) ‘Organizational issues in the implementation and adoption of health information technology innovations: an interpretative review’, </w:t>
      </w:r>
      <w:r w:rsidRPr="00B30F5E">
        <w:rPr>
          <w:i/>
          <w:iCs/>
        </w:rPr>
        <w:t>International Journal of Medical Informatics</w:t>
      </w:r>
      <w:r w:rsidRPr="00B30F5E">
        <w:t xml:space="preserve">, 82(5), pp. e73–e86. Available at: </w:t>
      </w:r>
      <w:hyperlink r:id="rId19" w:tgtFrame="_new" w:history="1">
        <w:r w:rsidRPr="00B30F5E">
          <w:rPr>
            <w:rStyle w:val="Hyperlink"/>
          </w:rPr>
          <w:t>https://doi.org/10.1016/j.ijmedinf.2012.10.007</w:t>
        </w:r>
      </w:hyperlink>
      <w:r w:rsidRPr="00B30F5E">
        <w:t xml:space="preserve"> (Accessed: 10 March 2026).</w:t>
      </w:r>
    </w:p>
    <w:p w14:paraId="520F156F" w14:textId="77777777" w:rsidR="00B30F5E" w:rsidRPr="00B30F5E" w:rsidRDefault="00B30F5E" w:rsidP="00B30F5E">
      <w:r w:rsidRPr="00B30F5E">
        <w:lastRenderedPageBreak/>
        <w:t xml:space="preserve">Dahlgren, G. and Whitehead, M. (1991) </w:t>
      </w:r>
      <w:r w:rsidRPr="00B30F5E">
        <w:rPr>
          <w:i/>
          <w:iCs/>
        </w:rPr>
        <w:t>Policies and strategies to promote social equity in health</w:t>
      </w:r>
      <w:r w:rsidRPr="00B30F5E">
        <w:t>. Stockholm: Institute for Futures Studies.</w:t>
      </w:r>
    </w:p>
    <w:p w14:paraId="27B633CB" w14:textId="77777777" w:rsidR="00B30F5E" w:rsidRPr="00B30F5E" w:rsidRDefault="00B30F5E" w:rsidP="00B30F5E">
      <w:r w:rsidRPr="00B30F5E">
        <w:t xml:space="preserve">Donabedian, A. (1988) ‘The quality of care: how can it be assessed?’, </w:t>
      </w:r>
      <w:r w:rsidRPr="00B30F5E">
        <w:rPr>
          <w:i/>
          <w:iCs/>
        </w:rPr>
        <w:t>JAMA</w:t>
      </w:r>
      <w:r w:rsidRPr="00B30F5E">
        <w:t xml:space="preserve">, 260(12), pp. 1743–1748. Available at: </w:t>
      </w:r>
      <w:hyperlink r:id="rId20" w:tgtFrame="_new" w:history="1">
        <w:r w:rsidRPr="00B30F5E">
          <w:rPr>
            <w:rStyle w:val="Hyperlink"/>
          </w:rPr>
          <w:t>https://doi.org/10.1001/jama.260.12.1743</w:t>
        </w:r>
      </w:hyperlink>
      <w:r w:rsidRPr="00B30F5E">
        <w:t xml:space="preserve"> (Accessed: 10 March 2026).</w:t>
      </w:r>
    </w:p>
    <w:p w14:paraId="13EDBEE0" w14:textId="77777777" w:rsidR="00B30F5E" w:rsidRPr="00B30F5E" w:rsidRDefault="00B30F5E" w:rsidP="00B30F5E">
      <w:r w:rsidRPr="00B30F5E">
        <w:t xml:space="preserve">Evans, R.S. (2016) ‘Electronic Health Records: Then, Now, and in the Future’, </w:t>
      </w:r>
      <w:r w:rsidRPr="00B30F5E">
        <w:rPr>
          <w:i/>
          <w:iCs/>
        </w:rPr>
        <w:t>Yearbook of Medical Informatics</w:t>
      </w:r>
      <w:r w:rsidRPr="00B30F5E">
        <w:t xml:space="preserve">, Suppl 1, pp. S48–S61. Available at: </w:t>
      </w:r>
      <w:hyperlink r:id="rId21" w:tgtFrame="_new" w:history="1">
        <w:r w:rsidRPr="00B30F5E">
          <w:rPr>
            <w:rStyle w:val="Hyperlink"/>
          </w:rPr>
          <w:t>https://doi.org/10.15265/IYS-2016-s006</w:t>
        </w:r>
      </w:hyperlink>
      <w:r w:rsidRPr="00B30F5E">
        <w:t xml:space="preserve"> (Accessed: 12 March 2026).</w:t>
      </w:r>
    </w:p>
    <w:p w14:paraId="22C05FD5" w14:textId="77777777" w:rsidR="00B30F5E" w:rsidRPr="00B30F5E" w:rsidRDefault="00B30F5E" w:rsidP="00B30F5E">
      <w:r w:rsidRPr="00B30F5E">
        <w:t xml:space="preserve">Exworthy, M., Powell, M. and Glasby, J. (2017) ‘The governance of integrated health and social care in England since 2010’, </w:t>
      </w:r>
      <w:r w:rsidRPr="00B30F5E">
        <w:rPr>
          <w:i/>
          <w:iCs/>
        </w:rPr>
        <w:t>Health Policy</w:t>
      </w:r>
      <w:r w:rsidRPr="00B30F5E">
        <w:t xml:space="preserve">, 121(11), pp. 1124–1130. Available at: </w:t>
      </w:r>
      <w:hyperlink r:id="rId22" w:tgtFrame="_new" w:history="1">
        <w:r w:rsidRPr="00B30F5E">
          <w:rPr>
            <w:rStyle w:val="Hyperlink"/>
          </w:rPr>
          <w:t>https://doi.org/10.1016/j.healthpol.2017.07.009</w:t>
        </w:r>
      </w:hyperlink>
      <w:r w:rsidRPr="00B30F5E">
        <w:t xml:space="preserve"> (Accessed: 20 March 2026).</w:t>
      </w:r>
    </w:p>
    <w:p w14:paraId="49293AA8" w14:textId="77777777" w:rsidR="00B30F5E" w:rsidRPr="00B30F5E" w:rsidRDefault="00B30F5E" w:rsidP="00B30F5E">
      <w:r w:rsidRPr="00B30F5E">
        <w:t xml:space="preserve">Greenhalgh, T. et al. (2017) ‘Beyond adoption: a new framework…’, </w:t>
      </w:r>
      <w:r w:rsidRPr="00B30F5E">
        <w:rPr>
          <w:i/>
          <w:iCs/>
        </w:rPr>
        <w:t>Journal of Medical Internet Research</w:t>
      </w:r>
      <w:r w:rsidRPr="00B30F5E">
        <w:t xml:space="preserve">, 19(11), e367. Available at: </w:t>
      </w:r>
      <w:hyperlink r:id="rId23" w:tgtFrame="_new" w:history="1">
        <w:r w:rsidRPr="00B30F5E">
          <w:rPr>
            <w:rStyle w:val="Hyperlink"/>
          </w:rPr>
          <w:t>https://doi.org/10.2196/jmir.8775</w:t>
        </w:r>
      </w:hyperlink>
      <w:r w:rsidRPr="00B30F5E">
        <w:t xml:space="preserve"> (Accessed: 21 March 2026).</w:t>
      </w:r>
    </w:p>
    <w:p w14:paraId="4DBC156C" w14:textId="77777777" w:rsidR="00B30F5E" w:rsidRPr="00B30F5E" w:rsidRDefault="00B30F5E" w:rsidP="00B30F5E">
      <w:r w:rsidRPr="00B30F5E">
        <w:t xml:space="preserve">Greenhalgh, T. and Papoutsi, C. (2019) ‘Spreading and scaling up innovation and improvement’, </w:t>
      </w:r>
      <w:r w:rsidRPr="00B30F5E">
        <w:rPr>
          <w:i/>
          <w:iCs/>
        </w:rPr>
        <w:t>BMJ</w:t>
      </w:r>
      <w:r w:rsidRPr="00B30F5E">
        <w:t xml:space="preserve">, 365, l2068. Available at: </w:t>
      </w:r>
      <w:hyperlink r:id="rId24" w:tgtFrame="_new" w:history="1">
        <w:r w:rsidRPr="00B30F5E">
          <w:rPr>
            <w:rStyle w:val="Hyperlink"/>
          </w:rPr>
          <w:t>https://doi:10.1136/bmj.l2068</w:t>
        </w:r>
      </w:hyperlink>
      <w:r w:rsidRPr="00B30F5E">
        <w:t xml:space="preserve"> (Accessed: 20 March 2026).</w:t>
      </w:r>
    </w:p>
    <w:p w14:paraId="438EBAA2" w14:textId="77777777" w:rsidR="00B30F5E" w:rsidRPr="00B30F5E" w:rsidRDefault="00B30F5E" w:rsidP="00B30F5E">
      <w:r w:rsidRPr="00B30F5E">
        <w:t xml:space="preserve">Greenhalgh, T. et al. (2020) ‘Covid-19: a remote assessment in primary care’, </w:t>
      </w:r>
      <w:r w:rsidRPr="00B30F5E">
        <w:rPr>
          <w:i/>
          <w:iCs/>
        </w:rPr>
        <w:t>BMJ</w:t>
      </w:r>
      <w:r w:rsidRPr="00B30F5E">
        <w:t xml:space="preserve">, 368, m1182. Available at: </w:t>
      </w:r>
      <w:hyperlink r:id="rId25" w:tgtFrame="_new" w:history="1">
        <w:r w:rsidRPr="00B30F5E">
          <w:rPr>
            <w:rStyle w:val="Hyperlink"/>
          </w:rPr>
          <w:t>https://doi.org/10.1136/bmj.m1182</w:t>
        </w:r>
      </w:hyperlink>
      <w:r w:rsidRPr="00B30F5E">
        <w:t xml:space="preserve"> (Accessed: 20 March 2026).</w:t>
      </w:r>
    </w:p>
    <w:p w14:paraId="559AAFFE" w14:textId="77777777" w:rsidR="00B30F5E" w:rsidRPr="00B30F5E" w:rsidRDefault="00B30F5E" w:rsidP="00B30F5E">
      <w:r w:rsidRPr="00B30F5E">
        <w:t xml:space="preserve">Grol, R. and Wensing, M. (2013) </w:t>
      </w:r>
      <w:r w:rsidRPr="00B30F5E">
        <w:rPr>
          <w:i/>
          <w:iCs/>
        </w:rPr>
        <w:t>Improving patient care: the implementation of change in health care</w:t>
      </w:r>
      <w:r w:rsidRPr="00B30F5E">
        <w:t>. Oxford: Wiley-Blackwell.</w:t>
      </w:r>
    </w:p>
    <w:p w14:paraId="2A5E86A1" w14:textId="77777777" w:rsidR="00B30F5E" w:rsidRPr="00B30F5E" w:rsidRDefault="00B30F5E" w:rsidP="00B30F5E">
      <w:r w:rsidRPr="00B30F5E">
        <w:t xml:space="preserve">Hollander, J.E. and Carr, B.G. (2020) ‘Virtually perfect? Telemedicine for Covid-19’, </w:t>
      </w:r>
      <w:r w:rsidRPr="00B30F5E">
        <w:rPr>
          <w:i/>
          <w:iCs/>
        </w:rPr>
        <w:t>New England Journal of Medicine</w:t>
      </w:r>
      <w:r w:rsidRPr="00B30F5E">
        <w:t xml:space="preserve">, 382(18), pp. 1679–1681. Available at: </w:t>
      </w:r>
      <w:hyperlink r:id="rId26" w:tgtFrame="_new" w:history="1">
        <w:r w:rsidRPr="00B30F5E">
          <w:rPr>
            <w:rStyle w:val="Hyperlink"/>
          </w:rPr>
          <w:t>https://doi.org/10.1056/NEJMp2003539</w:t>
        </w:r>
      </w:hyperlink>
      <w:r w:rsidRPr="00B30F5E">
        <w:t xml:space="preserve"> (Accessed: 20 March 2026).</w:t>
      </w:r>
    </w:p>
    <w:p w14:paraId="075FA2C9" w14:textId="77777777" w:rsidR="00B30F5E" w:rsidRPr="00B30F5E" w:rsidRDefault="00B30F5E" w:rsidP="00B30F5E">
      <w:r w:rsidRPr="00B30F5E">
        <w:t xml:space="preserve">Johnson, G. et al. (2017) </w:t>
      </w:r>
      <w:r w:rsidRPr="00B30F5E">
        <w:rPr>
          <w:i/>
          <w:iCs/>
        </w:rPr>
        <w:t>Exploring strategy</w:t>
      </w:r>
      <w:r w:rsidRPr="00B30F5E">
        <w:t>. 11th edn. Harlow: Pearson.</w:t>
      </w:r>
    </w:p>
    <w:p w14:paraId="7AF4B9C1" w14:textId="77777777" w:rsidR="00B30F5E" w:rsidRPr="00B30F5E" w:rsidRDefault="00B30F5E" w:rsidP="00B30F5E">
      <w:r w:rsidRPr="00B30F5E">
        <w:t xml:space="preserve">Kotter, J.P. (1996) </w:t>
      </w:r>
      <w:r w:rsidRPr="00B30F5E">
        <w:rPr>
          <w:i/>
          <w:iCs/>
        </w:rPr>
        <w:t>Leading change</w:t>
      </w:r>
      <w:r w:rsidRPr="00B30F5E">
        <w:t>. Boston: Harvard Business School Press.</w:t>
      </w:r>
    </w:p>
    <w:p w14:paraId="19871EEC" w14:textId="77777777" w:rsidR="00B30F5E" w:rsidRPr="00B30F5E" w:rsidRDefault="00B30F5E" w:rsidP="00B30F5E">
      <w:r w:rsidRPr="00B30F5E">
        <w:t xml:space="preserve">Kruse, C.S. et al. (2017) ‘Impact of Electronic Health Records on long-term care facilities’, </w:t>
      </w:r>
      <w:r w:rsidRPr="00B30F5E">
        <w:rPr>
          <w:i/>
          <w:iCs/>
        </w:rPr>
        <w:t>JMIR Medical Informatics</w:t>
      </w:r>
      <w:r w:rsidRPr="00B30F5E">
        <w:t xml:space="preserve">, 5(3), e35. Available at: </w:t>
      </w:r>
      <w:hyperlink r:id="rId27" w:tgtFrame="_new" w:history="1">
        <w:r w:rsidRPr="00B30F5E">
          <w:rPr>
            <w:rStyle w:val="Hyperlink"/>
          </w:rPr>
          <w:t>https://doi.org/10.2196/medinform.7958</w:t>
        </w:r>
      </w:hyperlink>
      <w:r w:rsidRPr="00B30F5E">
        <w:t xml:space="preserve"> (Accessed: 21 March 2026).</w:t>
      </w:r>
    </w:p>
    <w:p w14:paraId="6FB9F64F" w14:textId="77777777" w:rsidR="00B30F5E" w:rsidRPr="00B30F5E" w:rsidRDefault="00B30F5E" w:rsidP="00B30F5E">
      <w:r w:rsidRPr="00B30F5E">
        <w:t xml:space="preserve">Lewin, K. (1951) </w:t>
      </w:r>
      <w:r w:rsidRPr="00B30F5E">
        <w:rPr>
          <w:i/>
          <w:iCs/>
        </w:rPr>
        <w:t>Field theory in social science</w:t>
      </w:r>
      <w:r w:rsidRPr="00B30F5E">
        <w:t>. New York: Harper &amp; Row.</w:t>
      </w:r>
    </w:p>
    <w:p w14:paraId="4C2B25D7" w14:textId="77777777" w:rsidR="00B30F5E" w:rsidRPr="00B30F5E" w:rsidRDefault="00B30F5E" w:rsidP="00B30F5E">
      <w:r w:rsidRPr="00B30F5E">
        <w:t xml:space="preserve">Lewis, L.K. (2019) </w:t>
      </w:r>
      <w:r w:rsidRPr="00B30F5E">
        <w:rPr>
          <w:i/>
          <w:iCs/>
        </w:rPr>
        <w:t>Organizational change</w:t>
      </w:r>
      <w:r w:rsidRPr="00B30F5E">
        <w:t>. Hoboken: Wiley.</w:t>
      </w:r>
    </w:p>
    <w:p w14:paraId="2E578DBC" w14:textId="77777777" w:rsidR="00B30F5E" w:rsidRPr="00B30F5E" w:rsidRDefault="00B30F5E" w:rsidP="00B30F5E">
      <w:r w:rsidRPr="00B30F5E">
        <w:t xml:space="preserve">Mannion, R. and Davies, H. (2018) ‘Understanding organisational culture for healthcare quality improvement’, </w:t>
      </w:r>
      <w:r w:rsidRPr="00B30F5E">
        <w:rPr>
          <w:i/>
          <w:iCs/>
        </w:rPr>
        <w:t>BMJ</w:t>
      </w:r>
      <w:r w:rsidRPr="00B30F5E">
        <w:t xml:space="preserve">, 363, k4907. Available at: </w:t>
      </w:r>
      <w:hyperlink r:id="rId28" w:tgtFrame="_new" w:history="1">
        <w:r w:rsidRPr="00B30F5E">
          <w:rPr>
            <w:rStyle w:val="Hyperlink"/>
          </w:rPr>
          <w:t>https://doi.org/10.1136/bmj.k4907</w:t>
        </w:r>
      </w:hyperlink>
      <w:r w:rsidRPr="00B30F5E">
        <w:t xml:space="preserve"> (Accessed: 21 March 2026).</w:t>
      </w:r>
    </w:p>
    <w:p w14:paraId="6FE53CF6" w14:textId="77777777" w:rsidR="00B30F5E" w:rsidRPr="00B30F5E" w:rsidRDefault="00B30F5E" w:rsidP="00B30F5E">
      <w:r w:rsidRPr="00B30F5E">
        <w:t xml:space="preserve">Marmot, M. (2010) </w:t>
      </w:r>
      <w:r w:rsidRPr="00B30F5E">
        <w:rPr>
          <w:i/>
          <w:iCs/>
        </w:rPr>
        <w:t>Fair society, healthy lives: the Marmot Review</w:t>
      </w:r>
      <w:r w:rsidRPr="00B30F5E">
        <w:t>. London: The Marmot Review.</w:t>
      </w:r>
    </w:p>
    <w:p w14:paraId="48609723" w14:textId="77777777" w:rsidR="00B30F5E" w:rsidRPr="00B30F5E" w:rsidRDefault="00B30F5E" w:rsidP="00B30F5E">
      <w:r w:rsidRPr="00B30F5E">
        <w:t xml:space="preserve">McGinn, C.A. et al. (2012) ‘Users’ perspectives of key factors to implementing electronic health records’, </w:t>
      </w:r>
      <w:r w:rsidRPr="00B30F5E">
        <w:rPr>
          <w:i/>
          <w:iCs/>
        </w:rPr>
        <w:t>BMC Medical Informatics and Decision Making</w:t>
      </w:r>
      <w:r w:rsidRPr="00B30F5E">
        <w:t xml:space="preserve">, 12, 105. Available at: </w:t>
      </w:r>
      <w:hyperlink r:id="rId29" w:tgtFrame="_new" w:history="1">
        <w:r w:rsidRPr="00B30F5E">
          <w:rPr>
            <w:rStyle w:val="Hyperlink"/>
          </w:rPr>
          <w:t>https://doi.org/10.1186/1472-6947-12-105</w:t>
        </w:r>
      </w:hyperlink>
      <w:r w:rsidRPr="00B30F5E">
        <w:t xml:space="preserve"> (Accessed: 20 March 2026).</w:t>
      </w:r>
    </w:p>
    <w:p w14:paraId="3C92F79A" w14:textId="77777777" w:rsidR="00B30F5E" w:rsidRPr="00B30F5E" w:rsidRDefault="00B30F5E" w:rsidP="00B30F5E">
      <w:r w:rsidRPr="00B30F5E">
        <w:t xml:space="preserve">NHS Digital (2022) </w:t>
      </w:r>
      <w:r w:rsidRPr="00B30F5E">
        <w:rPr>
          <w:i/>
          <w:iCs/>
        </w:rPr>
        <w:t>Digital inclusion for health and social care</w:t>
      </w:r>
      <w:r w:rsidRPr="00B30F5E">
        <w:t xml:space="preserve">. Available at: </w:t>
      </w:r>
      <w:hyperlink r:id="rId30" w:tgtFrame="_new" w:history="1">
        <w:r w:rsidRPr="00B30F5E">
          <w:rPr>
            <w:rStyle w:val="Hyperlink"/>
          </w:rPr>
          <w:t>https://digital.nhs.uk/about-nhs-digital/our-work/digital-inclusion</w:t>
        </w:r>
      </w:hyperlink>
      <w:r w:rsidRPr="00B30F5E">
        <w:t xml:space="preserve"> (Accessed: 20 March 2026).</w:t>
      </w:r>
    </w:p>
    <w:p w14:paraId="6D319946" w14:textId="77777777" w:rsidR="00B30F5E" w:rsidRPr="00B30F5E" w:rsidRDefault="00B30F5E" w:rsidP="00B30F5E">
      <w:r w:rsidRPr="00B30F5E">
        <w:lastRenderedPageBreak/>
        <w:t xml:space="preserve">NHS England (2019) </w:t>
      </w:r>
      <w:r w:rsidRPr="00B30F5E">
        <w:rPr>
          <w:i/>
          <w:iCs/>
        </w:rPr>
        <w:t>The NHS Long Term Plan</w:t>
      </w:r>
      <w:r w:rsidRPr="00B30F5E">
        <w:t xml:space="preserve">. London: NHS England. Available at: </w:t>
      </w:r>
      <w:hyperlink r:id="rId31" w:tgtFrame="_new" w:history="1">
        <w:r w:rsidRPr="00B30F5E">
          <w:rPr>
            <w:rStyle w:val="Hyperlink"/>
          </w:rPr>
          <w:t>https://www.longtermplan.nhs.uk/</w:t>
        </w:r>
      </w:hyperlink>
      <w:r w:rsidRPr="00B30F5E">
        <w:t xml:space="preserve"> (Accessed: 20 March 2026).</w:t>
      </w:r>
    </w:p>
    <w:p w14:paraId="22D1F377" w14:textId="77777777" w:rsidR="00B30F5E" w:rsidRPr="00B30F5E" w:rsidRDefault="00B30F5E" w:rsidP="00B30F5E">
      <w:r w:rsidRPr="00B30F5E">
        <w:t xml:space="preserve">Office for National Statistics (2022) </w:t>
      </w:r>
      <w:r w:rsidRPr="00B30F5E">
        <w:rPr>
          <w:i/>
          <w:iCs/>
        </w:rPr>
        <w:t>Population ageing overview</w:t>
      </w:r>
      <w:r w:rsidRPr="00B30F5E">
        <w:t xml:space="preserve">. Available at: </w:t>
      </w:r>
      <w:hyperlink r:id="rId32" w:tgtFrame="_new" w:history="1">
        <w:r w:rsidRPr="00B30F5E">
          <w:rPr>
            <w:rStyle w:val="Hyperlink"/>
          </w:rPr>
          <w:t>https://www.ons.gov.uk</w:t>
        </w:r>
      </w:hyperlink>
      <w:r w:rsidRPr="00B30F5E">
        <w:t xml:space="preserve"> (Accessed: 20 March 2026).</w:t>
      </w:r>
    </w:p>
    <w:p w14:paraId="6B75D865" w14:textId="77777777" w:rsidR="00B30F5E" w:rsidRPr="00B30F5E" w:rsidRDefault="00B30F5E" w:rsidP="00B30F5E">
      <w:r w:rsidRPr="00B30F5E">
        <w:t xml:space="preserve">Otte-Trojel, T. et al. (2014) ‘How outcomes are achieved through patient portals’, </w:t>
      </w:r>
      <w:r w:rsidRPr="00B30F5E">
        <w:rPr>
          <w:i/>
          <w:iCs/>
        </w:rPr>
        <w:t>Journal of Medical Internet Research</w:t>
      </w:r>
      <w:r w:rsidRPr="00B30F5E">
        <w:t xml:space="preserve">, 16(6). Available at: </w:t>
      </w:r>
      <w:hyperlink r:id="rId33" w:tgtFrame="_new" w:history="1">
        <w:r w:rsidRPr="00B30F5E">
          <w:rPr>
            <w:rStyle w:val="Hyperlink"/>
          </w:rPr>
          <w:t>https://pure.uvt.nl/ws/files/51213299</w:t>
        </w:r>
      </w:hyperlink>
      <w:r w:rsidRPr="00B30F5E">
        <w:t xml:space="preserve"> (Accessed: 21 March 2026).</w:t>
      </w:r>
    </w:p>
    <w:p w14:paraId="22FB956D" w14:textId="77777777" w:rsidR="00B30F5E" w:rsidRPr="00B30F5E" w:rsidRDefault="00B30F5E" w:rsidP="00B30F5E">
      <w:r w:rsidRPr="00B30F5E">
        <w:t xml:space="preserve">Pickett, K. and Wilkinson, R. (2015) </w:t>
      </w:r>
      <w:r w:rsidRPr="00B30F5E">
        <w:rPr>
          <w:i/>
          <w:iCs/>
        </w:rPr>
        <w:t>Income inequality and health</w:t>
      </w:r>
      <w:r w:rsidRPr="00B30F5E">
        <w:t>. London: Routledge.</w:t>
      </w:r>
    </w:p>
    <w:p w14:paraId="28A03E75" w14:textId="77777777" w:rsidR="00B30F5E" w:rsidRPr="00B30F5E" w:rsidRDefault="00B30F5E" w:rsidP="00B30F5E">
      <w:r w:rsidRPr="00B30F5E">
        <w:t xml:space="preserve">Reed, M.S. et al. (2018) ‘A theory of participation’, </w:t>
      </w:r>
      <w:r w:rsidRPr="00B30F5E">
        <w:rPr>
          <w:i/>
          <w:iCs/>
        </w:rPr>
        <w:t>Restoration Ecology</w:t>
      </w:r>
      <w:r w:rsidRPr="00B30F5E">
        <w:t xml:space="preserve">, 26, pp. S7–S17. Available at: </w:t>
      </w:r>
      <w:hyperlink r:id="rId34" w:tgtFrame="_new" w:history="1">
        <w:r w:rsidRPr="00B30F5E">
          <w:rPr>
            <w:rStyle w:val="Hyperlink"/>
          </w:rPr>
          <w:t>https://doi.org/10.1111/rec.12541</w:t>
        </w:r>
      </w:hyperlink>
      <w:r w:rsidRPr="00B30F5E">
        <w:t xml:space="preserve"> (Accessed: 20 March 2026).</w:t>
      </w:r>
    </w:p>
    <w:p w14:paraId="2688C966" w14:textId="77777777" w:rsidR="00B30F5E" w:rsidRPr="00B30F5E" w:rsidRDefault="00B30F5E" w:rsidP="00B30F5E">
      <w:r w:rsidRPr="00B30F5E">
        <w:t xml:space="preserve">Robinson, L. et al. (2015) ‘Digital inequalities and why they matter’, </w:t>
      </w:r>
      <w:r w:rsidRPr="00B30F5E">
        <w:rPr>
          <w:i/>
          <w:iCs/>
        </w:rPr>
        <w:t>Information, Communication &amp; Society</w:t>
      </w:r>
      <w:r w:rsidRPr="00B30F5E">
        <w:t xml:space="preserve">, 18(5), pp. 569–582. Available at: </w:t>
      </w:r>
      <w:hyperlink r:id="rId35" w:tgtFrame="_new" w:history="1">
        <w:r w:rsidRPr="00B30F5E">
          <w:rPr>
            <w:rStyle w:val="Hyperlink"/>
          </w:rPr>
          <w:t>https://doi.org/10.1080/1369118X.2015.1012532</w:t>
        </w:r>
      </w:hyperlink>
      <w:r w:rsidRPr="00B30F5E">
        <w:t xml:space="preserve"> (Accessed: 21 March 2026).</w:t>
      </w:r>
    </w:p>
    <w:p w14:paraId="68A31F0D" w14:textId="77777777" w:rsidR="00B30F5E" w:rsidRPr="00B30F5E" w:rsidRDefault="00B30F5E" w:rsidP="00B30F5E">
      <w:r w:rsidRPr="00B30F5E">
        <w:t xml:space="preserve">Schein, E.H. (2010) </w:t>
      </w:r>
      <w:r w:rsidRPr="00B30F5E">
        <w:rPr>
          <w:i/>
          <w:iCs/>
        </w:rPr>
        <w:t>Organizational culture and leadership</w:t>
      </w:r>
      <w:r w:rsidRPr="00B30F5E">
        <w:t>. 4th edn. San Francisco: Jossey-Bass.</w:t>
      </w:r>
    </w:p>
    <w:p w14:paraId="54EB1D1F" w14:textId="77777777" w:rsidR="00B30F5E" w:rsidRPr="00B30F5E" w:rsidRDefault="00B30F5E" w:rsidP="00B30F5E">
      <w:r w:rsidRPr="00B30F5E">
        <w:t xml:space="preserve">Shanafelt, T.D. et al. (2016) ‘Relationship between clerical burden and physician burnout’, </w:t>
      </w:r>
      <w:r w:rsidRPr="00B30F5E">
        <w:rPr>
          <w:i/>
          <w:iCs/>
        </w:rPr>
        <w:t>Mayo Clinic Proceedings</w:t>
      </w:r>
      <w:r w:rsidRPr="00B30F5E">
        <w:t xml:space="preserve">, 91(7), pp. 836–848. Available at: </w:t>
      </w:r>
      <w:hyperlink r:id="rId36" w:tgtFrame="_new" w:history="1">
        <w:r w:rsidRPr="00B30F5E">
          <w:rPr>
            <w:rStyle w:val="Hyperlink"/>
          </w:rPr>
          <w:t>https://doi.org/10.1016/j.mayocp.2016.05.007</w:t>
        </w:r>
      </w:hyperlink>
      <w:r w:rsidRPr="00B30F5E">
        <w:t xml:space="preserve"> (Accessed: 22 March 2026).</w:t>
      </w:r>
    </w:p>
    <w:p w14:paraId="5AC92193" w14:textId="77777777" w:rsidR="00B30F5E" w:rsidRPr="00B30F5E" w:rsidRDefault="00B30F5E" w:rsidP="00B30F5E">
      <w:r w:rsidRPr="00B30F5E">
        <w:t xml:space="preserve">Topol, E. (2019) </w:t>
      </w:r>
      <w:r w:rsidRPr="00B30F5E">
        <w:rPr>
          <w:i/>
          <w:iCs/>
        </w:rPr>
        <w:t>The Topol Review</w:t>
      </w:r>
      <w:r w:rsidRPr="00B30F5E">
        <w:t>. London: NHS Health Education England.</w:t>
      </w:r>
    </w:p>
    <w:p w14:paraId="7119F325" w14:textId="77777777" w:rsidR="00B30F5E" w:rsidRPr="00B30F5E" w:rsidRDefault="00B30F5E" w:rsidP="00B30F5E">
      <w:r w:rsidRPr="00B30F5E">
        <w:t xml:space="preserve">United Nations Development Programme (2015) </w:t>
      </w:r>
      <w:r w:rsidRPr="00B30F5E">
        <w:rPr>
          <w:i/>
          <w:iCs/>
        </w:rPr>
        <w:t>Sustainable Development Goals</w:t>
      </w:r>
      <w:r w:rsidRPr="00B30F5E">
        <w:t xml:space="preserve">. Available at: </w:t>
      </w:r>
      <w:hyperlink r:id="rId37" w:tgtFrame="_new" w:history="1">
        <w:r w:rsidRPr="00B30F5E">
          <w:rPr>
            <w:rStyle w:val="Hyperlink"/>
          </w:rPr>
          <w:t>https://www.undp.org/sustainable-development-goals</w:t>
        </w:r>
      </w:hyperlink>
      <w:r w:rsidRPr="00B30F5E">
        <w:t xml:space="preserve"> (Accessed: 18 March 2026).</w:t>
      </w:r>
    </w:p>
    <w:p w14:paraId="0B91BE1E" w14:textId="77777777" w:rsidR="00B30F5E" w:rsidRPr="00B30F5E" w:rsidRDefault="00B30F5E" w:rsidP="00B30F5E">
      <w:r w:rsidRPr="00B30F5E">
        <w:t xml:space="preserve">van Dijk, J. (2020) </w:t>
      </w:r>
      <w:r w:rsidRPr="00B30F5E">
        <w:rPr>
          <w:i/>
          <w:iCs/>
        </w:rPr>
        <w:t>The digital divide</w:t>
      </w:r>
      <w:r w:rsidRPr="00B30F5E">
        <w:t>. Cambridge: Polity Press.</w:t>
      </w:r>
    </w:p>
    <w:p w14:paraId="7137391F" w14:textId="77777777" w:rsidR="00B30F5E" w:rsidRPr="00B30F5E" w:rsidRDefault="00B30F5E" w:rsidP="00B30F5E">
      <w:r w:rsidRPr="00B30F5E">
        <w:t xml:space="preserve">Wachter, R. (2016) </w:t>
      </w:r>
      <w:r w:rsidRPr="00B30F5E">
        <w:rPr>
          <w:i/>
          <w:iCs/>
        </w:rPr>
        <w:t>Making IT work</w:t>
      </w:r>
      <w:r w:rsidRPr="00B30F5E">
        <w:t>. London: Department of Health.</w:t>
      </w:r>
    </w:p>
    <w:p w14:paraId="6E974B40" w14:textId="77777777" w:rsidR="00B30F5E" w:rsidRPr="00B30F5E" w:rsidRDefault="00B30F5E" w:rsidP="00B30F5E">
      <w:r w:rsidRPr="00B30F5E">
        <w:t xml:space="preserve">West, M. et al. (2015) </w:t>
      </w:r>
      <w:r w:rsidRPr="00B30F5E">
        <w:rPr>
          <w:i/>
          <w:iCs/>
        </w:rPr>
        <w:t>Leadership and leadership development in health care</w:t>
      </w:r>
      <w:r w:rsidRPr="00B30F5E">
        <w:t>. London: The King’s Fund.</w:t>
      </w:r>
    </w:p>
    <w:p w14:paraId="622CA6C6" w14:textId="77777777" w:rsidR="00907AE1" w:rsidRDefault="00907AE1"/>
    <w:sectPr w:rsidR="00907A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1D6A7A"/>
    <w:multiLevelType w:val="multilevel"/>
    <w:tmpl w:val="2826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5862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4BD"/>
    <w:rsid w:val="00061C1F"/>
    <w:rsid w:val="0006424F"/>
    <w:rsid w:val="000727EE"/>
    <w:rsid w:val="0009238C"/>
    <w:rsid w:val="000B4C43"/>
    <w:rsid w:val="000C3DAD"/>
    <w:rsid w:val="000E587F"/>
    <w:rsid w:val="00116C1C"/>
    <w:rsid w:val="00135581"/>
    <w:rsid w:val="00150617"/>
    <w:rsid w:val="001749E0"/>
    <w:rsid w:val="001E289E"/>
    <w:rsid w:val="00213934"/>
    <w:rsid w:val="00220B55"/>
    <w:rsid w:val="0022417C"/>
    <w:rsid w:val="0025446E"/>
    <w:rsid w:val="0028126F"/>
    <w:rsid w:val="002D35A4"/>
    <w:rsid w:val="00322B6D"/>
    <w:rsid w:val="003707A8"/>
    <w:rsid w:val="00387ADB"/>
    <w:rsid w:val="003B6FCB"/>
    <w:rsid w:val="003E4520"/>
    <w:rsid w:val="0043631A"/>
    <w:rsid w:val="004B7E0D"/>
    <w:rsid w:val="004C4275"/>
    <w:rsid w:val="00506C88"/>
    <w:rsid w:val="00523768"/>
    <w:rsid w:val="00545C67"/>
    <w:rsid w:val="0059475D"/>
    <w:rsid w:val="005A26BC"/>
    <w:rsid w:val="005B1E86"/>
    <w:rsid w:val="006720BA"/>
    <w:rsid w:val="00674569"/>
    <w:rsid w:val="006A17FB"/>
    <w:rsid w:val="006B6205"/>
    <w:rsid w:val="006B64BD"/>
    <w:rsid w:val="006D615E"/>
    <w:rsid w:val="00725D14"/>
    <w:rsid w:val="00742E25"/>
    <w:rsid w:val="0075576F"/>
    <w:rsid w:val="007611F2"/>
    <w:rsid w:val="007B63D8"/>
    <w:rsid w:val="007C1304"/>
    <w:rsid w:val="007F62D8"/>
    <w:rsid w:val="00802592"/>
    <w:rsid w:val="00817714"/>
    <w:rsid w:val="008204EF"/>
    <w:rsid w:val="00827B48"/>
    <w:rsid w:val="00887836"/>
    <w:rsid w:val="008B10DB"/>
    <w:rsid w:val="0090524D"/>
    <w:rsid w:val="00907556"/>
    <w:rsid w:val="00907AE1"/>
    <w:rsid w:val="009220AE"/>
    <w:rsid w:val="00963899"/>
    <w:rsid w:val="00980669"/>
    <w:rsid w:val="00981D53"/>
    <w:rsid w:val="009C005C"/>
    <w:rsid w:val="009F3F36"/>
    <w:rsid w:val="009F766A"/>
    <w:rsid w:val="00A0469E"/>
    <w:rsid w:val="00A17507"/>
    <w:rsid w:val="00A22D90"/>
    <w:rsid w:val="00A267AB"/>
    <w:rsid w:val="00A64BA7"/>
    <w:rsid w:val="00AB3DB7"/>
    <w:rsid w:val="00AD0CCD"/>
    <w:rsid w:val="00AF7796"/>
    <w:rsid w:val="00B1241E"/>
    <w:rsid w:val="00B30F5E"/>
    <w:rsid w:val="00BA3778"/>
    <w:rsid w:val="00C1551D"/>
    <w:rsid w:val="00C20D6B"/>
    <w:rsid w:val="00C26C70"/>
    <w:rsid w:val="00C3262F"/>
    <w:rsid w:val="00C57C9A"/>
    <w:rsid w:val="00C73F9A"/>
    <w:rsid w:val="00C870D4"/>
    <w:rsid w:val="00C91752"/>
    <w:rsid w:val="00CD521A"/>
    <w:rsid w:val="00CF36D1"/>
    <w:rsid w:val="00D06CD4"/>
    <w:rsid w:val="00D20D53"/>
    <w:rsid w:val="00D43E15"/>
    <w:rsid w:val="00D602A8"/>
    <w:rsid w:val="00D714B6"/>
    <w:rsid w:val="00D718D4"/>
    <w:rsid w:val="00D74E49"/>
    <w:rsid w:val="00DB3517"/>
    <w:rsid w:val="00DE623F"/>
    <w:rsid w:val="00DF60B7"/>
    <w:rsid w:val="00E21759"/>
    <w:rsid w:val="00E41346"/>
    <w:rsid w:val="00E4706E"/>
    <w:rsid w:val="00E8302D"/>
    <w:rsid w:val="00EB3409"/>
    <w:rsid w:val="00EB6939"/>
    <w:rsid w:val="00ED6FED"/>
    <w:rsid w:val="00F0245E"/>
    <w:rsid w:val="00F17A56"/>
    <w:rsid w:val="00F35297"/>
    <w:rsid w:val="00F527FF"/>
    <w:rsid w:val="00F72FBD"/>
    <w:rsid w:val="00FB48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A5793"/>
  <w15:chartTrackingRefBased/>
  <w15:docId w15:val="{5B0184F7-6D90-4E5A-B0CE-429FD0FE5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64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B64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64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64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64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64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64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64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64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64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B64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64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64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64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64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64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64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64BD"/>
    <w:rPr>
      <w:rFonts w:eastAsiaTheme="majorEastAsia" w:cstheme="majorBidi"/>
      <w:color w:val="272727" w:themeColor="text1" w:themeTint="D8"/>
    </w:rPr>
  </w:style>
  <w:style w:type="paragraph" w:styleId="Title">
    <w:name w:val="Title"/>
    <w:basedOn w:val="Normal"/>
    <w:next w:val="Normal"/>
    <w:link w:val="TitleChar"/>
    <w:uiPriority w:val="10"/>
    <w:qFormat/>
    <w:rsid w:val="006B64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64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64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64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64BD"/>
    <w:pPr>
      <w:spacing w:before="160"/>
      <w:jc w:val="center"/>
    </w:pPr>
    <w:rPr>
      <w:i/>
      <w:iCs/>
      <w:color w:val="404040" w:themeColor="text1" w:themeTint="BF"/>
    </w:rPr>
  </w:style>
  <w:style w:type="character" w:customStyle="1" w:styleId="QuoteChar">
    <w:name w:val="Quote Char"/>
    <w:basedOn w:val="DefaultParagraphFont"/>
    <w:link w:val="Quote"/>
    <w:uiPriority w:val="29"/>
    <w:rsid w:val="006B64BD"/>
    <w:rPr>
      <w:i/>
      <w:iCs/>
      <w:color w:val="404040" w:themeColor="text1" w:themeTint="BF"/>
    </w:rPr>
  </w:style>
  <w:style w:type="paragraph" w:styleId="ListParagraph">
    <w:name w:val="List Paragraph"/>
    <w:basedOn w:val="Normal"/>
    <w:uiPriority w:val="34"/>
    <w:qFormat/>
    <w:rsid w:val="006B64BD"/>
    <w:pPr>
      <w:ind w:left="720"/>
      <w:contextualSpacing/>
    </w:pPr>
  </w:style>
  <w:style w:type="character" w:styleId="IntenseEmphasis">
    <w:name w:val="Intense Emphasis"/>
    <w:basedOn w:val="DefaultParagraphFont"/>
    <w:uiPriority w:val="21"/>
    <w:qFormat/>
    <w:rsid w:val="006B64BD"/>
    <w:rPr>
      <w:i/>
      <w:iCs/>
      <w:color w:val="0F4761" w:themeColor="accent1" w:themeShade="BF"/>
    </w:rPr>
  </w:style>
  <w:style w:type="paragraph" w:styleId="IntenseQuote">
    <w:name w:val="Intense Quote"/>
    <w:basedOn w:val="Normal"/>
    <w:next w:val="Normal"/>
    <w:link w:val="IntenseQuoteChar"/>
    <w:uiPriority w:val="30"/>
    <w:qFormat/>
    <w:rsid w:val="006B64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64BD"/>
    <w:rPr>
      <w:i/>
      <w:iCs/>
      <w:color w:val="0F4761" w:themeColor="accent1" w:themeShade="BF"/>
    </w:rPr>
  </w:style>
  <w:style w:type="character" w:styleId="IntenseReference">
    <w:name w:val="Intense Reference"/>
    <w:basedOn w:val="DefaultParagraphFont"/>
    <w:uiPriority w:val="32"/>
    <w:qFormat/>
    <w:rsid w:val="006B64BD"/>
    <w:rPr>
      <w:b/>
      <w:bCs/>
      <w:smallCaps/>
      <w:color w:val="0F4761" w:themeColor="accent1" w:themeShade="BF"/>
      <w:spacing w:val="5"/>
    </w:rPr>
  </w:style>
  <w:style w:type="character" w:styleId="Hyperlink">
    <w:name w:val="Hyperlink"/>
    <w:basedOn w:val="DefaultParagraphFont"/>
    <w:uiPriority w:val="99"/>
    <w:unhideWhenUsed/>
    <w:rsid w:val="00F0245E"/>
    <w:rPr>
      <w:color w:val="467886" w:themeColor="hyperlink"/>
      <w:u w:val="single"/>
    </w:rPr>
  </w:style>
  <w:style w:type="character" w:styleId="UnresolvedMention">
    <w:name w:val="Unresolved Mention"/>
    <w:basedOn w:val="DefaultParagraphFont"/>
    <w:uiPriority w:val="99"/>
    <w:semiHidden/>
    <w:unhideWhenUsed/>
    <w:rsid w:val="00F024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10.1377/hlthaff.2018.0738" TargetMode="External"/><Relationship Id="rId18" Type="http://schemas.openxmlformats.org/officeDocument/2006/relationships/hyperlink" Target="https://doi.org/10.1136/bmj.g2225" TargetMode="External"/><Relationship Id="rId26" Type="http://schemas.openxmlformats.org/officeDocument/2006/relationships/hyperlink" Target="https://doi.org/10.1056/NEJMp2003539" TargetMode="External"/><Relationship Id="rId39" Type="http://schemas.openxmlformats.org/officeDocument/2006/relationships/theme" Target="theme/theme1.xml"/><Relationship Id="rId21" Type="http://schemas.openxmlformats.org/officeDocument/2006/relationships/hyperlink" Target="https://doi.org/10.15265/IYS-2016-s006" TargetMode="External"/><Relationship Id="rId34" Type="http://schemas.openxmlformats.org/officeDocument/2006/relationships/hyperlink" Target="https://doi.org/10.1111/rec.12541" TargetMode="External"/><Relationship Id="rId7" Type="http://schemas.openxmlformats.org/officeDocument/2006/relationships/webSettings" Target="webSettings.xml"/><Relationship Id="rId12" Type="http://schemas.openxmlformats.org/officeDocument/2006/relationships/hyperlink" Target="https://doi.org/10.1197/jamia.M1471" TargetMode="External"/><Relationship Id="rId17" Type="http://schemas.openxmlformats.org/officeDocument/2006/relationships/hyperlink" Target="https://doi:10.1136/bmjqs-2014-003103" TargetMode="External"/><Relationship Id="rId25" Type="http://schemas.openxmlformats.org/officeDocument/2006/relationships/hyperlink" Target="https://doi.org/10.1136/bmj.m1182" TargetMode="External"/><Relationship Id="rId33" Type="http://schemas.openxmlformats.org/officeDocument/2006/relationships/hyperlink" Target="https://pure.uvt.nl/ws/files/51213299"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093/eurpub/ckv122" TargetMode="External"/><Relationship Id="rId20" Type="http://schemas.openxmlformats.org/officeDocument/2006/relationships/hyperlink" Target="https://doi.org/10.1001/jama.260.12.1743" TargetMode="External"/><Relationship Id="rId29" Type="http://schemas.openxmlformats.org/officeDocument/2006/relationships/hyperlink" Target="https://doi.org/10.1186/1472-6947-12-10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10.1108/02621711211253231" TargetMode="External"/><Relationship Id="rId24" Type="http://schemas.openxmlformats.org/officeDocument/2006/relationships/hyperlink" Target="https://doi:10.1136/bmj.l2068" TargetMode="External"/><Relationship Id="rId32" Type="http://schemas.openxmlformats.org/officeDocument/2006/relationships/hyperlink" Target="https://www.ons.gov.uk" TargetMode="External"/><Relationship Id="rId37" Type="http://schemas.openxmlformats.org/officeDocument/2006/relationships/hyperlink" Target="https://www.undp.org/sustainable-development-goals" TargetMode="External"/><Relationship Id="rId5" Type="http://schemas.openxmlformats.org/officeDocument/2006/relationships/styles" Target="styles.xml"/><Relationship Id="rId15" Type="http://schemas.openxmlformats.org/officeDocument/2006/relationships/hyperlink" Target="https://doi.org/10.1377/hlthaff.2011.0178" TargetMode="External"/><Relationship Id="rId23" Type="http://schemas.openxmlformats.org/officeDocument/2006/relationships/hyperlink" Target="https://doi.org/10.2196/jmir.8775" TargetMode="External"/><Relationship Id="rId28" Type="http://schemas.openxmlformats.org/officeDocument/2006/relationships/hyperlink" Target="https://doi.org/10.1136/bmj.k4907" TargetMode="External"/><Relationship Id="rId36" Type="http://schemas.openxmlformats.org/officeDocument/2006/relationships/hyperlink" Target="https://doi.org/10.1016/j.mayocp.2016.05.007" TargetMode="External"/><Relationship Id="rId10" Type="http://schemas.openxmlformats.org/officeDocument/2006/relationships/hyperlink" Target="https://doi:10.1136/bmj.n1767" TargetMode="External"/><Relationship Id="rId19" Type="http://schemas.openxmlformats.org/officeDocument/2006/relationships/hyperlink" Target="https://doi.org/10.1016/j.ijmedinf.2012.10.007" TargetMode="External"/><Relationship Id="rId31" Type="http://schemas.openxmlformats.org/officeDocument/2006/relationships/hyperlink" Target="https://www.longtermplan.nhs.uk/" TargetMode="External"/><Relationship Id="rId4" Type="http://schemas.openxmlformats.org/officeDocument/2006/relationships/numbering" Target="numbering.xml"/><Relationship Id="rId9" Type="http://schemas.openxmlformats.org/officeDocument/2006/relationships/hyperlink" Target="https://doi:10.1377/hlthaff.2016.1651" TargetMode="External"/><Relationship Id="rId14" Type="http://schemas.openxmlformats.org/officeDocument/2006/relationships/hyperlink" Target="https://doi.org/10.1371/journal.pmed.1000387" TargetMode="External"/><Relationship Id="rId22" Type="http://schemas.openxmlformats.org/officeDocument/2006/relationships/hyperlink" Target="https://doi.org/10.1016/j.healthpol.2017.07.009" TargetMode="External"/><Relationship Id="rId27" Type="http://schemas.openxmlformats.org/officeDocument/2006/relationships/hyperlink" Target="https://doi.org/10.2196/medinform.7958" TargetMode="External"/><Relationship Id="rId30" Type="http://schemas.openxmlformats.org/officeDocument/2006/relationships/hyperlink" Target="https://digital.nhs.uk/about-nhs-digital/our-work/digital-inclusion" TargetMode="External"/><Relationship Id="rId35" Type="http://schemas.openxmlformats.org/officeDocument/2006/relationships/hyperlink" Target="https://doi.org/10.1080/1369118X.2015.1012532" TargetMode="External"/><Relationship Id="rId8" Type="http://schemas.openxmlformats.org/officeDocument/2006/relationships/image" Target="media/image1.jpe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1bbf94f74ba84ddc50e466349891f2da">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a0d720fceec56343a2e4fcd4c41687f2"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GenerationTime" minOccurs="0"/>
                <xsd:element ref="ns3:MediaServiceEventHashCode" minOccurs="0"/>
                <xsd:element ref="ns3:MediaServiceSystemTags" minOccurs="0"/>
                <xsd:element ref="ns3:MediaLengthInSecond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A7830B-2103-4043-BA13-256BAAA5622B}">
  <ds:schemaRefs>
    <ds:schemaRef ds:uri="http://schemas.microsoft.com/sharepoint/v3/contenttype/forms"/>
  </ds:schemaRefs>
</ds:datastoreItem>
</file>

<file path=customXml/itemProps2.xml><?xml version="1.0" encoding="utf-8"?>
<ds:datastoreItem xmlns:ds="http://schemas.openxmlformats.org/officeDocument/2006/customXml" ds:itemID="{46471AD6-E0D7-4038-A3BC-25655AF05566}">
  <ds:schemaRefs>
    <ds:schemaRef ds:uri="http://schemas.microsoft.com/office/2006/metadata/properties"/>
    <ds:schemaRef ds:uri="http://schemas.microsoft.com/office/infopath/2007/PartnerControls"/>
    <ds:schemaRef ds:uri="95817cb9-f0eb-4f4d-892c-47ab9f8957c0"/>
  </ds:schemaRefs>
</ds:datastoreItem>
</file>

<file path=customXml/itemProps3.xml><?xml version="1.0" encoding="utf-8"?>
<ds:datastoreItem xmlns:ds="http://schemas.openxmlformats.org/officeDocument/2006/customXml" ds:itemID="{51D16973-504F-4FB0-AF86-5CB4FC61C8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14060</TotalTime>
  <Pages>17</Pages>
  <Words>6017</Words>
  <Characters>34301</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King (2114341)</dc:creator>
  <cp:keywords/>
  <dc:description/>
  <cp:lastModifiedBy>Stacey King (2114341)</cp:lastModifiedBy>
  <cp:revision>6</cp:revision>
  <dcterms:created xsi:type="dcterms:W3CDTF">2026-03-30T08:47:00Z</dcterms:created>
  <dcterms:modified xsi:type="dcterms:W3CDTF">2026-05-03T17:07:00Z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