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358482" w14:textId="77777777" w:rsidR="001A4BE1" w:rsidRDefault="001A4BE1"/>
    <w:p w14:paraId="4A9AE92A" w14:textId="77777777" w:rsidR="007E5F92" w:rsidRDefault="007E5F92"/>
    <w:p w14:paraId="13C9947F" w14:textId="610074A6" w:rsidR="007E5F92" w:rsidRDefault="000E7EA8">
      <w:r>
        <w:rPr>
          <w:noProof/>
        </w:rPr>
        <w:drawing>
          <wp:inline distT="0" distB="0" distL="0" distR="0" wp14:anchorId="6987F9A4" wp14:editId="42A276BC">
            <wp:extent cx="2889504" cy="1490472"/>
            <wp:effectExtent l="0" t="0" r="6350" b="0"/>
            <wp:docPr id="1933179836" name="image2.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rcRect/>
                    <a:stretch>
                      <a:fillRect/>
                    </a:stretch>
                  </pic:blipFill>
                  <pic:spPr>
                    <a:xfrm>
                      <a:off x="0" y="0"/>
                      <a:ext cx="2925792" cy="1509190"/>
                    </a:xfrm>
                    <a:prstGeom prst="rect">
                      <a:avLst/>
                    </a:prstGeom>
                    <a:noFill/>
                    <a:ln>
                      <a:noFill/>
                      <a:prstDash/>
                    </a:ln>
                  </pic:spPr>
                </pic:pic>
              </a:graphicData>
            </a:graphic>
          </wp:inline>
        </w:drawing>
      </w:r>
    </w:p>
    <w:p w14:paraId="721C0588" w14:textId="77777777" w:rsidR="007E5F92" w:rsidRDefault="007E5F92"/>
    <w:p w14:paraId="6E3B9254" w14:textId="77777777" w:rsidR="007E5F92" w:rsidRDefault="007E5F92"/>
    <w:p w14:paraId="3413F25B" w14:textId="77777777" w:rsidR="007E5F92" w:rsidRDefault="007E5F92"/>
    <w:p w14:paraId="51E8482D" w14:textId="77777777" w:rsidR="007E5F92" w:rsidRPr="006862BD" w:rsidRDefault="007E5F92" w:rsidP="007E5F92">
      <w:pPr>
        <w:pStyle w:val="Title"/>
        <w:spacing w:after="0" w:line="360" w:lineRule="auto"/>
        <w:rPr>
          <w:rFonts w:ascii="Times New Roman" w:hAnsi="Times New Roman" w:cs="Times New Roman"/>
          <w:sz w:val="32"/>
          <w:szCs w:val="32"/>
        </w:rPr>
      </w:pPr>
      <w:r w:rsidRPr="006862BD">
        <w:rPr>
          <w:rFonts w:ascii="Times New Roman" w:hAnsi="Times New Roman" w:cs="Times New Roman"/>
          <w:b/>
          <w:bCs/>
          <w:sz w:val="32"/>
          <w:szCs w:val="32"/>
        </w:rPr>
        <w:t>Modul name</w:t>
      </w:r>
      <w:r w:rsidRPr="006862BD">
        <w:rPr>
          <w:rFonts w:ascii="Times New Roman" w:hAnsi="Times New Roman" w:cs="Times New Roman"/>
          <w:sz w:val="32"/>
          <w:szCs w:val="32"/>
        </w:rPr>
        <w:t xml:space="preserve">: Developing and Managing Individuals and Teams  </w:t>
      </w:r>
    </w:p>
    <w:p w14:paraId="5725C6C7" w14:textId="77777777" w:rsidR="007E5F92" w:rsidRPr="006862BD" w:rsidRDefault="007E5F92" w:rsidP="007E5F92">
      <w:pPr>
        <w:spacing w:after="0" w:line="360" w:lineRule="auto"/>
        <w:rPr>
          <w:rFonts w:ascii="Times New Roman" w:hAnsi="Times New Roman" w:cs="Times New Roman"/>
          <w:sz w:val="32"/>
          <w:szCs w:val="32"/>
        </w:rPr>
      </w:pPr>
      <w:r w:rsidRPr="006862BD">
        <w:rPr>
          <w:rFonts w:ascii="Times New Roman" w:hAnsi="Times New Roman" w:cs="Times New Roman"/>
          <w:b/>
          <w:bCs/>
          <w:sz w:val="32"/>
          <w:szCs w:val="32"/>
        </w:rPr>
        <w:t>Module code</w:t>
      </w:r>
      <w:r w:rsidRPr="006862BD">
        <w:rPr>
          <w:rFonts w:ascii="Times New Roman" w:hAnsi="Times New Roman" w:cs="Times New Roman"/>
          <w:sz w:val="32"/>
          <w:szCs w:val="32"/>
        </w:rPr>
        <w:t>: LCLM5002</w:t>
      </w:r>
    </w:p>
    <w:p w14:paraId="5F47B7BA" w14:textId="77777777" w:rsidR="007E5F92" w:rsidRPr="006862BD" w:rsidRDefault="007E5F92" w:rsidP="007E5F92">
      <w:pPr>
        <w:spacing w:after="0" w:line="360" w:lineRule="auto"/>
        <w:rPr>
          <w:rFonts w:ascii="Times New Roman" w:hAnsi="Times New Roman" w:cs="Times New Roman"/>
          <w:sz w:val="32"/>
          <w:szCs w:val="32"/>
        </w:rPr>
      </w:pPr>
      <w:r w:rsidRPr="006862BD">
        <w:rPr>
          <w:rFonts w:ascii="Times New Roman" w:hAnsi="Times New Roman" w:cs="Times New Roman"/>
          <w:b/>
          <w:bCs/>
          <w:sz w:val="32"/>
          <w:szCs w:val="32"/>
        </w:rPr>
        <w:t xml:space="preserve">Assignment Title: </w:t>
      </w:r>
      <w:r w:rsidRPr="006862BD">
        <w:rPr>
          <w:rFonts w:ascii="Times New Roman" w:hAnsi="Times New Roman" w:cs="Times New Roman"/>
          <w:sz w:val="32"/>
          <w:szCs w:val="32"/>
        </w:rPr>
        <w:t>Individual Report</w:t>
      </w:r>
    </w:p>
    <w:p w14:paraId="5D6048F0" w14:textId="77777777" w:rsidR="007E5F92" w:rsidRPr="006862BD" w:rsidRDefault="007E5F92" w:rsidP="007E5F92">
      <w:pPr>
        <w:spacing w:after="0" w:line="360" w:lineRule="auto"/>
        <w:rPr>
          <w:rFonts w:ascii="Times New Roman" w:hAnsi="Times New Roman" w:cs="Times New Roman"/>
          <w:sz w:val="32"/>
          <w:szCs w:val="32"/>
        </w:rPr>
      </w:pPr>
      <w:r w:rsidRPr="006862BD">
        <w:rPr>
          <w:rFonts w:ascii="Times New Roman" w:hAnsi="Times New Roman" w:cs="Times New Roman"/>
          <w:b/>
          <w:bCs/>
          <w:sz w:val="32"/>
          <w:szCs w:val="32"/>
        </w:rPr>
        <w:t xml:space="preserve">Student Name: </w:t>
      </w:r>
      <w:r w:rsidRPr="006862BD">
        <w:rPr>
          <w:rFonts w:ascii="Times New Roman" w:hAnsi="Times New Roman" w:cs="Times New Roman"/>
          <w:sz w:val="32"/>
          <w:szCs w:val="32"/>
        </w:rPr>
        <w:t>Camelia Alina Luchian</w:t>
      </w:r>
    </w:p>
    <w:p w14:paraId="51DB0E61" w14:textId="77777777" w:rsidR="007E5F92" w:rsidRPr="006862BD" w:rsidRDefault="007E5F92" w:rsidP="007E5F92">
      <w:pPr>
        <w:spacing w:after="0" w:line="360" w:lineRule="auto"/>
        <w:rPr>
          <w:rFonts w:ascii="Times New Roman" w:hAnsi="Times New Roman" w:cs="Times New Roman"/>
          <w:sz w:val="32"/>
          <w:szCs w:val="32"/>
        </w:rPr>
      </w:pPr>
      <w:r w:rsidRPr="006862BD">
        <w:rPr>
          <w:rFonts w:ascii="Times New Roman" w:hAnsi="Times New Roman" w:cs="Times New Roman"/>
          <w:b/>
          <w:bCs/>
          <w:sz w:val="32"/>
          <w:szCs w:val="32"/>
        </w:rPr>
        <w:t xml:space="preserve">Student ID: </w:t>
      </w:r>
      <w:r w:rsidRPr="006862BD">
        <w:rPr>
          <w:rFonts w:ascii="Times New Roman" w:hAnsi="Times New Roman" w:cs="Times New Roman"/>
          <w:sz w:val="32"/>
          <w:szCs w:val="32"/>
        </w:rPr>
        <w:t>2418818</w:t>
      </w:r>
    </w:p>
    <w:p w14:paraId="5BC38E5B" w14:textId="176B567E" w:rsidR="007E5F92" w:rsidRDefault="007E5F92" w:rsidP="007E5F92">
      <w:pPr>
        <w:spacing w:line="360" w:lineRule="auto"/>
        <w:rPr>
          <w:rFonts w:ascii="Times New Roman" w:hAnsi="Times New Roman" w:cs="Times New Roman"/>
          <w:sz w:val="32"/>
          <w:szCs w:val="32"/>
        </w:rPr>
      </w:pPr>
      <w:r w:rsidRPr="006862BD">
        <w:rPr>
          <w:rFonts w:ascii="Times New Roman" w:hAnsi="Times New Roman" w:cs="Times New Roman"/>
          <w:b/>
          <w:bCs/>
          <w:sz w:val="32"/>
          <w:szCs w:val="32"/>
        </w:rPr>
        <w:t>Lectures name:</w:t>
      </w:r>
      <w:r w:rsidR="00EE2154">
        <w:rPr>
          <w:rFonts w:ascii="Times New Roman" w:hAnsi="Times New Roman" w:cs="Times New Roman"/>
          <w:b/>
          <w:bCs/>
          <w:sz w:val="32"/>
          <w:szCs w:val="32"/>
        </w:rPr>
        <w:t xml:space="preserve"> </w:t>
      </w:r>
      <w:r w:rsidR="00EE2154" w:rsidRPr="00EE2154">
        <w:rPr>
          <w:rFonts w:ascii="Times New Roman" w:hAnsi="Times New Roman" w:cs="Times New Roman"/>
          <w:sz w:val="32"/>
          <w:szCs w:val="32"/>
        </w:rPr>
        <w:t>Dr.</w:t>
      </w:r>
      <w:r w:rsidRPr="006862BD">
        <w:rPr>
          <w:rFonts w:ascii="Times New Roman" w:hAnsi="Times New Roman" w:cs="Times New Roman"/>
          <w:b/>
          <w:bCs/>
          <w:sz w:val="32"/>
          <w:szCs w:val="32"/>
        </w:rPr>
        <w:t xml:space="preserve"> </w:t>
      </w:r>
      <w:proofErr w:type="spellStart"/>
      <w:r w:rsidRPr="00F50DB6">
        <w:rPr>
          <w:rFonts w:ascii="Times New Roman" w:hAnsi="Times New Roman" w:cs="Times New Roman"/>
          <w:sz w:val="32"/>
          <w:szCs w:val="32"/>
        </w:rPr>
        <w:t>Faizu</w:t>
      </w:r>
      <w:proofErr w:type="spellEnd"/>
      <w:r w:rsidRPr="00F50DB6">
        <w:rPr>
          <w:rFonts w:ascii="Times New Roman" w:hAnsi="Times New Roman" w:cs="Times New Roman"/>
          <w:sz w:val="32"/>
          <w:szCs w:val="32"/>
        </w:rPr>
        <w:t xml:space="preserve"> Edu</w:t>
      </w:r>
    </w:p>
    <w:p w14:paraId="3408E711" w14:textId="77777777" w:rsidR="00865E6F" w:rsidRDefault="00865E6F" w:rsidP="007E5F92">
      <w:pPr>
        <w:spacing w:line="360" w:lineRule="auto"/>
        <w:rPr>
          <w:rFonts w:ascii="Times New Roman" w:hAnsi="Times New Roman" w:cs="Times New Roman"/>
          <w:sz w:val="32"/>
          <w:szCs w:val="32"/>
        </w:rPr>
      </w:pPr>
    </w:p>
    <w:p w14:paraId="7CB41641" w14:textId="77777777" w:rsidR="00865E6F" w:rsidRDefault="00865E6F" w:rsidP="007E5F92">
      <w:pPr>
        <w:spacing w:line="360" w:lineRule="auto"/>
        <w:rPr>
          <w:rFonts w:ascii="Times New Roman" w:hAnsi="Times New Roman" w:cs="Times New Roman"/>
          <w:sz w:val="32"/>
          <w:szCs w:val="32"/>
        </w:rPr>
      </w:pPr>
    </w:p>
    <w:p w14:paraId="1A39F170" w14:textId="78CAD1D0" w:rsidR="00865E6F" w:rsidRDefault="00865E6F" w:rsidP="007E5F92">
      <w:pPr>
        <w:spacing w:line="360" w:lineRule="auto"/>
        <w:rPr>
          <w:rFonts w:ascii="Times New Roman" w:hAnsi="Times New Roman" w:cs="Times New Roman"/>
          <w:sz w:val="32"/>
          <w:szCs w:val="32"/>
        </w:rPr>
      </w:pPr>
      <w:r w:rsidRPr="00865E6F">
        <w:rPr>
          <w:rFonts w:ascii="Times New Roman" w:hAnsi="Times New Roman" w:cs="Times New Roman"/>
          <w:b/>
          <w:bCs/>
          <w:sz w:val="32"/>
          <w:szCs w:val="32"/>
        </w:rPr>
        <w:t>Title</w:t>
      </w:r>
      <w:r w:rsidRPr="00865E6F">
        <w:rPr>
          <w:rFonts w:ascii="Times New Roman" w:hAnsi="Times New Roman" w:cs="Times New Roman"/>
          <w:sz w:val="32"/>
          <w:szCs w:val="32"/>
        </w:rPr>
        <w:t>: Formal Report on Contemporary HR Issues for a UK-Based Company</w:t>
      </w:r>
    </w:p>
    <w:p w14:paraId="35F50943" w14:textId="44739E5B" w:rsidR="006C330D" w:rsidRPr="006C330D" w:rsidRDefault="006C330D" w:rsidP="007E5F92">
      <w:pPr>
        <w:spacing w:line="360" w:lineRule="auto"/>
        <w:rPr>
          <w:rFonts w:ascii="Times New Roman" w:hAnsi="Times New Roman" w:cs="Times New Roman"/>
          <w:b/>
          <w:bCs/>
          <w:sz w:val="32"/>
          <w:szCs w:val="32"/>
        </w:rPr>
      </w:pPr>
      <w:r>
        <w:rPr>
          <w:rFonts w:ascii="Times New Roman" w:hAnsi="Times New Roman" w:cs="Times New Roman"/>
          <w:sz w:val="32"/>
          <w:szCs w:val="32"/>
        </w:rPr>
        <w:t xml:space="preserve">                                  </w:t>
      </w:r>
      <w:r w:rsidRPr="006C330D">
        <w:rPr>
          <w:rFonts w:ascii="Times New Roman" w:hAnsi="Times New Roman" w:cs="Times New Roman"/>
          <w:b/>
          <w:bCs/>
          <w:sz w:val="32"/>
          <w:szCs w:val="32"/>
        </w:rPr>
        <w:t>JOHN LEWIS</w:t>
      </w:r>
    </w:p>
    <w:p w14:paraId="59FF9744" w14:textId="77777777" w:rsidR="007E5F92" w:rsidRDefault="007E5F92" w:rsidP="007E5F92">
      <w:pPr>
        <w:spacing w:line="360" w:lineRule="auto"/>
        <w:rPr>
          <w:rFonts w:ascii="Times New Roman" w:hAnsi="Times New Roman" w:cs="Times New Roman"/>
          <w:sz w:val="32"/>
          <w:szCs w:val="32"/>
        </w:rPr>
      </w:pPr>
    </w:p>
    <w:p w14:paraId="6591BB3B" w14:textId="77777777" w:rsidR="007E5F92" w:rsidRDefault="007E5F92" w:rsidP="007E5F92">
      <w:pPr>
        <w:spacing w:line="360" w:lineRule="auto"/>
        <w:rPr>
          <w:rFonts w:ascii="Times New Roman" w:hAnsi="Times New Roman" w:cs="Times New Roman"/>
          <w:sz w:val="32"/>
          <w:szCs w:val="32"/>
        </w:rPr>
      </w:pPr>
    </w:p>
    <w:p w14:paraId="0A3CFB1E" w14:textId="77777777" w:rsidR="007E5F92" w:rsidRDefault="007E5F92" w:rsidP="007E5F92">
      <w:pPr>
        <w:spacing w:line="360" w:lineRule="auto"/>
        <w:rPr>
          <w:rFonts w:ascii="Times New Roman" w:hAnsi="Times New Roman" w:cs="Times New Roman"/>
          <w:sz w:val="32"/>
          <w:szCs w:val="32"/>
        </w:rPr>
      </w:pPr>
    </w:p>
    <w:p w14:paraId="50D6FE7B" w14:textId="77777777" w:rsidR="007E5F92" w:rsidRDefault="007E5F92" w:rsidP="007E5F92">
      <w:pPr>
        <w:spacing w:line="360" w:lineRule="auto"/>
        <w:rPr>
          <w:rFonts w:ascii="Times New Roman" w:hAnsi="Times New Roman" w:cs="Times New Roman"/>
          <w:sz w:val="32"/>
          <w:szCs w:val="32"/>
        </w:rPr>
      </w:pPr>
    </w:p>
    <w:p w14:paraId="4CF4CE33" w14:textId="77777777" w:rsidR="007E5F92" w:rsidRDefault="007E5F92" w:rsidP="007E5F92">
      <w:pPr>
        <w:spacing w:line="360" w:lineRule="auto"/>
        <w:rPr>
          <w:rFonts w:ascii="Times New Roman" w:hAnsi="Times New Roman" w:cs="Times New Roman"/>
          <w:sz w:val="32"/>
          <w:szCs w:val="32"/>
        </w:rPr>
      </w:pPr>
    </w:p>
    <w:p w14:paraId="5578783C" w14:textId="77777777" w:rsidR="007E5F92" w:rsidRDefault="007E5F92" w:rsidP="007E5F92">
      <w:pPr>
        <w:spacing w:line="360" w:lineRule="auto"/>
        <w:rPr>
          <w:rFonts w:ascii="Times New Roman" w:hAnsi="Times New Roman" w:cs="Times New Roman"/>
          <w:sz w:val="32"/>
          <w:szCs w:val="32"/>
        </w:rPr>
      </w:pPr>
    </w:p>
    <w:p w14:paraId="45E73DF8" w14:textId="77777777" w:rsidR="007E5F92" w:rsidRDefault="007E5F92" w:rsidP="007E5F92">
      <w:pPr>
        <w:spacing w:line="360" w:lineRule="auto"/>
        <w:rPr>
          <w:rFonts w:ascii="Times New Roman" w:hAnsi="Times New Roman" w:cs="Times New Roman"/>
          <w:sz w:val="32"/>
          <w:szCs w:val="32"/>
        </w:rPr>
      </w:pPr>
    </w:p>
    <w:p w14:paraId="08F50103" w14:textId="77777777" w:rsidR="007E5F92" w:rsidRDefault="007E5F92" w:rsidP="007E5F92">
      <w:pPr>
        <w:spacing w:line="360" w:lineRule="auto"/>
        <w:rPr>
          <w:rFonts w:ascii="Times New Roman" w:hAnsi="Times New Roman" w:cs="Times New Roman"/>
          <w:sz w:val="32"/>
          <w:szCs w:val="32"/>
        </w:rPr>
      </w:pPr>
    </w:p>
    <w:p w14:paraId="5B9427AD" w14:textId="77777777" w:rsidR="007E5F92" w:rsidRDefault="007E5F92" w:rsidP="007E5F92">
      <w:pPr>
        <w:rPr>
          <w:rFonts w:ascii="Times New Roman" w:hAnsi="Times New Roman" w:cs="Times New Roman"/>
          <w:b/>
          <w:bCs/>
          <w:sz w:val="32"/>
          <w:szCs w:val="32"/>
        </w:rPr>
      </w:pPr>
    </w:p>
    <w:p w14:paraId="5DC30E75" w14:textId="77777777" w:rsidR="007E5F92" w:rsidRPr="00ED143E" w:rsidRDefault="007E5F92" w:rsidP="007E5F92">
      <w:pPr>
        <w:jc w:val="center"/>
        <w:rPr>
          <w:rFonts w:ascii="Arial" w:hAnsi="Arial" w:cs="Arial"/>
          <w:b/>
          <w:bCs/>
          <w:sz w:val="28"/>
          <w:szCs w:val="28"/>
        </w:rPr>
      </w:pPr>
      <w:r w:rsidRPr="00ED143E">
        <w:rPr>
          <w:rFonts w:ascii="Arial" w:hAnsi="Arial" w:cs="Arial"/>
          <w:b/>
          <w:bCs/>
          <w:sz w:val="28"/>
          <w:szCs w:val="28"/>
        </w:rPr>
        <w:t>Table of Contents</w:t>
      </w:r>
    </w:p>
    <w:p w14:paraId="1F0E8CF3" w14:textId="77777777" w:rsidR="007E5F92" w:rsidRDefault="007E5F92" w:rsidP="007E5F92">
      <w:pPr>
        <w:spacing w:before="100" w:beforeAutospacing="1" w:after="100" w:afterAutospacing="1" w:line="360" w:lineRule="auto"/>
        <w:rPr>
          <w:rFonts w:ascii="Times New Roman" w:hAnsi="Times New Roman" w:cs="Times New Roman"/>
          <w:b/>
          <w:bCs/>
          <w:sz w:val="32"/>
          <w:szCs w:val="32"/>
        </w:rPr>
      </w:pPr>
    </w:p>
    <w:p w14:paraId="0C421614" w14:textId="1A81F74B" w:rsidR="007E5F92" w:rsidRPr="009C28E1" w:rsidRDefault="004277A3" w:rsidP="007E5F92">
      <w:pPr>
        <w:spacing w:before="100" w:beforeAutospacing="1" w:after="100" w:afterAutospacing="1" w:line="240" w:lineRule="auto"/>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1.</w:t>
      </w:r>
      <w:r w:rsidR="007E5F92" w:rsidRPr="009C28E1">
        <w:rPr>
          <w:rFonts w:ascii="Arial" w:eastAsia="Times New Roman" w:hAnsi="Arial" w:cs="Arial"/>
          <w:kern w:val="0"/>
          <w:sz w:val="28"/>
          <w:szCs w:val="28"/>
          <w:lang w:eastAsia="en-GB"/>
          <w14:ligatures w14:val="none"/>
        </w:rPr>
        <w:t>Introduction…………………………………………………………</w:t>
      </w:r>
      <w:r>
        <w:rPr>
          <w:rFonts w:ascii="Arial" w:eastAsia="Times New Roman" w:hAnsi="Arial" w:cs="Arial"/>
          <w:kern w:val="0"/>
          <w:sz w:val="28"/>
          <w:szCs w:val="28"/>
          <w:lang w:eastAsia="en-GB"/>
          <w14:ligatures w14:val="none"/>
        </w:rPr>
        <w:t>…</w:t>
      </w:r>
      <w:r w:rsidR="007E5F92" w:rsidRPr="009C28E1">
        <w:rPr>
          <w:rFonts w:ascii="Arial" w:eastAsia="Times New Roman" w:hAnsi="Arial" w:cs="Arial"/>
          <w:kern w:val="0"/>
          <w:sz w:val="28"/>
          <w:szCs w:val="28"/>
          <w:lang w:eastAsia="en-GB"/>
          <w14:ligatures w14:val="none"/>
        </w:rPr>
        <w:t>.3</w:t>
      </w:r>
    </w:p>
    <w:p w14:paraId="766CBF16" w14:textId="7F5C9412" w:rsidR="008874AD" w:rsidRPr="009C28E1" w:rsidRDefault="004277A3" w:rsidP="007E5F92">
      <w:pPr>
        <w:spacing w:before="100" w:beforeAutospacing="1" w:after="100" w:afterAutospacing="1" w:line="240" w:lineRule="auto"/>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2.</w:t>
      </w:r>
      <w:r w:rsidR="007E5F92" w:rsidRPr="009C28E1">
        <w:rPr>
          <w:rFonts w:ascii="Arial" w:eastAsia="Times New Roman" w:hAnsi="Arial" w:cs="Arial"/>
          <w:kern w:val="0"/>
          <w:sz w:val="28"/>
          <w:szCs w:val="28"/>
          <w:lang w:eastAsia="en-GB"/>
          <w14:ligatures w14:val="none"/>
        </w:rPr>
        <w:t>Explanation of Specific Factors……………………</w:t>
      </w:r>
      <w:r w:rsidR="007E5F92">
        <w:rPr>
          <w:rFonts w:ascii="Arial" w:eastAsia="Times New Roman" w:hAnsi="Arial" w:cs="Arial"/>
          <w:kern w:val="0"/>
          <w:sz w:val="28"/>
          <w:szCs w:val="28"/>
          <w:lang w:eastAsia="en-GB"/>
          <w14:ligatures w14:val="none"/>
        </w:rPr>
        <w:t>……</w:t>
      </w:r>
      <w:r w:rsidR="007E5F92" w:rsidRPr="009C28E1">
        <w:rPr>
          <w:rFonts w:ascii="Arial" w:eastAsia="Times New Roman" w:hAnsi="Arial" w:cs="Arial"/>
          <w:kern w:val="0"/>
          <w:sz w:val="28"/>
          <w:szCs w:val="28"/>
          <w:lang w:eastAsia="en-GB"/>
          <w14:ligatures w14:val="none"/>
        </w:rPr>
        <w:t>……</w:t>
      </w:r>
      <w:r w:rsidR="007E5F92">
        <w:rPr>
          <w:rFonts w:ascii="Arial" w:eastAsia="Times New Roman" w:hAnsi="Arial" w:cs="Arial"/>
          <w:kern w:val="0"/>
          <w:sz w:val="28"/>
          <w:szCs w:val="28"/>
          <w:lang w:eastAsia="en-GB"/>
          <w14:ligatures w14:val="none"/>
        </w:rPr>
        <w:t>.</w:t>
      </w:r>
      <w:r w:rsidR="007E5F92" w:rsidRPr="009C28E1">
        <w:rPr>
          <w:rFonts w:ascii="Arial" w:eastAsia="Times New Roman" w:hAnsi="Arial" w:cs="Arial"/>
          <w:kern w:val="0"/>
          <w:sz w:val="28"/>
          <w:szCs w:val="28"/>
          <w:lang w:eastAsia="en-GB"/>
          <w14:ligatures w14:val="none"/>
        </w:rPr>
        <w:t>…</w:t>
      </w:r>
      <w:proofErr w:type="gramStart"/>
      <w:r>
        <w:rPr>
          <w:rFonts w:ascii="Arial" w:eastAsia="Times New Roman" w:hAnsi="Arial" w:cs="Arial"/>
          <w:kern w:val="0"/>
          <w:sz w:val="28"/>
          <w:szCs w:val="28"/>
          <w:lang w:eastAsia="en-GB"/>
          <w14:ligatures w14:val="none"/>
        </w:rPr>
        <w:t>…</w:t>
      </w:r>
      <w:r w:rsidR="007E5F92" w:rsidRPr="009C28E1">
        <w:rPr>
          <w:rFonts w:ascii="Arial" w:eastAsia="Times New Roman" w:hAnsi="Arial" w:cs="Arial"/>
          <w:kern w:val="0"/>
          <w:sz w:val="28"/>
          <w:szCs w:val="28"/>
          <w:lang w:eastAsia="en-GB"/>
          <w14:ligatures w14:val="none"/>
        </w:rPr>
        <w:t>..</w:t>
      </w:r>
      <w:proofErr w:type="gramEnd"/>
      <w:r w:rsidR="007E5F92" w:rsidRPr="009C28E1">
        <w:rPr>
          <w:rFonts w:ascii="Arial" w:eastAsia="Times New Roman" w:hAnsi="Arial" w:cs="Arial"/>
          <w:kern w:val="0"/>
          <w:sz w:val="28"/>
          <w:szCs w:val="28"/>
          <w:lang w:eastAsia="en-GB"/>
          <w14:ligatures w14:val="none"/>
        </w:rPr>
        <w:t>3</w:t>
      </w:r>
    </w:p>
    <w:p w14:paraId="1AFC7D15" w14:textId="7538933A" w:rsidR="007E5F92" w:rsidRPr="009C28E1" w:rsidRDefault="004277A3" w:rsidP="007E5F92">
      <w:pPr>
        <w:spacing w:before="100" w:beforeAutospacing="1" w:after="100" w:afterAutospacing="1" w:line="240" w:lineRule="auto"/>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3.</w:t>
      </w:r>
      <w:r w:rsidR="007E5F92" w:rsidRPr="009C28E1">
        <w:rPr>
          <w:rFonts w:ascii="Arial" w:eastAsia="Times New Roman" w:hAnsi="Arial" w:cs="Arial"/>
          <w:kern w:val="0"/>
          <w:sz w:val="28"/>
          <w:szCs w:val="28"/>
          <w:lang w:eastAsia="en-GB"/>
          <w14:ligatures w14:val="none"/>
        </w:rPr>
        <w:t>Evaluation of Different Contemporary HR Practices………</w:t>
      </w:r>
      <w:r w:rsidR="007E5F92">
        <w:rPr>
          <w:rFonts w:ascii="Arial" w:eastAsia="Times New Roman" w:hAnsi="Arial" w:cs="Arial"/>
          <w:kern w:val="0"/>
          <w:sz w:val="28"/>
          <w:szCs w:val="28"/>
          <w:lang w:eastAsia="en-GB"/>
          <w14:ligatures w14:val="none"/>
        </w:rPr>
        <w:t>...</w:t>
      </w:r>
      <w:r w:rsidR="007E5F92" w:rsidRPr="009C28E1">
        <w:rPr>
          <w:rFonts w:ascii="Arial" w:eastAsia="Times New Roman" w:hAnsi="Arial" w:cs="Arial"/>
          <w:kern w:val="0"/>
          <w:sz w:val="28"/>
          <w:szCs w:val="28"/>
          <w:lang w:eastAsia="en-GB"/>
          <w14:ligatures w14:val="none"/>
        </w:rPr>
        <w:t>…..</w:t>
      </w:r>
      <w:r>
        <w:rPr>
          <w:rFonts w:ascii="Arial" w:eastAsia="Times New Roman" w:hAnsi="Arial" w:cs="Arial"/>
          <w:kern w:val="0"/>
          <w:sz w:val="28"/>
          <w:szCs w:val="28"/>
          <w:lang w:eastAsia="en-GB"/>
          <w14:ligatures w14:val="none"/>
        </w:rPr>
        <w:t>.</w:t>
      </w:r>
      <w:r w:rsidR="007E5F92" w:rsidRPr="009C28E1">
        <w:rPr>
          <w:rFonts w:ascii="Arial" w:eastAsia="Times New Roman" w:hAnsi="Arial" w:cs="Arial"/>
          <w:kern w:val="0"/>
          <w:sz w:val="28"/>
          <w:szCs w:val="28"/>
          <w:lang w:eastAsia="en-GB"/>
          <w14:ligatures w14:val="none"/>
        </w:rPr>
        <w:t xml:space="preserve">.5 </w:t>
      </w:r>
    </w:p>
    <w:p w14:paraId="63575103" w14:textId="59A42CBB" w:rsidR="007E5F92" w:rsidRDefault="004277A3" w:rsidP="007E5F92">
      <w:pPr>
        <w:spacing w:before="100" w:beforeAutospacing="1" w:after="100" w:afterAutospacing="1" w:line="240" w:lineRule="auto"/>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4.</w:t>
      </w:r>
      <w:r w:rsidR="007E5F92" w:rsidRPr="009C28E1">
        <w:rPr>
          <w:rFonts w:ascii="Arial" w:eastAsia="Times New Roman" w:hAnsi="Arial" w:cs="Arial"/>
          <w:kern w:val="0"/>
          <w:sz w:val="28"/>
          <w:szCs w:val="28"/>
          <w:lang w:eastAsia="en-GB"/>
          <w14:ligatures w14:val="none"/>
        </w:rPr>
        <w:t>Critical Evaluation of How Departmental Managers Can Ensure Implementation as a Matter of Urgency……………………</w:t>
      </w:r>
      <w:r w:rsidR="007E5F92">
        <w:rPr>
          <w:rFonts w:ascii="Arial" w:eastAsia="Times New Roman" w:hAnsi="Arial" w:cs="Arial"/>
          <w:kern w:val="0"/>
          <w:sz w:val="28"/>
          <w:szCs w:val="28"/>
          <w:lang w:eastAsia="en-GB"/>
          <w14:ligatures w14:val="none"/>
        </w:rPr>
        <w:t>…</w:t>
      </w:r>
      <w:r>
        <w:rPr>
          <w:rFonts w:ascii="Arial" w:eastAsia="Times New Roman" w:hAnsi="Arial" w:cs="Arial"/>
          <w:kern w:val="0"/>
          <w:sz w:val="28"/>
          <w:szCs w:val="28"/>
          <w:lang w:eastAsia="en-GB"/>
          <w14:ligatures w14:val="none"/>
        </w:rPr>
        <w:t>…</w:t>
      </w:r>
      <w:r w:rsidR="007E5F92" w:rsidRPr="009C28E1">
        <w:rPr>
          <w:rFonts w:ascii="Arial" w:eastAsia="Times New Roman" w:hAnsi="Arial" w:cs="Arial"/>
          <w:kern w:val="0"/>
          <w:sz w:val="28"/>
          <w:szCs w:val="28"/>
          <w:lang w:eastAsia="en-GB"/>
          <w14:ligatures w14:val="none"/>
        </w:rPr>
        <w:t>……6</w:t>
      </w:r>
    </w:p>
    <w:p w14:paraId="5740A149" w14:textId="76D031F5" w:rsidR="00ED143E" w:rsidRPr="009C28E1" w:rsidRDefault="004277A3" w:rsidP="007E5F92">
      <w:pPr>
        <w:spacing w:before="100" w:beforeAutospacing="1" w:after="100" w:afterAutospacing="1" w:line="240" w:lineRule="auto"/>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5.</w:t>
      </w:r>
      <w:r w:rsidR="00ED143E" w:rsidRPr="00ED143E">
        <w:rPr>
          <w:rFonts w:ascii="Arial" w:eastAsia="Times New Roman" w:hAnsi="Arial" w:cs="Arial"/>
          <w:kern w:val="0"/>
          <w:sz w:val="28"/>
          <w:szCs w:val="28"/>
          <w:lang w:eastAsia="en-GB"/>
          <w14:ligatures w14:val="none"/>
        </w:rPr>
        <w:t>Merged KPI Table for HR Performance Measurement</w:t>
      </w:r>
      <w:r w:rsidR="00ED143E">
        <w:rPr>
          <w:rFonts w:ascii="Arial" w:eastAsia="Times New Roman" w:hAnsi="Arial" w:cs="Arial"/>
          <w:kern w:val="0"/>
          <w:sz w:val="28"/>
          <w:szCs w:val="28"/>
          <w:lang w:eastAsia="en-GB"/>
          <w14:ligatures w14:val="none"/>
        </w:rPr>
        <w:t>…………</w:t>
      </w:r>
      <w:r>
        <w:rPr>
          <w:rFonts w:ascii="Arial" w:eastAsia="Times New Roman" w:hAnsi="Arial" w:cs="Arial"/>
          <w:kern w:val="0"/>
          <w:sz w:val="28"/>
          <w:szCs w:val="28"/>
          <w:lang w:eastAsia="en-GB"/>
          <w14:ligatures w14:val="none"/>
        </w:rPr>
        <w:t>.</w:t>
      </w:r>
      <w:r w:rsidR="00ED143E">
        <w:rPr>
          <w:rFonts w:ascii="Arial" w:eastAsia="Times New Roman" w:hAnsi="Arial" w:cs="Arial"/>
          <w:kern w:val="0"/>
          <w:sz w:val="28"/>
          <w:szCs w:val="28"/>
          <w:lang w:eastAsia="en-GB"/>
          <w14:ligatures w14:val="none"/>
        </w:rPr>
        <w:t>..8</w:t>
      </w:r>
    </w:p>
    <w:p w14:paraId="27CBDDBF" w14:textId="6922C04F" w:rsidR="007E5F92" w:rsidRPr="009C28E1" w:rsidRDefault="004277A3" w:rsidP="007E5F92">
      <w:pPr>
        <w:spacing w:before="100" w:beforeAutospacing="1" w:after="100" w:afterAutospacing="1" w:line="240" w:lineRule="auto"/>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6.</w:t>
      </w:r>
      <w:r w:rsidR="007E5F92" w:rsidRPr="009C28E1">
        <w:rPr>
          <w:rFonts w:ascii="Arial" w:eastAsia="Times New Roman" w:hAnsi="Arial" w:cs="Arial"/>
          <w:kern w:val="0"/>
          <w:sz w:val="28"/>
          <w:szCs w:val="28"/>
          <w:lang w:eastAsia="en-GB"/>
          <w14:ligatures w14:val="none"/>
        </w:rPr>
        <w:t>Conclusion and Recommendations…………………………</w:t>
      </w:r>
      <w:r w:rsidR="007E5F92">
        <w:rPr>
          <w:rFonts w:ascii="Arial" w:eastAsia="Times New Roman" w:hAnsi="Arial" w:cs="Arial"/>
          <w:kern w:val="0"/>
          <w:sz w:val="28"/>
          <w:szCs w:val="28"/>
          <w:lang w:eastAsia="en-GB"/>
          <w14:ligatures w14:val="none"/>
        </w:rPr>
        <w:t>...</w:t>
      </w:r>
      <w:r w:rsidR="007E5F92" w:rsidRPr="009C28E1">
        <w:rPr>
          <w:rFonts w:ascii="Arial" w:eastAsia="Times New Roman" w:hAnsi="Arial" w:cs="Arial"/>
          <w:kern w:val="0"/>
          <w:sz w:val="28"/>
          <w:szCs w:val="28"/>
          <w:lang w:eastAsia="en-GB"/>
          <w14:ligatures w14:val="none"/>
        </w:rPr>
        <w:t>…</w:t>
      </w:r>
      <w:r w:rsidR="007E5F92">
        <w:rPr>
          <w:rFonts w:ascii="Arial" w:eastAsia="Times New Roman" w:hAnsi="Arial" w:cs="Arial"/>
          <w:kern w:val="0"/>
          <w:sz w:val="28"/>
          <w:szCs w:val="28"/>
          <w:lang w:eastAsia="en-GB"/>
          <w14:ligatures w14:val="none"/>
        </w:rPr>
        <w:t>…</w:t>
      </w:r>
      <w:r w:rsidR="00B60B3B">
        <w:rPr>
          <w:rFonts w:ascii="Arial" w:eastAsia="Times New Roman" w:hAnsi="Arial" w:cs="Arial"/>
          <w:kern w:val="0"/>
          <w:sz w:val="28"/>
          <w:szCs w:val="28"/>
          <w:lang w:eastAsia="en-GB"/>
          <w14:ligatures w14:val="none"/>
        </w:rPr>
        <w:t>9</w:t>
      </w:r>
    </w:p>
    <w:p w14:paraId="5306B350" w14:textId="444D0F8C" w:rsidR="007E5F92" w:rsidRDefault="004277A3" w:rsidP="007E5F92">
      <w:pPr>
        <w:spacing w:before="100" w:beforeAutospacing="1" w:after="100" w:afterAutospacing="1" w:line="240" w:lineRule="auto"/>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7.</w:t>
      </w:r>
      <w:r w:rsidR="007E5F92" w:rsidRPr="009C28E1">
        <w:rPr>
          <w:rFonts w:ascii="Arial" w:eastAsia="Times New Roman" w:hAnsi="Arial" w:cs="Arial"/>
          <w:kern w:val="0"/>
          <w:sz w:val="28"/>
          <w:szCs w:val="28"/>
          <w:lang w:eastAsia="en-GB"/>
          <w14:ligatures w14:val="none"/>
        </w:rPr>
        <w:t>Reference List…………………………………………………</w:t>
      </w:r>
      <w:proofErr w:type="gramStart"/>
      <w:r w:rsidR="007E5F92" w:rsidRPr="009C28E1">
        <w:rPr>
          <w:rFonts w:ascii="Arial" w:eastAsia="Times New Roman" w:hAnsi="Arial" w:cs="Arial"/>
          <w:kern w:val="0"/>
          <w:sz w:val="28"/>
          <w:szCs w:val="28"/>
          <w:lang w:eastAsia="en-GB"/>
          <w14:ligatures w14:val="none"/>
        </w:rPr>
        <w:t>….….</w:t>
      </w:r>
      <w:r w:rsidR="007E5F92">
        <w:rPr>
          <w:rFonts w:ascii="Arial" w:eastAsia="Times New Roman" w:hAnsi="Arial" w:cs="Arial"/>
          <w:kern w:val="0"/>
          <w:sz w:val="28"/>
          <w:szCs w:val="28"/>
          <w:lang w:eastAsia="en-GB"/>
          <w14:ligatures w14:val="none"/>
        </w:rPr>
        <w:t>.</w:t>
      </w:r>
      <w:proofErr w:type="gramEnd"/>
      <w:r w:rsidR="006C330D">
        <w:rPr>
          <w:rFonts w:ascii="Arial" w:eastAsia="Times New Roman" w:hAnsi="Arial" w:cs="Arial"/>
          <w:kern w:val="0"/>
          <w:sz w:val="28"/>
          <w:szCs w:val="28"/>
          <w:lang w:eastAsia="en-GB"/>
          <w14:ligatures w14:val="none"/>
        </w:rPr>
        <w:t>10</w:t>
      </w:r>
      <w:r w:rsidR="007E5F92" w:rsidRPr="009C28E1">
        <w:rPr>
          <w:rFonts w:ascii="Arial" w:eastAsia="Times New Roman" w:hAnsi="Arial" w:cs="Arial"/>
          <w:kern w:val="0"/>
          <w:sz w:val="28"/>
          <w:szCs w:val="28"/>
          <w:lang w:eastAsia="en-GB"/>
          <w14:ligatures w14:val="none"/>
        </w:rPr>
        <w:t xml:space="preserve"> </w:t>
      </w:r>
    </w:p>
    <w:p w14:paraId="384BC12C" w14:textId="77777777" w:rsidR="007E5F92" w:rsidRDefault="007E5F92" w:rsidP="007E5F92">
      <w:pPr>
        <w:spacing w:before="100" w:beforeAutospacing="1" w:after="100" w:afterAutospacing="1" w:line="240" w:lineRule="auto"/>
        <w:rPr>
          <w:rFonts w:ascii="Arial" w:eastAsia="Times New Roman" w:hAnsi="Arial" w:cs="Arial"/>
          <w:kern w:val="0"/>
          <w:sz w:val="28"/>
          <w:szCs w:val="28"/>
          <w:lang w:eastAsia="en-GB"/>
          <w14:ligatures w14:val="none"/>
        </w:rPr>
      </w:pPr>
    </w:p>
    <w:p w14:paraId="751F3921" w14:textId="77777777" w:rsidR="007E5F92" w:rsidRDefault="007E5F92" w:rsidP="007E5F92">
      <w:pPr>
        <w:spacing w:before="100" w:beforeAutospacing="1" w:after="100" w:afterAutospacing="1" w:line="240" w:lineRule="auto"/>
        <w:rPr>
          <w:rFonts w:ascii="Arial" w:eastAsia="Times New Roman" w:hAnsi="Arial" w:cs="Arial"/>
          <w:kern w:val="0"/>
          <w:sz w:val="28"/>
          <w:szCs w:val="28"/>
          <w:lang w:eastAsia="en-GB"/>
          <w14:ligatures w14:val="none"/>
        </w:rPr>
      </w:pPr>
    </w:p>
    <w:p w14:paraId="244BD27B" w14:textId="77777777" w:rsidR="007E5F92" w:rsidRDefault="007E5F92" w:rsidP="007E5F92">
      <w:pPr>
        <w:spacing w:before="100" w:beforeAutospacing="1" w:after="100" w:afterAutospacing="1" w:line="240" w:lineRule="auto"/>
        <w:rPr>
          <w:rFonts w:ascii="Arial" w:eastAsia="Times New Roman" w:hAnsi="Arial" w:cs="Arial"/>
          <w:kern w:val="0"/>
          <w:sz w:val="28"/>
          <w:szCs w:val="28"/>
          <w:lang w:eastAsia="en-GB"/>
          <w14:ligatures w14:val="none"/>
        </w:rPr>
      </w:pPr>
    </w:p>
    <w:p w14:paraId="3E9834B1" w14:textId="77777777" w:rsidR="007E5F92" w:rsidRDefault="007E5F92" w:rsidP="007E5F92">
      <w:pPr>
        <w:spacing w:before="100" w:beforeAutospacing="1" w:after="100" w:afterAutospacing="1" w:line="240" w:lineRule="auto"/>
        <w:rPr>
          <w:rFonts w:ascii="Arial" w:eastAsia="Times New Roman" w:hAnsi="Arial" w:cs="Arial"/>
          <w:kern w:val="0"/>
          <w:sz w:val="28"/>
          <w:szCs w:val="28"/>
          <w:lang w:eastAsia="en-GB"/>
          <w14:ligatures w14:val="none"/>
        </w:rPr>
      </w:pPr>
    </w:p>
    <w:p w14:paraId="066140B9" w14:textId="77777777" w:rsidR="00865E6F" w:rsidRDefault="00865E6F" w:rsidP="00ED143E">
      <w:pPr>
        <w:spacing w:before="100" w:beforeAutospacing="1" w:after="100" w:afterAutospacing="1" w:line="360" w:lineRule="auto"/>
        <w:rPr>
          <w:rFonts w:ascii="Arial" w:eastAsia="Times New Roman" w:hAnsi="Arial" w:cs="Arial"/>
          <w:b/>
          <w:bCs/>
          <w:kern w:val="0"/>
          <w:sz w:val="28"/>
          <w:szCs w:val="28"/>
          <w:lang w:eastAsia="en-GB"/>
          <w14:ligatures w14:val="none"/>
        </w:rPr>
      </w:pPr>
      <w:bookmarkStart w:id="0" w:name="_Hlk226217888"/>
    </w:p>
    <w:p w14:paraId="07234B21" w14:textId="77777777" w:rsidR="00865E6F" w:rsidRDefault="00865E6F" w:rsidP="00ED143E">
      <w:pPr>
        <w:spacing w:before="100" w:beforeAutospacing="1" w:after="100" w:afterAutospacing="1" w:line="360" w:lineRule="auto"/>
        <w:rPr>
          <w:rFonts w:ascii="Arial" w:eastAsia="Times New Roman" w:hAnsi="Arial" w:cs="Arial"/>
          <w:b/>
          <w:bCs/>
          <w:kern w:val="0"/>
          <w:sz w:val="28"/>
          <w:szCs w:val="28"/>
          <w:lang w:eastAsia="en-GB"/>
          <w14:ligatures w14:val="none"/>
        </w:rPr>
      </w:pPr>
    </w:p>
    <w:p w14:paraId="2E50ECF0" w14:textId="77777777" w:rsidR="00865E6F" w:rsidRDefault="00865E6F" w:rsidP="00ED143E">
      <w:pPr>
        <w:spacing w:before="100" w:beforeAutospacing="1" w:after="100" w:afterAutospacing="1" w:line="360" w:lineRule="auto"/>
        <w:rPr>
          <w:rFonts w:ascii="Arial" w:eastAsia="Times New Roman" w:hAnsi="Arial" w:cs="Arial"/>
          <w:b/>
          <w:bCs/>
          <w:kern w:val="0"/>
          <w:sz w:val="28"/>
          <w:szCs w:val="28"/>
          <w:lang w:eastAsia="en-GB"/>
          <w14:ligatures w14:val="none"/>
        </w:rPr>
      </w:pPr>
    </w:p>
    <w:p w14:paraId="3FEF17AD" w14:textId="77777777" w:rsidR="00865E6F" w:rsidRDefault="00865E6F" w:rsidP="00ED143E">
      <w:pPr>
        <w:spacing w:before="100" w:beforeAutospacing="1" w:after="100" w:afterAutospacing="1" w:line="360" w:lineRule="auto"/>
        <w:rPr>
          <w:rFonts w:ascii="Arial" w:eastAsia="Times New Roman" w:hAnsi="Arial" w:cs="Arial"/>
          <w:b/>
          <w:bCs/>
          <w:kern w:val="0"/>
          <w:sz w:val="28"/>
          <w:szCs w:val="28"/>
          <w:lang w:eastAsia="en-GB"/>
          <w14:ligatures w14:val="none"/>
        </w:rPr>
      </w:pPr>
    </w:p>
    <w:p w14:paraId="366DAA5E" w14:textId="7B81DC58" w:rsidR="007E5F92" w:rsidRPr="00ED143E" w:rsidRDefault="00ED143E" w:rsidP="00ED143E">
      <w:pPr>
        <w:spacing w:before="100" w:beforeAutospacing="1" w:after="100" w:afterAutospacing="1" w:line="360" w:lineRule="auto"/>
        <w:rPr>
          <w:rFonts w:ascii="Arial" w:eastAsia="Times New Roman" w:hAnsi="Arial" w:cs="Arial"/>
          <w:b/>
          <w:bCs/>
          <w:kern w:val="0"/>
          <w:sz w:val="28"/>
          <w:szCs w:val="28"/>
          <w:lang w:eastAsia="en-GB"/>
          <w14:ligatures w14:val="none"/>
        </w:rPr>
      </w:pPr>
      <w:r>
        <w:rPr>
          <w:rFonts w:ascii="Arial" w:eastAsia="Times New Roman" w:hAnsi="Arial" w:cs="Arial"/>
          <w:b/>
          <w:bCs/>
          <w:kern w:val="0"/>
          <w:sz w:val="28"/>
          <w:szCs w:val="28"/>
          <w:lang w:eastAsia="en-GB"/>
          <w14:ligatures w14:val="none"/>
        </w:rPr>
        <w:t>1.</w:t>
      </w:r>
      <w:r w:rsidR="007E5F92" w:rsidRPr="00ED143E">
        <w:rPr>
          <w:rFonts w:ascii="Arial" w:eastAsia="Times New Roman" w:hAnsi="Arial" w:cs="Arial"/>
          <w:b/>
          <w:bCs/>
          <w:kern w:val="0"/>
          <w:sz w:val="28"/>
          <w:szCs w:val="28"/>
          <w:lang w:eastAsia="en-GB"/>
          <w14:ligatures w14:val="none"/>
        </w:rPr>
        <w:t xml:space="preserve">Introduction </w:t>
      </w:r>
    </w:p>
    <w:bookmarkEnd w:id="0"/>
    <w:p w14:paraId="282D99F0"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The John Lewis Partnership (JLP), a leading UK employee-owned retailer operating John Lewis and Waitrose stores, faces significant HR challenges in a competitive retail landscape marked by digital disruption, talent shortages, and evolving workforce expectations. As an HR practitioner, this report examines three critical factors: meeting technological advancement, talent acquisition and retention, and diversity, equity and inclusion (DEI). Drawing on JLP’s recent Belonging at JLP Reports (2024 and 2025), Ethics &amp; Sustainability Report (2024/25), and Annual Report (2025), alongside contemporary scholarly sources, it evaluates HR practices and managerial implementation strategies. The analysis underscores JLP’s unique Partnership model as both an asset and a context for urgent action to sustain competitive advantage (John Lewis Partnership, 2025a; Nastase, 2025).</w:t>
      </w:r>
    </w:p>
    <w:p w14:paraId="78775218" w14:textId="52EABB20" w:rsidR="007E5F92" w:rsidRPr="00ED143E" w:rsidRDefault="00ED143E" w:rsidP="00ED143E">
      <w:pPr>
        <w:spacing w:before="100" w:beforeAutospacing="1" w:after="100" w:afterAutospacing="1" w:line="360" w:lineRule="auto"/>
        <w:rPr>
          <w:rFonts w:ascii="Arial" w:eastAsia="Times New Roman" w:hAnsi="Arial" w:cs="Arial"/>
          <w:kern w:val="0"/>
          <w:sz w:val="28"/>
          <w:szCs w:val="28"/>
          <w:lang w:eastAsia="en-GB"/>
          <w14:ligatures w14:val="none"/>
        </w:rPr>
      </w:pPr>
      <w:bookmarkStart w:id="1" w:name="_Hlk226217969"/>
      <w:r>
        <w:rPr>
          <w:rFonts w:ascii="Arial" w:eastAsia="Times New Roman" w:hAnsi="Arial" w:cs="Arial"/>
          <w:b/>
          <w:bCs/>
          <w:kern w:val="0"/>
          <w:sz w:val="28"/>
          <w:szCs w:val="28"/>
          <w:lang w:eastAsia="en-GB"/>
          <w14:ligatures w14:val="none"/>
        </w:rPr>
        <w:t>2.</w:t>
      </w:r>
      <w:r w:rsidR="007E5F92" w:rsidRPr="00ED143E">
        <w:rPr>
          <w:rFonts w:ascii="Arial" w:eastAsia="Times New Roman" w:hAnsi="Arial" w:cs="Arial"/>
          <w:b/>
          <w:bCs/>
          <w:kern w:val="0"/>
          <w:sz w:val="28"/>
          <w:szCs w:val="28"/>
          <w:lang w:eastAsia="en-GB"/>
          <w14:ligatures w14:val="none"/>
        </w:rPr>
        <w:t xml:space="preserve">Explanation of Specific Factors </w:t>
      </w:r>
    </w:p>
    <w:bookmarkEnd w:id="1"/>
    <w:p w14:paraId="7E2CFF30" w14:textId="77777777" w:rsidR="00ED143E" w:rsidRPr="00ED143E" w:rsidRDefault="007E5F92" w:rsidP="00ED143E">
      <w:pPr>
        <w:pStyle w:val="ListParagraph"/>
        <w:numPr>
          <w:ilvl w:val="0"/>
          <w:numId w:val="12"/>
        </w:numPr>
        <w:spacing w:before="100" w:beforeAutospacing="1" w:after="100" w:afterAutospacing="1" w:line="360" w:lineRule="auto"/>
        <w:rPr>
          <w:rFonts w:ascii="Arial" w:eastAsia="Times New Roman" w:hAnsi="Arial" w:cs="Arial"/>
          <w:kern w:val="0"/>
          <w:lang w:eastAsia="en-GB"/>
          <w14:ligatures w14:val="none"/>
        </w:rPr>
      </w:pPr>
      <w:r w:rsidRPr="00ED143E">
        <w:rPr>
          <w:rFonts w:ascii="Arial" w:eastAsia="Times New Roman" w:hAnsi="Arial" w:cs="Arial"/>
          <w:b/>
          <w:bCs/>
          <w:kern w:val="0"/>
          <w:lang w:eastAsia="en-GB"/>
          <w14:ligatures w14:val="none"/>
        </w:rPr>
        <w:t>Meeting Technological Advancement</w:t>
      </w:r>
      <w:r w:rsidRPr="00ED143E">
        <w:rPr>
          <w:rFonts w:ascii="Arial" w:eastAsia="Times New Roman" w:hAnsi="Arial" w:cs="Arial"/>
          <w:kern w:val="0"/>
          <w:lang w:eastAsia="en-GB"/>
          <w14:ligatures w14:val="none"/>
        </w:rPr>
        <w:t xml:space="preserve"> </w:t>
      </w:r>
    </w:p>
    <w:p w14:paraId="14954E9E" w14:textId="1219ADCB"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JLP operates in a retail sector transformed by e-commerce, AI, and data analytics, where legacy IT systems and shifting customer behaviours demand rapid digital adaptation. The Partnership’s 2023 £100m Google Cloud agreement exemplifies this shift, migrating technology to leverage AI and machine learning for personalised customer experiences, operational efficiency, and data-driven decision-making. By 2025, investments in omnichannel tools—such as digital headsets, mobile payments, and ‘deliver from store’ fulfilment—aim to enhance service while addressing a complex legacy IT estate (John Lewis Partnership, 2025b).</w:t>
      </w:r>
    </w:p>
    <w:p w14:paraId="3EF5CC74"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However, technological advancement creates specific HR pressures. Automation and AI risk displacing roles, as evidenced by 2024 restructuring involving redundancies and up to 11,000 potential job reductions to fund efficiency and tech upgrades (BBC, 2024). Partners require new digital skills, yet retail’s traditionally low digital literacy exacerbates skills gaps. JLP’s cyber security strategy and people analytics tools (e.g., </w:t>
      </w:r>
      <w:proofErr w:type="spellStart"/>
      <w:r w:rsidRPr="009C28E1">
        <w:rPr>
          <w:rFonts w:ascii="Arial" w:eastAsia="Times New Roman" w:hAnsi="Arial" w:cs="Arial"/>
          <w:kern w:val="0"/>
          <w:lang w:eastAsia="en-GB"/>
          <w14:ligatures w14:val="none"/>
        </w:rPr>
        <w:t>Calabrio</w:t>
      </w:r>
      <w:proofErr w:type="spellEnd"/>
      <w:r w:rsidRPr="009C28E1">
        <w:rPr>
          <w:rFonts w:ascii="Arial" w:eastAsia="Times New Roman" w:hAnsi="Arial" w:cs="Arial"/>
          <w:kern w:val="0"/>
          <w:lang w:eastAsia="en-GB"/>
          <w14:ligatures w14:val="none"/>
        </w:rPr>
        <w:t xml:space="preserve"> Workforce Management) demand upskilling, while AI-driven recruitment and performance monitoring raise ethical concerns around bias and surveillance (Nastase, 2025). Failure to adapt risks </w:t>
      </w:r>
      <w:r w:rsidRPr="009C28E1">
        <w:rPr>
          <w:rFonts w:ascii="Arial" w:eastAsia="Times New Roman" w:hAnsi="Arial" w:cs="Arial"/>
          <w:kern w:val="0"/>
          <w:lang w:eastAsia="en-GB"/>
          <w14:ligatures w14:val="none"/>
        </w:rPr>
        <w:lastRenderedPageBreak/>
        <w:t>lost market share to agile competitors and reduced Partner productivity, directly impacting the employee-owned model’s emphasis on worthwhile work (John Lewis Partnership, 2024a).</w:t>
      </w:r>
    </w:p>
    <w:p w14:paraId="69CE9832" w14:textId="77777777" w:rsidR="00ED143E" w:rsidRPr="00ED143E" w:rsidRDefault="007E5F92" w:rsidP="00ED143E">
      <w:pPr>
        <w:pStyle w:val="ListParagraph"/>
        <w:numPr>
          <w:ilvl w:val="0"/>
          <w:numId w:val="13"/>
        </w:numPr>
        <w:spacing w:before="100" w:beforeAutospacing="1" w:after="100" w:afterAutospacing="1" w:line="360" w:lineRule="auto"/>
        <w:rPr>
          <w:rFonts w:ascii="Arial" w:eastAsia="Times New Roman" w:hAnsi="Arial" w:cs="Arial"/>
          <w:kern w:val="0"/>
          <w:lang w:eastAsia="en-GB"/>
          <w14:ligatures w14:val="none"/>
        </w:rPr>
      </w:pPr>
      <w:r w:rsidRPr="00ED143E">
        <w:rPr>
          <w:rFonts w:ascii="Arial" w:eastAsia="Times New Roman" w:hAnsi="Arial" w:cs="Arial"/>
          <w:b/>
          <w:bCs/>
          <w:kern w:val="0"/>
          <w:lang w:eastAsia="en-GB"/>
          <w14:ligatures w14:val="none"/>
        </w:rPr>
        <w:t>Talent Acquisition and Retention</w:t>
      </w:r>
      <w:r w:rsidRPr="00ED143E">
        <w:rPr>
          <w:rFonts w:ascii="Arial" w:eastAsia="Times New Roman" w:hAnsi="Arial" w:cs="Arial"/>
          <w:kern w:val="0"/>
          <w:lang w:eastAsia="en-GB"/>
          <w14:ligatures w14:val="none"/>
        </w:rPr>
        <w:t xml:space="preserve"> </w:t>
      </w:r>
    </w:p>
    <w:p w14:paraId="76B15BCC" w14:textId="2BEE235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Retail faces acute talent challenges, with high turnover (often exceeding 30-40% annually in the sector) driven by low pay, demanding hours, and post-pandemic shifts toward work-life balance (Murphy, 2024). For JLP, the Partnership model—where 69,000 Partners are co-owners sharing profits and decision-making—historically aids retention through long-leave schemes, wellbeing support, and democratic structures (John Lewis Partnership, 2025b). Yet, no Partnership Bonus was paid in 2023/24 or 2024/25 amid financial pressures, prompting £114m base-pay investments in 2025 to rebuild loyalty (John Lewis Partnership, 2025b).</w:t>
      </w:r>
    </w:p>
    <w:p w14:paraId="0D1BA343" w14:textId="4E533755"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Acquisition is complicated by competition for digitally skilled talent and demographic shifts (e.g., ageing workforce). JLP’s Talent Acquisition team introduced visible interview questions in 2024 for neurodiverse accessibility and partnered with platforms like 55/Redefined for over-50s talent (John Lewis Partnership, 2025a). </w:t>
      </w:r>
      <w:r w:rsidR="00ED143E" w:rsidRPr="009C28E1">
        <w:rPr>
          <w:rFonts w:ascii="Arial" w:eastAsia="Times New Roman" w:hAnsi="Arial" w:cs="Arial"/>
          <w:kern w:val="0"/>
          <w:lang w:eastAsia="en-GB"/>
          <w14:ligatures w14:val="none"/>
        </w:rPr>
        <w:t>restructurings</w:t>
      </w:r>
      <w:r w:rsidRPr="009C28E1">
        <w:rPr>
          <w:rFonts w:ascii="Arial" w:eastAsia="Times New Roman" w:hAnsi="Arial" w:cs="Arial"/>
          <w:kern w:val="0"/>
          <w:lang w:eastAsia="en-GB"/>
          <w14:ligatures w14:val="none"/>
        </w:rPr>
        <w:t xml:space="preserve"> from restructuring; Partners report uncertainty despite elevated engagement among those involved in inclusion initiatives (up 0.2 points) (John Lewis Partnership, 2025a). Scholarly evidence links retention to job satisfaction, training, and perceived organisational support—factors strained by transformation (</w:t>
      </w:r>
      <w:proofErr w:type="spellStart"/>
      <w:r w:rsidRPr="009C28E1">
        <w:rPr>
          <w:rFonts w:ascii="Arial" w:eastAsia="Times New Roman" w:hAnsi="Arial" w:cs="Arial"/>
          <w:kern w:val="0"/>
          <w:lang w:eastAsia="en-GB"/>
          <w14:ligatures w14:val="none"/>
        </w:rPr>
        <w:t>Xuecheng</w:t>
      </w:r>
      <w:proofErr w:type="spellEnd"/>
      <w:r w:rsidRPr="009C28E1">
        <w:rPr>
          <w:rFonts w:ascii="Arial" w:eastAsia="Times New Roman" w:hAnsi="Arial" w:cs="Arial"/>
          <w:kern w:val="0"/>
          <w:lang w:eastAsia="en-GB"/>
          <w14:ligatures w14:val="none"/>
        </w:rPr>
        <w:t xml:space="preserve"> et al., 2022; Presbitero, 2025).</w:t>
      </w:r>
    </w:p>
    <w:p w14:paraId="76566803" w14:textId="77777777" w:rsidR="00ED143E" w:rsidRPr="00ED143E" w:rsidRDefault="007E5F92" w:rsidP="00ED143E">
      <w:pPr>
        <w:pStyle w:val="ListParagraph"/>
        <w:numPr>
          <w:ilvl w:val="0"/>
          <w:numId w:val="14"/>
        </w:numPr>
        <w:spacing w:before="100" w:beforeAutospacing="1" w:after="100" w:afterAutospacing="1" w:line="360" w:lineRule="auto"/>
        <w:rPr>
          <w:rFonts w:ascii="Arial" w:eastAsia="Times New Roman" w:hAnsi="Arial" w:cs="Arial"/>
          <w:kern w:val="0"/>
          <w:lang w:eastAsia="en-GB"/>
          <w14:ligatures w14:val="none"/>
        </w:rPr>
      </w:pPr>
      <w:r w:rsidRPr="00ED143E">
        <w:rPr>
          <w:rFonts w:ascii="Arial" w:eastAsia="Times New Roman" w:hAnsi="Arial" w:cs="Arial"/>
          <w:b/>
          <w:bCs/>
          <w:kern w:val="0"/>
          <w:lang w:eastAsia="en-GB"/>
          <w14:ligatures w14:val="none"/>
        </w:rPr>
        <w:t>Diversity, Equity and Inclusion (DEI)</w:t>
      </w:r>
      <w:r w:rsidRPr="00ED143E">
        <w:rPr>
          <w:rFonts w:ascii="Arial" w:eastAsia="Times New Roman" w:hAnsi="Arial" w:cs="Arial"/>
          <w:kern w:val="0"/>
          <w:lang w:eastAsia="en-GB"/>
          <w14:ligatures w14:val="none"/>
        </w:rPr>
        <w:t xml:space="preserve"> </w:t>
      </w:r>
    </w:p>
    <w:p w14:paraId="78530872" w14:textId="549F178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UK retail must reflect diverse customers and comply with the Equality Act 2010, yet under-representation persists in leadership. JLP’s ambition to become the UK’s most inclusive employer is explicit, with Inclusion and Belonging as a scorecard metric (John Lewis Partnership, 2025a). Progress includes topping FTSE Women Leaders rankings (62.3% women in leadership) and reducing the gender pay gap to 4.4% median (2024 data) (John Lewis Partnership, 2024b). Ethnicity disclosure reached 75%, with 13.2% ethnic minority Partners, though pay gaps and senior representation lag</w:t>
      </w:r>
      <w:r w:rsidR="008874AD">
        <w:rPr>
          <w:rFonts w:ascii="Arial" w:eastAsia="Times New Roman" w:hAnsi="Arial" w:cs="Arial"/>
          <w:kern w:val="0"/>
          <w:lang w:eastAsia="en-GB"/>
          <w14:ligatures w14:val="none"/>
        </w:rPr>
        <w:t>.</w:t>
      </w:r>
    </w:p>
    <w:p w14:paraId="2477E5B7"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DEI factors encompass intersectional needs: JLP expanded data fields for carers, care-experienced, and dependent children, launched networks (e.g., Ability, UNITY, Carers), and piloted Elevate and Career Confidence programmes for ethnically diverse talent (John Lewis Partnership, 2025a). Age-inclusive accreditation with 55/Redefined and neurodiversity </w:t>
      </w:r>
      <w:r w:rsidRPr="009C28E1">
        <w:rPr>
          <w:rFonts w:ascii="Arial" w:eastAsia="Times New Roman" w:hAnsi="Arial" w:cs="Arial"/>
          <w:kern w:val="0"/>
          <w:lang w:eastAsia="en-GB"/>
          <w14:ligatures w14:val="none"/>
        </w:rPr>
        <w:lastRenderedPageBreak/>
        <w:t>measures addresses multi-generational and accessibility barriers. However, challenges remain—ethnically diverse Partners score lower on inclusiveness, and external DEI backlash risks eroding progress (John Lewis Partnership, 2025a; Presbitero, 2025). DEI drives innovation, customer relevance, and retention in employee-owned structures but requires data-led, culturally competent leadership to avoid tokenism (Nastase, 2025).</w:t>
      </w:r>
    </w:p>
    <w:p w14:paraId="26B47154"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These factors interconnect technology enables DEI through bias-reduced tools, while inclusive cultures aid talent retention amid digital change.</w:t>
      </w:r>
    </w:p>
    <w:p w14:paraId="736C60CE" w14:textId="439A724A" w:rsidR="007E5F92" w:rsidRPr="00ED143E" w:rsidRDefault="00ED143E" w:rsidP="00ED143E">
      <w:pPr>
        <w:spacing w:before="100" w:beforeAutospacing="1" w:after="100" w:afterAutospacing="1" w:line="360" w:lineRule="auto"/>
        <w:rPr>
          <w:rFonts w:ascii="Arial" w:eastAsia="Times New Roman" w:hAnsi="Arial" w:cs="Arial"/>
          <w:kern w:val="0"/>
          <w:sz w:val="28"/>
          <w:szCs w:val="28"/>
          <w:lang w:eastAsia="en-GB"/>
          <w14:ligatures w14:val="none"/>
        </w:rPr>
      </w:pPr>
      <w:bookmarkStart w:id="2" w:name="_Hlk226218032"/>
      <w:r>
        <w:rPr>
          <w:rFonts w:ascii="Arial" w:eastAsia="Times New Roman" w:hAnsi="Arial" w:cs="Arial"/>
          <w:b/>
          <w:bCs/>
          <w:kern w:val="0"/>
          <w:sz w:val="28"/>
          <w:szCs w:val="28"/>
          <w:lang w:eastAsia="en-GB"/>
          <w14:ligatures w14:val="none"/>
        </w:rPr>
        <w:t>3.</w:t>
      </w:r>
      <w:r w:rsidR="007E5F92" w:rsidRPr="00ED143E">
        <w:rPr>
          <w:rFonts w:ascii="Arial" w:eastAsia="Times New Roman" w:hAnsi="Arial" w:cs="Arial"/>
          <w:b/>
          <w:bCs/>
          <w:kern w:val="0"/>
          <w:sz w:val="28"/>
          <w:szCs w:val="28"/>
          <w:lang w:eastAsia="en-GB"/>
          <w14:ligatures w14:val="none"/>
        </w:rPr>
        <w:t xml:space="preserve">Evaluation of Different Contemporary HR Practices </w:t>
      </w:r>
    </w:p>
    <w:bookmarkEnd w:id="2"/>
    <w:p w14:paraId="35B20826" w14:textId="77777777" w:rsidR="00ED143E" w:rsidRPr="004277A3" w:rsidRDefault="007E5F92" w:rsidP="004277A3">
      <w:pPr>
        <w:pStyle w:val="ListParagraph"/>
        <w:numPr>
          <w:ilvl w:val="0"/>
          <w:numId w:val="17"/>
        </w:numPr>
        <w:spacing w:before="100" w:beforeAutospacing="1" w:after="100" w:afterAutospacing="1" w:line="360" w:lineRule="auto"/>
        <w:rPr>
          <w:rFonts w:ascii="Arial" w:eastAsia="Times New Roman" w:hAnsi="Arial" w:cs="Arial"/>
          <w:kern w:val="0"/>
          <w:lang w:eastAsia="en-GB"/>
          <w14:ligatures w14:val="none"/>
        </w:rPr>
      </w:pPr>
      <w:r w:rsidRPr="004277A3">
        <w:rPr>
          <w:rFonts w:ascii="Arial" w:eastAsia="Times New Roman" w:hAnsi="Arial" w:cs="Arial"/>
          <w:b/>
          <w:bCs/>
          <w:kern w:val="0"/>
          <w:lang w:eastAsia="en-GB"/>
          <w14:ligatures w14:val="none"/>
        </w:rPr>
        <w:t>Technological Advancement</w:t>
      </w:r>
      <w:r w:rsidRPr="004277A3">
        <w:rPr>
          <w:rFonts w:ascii="Arial" w:eastAsia="Times New Roman" w:hAnsi="Arial" w:cs="Arial"/>
          <w:kern w:val="0"/>
          <w:lang w:eastAsia="en-GB"/>
          <w14:ligatures w14:val="none"/>
        </w:rPr>
        <w:t xml:space="preserve"> </w:t>
      </w:r>
    </w:p>
    <w:p w14:paraId="1FCAAF02" w14:textId="697E849A"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Contemporary practices include AI-powered applicant tracking systems (ATS), people analytics, and virtual reality (VR) training. JLP utilises Google Cloud AI for personalised customer insights and </w:t>
      </w:r>
      <w:proofErr w:type="spellStart"/>
      <w:r w:rsidRPr="009C28E1">
        <w:rPr>
          <w:rFonts w:ascii="Arial" w:eastAsia="Times New Roman" w:hAnsi="Arial" w:cs="Arial"/>
          <w:kern w:val="0"/>
          <w:lang w:eastAsia="en-GB"/>
          <w14:ligatures w14:val="none"/>
        </w:rPr>
        <w:t>Calabrio</w:t>
      </w:r>
      <w:proofErr w:type="spellEnd"/>
      <w:r w:rsidRPr="009C28E1">
        <w:rPr>
          <w:rFonts w:ascii="Arial" w:eastAsia="Times New Roman" w:hAnsi="Arial" w:cs="Arial"/>
          <w:kern w:val="0"/>
          <w:lang w:eastAsia="en-GB"/>
          <w14:ligatures w14:val="none"/>
        </w:rPr>
        <w:t xml:space="preserve"> for workforce scheduling, improving efficiency and Partner focus on service (John Lewis Partnership, 2025b). Scholarly evaluation shows these reduce recruitment time by 50% and enhance decision-making, yet risk algorithmic bias if not audited (Nastase, 2025). Upskilling via apprenticeships (e.g., JLP’s Cambridge Spark AI/data programme) aligns with Industry 4.0 talent management, fostering continuous learning and reducing attrition (Emerald, 2024). Limitations include high implementation costs and Partner resistance to surveillance; JLP mitigates this through transparent cyber training and wellbeing integration (John Lewis Partnership, 2025b). Overall, these practices yield productivity gains (e.g., £255m recurring savings) but demand ethical governance.</w:t>
      </w:r>
    </w:p>
    <w:p w14:paraId="417A2D31" w14:textId="77777777" w:rsidR="004277A3" w:rsidRPr="004277A3" w:rsidRDefault="007E5F92" w:rsidP="004277A3">
      <w:pPr>
        <w:pStyle w:val="ListParagraph"/>
        <w:numPr>
          <w:ilvl w:val="0"/>
          <w:numId w:val="16"/>
        </w:numPr>
        <w:spacing w:before="100" w:beforeAutospacing="1" w:after="100" w:afterAutospacing="1" w:line="360" w:lineRule="auto"/>
        <w:rPr>
          <w:rFonts w:ascii="Arial" w:eastAsia="Times New Roman" w:hAnsi="Arial" w:cs="Arial"/>
          <w:kern w:val="0"/>
          <w:lang w:eastAsia="en-GB"/>
          <w14:ligatures w14:val="none"/>
        </w:rPr>
      </w:pPr>
      <w:r w:rsidRPr="004277A3">
        <w:rPr>
          <w:rFonts w:ascii="Arial" w:eastAsia="Times New Roman" w:hAnsi="Arial" w:cs="Arial"/>
          <w:b/>
          <w:bCs/>
          <w:kern w:val="0"/>
          <w:lang w:eastAsia="en-GB"/>
          <w14:ligatures w14:val="none"/>
        </w:rPr>
        <w:t>Talent Acquisition and Retention</w:t>
      </w:r>
      <w:r w:rsidRPr="004277A3">
        <w:rPr>
          <w:rFonts w:ascii="Arial" w:eastAsia="Times New Roman" w:hAnsi="Arial" w:cs="Arial"/>
          <w:kern w:val="0"/>
          <w:lang w:eastAsia="en-GB"/>
          <w14:ligatures w14:val="none"/>
        </w:rPr>
        <w:t xml:space="preserve"> </w:t>
      </w:r>
    </w:p>
    <w:p w14:paraId="3DA8900E" w14:textId="732A8696"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Practices encompass employer branding via employee ownership, total rewards (pay + non-financial benefits), and career pathways. JLP’s 90-day onboarding and Long Leave scheme after 25 years strengthen belonging, while £114m pay investments and refreshed Partner Choice benefits address retention post-restructuring (John Lewis Partnership, 2025b; Murphy, 2024). Flexible working and wellbeing champions, benchmarked against UK norms, boost satisfaction (</w:t>
      </w:r>
      <w:proofErr w:type="spellStart"/>
      <w:r w:rsidRPr="009C28E1">
        <w:rPr>
          <w:rFonts w:ascii="Arial" w:eastAsia="Times New Roman" w:hAnsi="Arial" w:cs="Arial"/>
          <w:kern w:val="0"/>
          <w:lang w:eastAsia="en-GB"/>
          <w14:ligatures w14:val="none"/>
        </w:rPr>
        <w:t>Xuecheng</w:t>
      </w:r>
      <w:proofErr w:type="spellEnd"/>
      <w:r w:rsidRPr="009C28E1">
        <w:rPr>
          <w:rFonts w:ascii="Arial" w:eastAsia="Times New Roman" w:hAnsi="Arial" w:cs="Arial"/>
          <w:kern w:val="0"/>
          <w:lang w:eastAsia="en-GB"/>
          <w14:ligatures w14:val="none"/>
        </w:rPr>
        <w:t xml:space="preserve"> et al., 2022). Acquisition leverages inclusive tools and external partnerships (e.g., UK Black Business Show), widening talent pools (John Lewis Partnership, 2025a). Evidence indicates these reduce turnover by enhancing perceived organisational support; however, bonus suspension temporarily undermined trust (Presbitero, 2025). Compared to traditional retail, JLP’s model outperforms on loyalty but requires reskilling integration to counter digital displacement.</w:t>
      </w:r>
    </w:p>
    <w:p w14:paraId="26BFEA5A" w14:textId="77777777" w:rsidR="004277A3" w:rsidRDefault="007E5F92" w:rsidP="004277A3">
      <w:pPr>
        <w:pStyle w:val="ListParagraph"/>
        <w:numPr>
          <w:ilvl w:val="0"/>
          <w:numId w:val="18"/>
        </w:numPr>
        <w:spacing w:before="100" w:beforeAutospacing="1" w:after="100" w:afterAutospacing="1" w:line="360" w:lineRule="auto"/>
        <w:rPr>
          <w:rFonts w:ascii="Arial" w:eastAsia="Times New Roman" w:hAnsi="Arial" w:cs="Arial"/>
          <w:kern w:val="0"/>
          <w:lang w:eastAsia="en-GB"/>
          <w14:ligatures w14:val="none"/>
        </w:rPr>
      </w:pPr>
      <w:r w:rsidRPr="004277A3">
        <w:rPr>
          <w:rFonts w:ascii="Arial" w:eastAsia="Times New Roman" w:hAnsi="Arial" w:cs="Arial"/>
          <w:b/>
          <w:bCs/>
          <w:kern w:val="0"/>
          <w:lang w:eastAsia="en-GB"/>
          <w14:ligatures w14:val="none"/>
        </w:rPr>
        <w:lastRenderedPageBreak/>
        <w:t>Diversity, Equity and Inclusion (DEI)</w:t>
      </w:r>
      <w:r w:rsidRPr="004277A3">
        <w:rPr>
          <w:rFonts w:ascii="Arial" w:eastAsia="Times New Roman" w:hAnsi="Arial" w:cs="Arial"/>
          <w:kern w:val="0"/>
          <w:lang w:eastAsia="en-GB"/>
          <w14:ligatures w14:val="none"/>
        </w:rPr>
        <w:t xml:space="preserve"> </w:t>
      </w:r>
    </w:p>
    <w:p w14:paraId="06AB48FF" w14:textId="6C702ECA" w:rsidR="007E5F92" w:rsidRPr="004277A3" w:rsidRDefault="007E5F92" w:rsidP="004277A3">
      <w:pPr>
        <w:spacing w:before="100" w:beforeAutospacing="1" w:after="100" w:afterAutospacing="1" w:line="360" w:lineRule="auto"/>
        <w:rPr>
          <w:rFonts w:ascii="Arial" w:eastAsia="Times New Roman" w:hAnsi="Arial" w:cs="Arial"/>
          <w:kern w:val="0"/>
          <w:lang w:eastAsia="en-GB"/>
          <w14:ligatures w14:val="none"/>
        </w:rPr>
      </w:pPr>
      <w:r w:rsidRPr="004277A3">
        <w:rPr>
          <w:rFonts w:ascii="Arial" w:eastAsia="Times New Roman" w:hAnsi="Arial" w:cs="Arial"/>
          <w:kern w:val="0"/>
          <w:lang w:eastAsia="en-GB"/>
          <w14:ligatures w14:val="none"/>
        </w:rPr>
        <w:t>Practices include employee resource groups (ERGs/networks), unconscious bias training, and inclusive recruitment. JLP’s 12 networks (e.g., Pride, UNITY, Ability) and allyship e-learning (90% effectiveness rating) build cultural competence, while visible interview questions and inclusive language tools reduce bias (John Lewis Partnership, 2025a). The Elevate programme targets ethnically diverse leadership progression, directly addressing Parker Review commitments (John Lewis Partnership, 2025a). Gender pays gap closure via promotions and minimum pay rises demonstrates impact (John Lewis Partnership, 2024b). Scholarly support highlights “double CQ” (employee + supervisor cultural intelligence) for engagement in multicultural teams (Presbitero, 2025). Criticisms include measurement challenges and potential backlash; JLP counters with data campaigns (75% ethnicity disclosure) and policy updates (e.g., fertility, carer’s leave) (John Lewis Partnership, 2025a). These outperform generic DEI by embedding Partnership democracy but need sustained leadership accountability for equity.</w:t>
      </w:r>
    </w:p>
    <w:p w14:paraId="741C254B"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Collectively, practices are synergistic: tech-enabled analytics support DEI metrics and retention forecasting. JLP’s implementation shows strong alignment with its model, delivering commercial benefits (e.g., higher customer satisfaction), though scalability amid restructuring poses risks (Nastase, 2025).</w:t>
      </w:r>
    </w:p>
    <w:p w14:paraId="76CF9319" w14:textId="209DC10A" w:rsidR="007E5F92" w:rsidRPr="004277A3" w:rsidRDefault="004277A3" w:rsidP="004277A3">
      <w:pPr>
        <w:spacing w:before="100" w:beforeAutospacing="1" w:after="100" w:afterAutospacing="1" w:line="360" w:lineRule="auto"/>
        <w:rPr>
          <w:rFonts w:ascii="Arial" w:eastAsia="Times New Roman" w:hAnsi="Arial" w:cs="Arial"/>
          <w:b/>
          <w:bCs/>
          <w:kern w:val="0"/>
          <w:sz w:val="28"/>
          <w:szCs w:val="28"/>
          <w:lang w:eastAsia="en-GB"/>
          <w14:ligatures w14:val="none"/>
        </w:rPr>
      </w:pPr>
      <w:bookmarkStart w:id="3" w:name="_Hlk226218117"/>
      <w:r>
        <w:rPr>
          <w:rFonts w:ascii="Arial" w:eastAsia="Times New Roman" w:hAnsi="Arial" w:cs="Arial"/>
          <w:b/>
          <w:bCs/>
          <w:kern w:val="0"/>
          <w:sz w:val="28"/>
          <w:szCs w:val="28"/>
          <w:lang w:eastAsia="en-GB"/>
          <w14:ligatures w14:val="none"/>
        </w:rPr>
        <w:t>4.</w:t>
      </w:r>
      <w:r w:rsidR="007E5F92" w:rsidRPr="004277A3">
        <w:rPr>
          <w:rFonts w:ascii="Arial" w:eastAsia="Times New Roman" w:hAnsi="Arial" w:cs="Arial"/>
          <w:b/>
          <w:bCs/>
          <w:kern w:val="0"/>
          <w:sz w:val="28"/>
          <w:szCs w:val="28"/>
          <w:lang w:eastAsia="en-GB"/>
          <w14:ligatures w14:val="none"/>
        </w:rPr>
        <w:t xml:space="preserve">Critical Evaluation of How Departmental Managers Can Ensure Implementation as a Matter of Urgency </w:t>
      </w:r>
      <w:bookmarkEnd w:id="3"/>
    </w:p>
    <w:p w14:paraId="144B12CE"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Departmental managers are pivotal in translating HR strategy into practice, particularly under urgency driven by retail competition, financial recovery, and legislative pressures (e.g., Worker Protection Act 2023). Critical success hinges on leadership behaviours, accountability mechanisms, and change management, yet faces barriers like resource constraints and cultural resistance.</w:t>
      </w:r>
    </w:p>
    <w:p w14:paraId="1F1D31E5"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First, managers must model behaviours through visible commitment. JLP’s Inclusion Conference, people-manager toolkit, and culturally competent leadership pillar empower departmental leaders to champion employee networks, allyship, and the new Elevate programme (piloted in 2025 to boost ethnically diverse representation in leadership levels 1-4) (John Lewis Partnership, 2025a). Urgent rollout requires mandatory training on cultural intelligence and integration into performance reviews, with linkage to the Inclusion and Belonging scorecard metric. Evidence shows that manager cultural intelligence (CQ) directly </w:t>
      </w:r>
      <w:r w:rsidRPr="009C28E1">
        <w:rPr>
          <w:rFonts w:ascii="Arial" w:eastAsia="Times New Roman" w:hAnsi="Arial" w:cs="Arial"/>
          <w:kern w:val="0"/>
          <w:lang w:eastAsia="en-GB"/>
          <w14:ligatures w14:val="none"/>
        </w:rPr>
        <w:lastRenderedPageBreak/>
        <w:t>boosts retention and engagement in multicultural teams (Presbitero, 2025). However, without strong top-down reinforcement—such as explicit scorecard linkage and support from the Partnership Council—implementation often falters. Critically, JLP’s 2025 diagnostic insights and belonging surveys must inform targeted interventions: otherwise, progress on neurodiversity recruitment (via visible interview questions introduced in 2024) and intersectional support risks remaining inconsistent across departments (John Lewis Partnership, 2025a).</w:t>
      </w:r>
    </w:p>
    <w:p w14:paraId="3E0FD57D"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Second, practical tools enable urgency. Managers should deploy key performance indicators (KPIs)—for example, diversity hiring targets, digital skills completion rates linked to Google Cloud-enabled analytics, and retention metrics—through platforms such as Workday, while conducting regular pulse surveys and listening sessions. JLP’s wellbeing champions and expanded data collection on carers and care-experienced Partners exemplify data-led adjustments, as evidenced by gains in neurodiversity accessibility (John Lewis Partnership, 2025a). Extending these to departmental level ensures timely, evidence-based refinements. Nevertheless, limitations are pronounced in high-pressure store environments, where customer service demands frequently override HR priorities, exacerbating skills gaps during technological transformation and £114m pay investments amid no recent Partnership Bonus (John Lewis Partnership, 2025b). Mitigation requires protected time for HR activities, cross-functional support from central teams, and realistic workload adjustments to prevent burnout.</w:t>
      </w:r>
    </w:p>
    <w:p w14:paraId="007DF834"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Third, change management frameworks (e.g., Kotter’s model) address resistance. Managers must communicate the “why”—linking tech adoption to job security and DEI to innovation—through town halls and 90-day onboarding enhancements (John Lewis Partnership, 2025b). Urgent implementation demands pilot scaling (e.g., Elevate programme expansion) and accountability via Partnership Council input. Critically, restructuring risks eroding trust; transparent consultation, as in JLP’s democratic model, sustains buy-in (</w:t>
      </w:r>
      <w:proofErr w:type="spellStart"/>
      <w:r w:rsidRPr="009C28E1">
        <w:rPr>
          <w:rFonts w:ascii="Arial" w:eastAsia="Times New Roman" w:hAnsi="Arial" w:cs="Arial"/>
          <w:kern w:val="0"/>
          <w:lang w:eastAsia="en-GB"/>
          <w14:ligatures w14:val="none"/>
        </w:rPr>
        <w:t>Xuecheng</w:t>
      </w:r>
      <w:proofErr w:type="spellEnd"/>
      <w:r w:rsidRPr="009C28E1">
        <w:rPr>
          <w:rFonts w:ascii="Arial" w:eastAsia="Times New Roman" w:hAnsi="Arial" w:cs="Arial"/>
          <w:kern w:val="0"/>
          <w:lang w:eastAsia="en-GB"/>
          <w14:ligatures w14:val="none"/>
        </w:rPr>
        <w:t xml:space="preserve"> et al., 2022).</w:t>
      </w:r>
    </w:p>
    <w:p w14:paraId="7BA7838E" w14:textId="77777777" w:rsidR="007E5F92"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Potential pitfalls include tokenism or burnout; managers should prioritise equity audits and reasonable adjustments. Success metrics—higher Partner scores, reduced gaps—validate urgency, aligning with JLP’s Purpose (John Lewis Partnership, 2025a). Ultimately, managers’ initiative and personal responsibility, supported by HR, drive sustainable implementation in complex retail contexts (Murphy, 2024).</w:t>
      </w:r>
    </w:p>
    <w:p w14:paraId="2F24CDE3" w14:textId="77777777" w:rsidR="00E23B77" w:rsidRDefault="00E23B77" w:rsidP="00E23B77">
      <w:pPr>
        <w:spacing w:before="100" w:beforeAutospacing="1" w:after="100" w:afterAutospacing="1" w:line="360" w:lineRule="auto"/>
        <w:rPr>
          <w:rFonts w:ascii="Arial" w:eastAsia="Times New Roman" w:hAnsi="Arial" w:cs="Arial"/>
          <w:b/>
          <w:bCs/>
          <w:kern w:val="0"/>
          <w:sz w:val="28"/>
          <w:szCs w:val="28"/>
          <w:lang w:eastAsia="en-GB"/>
          <w14:ligatures w14:val="none"/>
        </w:rPr>
      </w:pPr>
    </w:p>
    <w:p w14:paraId="60B34871" w14:textId="77777777" w:rsidR="00B60B3B" w:rsidRDefault="00B60B3B" w:rsidP="00E23B77">
      <w:pPr>
        <w:spacing w:before="100" w:beforeAutospacing="1" w:after="100" w:afterAutospacing="1" w:line="360" w:lineRule="auto"/>
        <w:rPr>
          <w:rFonts w:ascii="Arial" w:eastAsia="Times New Roman" w:hAnsi="Arial" w:cs="Arial"/>
          <w:b/>
          <w:bCs/>
          <w:kern w:val="0"/>
          <w:sz w:val="28"/>
          <w:szCs w:val="28"/>
          <w:lang w:eastAsia="en-GB"/>
          <w14:ligatures w14:val="none"/>
        </w:rPr>
      </w:pPr>
    </w:p>
    <w:p w14:paraId="3BCBB9B3" w14:textId="42699B11" w:rsidR="007D41DA" w:rsidRPr="004277A3" w:rsidRDefault="004277A3" w:rsidP="004277A3">
      <w:pPr>
        <w:spacing w:before="100" w:beforeAutospacing="1" w:after="100" w:afterAutospacing="1" w:line="360" w:lineRule="auto"/>
        <w:rPr>
          <w:rFonts w:ascii="Arial" w:eastAsia="Times New Roman" w:hAnsi="Arial" w:cs="Arial"/>
          <w:b/>
          <w:bCs/>
          <w:kern w:val="0"/>
          <w:sz w:val="28"/>
          <w:szCs w:val="28"/>
          <w:lang w:eastAsia="en-GB"/>
          <w14:ligatures w14:val="none"/>
        </w:rPr>
      </w:pPr>
      <w:bookmarkStart w:id="4" w:name="_Hlk226306265"/>
      <w:r>
        <w:rPr>
          <w:rFonts w:ascii="Arial" w:eastAsia="Times New Roman" w:hAnsi="Arial" w:cs="Arial"/>
          <w:b/>
          <w:bCs/>
          <w:kern w:val="0"/>
          <w:sz w:val="28"/>
          <w:szCs w:val="28"/>
          <w:lang w:eastAsia="en-GB"/>
          <w14:ligatures w14:val="none"/>
        </w:rPr>
        <w:t>5.</w:t>
      </w:r>
      <w:r w:rsidR="007D41DA" w:rsidRPr="004277A3">
        <w:rPr>
          <w:rFonts w:ascii="Arial" w:eastAsia="Times New Roman" w:hAnsi="Arial" w:cs="Arial"/>
          <w:b/>
          <w:bCs/>
          <w:kern w:val="0"/>
          <w:sz w:val="28"/>
          <w:szCs w:val="28"/>
          <w:lang w:eastAsia="en-GB"/>
          <w14:ligatures w14:val="none"/>
        </w:rPr>
        <w:t>Merged KPI Table for HR Performance Measurement</w:t>
      </w:r>
    </w:p>
    <w:tbl>
      <w:tblPr>
        <w:tblStyle w:val="TableGrid"/>
        <w:tblW w:w="0" w:type="auto"/>
        <w:tblLook w:val="04A0" w:firstRow="1" w:lastRow="0" w:firstColumn="1" w:lastColumn="0" w:noHBand="0" w:noVBand="1"/>
      </w:tblPr>
      <w:tblGrid>
        <w:gridCol w:w="1798"/>
        <w:gridCol w:w="1774"/>
        <w:gridCol w:w="1891"/>
        <w:gridCol w:w="1763"/>
        <w:gridCol w:w="1790"/>
      </w:tblGrid>
      <w:tr w:rsidR="007D41DA" w14:paraId="224272BE" w14:textId="77777777" w:rsidTr="00B60B3B">
        <w:tc>
          <w:tcPr>
            <w:tcW w:w="1803" w:type="dxa"/>
            <w:shd w:val="clear" w:color="auto" w:fill="F1A983" w:themeFill="accent2" w:themeFillTint="99"/>
          </w:tcPr>
          <w:bookmarkEnd w:id="4"/>
          <w:p w14:paraId="5FEC42CB" w14:textId="18102CFB" w:rsidR="007D41DA" w:rsidRDefault="007D41DA" w:rsidP="007E5F92">
            <w:pPr>
              <w:spacing w:before="100" w:beforeAutospacing="1" w:after="100" w:afterAutospacing="1" w:line="360" w:lineRule="auto"/>
              <w:rPr>
                <w:rFonts w:ascii="Arial" w:eastAsia="Times New Roman" w:hAnsi="Arial" w:cs="Arial"/>
                <w:b/>
                <w:bCs/>
                <w:kern w:val="0"/>
                <w:lang w:eastAsia="en-GB"/>
                <w14:ligatures w14:val="none"/>
              </w:rPr>
            </w:pPr>
            <w:r w:rsidRPr="007D41DA">
              <w:rPr>
                <w:rFonts w:ascii="Arial" w:eastAsia="Times New Roman" w:hAnsi="Arial" w:cs="Arial"/>
                <w:b/>
                <w:bCs/>
                <w:kern w:val="0"/>
                <w:lang w:eastAsia="en-GB"/>
                <w14:ligatures w14:val="none"/>
              </w:rPr>
              <w:t>Category</w:t>
            </w:r>
          </w:p>
        </w:tc>
        <w:tc>
          <w:tcPr>
            <w:tcW w:w="1803" w:type="dxa"/>
            <w:shd w:val="clear" w:color="auto" w:fill="F1A983" w:themeFill="accent2" w:themeFillTint="99"/>
          </w:tcPr>
          <w:p w14:paraId="05CB546B" w14:textId="2532FDF2" w:rsidR="007D41DA" w:rsidRDefault="007D41DA" w:rsidP="007E5F92">
            <w:pPr>
              <w:spacing w:before="100" w:beforeAutospacing="1" w:after="100" w:afterAutospacing="1" w:line="360" w:lineRule="auto"/>
              <w:rPr>
                <w:rFonts w:ascii="Arial" w:eastAsia="Times New Roman" w:hAnsi="Arial" w:cs="Arial"/>
                <w:b/>
                <w:bCs/>
                <w:kern w:val="0"/>
                <w:lang w:eastAsia="en-GB"/>
                <w14:ligatures w14:val="none"/>
              </w:rPr>
            </w:pPr>
            <w:r w:rsidRPr="007D41DA">
              <w:rPr>
                <w:rFonts w:ascii="Arial" w:eastAsia="Times New Roman" w:hAnsi="Arial" w:cs="Arial"/>
                <w:b/>
                <w:bCs/>
                <w:kern w:val="0"/>
                <w:lang w:eastAsia="en-GB"/>
                <w14:ligatures w14:val="none"/>
              </w:rPr>
              <w:t>KPI</w:t>
            </w:r>
          </w:p>
        </w:tc>
        <w:tc>
          <w:tcPr>
            <w:tcW w:w="1803" w:type="dxa"/>
            <w:shd w:val="clear" w:color="auto" w:fill="F1A983" w:themeFill="accent2" w:themeFillTint="99"/>
          </w:tcPr>
          <w:p w14:paraId="64724B36" w14:textId="0115D66D" w:rsidR="007D41DA" w:rsidRDefault="00A9508B" w:rsidP="007E5F92">
            <w:pPr>
              <w:spacing w:before="100" w:beforeAutospacing="1" w:after="100" w:afterAutospacing="1" w:line="360" w:lineRule="auto"/>
              <w:rPr>
                <w:rFonts w:ascii="Arial" w:eastAsia="Times New Roman" w:hAnsi="Arial" w:cs="Arial"/>
                <w:b/>
                <w:bCs/>
                <w:kern w:val="0"/>
                <w:lang w:eastAsia="en-GB"/>
                <w14:ligatures w14:val="none"/>
              </w:rPr>
            </w:pPr>
            <w:r w:rsidRPr="00A9508B">
              <w:rPr>
                <w:rFonts w:ascii="Arial" w:eastAsia="Times New Roman" w:hAnsi="Arial" w:cs="Arial"/>
                <w:b/>
                <w:bCs/>
                <w:kern w:val="0"/>
                <w:lang w:eastAsia="en-GB"/>
                <w14:ligatures w14:val="none"/>
              </w:rPr>
              <w:t>Description</w:t>
            </w:r>
          </w:p>
        </w:tc>
        <w:tc>
          <w:tcPr>
            <w:tcW w:w="1803" w:type="dxa"/>
            <w:shd w:val="clear" w:color="auto" w:fill="F1A983" w:themeFill="accent2" w:themeFillTint="99"/>
          </w:tcPr>
          <w:p w14:paraId="0FBC3541" w14:textId="320A157C" w:rsidR="007D41DA" w:rsidRDefault="00A9508B" w:rsidP="007E5F92">
            <w:pPr>
              <w:spacing w:before="100" w:beforeAutospacing="1" w:after="100" w:afterAutospacing="1" w:line="360" w:lineRule="auto"/>
              <w:rPr>
                <w:rFonts w:ascii="Arial" w:eastAsia="Times New Roman" w:hAnsi="Arial" w:cs="Arial"/>
                <w:b/>
                <w:bCs/>
                <w:kern w:val="0"/>
                <w:lang w:eastAsia="en-GB"/>
                <w14:ligatures w14:val="none"/>
              </w:rPr>
            </w:pPr>
            <w:r w:rsidRPr="00A9508B">
              <w:rPr>
                <w:rFonts w:ascii="Arial" w:eastAsia="Times New Roman" w:hAnsi="Arial" w:cs="Arial"/>
                <w:b/>
                <w:bCs/>
                <w:kern w:val="0"/>
                <w:lang w:eastAsia="en-GB"/>
                <w14:ligatures w14:val="none"/>
              </w:rPr>
              <w:t>Target</w:t>
            </w:r>
          </w:p>
        </w:tc>
        <w:tc>
          <w:tcPr>
            <w:tcW w:w="1804" w:type="dxa"/>
            <w:shd w:val="clear" w:color="auto" w:fill="F1A983" w:themeFill="accent2" w:themeFillTint="99"/>
          </w:tcPr>
          <w:p w14:paraId="4253C1E6" w14:textId="21377B0C" w:rsidR="007D41DA" w:rsidRDefault="00A9508B" w:rsidP="007E5F92">
            <w:pPr>
              <w:spacing w:before="100" w:beforeAutospacing="1" w:after="100" w:afterAutospacing="1" w:line="360" w:lineRule="auto"/>
              <w:rPr>
                <w:rFonts w:ascii="Arial" w:eastAsia="Times New Roman" w:hAnsi="Arial" w:cs="Arial"/>
                <w:b/>
                <w:bCs/>
                <w:kern w:val="0"/>
                <w:lang w:eastAsia="en-GB"/>
                <w14:ligatures w14:val="none"/>
              </w:rPr>
            </w:pPr>
            <w:r w:rsidRPr="00A9508B">
              <w:rPr>
                <w:rFonts w:ascii="Arial" w:eastAsia="Times New Roman" w:hAnsi="Arial" w:cs="Arial"/>
                <w:b/>
                <w:bCs/>
                <w:kern w:val="0"/>
                <w:lang w:eastAsia="en-GB"/>
                <w14:ligatures w14:val="none"/>
              </w:rPr>
              <w:t>Measurement Method</w:t>
            </w:r>
          </w:p>
        </w:tc>
      </w:tr>
      <w:tr w:rsidR="007D41DA" w14:paraId="372E6911" w14:textId="77777777" w:rsidTr="007D41DA">
        <w:tc>
          <w:tcPr>
            <w:tcW w:w="1803" w:type="dxa"/>
          </w:tcPr>
          <w:p w14:paraId="6A38A2DC" w14:textId="1E86D15C" w:rsidR="007D41DA" w:rsidRDefault="00A9508B" w:rsidP="007E5F92">
            <w:pPr>
              <w:spacing w:before="100" w:beforeAutospacing="1" w:after="100" w:afterAutospacing="1" w:line="360" w:lineRule="auto"/>
              <w:rPr>
                <w:rFonts w:ascii="Arial" w:eastAsia="Times New Roman" w:hAnsi="Arial" w:cs="Arial"/>
                <w:b/>
                <w:bCs/>
                <w:kern w:val="0"/>
                <w:lang w:eastAsia="en-GB"/>
                <w14:ligatures w14:val="none"/>
              </w:rPr>
            </w:pPr>
            <w:r w:rsidRPr="00A9508B">
              <w:rPr>
                <w:rFonts w:ascii="Arial" w:eastAsia="Times New Roman" w:hAnsi="Arial" w:cs="Arial"/>
                <w:b/>
                <w:bCs/>
                <w:kern w:val="0"/>
                <w:lang w:eastAsia="en-GB"/>
                <w14:ligatures w14:val="none"/>
              </w:rPr>
              <w:t>Sustainability &amp; CSR</w:t>
            </w:r>
          </w:p>
        </w:tc>
        <w:tc>
          <w:tcPr>
            <w:tcW w:w="1803" w:type="dxa"/>
          </w:tcPr>
          <w:p w14:paraId="2AE3E431" w14:textId="77777777" w:rsidR="007D41DA" w:rsidRPr="00A9508B" w:rsidRDefault="00A9508B" w:rsidP="00E23B77">
            <w:pPr>
              <w:rPr>
                <w:rFonts w:ascii="Arial" w:eastAsia="Times New Roman" w:hAnsi="Arial" w:cs="Arial"/>
                <w:kern w:val="0"/>
                <w:lang w:eastAsia="en-GB"/>
                <w14:ligatures w14:val="none"/>
              </w:rPr>
            </w:pPr>
            <w:r w:rsidRPr="00A9508B">
              <w:rPr>
                <w:rFonts w:ascii="Arial" w:eastAsia="Times New Roman" w:hAnsi="Arial" w:cs="Arial"/>
                <w:kern w:val="0"/>
                <w:lang w:eastAsia="en-GB"/>
                <w14:ligatures w14:val="none"/>
              </w:rPr>
              <w:t>Carbon Footprint Reduction</w:t>
            </w:r>
          </w:p>
          <w:p w14:paraId="41E3045B" w14:textId="77777777" w:rsidR="00E23B77" w:rsidRDefault="00E23B77" w:rsidP="00E23B77">
            <w:pPr>
              <w:rPr>
                <w:rFonts w:ascii="Arial" w:eastAsia="Times New Roman" w:hAnsi="Arial" w:cs="Arial"/>
                <w:kern w:val="0"/>
                <w:lang w:eastAsia="en-GB"/>
                <w14:ligatures w14:val="none"/>
              </w:rPr>
            </w:pPr>
          </w:p>
          <w:p w14:paraId="19CCC8D6" w14:textId="26AFD09E" w:rsidR="00A9508B" w:rsidRPr="00A9508B" w:rsidRDefault="00A67816" w:rsidP="00E23B77">
            <w:pPr>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Ethical Supply Chain Compliance</w:t>
            </w:r>
          </w:p>
        </w:tc>
        <w:tc>
          <w:tcPr>
            <w:tcW w:w="1803" w:type="dxa"/>
          </w:tcPr>
          <w:p w14:paraId="00A4984F" w14:textId="77777777" w:rsidR="00A9508B" w:rsidRDefault="00A67816" w:rsidP="00E23B77">
            <w:pPr>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Reduce carbon emissions across JLP stores, warehouses, and logistics</w:t>
            </w:r>
          </w:p>
          <w:p w14:paraId="744F7105" w14:textId="77777777" w:rsidR="00E23B77" w:rsidRDefault="00E23B77" w:rsidP="00E23B77">
            <w:pPr>
              <w:rPr>
                <w:rFonts w:ascii="Arial" w:eastAsia="Times New Roman" w:hAnsi="Arial" w:cs="Arial"/>
                <w:kern w:val="0"/>
                <w:lang w:eastAsia="en-GB"/>
                <w14:ligatures w14:val="none"/>
              </w:rPr>
            </w:pPr>
          </w:p>
          <w:p w14:paraId="60417755" w14:textId="1746058B" w:rsidR="00A67816" w:rsidRPr="00A9508B" w:rsidRDefault="00A67816" w:rsidP="00E23B77">
            <w:pPr>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Ensure suppliers meet JLP’s ethical sourcing and labour standards</w:t>
            </w:r>
          </w:p>
        </w:tc>
        <w:tc>
          <w:tcPr>
            <w:tcW w:w="1803" w:type="dxa"/>
          </w:tcPr>
          <w:p w14:paraId="4D826C9A" w14:textId="77777777" w:rsidR="00A9508B" w:rsidRDefault="00A67816" w:rsidP="00E23B77">
            <w:pPr>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10% annual reduction</w:t>
            </w:r>
          </w:p>
          <w:p w14:paraId="74A7A2F3" w14:textId="77777777" w:rsidR="00E23B77" w:rsidRDefault="00E23B77" w:rsidP="00E23B77">
            <w:pPr>
              <w:rPr>
                <w:rFonts w:ascii="Arial" w:eastAsia="Times New Roman" w:hAnsi="Arial" w:cs="Arial"/>
                <w:kern w:val="0"/>
                <w:lang w:eastAsia="en-GB"/>
                <w14:ligatures w14:val="none"/>
              </w:rPr>
            </w:pPr>
          </w:p>
          <w:p w14:paraId="4A8BDD8E" w14:textId="20BFAEF5" w:rsidR="00A67816" w:rsidRPr="00A9508B" w:rsidRDefault="00A67816" w:rsidP="00E23B77">
            <w:pPr>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95% compliance</w:t>
            </w:r>
          </w:p>
        </w:tc>
        <w:tc>
          <w:tcPr>
            <w:tcW w:w="1804" w:type="dxa"/>
          </w:tcPr>
          <w:p w14:paraId="2F42FD17" w14:textId="77777777" w:rsidR="00A9508B" w:rsidRDefault="00A67816" w:rsidP="00E23B77">
            <w:pPr>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Energy usage reports; emissions audits</w:t>
            </w:r>
          </w:p>
          <w:p w14:paraId="00199FCF" w14:textId="77777777" w:rsidR="00E23B77" w:rsidRDefault="00E23B77" w:rsidP="00E23B77">
            <w:pPr>
              <w:rPr>
                <w:rFonts w:ascii="Arial" w:eastAsia="Times New Roman" w:hAnsi="Arial" w:cs="Arial"/>
                <w:kern w:val="0"/>
                <w:lang w:eastAsia="en-GB"/>
                <w14:ligatures w14:val="none"/>
              </w:rPr>
            </w:pPr>
          </w:p>
          <w:p w14:paraId="72BF7D14" w14:textId="7F1FC01A" w:rsidR="00A67816" w:rsidRPr="00A9508B" w:rsidRDefault="00A67816" w:rsidP="00E23B77">
            <w:pPr>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Supplier audits; compliance certifications</w:t>
            </w:r>
          </w:p>
        </w:tc>
      </w:tr>
      <w:tr w:rsidR="007D41DA" w14:paraId="4BA1001B" w14:textId="77777777" w:rsidTr="007D41DA">
        <w:tc>
          <w:tcPr>
            <w:tcW w:w="1803" w:type="dxa"/>
          </w:tcPr>
          <w:p w14:paraId="0A81944F" w14:textId="5FB2F864" w:rsidR="007D41DA" w:rsidRDefault="00A9508B" w:rsidP="007E5F92">
            <w:pPr>
              <w:spacing w:before="100" w:beforeAutospacing="1" w:after="100" w:afterAutospacing="1" w:line="360" w:lineRule="auto"/>
              <w:rPr>
                <w:rFonts w:ascii="Arial" w:eastAsia="Times New Roman" w:hAnsi="Arial" w:cs="Arial"/>
                <w:b/>
                <w:bCs/>
                <w:kern w:val="0"/>
                <w:lang w:eastAsia="en-GB"/>
                <w14:ligatures w14:val="none"/>
              </w:rPr>
            </w:pPr>
            <w:r w:rsidRPr="00A9508B">
              <w:rPr>
                <w:rFonts w:ascii="Arial" w:eastAsia="Times New Roman" w:hAnsi="Arial" w:cs="Arial"/>
                <w:b/>
                <w:bCs/>
                <w:kern w:val="0"/>
                <w:lang w:eastAsia="en-GB"/>
                <w14:ligatures w14:val="none"/>
              </w:rPr>
              <w:t>Operational Efficiency</w:t>
            </w:r>
          </w:p>
        </w:tc>
        <w:tc>
          <w:tcPr>
            <w:tcW w:w="1803" w:type="dxa"/>
          </w:tcPr>
          <w:p w14:paraId="4BC8AD1E" w14:textId="77777777" w:rsidR="00A9508B" w:rsidRDefault="00A9508B" w:rsidP="00E23B77">
            <w:pPr>
              <w:rPr>
                <w:rFonts w:ascii="Arial" w:eastAsia="Times New Roman" w:hAnsi="Arial" w:cs="Arial"/>
                <w:kern w:val="0"/>
                <w:lang w:eastAsia="en-GB"/>
                <w14:ligatures w14:val="none"/>
              </w:rPr>
            </w:pPr>
            <w:r w:rsidRPr="00A9508B">
              <w:rPr>
                <w:rFonts w:ascii="Arial" w:eastAsia="Times New Roman" w:hAnsi="Arial" w:cs="Arial"/>
                <w:kern w:val="0"/>
                <w:lang w:eastAsia="en-GB"/>
                <w14:ligatures w14:val="none"/>
              </w:rPr>
              <w:t>Employee Productivity</w:t>
            </w:r>
          </w:p>
          <w:p w14:paraId="737E91B2" w14:textId="77777777" w:rsidR="00CA2525" w:rsidRDefault="00CA2525" w:rsidP="00E23B77">
            <w:pPr>
              <w:rPr>
                <w:rFonts w:ascii="Arial" w:eastAsia="Times New Roman" w:hAnsi="Arial" w:cs="Arial"/>
                <w:kern w:val="0"/>
                <w:lang w:eastAsia="en-GB"/>
                <w14:ligatures w14:val="none"/>
              </w:rPr>
            </w:pPr>
          </w:p>
          <w:p w14:paraId="28235A17" w14:textId="118697E9" w:rsidR="00A9508B" w:rsidRPr="00A9508B" w:rsidRDefault="00A9508B" w:rsidP="00E23B77">
            <w:pPr>
              <w:rPr>
                <w:rFonts w:ascii="Arial" w:eastAsia="Times New Roman" w:hAnsi="Arial" w:cs="Arial"/>
                <w:kern w:val="0"/>
                <w:lang w:eastAsia="en-GB"/>
                <w14:ligatures w14:val="none"/>
              </w:rPr>
            </w:pPr>
            <w:r w:rsidRPr="00A9508B">
              <w:rPr>
                <w:rFonts w:ascii="Arial" w:eastAsia="Times New Roman" w:hAnsi="Arial" w:cs="Arial"/>
                <w:kern w:val="0"/>
                <w:lang w:eastAsia="en-GB"/>
                <w14:ligatures w14:val="none"/>
              </w:rPr>
              <w:t>Training Completion Rate</w:t>
            </w:r>
          </w:p>
        </w:tc>
        <w:tc>
          <w:tcPr>
            <w:tcW w:w="1803" w:type="dxa"/>
          </w:tcPr>
          <w:p w14:paraId="036FA486" w14:textId="57B51BE7" w:rsidR="00A67816" w:rsidRPr="00A67816" w:rsidRDefault="00A67816" w:rsidP="00CA2525">
            <w:pPr>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Output per Partner across retail and distribution functions</w:t>
            </w:r>
          </w:p>
          <w:p w14:paraId="6EF6EA47" w14:textId="77777777" w:rsidR="00CA2525" w:rsidRDefault="00CA2525" w:rsidP="00CA2525">
            <w:pPr>
              <w:rPr>
                <w:rFonts w:ascii="Arial" w:eastAsia="Times New Roman" w:hAnsi="Arial" w:cs="Arial"/>
                <w:kern w:val="0"/>
                <w:lang w:eastAsia="en-GB"/>
                <w14:ligatures w14:val="none"/>
              </w:rPr>
            </w:pPr>
          </w:p>
          <w:p w14:paraId="6F43F174" w14:textId="43A95068" w:rsidR="00A67816" w:rsidRDefault="00CA2525" w:rsidP="00CA2525">
            <w:pPr>
              <w:rPr>
                <w:rFonts w:ascii="Arial" w:eastAsia="Times New Roman" w:hAnsi="Arial" w:cs="Arial"/>
                <w:b/>
                <w:bCs/>
                <w:kern w:val="0"/>
                <w:lang w:eastAsia="en-GB"/>
                <w14:ligatures w14:val="none"/>
              </w:rPr>
            </w:pPr>
            <w:r w:rsidRPr="00CA2525">
              <w:rPr>
                <w:rFonts w:ascii="Arial" w:eastAsia="Times New Roman" w:hAnsi="Arial" w:cs="Arial"/>
                <w:kern w:val="0"/>
                <w:lang w:eastAsia="en-GB"/>
                <w14:ligatures w14:val="none"/>
              </w:rPr>
              <w:t>Completion of mandatory digital and customer</w:t>
            </w:r>
            <w:r w:rsidRPr="00CA2525">
              <w:rPr>
                <w:rFonts w:ascii="Cambria Math" w:eastAsia="Times New Roman" w:hAnsi="Cambria Math" w:cs="Cambria Math"/>
                <w:kern w:val="0"/>
                <w:lang w:eastAsia="en-GB"/>
                <w14:ligatures w14:val="none"/>
              </w:rPr>
              <w:t>‑</w:t>
            </w:r>
            <w:r w:rsidRPr="00CA2525">
              <w:rPr>
                <w:rFonts w:ascii="Arial" w:eastAsia="Times New Roman" w:hAnsi="Arial" w:cs="Arial"/>
                <w:kern w:val="0"/>
                <w:lang w:eastAsia="en-GB"/>
                <w14:ligatures w14:val="none"/>
              </w:rPr>
              <w:t>service training</w:t>
            </w:r>
          </w:p>
        </w:tc>
        <w:tc>
          <w:tcPr>
            <w:tcW w:w="1803" w:type="dxa"/>
          </w:tcPr>
          <w:p w14:paraId="1B0A46AC" w14:textId="020D9D1B" w:rsidR="00A67816" w:rsidRPr="00A67816" w:rsidRDefault="00A67816" w:rsidP="00CA2525">
            <w:pPr>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5% annual increase</w:t>
            </w:r>
          </w:p>
          <w:p w14:paraId="3BDE845D" w14:textId="77777777" w:rsidR="00CA2525" w:rsidRDefault="00CA2525" w:rsidP="00CA2525">
            <w:pPr>
              <w:rPr>
                <w:rFonts w:ascii="Arial" w:eastAsia="Times New Roman" w:hAnsi="Arial" w:cs="Arial"/>
                <w:kern w:val="0"/>
                <w:lang w:eastAsia="en-GB"/>
                <w14:ligatures w14:val="none"/>
              </w:rPr>
            </w:pPr>
          </w:p>
          <w:p w14:paraId="75946214" w14:textId="0C5BE14A" w:rsidR="007D41DA" w:rsidRPr="00A67816" w:rsidRDefault="00A67816" w:rsidP="00CA2525">
            <w:pPr>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90% completion</w:t>
            </w:r>
          </w:p>
          <w:p w14:paraId="1C92EBD3" w14:textId="0BE10436" w:rsidR="00A67816" w:rsidRDefault="00A67816" w:rsidP="007E5F92">
            <w:pPr>
              <w:spacing w:before="100" w:beforeAutospacing="1" w:after="100" w:afterAutospacing="1" w:line="360" w:lineRule="auto"/>
              <w:rPr>
                <w:rFonts w:ascii="Arial" w:eastAsia="Times New Roman" w:hAnsi="Arial" w:cs="Arial"/>
                <w:b/>
                <w:bCs/>
                <w:kern w:val="0"/>
                <w:lang w:eastAsia="en-GB"/>
                <w14:ligatures w14:val="none"/>
              </w:rPr>
            </w:pPr>
          </w:p>
        </w:tc>
        <w:tc>
          <w:tcPr>
            <w:tcW w:w="1804" w:type="dxa"/>
          </w:tcPr>
          <w:p w14:paraId="24EAD3EB" w14:textId="77777777" w:rsidR="007D41DA" w:rsidRPr="00A67816" w:rsidRDefault="00A67816" w:rsidP="00CA2525">
            <w:pPr>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Productivity dashboards; sales per labour hour</w:t>
            </w:r>
          </w:p>
          <w:p w14:paraId="4C8EB8E3" w14:textId="77777777" w:rsidR="00CA2525" w:rsidRDefault="00CA2525" w:rsidP="00CA2525">
            <w:pPr>
              <w:rPr>
                <w:rFonts w:ascii="Arial" w:eastAsia="Times New Roman" w:hAnsi="Arial" w:cs="Arial"/>
                <w:kern w:val="0"/>
                <w:lang w:eastAsia="en-GB"/>
                <w14:ligatures w14:val="none"/>
              </w:rPr>
            </w:pPr>
          </w:p>
          <w:p w14:paraId="4B6DBAB8" w14:textId="2E77FF6D" w:rsidR="00A67816" w:rsidRDefault="00A67816" w:rsidP="00CA2525">
            <w:pPr>
              <w:rPr>
                <w:rFonts w:ascii="Arial" w:eastAsia="Times New Roman" w:hAnsi="Arial" w:cs="Arial"/>
                <w:b/>
                <w:bCs/>
                <w:kern w:val="0"/>
                <w:lang w:eastAsia="en-GB"/>
                <w14:ligatures w14:val="none"/>
              </w:rPr>
            </w:pPr>
            <w:r w:rsidRPr="00A67816">
              <w:rPr>
                <w:rFonts w:ascii="Arial" w:eastAsia="Times New Roman" w:hAnsi="Arial" w:cs="Arial"/>
                <w:kern w:val="0"/>
                <w:lang w:eastAsia="en-GB"/>
                <w14:ligatures w14:val="none"/>
              </w:rPr>
              <w:t>LMS training records</w:t>
            </w:r>
          </w:p>
        </w:tc>
      </w:tr>
      <w:tr w:rsidR="007D41DA" w14:paraId="44F51A03" w14:textId="77777777" w:rsidTr="007D41DA">
        <w:tc>
          <w:tcPr>
            <w:tcW w:w="1803" w:type="dxa"/>
          </w:tcPr>
          <w:p w14:paraId="7A8DEEC9" w14:textId="0290B9F8" w:rsidR="007D41DA" w:rsidRDefault="00A9508B" w:rsidP="007E5F92">
            <w:pPr>
              <w:spacing w:before="100" w:beforeAutospacing="1" w:after="100" w:afterAutospacing="1" w:line="360" w:lineRule="auto"/>
              <w:rPr>
                <w:rFonts w:ascii="Arial" w:eastAsia="Times New Roman" w:hAnsi="Arial" w:cs="Arial"/>
                <w:b/>
                <w:bCs/>
                <w:kern w:val="0"/>
                <w:lang w:eastAsia="en-GB"/>
                <w14:ligatures w14:val="none"/>
              </w:rPr>
            </w:pPr>
            <w:r w:rsidRPr="00A9508B">
              <w:rPr>
                <w:rFonts w:ascii="Arial" w:eastAsia="Times New Roman" w:hAnsi="Arial" w:cs="Arial"/>
                <w:b/>
                <w:bCs/>
                <w:kern w:val="0"/>
                <w:lang w:eastAsia="en-GB"/>
                <w14:ligatures w14:val="none"/>
              </w:rPr>
              <w:t>Environmental Impact</w:t>
            </w:r>
          </w:p>
        </w:tc>
        <w:tc>
          <w:tcPr>
            <w:tcW w:w="1803" w:type="dxa"/>
          </w:tcPr>
          <w:p w14:paraId="320E9333" w14:textId="5904B5F5" w:rsidR="007D41DA" w:rsidRPr="00A67816" w:rsidRDefault="00A67816" w:rsidP="00CA2525">
            <w:pPr>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Waste Reduction</w:t>
            </w:r>
          </w:p>
        </w:tc>
        <w:tc>
          <w:tcPr>
            <w:tcW w:w="1803" w:type="dxa"/>
          </w:tcPr>
          <w:p w14:paraId="7431E0DE" w14:textId="0D4DECC6" w:rsidR="007D41DA" w:rsidRPr="00A67816" w:rsidRDefault="00A67816" w:rsidP="00CA2525">
            <w:pPr>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Reduce waste sent to landfill across stores and distribution centres</w:t>
            </w:r>
          </w:p>
        </w:tc>
        <w:tc>
          <w:tcPr>
            <w:tcW w:w="1803" w:type="dxa"/>
          </w:tcPr>
          <w:p w14:paraId="388CA095" w14:textId="24755D86" w:rsidR="007D41DA" w:rsidRPr="00A67816" w:rsidRDefault="00A67816" w:rsidP="007E5F92">
            <w:pPr>
              <w:spacing w:before="100" w:beforeAutospacing="1" w:after="100" w:afterAutospacing="1" w:line="360" w:lineRule="auto"/>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15% reduction</w:t>
            </w:r>
          </w:p>
        </w:tc>
        <w:tc>
          <w:tcPr>
            <w:tcW w:w="1804" w:type="dxa"/>
          </w:tcPr>
          <w:p w14:paraId="05F93864" w14:textId="3A191CA4" w:rsidR="007D41DA" w:rsidRPr="00A67816" w:rsidRDefault="00A67816" w:rsidP="00CA2525">
            <w:pPr>
              <w:rPr>
                <w:rFonts w:ascii="Arial" w:eastAsia="Times New Roman" w:hAnsi="Arial" w:cs="Arial"/>
                <w:kern w:val="0"/>
                <w:lang w:eastAsia="en-GB"/>
                <w14:ligatures w14:val="none"/>
              </w:rPr>
            </w:pPr>
            <w:r w:rsidRPr="00A67816">
              <w:rPr>
                <w:rFonts w:ascii="Arial" w:eastAsia="Times New Roman" w:hAnsi="Arial" w:cs="Arial"/>
                <w:kern w:val="0"/>
                <w:lang w:eastAsia="en-GB"/>
                <w14:ligatures w14:val="none"/>
              </w:rPr>
              <w:t>Waste audits; recycling reports</w:t>
            </w:r>
          </w:p>
        </w:tc>
      </w:tr>
      <w:tr w:rsidR="007D41DA" w14:paraId="08D090F9" w14:textId="77777777" w:rsidTr="007D41DA">
        <w:tc>
          <w:tcPr>
            <w:tcW w:w="1803" w:type="dxa"/>
          </w:tcPr>
          <w:p w14:paraId="09F3BC16" w14:textId="1362D92C" w:rsidR="007D41DA" w:rsidRDefault="00A9508B" w:rsidP="007E5F92">
            <w:pPr>
              <w:spacing w:before="100" w:beforeAutospacing="1" w:after="100" w:afterAutospacing="1" w:line="360" w:lineRule="auto"/>
              <w:rPr>
                <w:rFonts w:ascii="Arial" w:eastAsia="Times New Roman" w:hAnsi="Arial" w:cs="Arial"/>
                <w:b/>
                <w:bCs/>
                <w:kern w:val="0"/>
                <w:lang w:eastAsia="en-GB"/>
                <w14:ligatures w14:val="none"/>
              </w:rPr>
            </w:pPr>
            <w:r w:rsidRPr="00A9508B">
              <w:rPr>
                <w:rFonts w:ascii="Arial" w:eastAsia="Times New Roman" w:hAnsi="Arial" w:cs="Arial"/>
                <w:b/>
                <w:bCs/>
                <w:kern w:val="0"/>
                <w:lang w:eastAsia="en-GB"/>
                <w14:ligatures w14:val="none"/>
              </w:rPr>
              <w:t>Community Relations</w:t>
            </w:r>
          </w:p>
        </w:tc>
        <w:tc>
          <w:tcPr>
            <w:tcW w:w="1803" w:type="dxa"/>
          </w:tcPr>
          <w:p w14:paraId="6683470C" w14:textId="777DBE3A" w:rsidR="007D41DA" w:rsidRPr="00E23B77" w:rsidRDefault="00E23B77" w:rsidP="00CA2525">
            <w:pPr>
              <w:rPr>
                <w:rFonts w:ascii="Arial" w:eastAsia="Times New Roman" w:hAnsi="Arial" w:cs="Arial"/>
                <w:kern w:val="0"/>
                <w:lang w:eastAsia="en-GB"/>
                <w14:ligatures w14:val="none"/>
              </w:rPr>
            </w:pPr>
            <w:r w:rsidRPr="00E23B77">
              <w:rPr>
                <w:rFonts w:ascii="Arial" w:eastAsia="Times New Roman" w:hAnsi="Arial" w:cs="Arial"/>
                <w:kern w:val="0"/>
                <w:lang w:eastAsia="en-GB"/>
                <w14:ligatures w14:val="none"/>
              </w:rPr>
              <w:t>Partner Volunteering Hours</w:t>
            </w:r>
          </w:p>
        </w:tc>
        <w:tc>
          <w:tcPr>
            <w:tcW w:w="1803" w:type="dxa"/>
          </w:tcPr>
          <w:p w14:paraId="554973E5" w14:textId="4220B30C" w:rsidR="007D41DA" w:rsidRPr="00E23B77" w:rsidRDefault="00E23B77" w:rsidP="00CA2525">
            <w:pPr>
              <w:rPr>
                <w:rFonts w:ascii="Arial" w:eastAsia="Times New Roman" w:hAnsi="Arial" w:cs="Arial"/>
                <w:kern w:val="0"/>
                <w:lang w:eastAsia="en-GB"/>
                <w14:ligatures w14:val="none"/>
              </w:rPr>
            </w:pPr>
            <w:r w:rsidRPr="00E23B77">
              <w:rPr>
                <w:rFonts w:ascii="Arial" w:eastAsia="Times New Roman" w:hAnsi="Arial" w:cs="Arial"/>
                <w:kern w:val="0"/>
                <w:lang w:eastAsia="en-GB"/>
                <w14:ligatures w14:val="none"/>
              </w:rPr>
              <w:t>Contribution to local communities through volunteering</w:t>
            </w:r>
          </w:p>
        </w:tc>
        <w:tc>
          <w:tcPr>
            <w:tcW w:w="1803" w:type="dxa"/>
          </w:tcPr>
          <w:p w14:paraId="7DEFFE8A" w14:textId="1CFF314C" w:rsidR="007D41DA" w:rsidRPr="00E23B77" w:rsidRDefault="00E23B77" w:rsidP="00CA2525">
            <w:pPr>
              <w:rPr>
                <w:rFonts w:ascii="Arial" w:eastAsia="Times New Roman" w:hAnsi="Arial" w:cs="Arial"/>
                <w:kern w:val="0"/>
                <w:lang w:eastAsia="en-GB"/>
                <w14:ligatures w14:val="none"/>
              </w:rPr>
            </w:pPr>
            <w:r w:rsidRPr="00E23B77">
              <w:rPr>
                <w:rFonts w:ascii="Arial" w:eastAsia="Times New Roman" w:hAnsi="Arial" w:cs="Arial"/>
                <w:kern w:val="0"/>
                <w:lang w:eastAsia="en-GB"/>
                <w14:ligatures w14:val="none"/>
              </w:rPr>
              <w:t>5,000 hours annually</w:t>
            </w:r>
          </w:p>
        </w:tc>
        <w:tc>
          <w:tcPr>
            <w:tcW w:w="1804" w:type="dxa"/>
          </w:tcPr>
          <w:p w14:paraId="7B04F8FA" w14:textId="13734AF4" w:rsidR="007D41DA" w:rsidRPr="00E23B77" w:rsidRDefault="00E23B77" w:rsidP="00CA2525">
            <w:pPr>
              <w:rPr>
                <w:rFonts w:ascii="Arial" w:eastAsia="Times New Roman" w:hAnsi="Arial" w:cs="Arial"/>
                <w:kern w:val="0"/>
                <w:lang w:eastAsia="en-GB"/>
                <w14:ligatures w14:val="none"/>
              </w:rPr>
            </w:pPr>
            <w:r w:rsidRPr="00E23B77">
              <w:rPr>
                <w:rFonts w:ascii="Arial" w:eastAsia="Times New Roman" w:hAnsi="Arial" w:cs="Arial"/>
                <w:kern w:val="0"/>
                <w:lang w:eastAsia="en-GB"/>
                <w14:ligatures w14:val="none"/>
              </w:rPr>
              <w:t>CSR reporting; Partner volunteering logs</w:t>
            </w:r>
          </w:p>
        </w:tc>
      </w:tr>
      <w:tr w:rsidR="007D41DA" w14:paraId="5B05A6C1" w14:textId="77777777" w:rsidTr="007D41DA">
        <w:tc>
          <w:tcPr>
            <w:tcW w:w="1803" w:type="dxa"/>
          </w:tcPr>
          <w:p w14:paraId="44566790" w14:textId="1EC81084" w:rsidR="007D41DA" w:rsidRDefault="00A9508B" w:rsidP="007E5F92">
            <w:pPr>
              <w:spacing w:before="100" w:beforeAutospacing="1" w:after="100" w:afterAutospacing="1" w:line="360" w:lineRule="auto"/>
              <w:rPr>
                <w:rFonts w:ascii="Arial" w:eastAsia="Times New Roman" w:hAnsi="Arial" w:cs="Arial"/>
                <w:b/>
                <w:bCs/>
                <w:kern w:val="0"/>
                <w:lang w:eastAsia="en-GB"/>
                <w14:ligatures w14:val="none"/>
              </w:rPr>
            </w:pPr>
            <w:r w:rsidRPr="00A9508B">
              <w:rPr>
                <w:rFonts w:ascii="Arial" w:eastAsia="Times New Roman" w:hAnsi="Arial" w:cs="Arial"/>
                <w:b/>
                <w:bCs/>
                <w:kern w:val="0"/>
                <w:lang w:eastAsia="en-GB"/>
                <w14:ligatures w14:val="none"/>
              </w:rPr>
              <w:t>Innovation &amp; Growth</w:t>
            </w:r>
          </w:p>
        </w:tc>
        <w:tc>
          <w:tcPr>
            <w:tcW w:w="1803" w:type="dxa"/>
          </w:tcPr>
          <w:p w14:paraId="41CFE79D" w14:textId="24E5832A" w:rsidR="007D41DA" w:rsidRPr="00E23B77" w:rsidRDefault="00E23B77" w:rsidP="00CA2525">
            <w:pPr>
              <w:rPr>
                <w:rFonts w:ascii="Arial" w:eastAsia="Times New Roman" w:hAnsi="Arial" w:cs="Arial"/>
                <w:kern w:val="0"/>
                <w:lang w:eastAsia="en-GB"/>
                <w14:ligatures w14:val="none"/>
              </w:rPr>
            </w:pPr>
            <w:r w:rsidRPr="00E23B77">
              <w:rPr>
                <w:rFonts w:ascii="Arial" w:eastAsia="Times New Roman" w:hAnsi="Arial" w:cs="Arial"/>
                <w:kern w:val="0"/>
                <w:lang w:eastAsia="en-GB"/>
                <w14:ligatures w14:val="none"/>
              </w:rPr>
              <w:t>Digital Adoption Rate</w:t>
            </w:r>
          </w:p>
        </w:tc>
        <w:tc>
          <w:tcPr>
            <w:tcW w:w="1803" w:type="dxa"/>
          </w:tcPr>
          <w:p w14:paraId="5FF545E1" w14:textId="48369A88" w:rsidR="007D41DA" w:rsidRPr="00E23B77" w:rsidRDefault="00E23B77" w:rsidP="00CA2525">
            <w:pPr>
              <w:rPr>
                <w:rFonts w:ascii="Arial" w:eastAsia="Times New Roman" w:hAnsi="Arial" w:cs="Arial"/>
                <w:kern w:val="0"/>
                <w:lang w:eastAsia="en-GB"/>
                <w14:ligatures w14:val="none"/>
              </w:rPr>
            </w:pPr>
            <w:r w:rsidRPr="00E23B77">
              <w:rPr>
                <w:rFonts w:ascii="Arial" w:eastAsia="Times New Roman" w:hAnsi="Arial" w:cs="Arial"/>
                <w:kern w:val="0"/>
                <w:lang w:eastAsia="en-GB"/>
                <w14:ligatures w14:val="none"/>
              </w:rPr>
              <w:t>Partner uptake of new digital tools, systems, and processes</w:t>
            </w:r>
          </w:p>
        </w:tc>
        <w:tc>
          <w:tcPr>
            <w:tcW w:w="1803" w:type="dxa"/>
          </w:tcPr>
          <w:p w14:paraId="5F86AC64" w14:textId="1EEE4B50" w:rsidR="007D41DA" w:rsidRPr="00E23B77" w:rsidRDefault="00E23B77" w:rsidP="00CA2525">
            <w:pPr>
              <w:rPr>
                <w:rFonts w:ascii="Arial" w:eastAsia="Times New Roman" w:hAnsi="Arial" w:cs="Arial"/>
                <w:kern w:val="0"/>
                <w:lang w:eastAsia="en-GB"/>
                <w14:ligatures w14:val="none"/>
              </w:rPr>
            </w:pPr>
            <w:r w:rsidRPr="00E23B77">
              <w:rPr>
                <w:rFonts w:ascii="Arial" w:eastAsia="Times New Roman" w:hAnsi="Arial" w:cs="Arial"/>
                <w:kern w:val="0"/>
                <w:lang w:eastAsia="en-GB"/>
                <w14:ligatures w14:val="none"/>
              </w:rPr>
              <w:t>80% adoption</w:t>
            </w:r>
          </w:p>
        </w:tc>
        <w:tc>
          <w:tcPr>
            <w:tcW w:w="1804" w:type="dxa"/>
          </w:tcPr>
          <w:p w14:paraId="4C90687F" w14:textId="43201C66" w:rsidR="007D41DA" w:rsidRPr="00E23B77" w:rsidRDefault="00E23B77" w:rsidP="00CA2525">
            <w:pPr>
              <w:rPr>
                <w:rFonts w:ascii="Arial" w:eastAsia="Times New Roman" w:hAnsi="Arial" w:cs="Arial"/>
                <w:kern w:val="0"/>
                <w:lang w:eastAsia="en-GB"/>
                <w14:ligatures w14:val="none"/>
              </w:rPr>
            </w:pPr>
            <w:r w:rsidRPr="00E23B77">
              <w:rPr>
                <w:rFonts w:ascii="Arial" w:eastAsia="Times New Roman" w:hAnsi="Arial" w:cs="Arial"/>
                <w:kern w:val="0"/>
                <w:lang w:eastAsia="en-GB"/>
                <w14:ligatures w14:val="none"/>
              </w:rPr>
              <w:t>System usage analytics</w:t>
            </w:r>
          </w:p>
        </w:tc>
      </w:tr>
      <w:tr w:rsidR="007D41DA" w14:paraId="42527774" w14:textId="77777777" w:rsidTr="007D41DA">
        <w:tc>
          <w:tcPr>
            <w:tcW w:w="1803" w:type="dxa"/>
          </w:tcPr>
          <w:p w14:paraId="02DB130F" w14:textId="069AAE0D" w:rsidR="007D41DA" w:rsidRDefault="00A9508B" w:rsidP="007E5F92">
            <w:pPr>
              <w:spacing w:before="100" w:beforeAutospacing="1" w:after="100" w:afterAutospacing="1" w:line="360" w:lineRule="auto"/>
              <w:rPr>
                <w:rFonts w:ascii="Arial" w:eastAsia="Times New Roman" w:hAnsi="Arial" w:cs="Arial"/>
                <w:b/>
                <w:bCs/>
                <w:kern w:val="0"/>
                <w:lang w:eastAsia="en-GB"/>
                <w14:ligatures w14:val="none"/>
              </w:rPr>
            </w:pPr>
            <w:r w:rsidRPr="00A9508B">
              <w:rPr>
                <w:rFonts w:ascii="Arial" w:eastAsia="Times New Roman" w:hAnsi="Arial" w:cs="Arial"/>
                <w:b/>
                <w:bCs/>
                <w:kern w:val="0"/>
                <w:lang w:eastAsia="en-GB"/>
                <w14:ligatures w14:val="none"/>
              </w:rPr>
              <w:t>Regulatory Compliance</w:t>
            </w:r>
          </w:p>
        </w:tc>
        <w:tc>
          <w:tcPr>
            <w:tcW w:w="1803" w:type="dxa"/>
          </w:tcPr>
          <w:p w14:paraId="2976CADE" w14:textId="702D7BD9" w:rsidR="007D41DA" w:rsidRPr="00E23B77" w:rsidRDefault="00E23B77" w:rsidP="00CA2525">
            <w:pPr>
              <w:rPr>
                <w:rFonts w:ascii="Arial" w:eastAsia="Times New Roman" w:hAnsi="Arial" w:cs="Arial"/>
                <w:kern w:val="0"/>
                <w:lang w:eastAsia="en-GB"/>
                <w14:ligatures w14:val="none"/>
              </w:rPr>
            </w:pPr>
            <w:r w:rsidRPr="00E23B77">
              <w:rPr>
                <w:rFonts w:ascii="Arial" w:eastAsia="Times New Roman" w:hAnsi="Arial" w:cs="Arial"/>
                <w:kern w:val="0"/>
                <w:lang w:eastAsia="en-GB"/>
                <w14:ligatures w14:val="none"/>
              </w:rPr>
              <w:t>DEI Compliance</w:t>
            </w:r>
          </w:p>
        </w:tc>
        <w:tc>
          <w:tcPr>
            <w:tcW w:w="1803" w:type="dxa"/>
          </w:tcPr>
          <w:p w14:paraId="4D5164C4" w14:textId="0C0A9355" w:rsidR="007D41DA" w:rsidRPr="00E23B77" w:rsidRDefault="00E23B77" w:rsidP="00CA2525">
            <w:pPr>
              <w:rPr>
                <w:rFonts w:ascii="Arial" w:eastAsia="Times New Roman" w:hAnsi="Arial" w:cs="Arial"/>
                <w:kern w:val="0"/>
                <w:lang w:eastAsia="en-GB"/>
                <w14:ligatures w14:val="none"/>
              </w:rPr>
            </w:pPr>
            <w:r w:rsidRPr="00E23B77">
              <w:rPr>
                <w:rFonts w:ascii="Arial" w:eastAsia="Times New Roman" w:hAnsi="Arial" w:cs="Arial"/>
                <w:kern w:val="0"/>
                <w:lang w:eastAsia="en-GB"/>
                <w14:ligatures w14:val="none"/>
              </w:rPr>
              <w:t>Alignment with Equality Act 2010 and internal DEI standards</w:t>
            </w:r>
          </w:p>
        </w:tc>
        <w:tc>
          <w:tcPr>
            <w:tcW w:w="1803" w:type="dxa"/>
          </w:tcPr>
          <w:p w14:paraId="469393EF" w14:textId="7A1C959A" w:rsidR="007D41DA" w:rsidRPr="00E23B77" w:rsidRDefault="00E23B77" w:rsidP="00CA2525">
            <w:pPr>
              <w:rPr>
                <w:rFonts w:ascii="Arial" w:eastAsia="Times New Roman" w:hAnsi="Arial" w:cs="Arial"/>
                <w:kern w:val="0"/>
                <w:lang w:eastAsia="en-GB"/>
                <w14:ligatures w14:val="none"/>
              </w:rPr>
            </w:pPr>
            <w:r w:rsidRPr="00E23B77">
              <w:rPr>
                <w:rFonts w:ascii="Arial" w:eastAsia="Times New Roman" w:hAnsi="Arial" w:cs="Arial"/>
                <w:kern w:val="0"/>
                <w:lang w:eastAsia="en-GB"/>
                <w14:ligatures w14:val="none"/>
              </w:rPr>
              <w:t>100% compliance</w:t>
            </w:r>
          </w:p>
        </w:tc>
        <w:tc>
          <w:tcPr>
            <w:tcW w:w="1804" w:type="dxa"/>
          </w:tcPr>
          <w:p w14:paraId="269F24C6" w14:textId="1E222D96" w:rsidR="007D41DA" w:rsidRPr="00E23B77" w:rsidRDefault="00E23B77" w:rsidP="00CA2525">
            <w:pPr>
              <w:rPr>
                <w:rFonts w:ascii="Arial" w:eastAsia="Times New Roman" w:hAnsi="Arial" w:cs="Arial"/>
                <w:kern w:val="0"/>
                <w:lang w:eastAsia="en-GB"/>
                <w14:ligatures w14:val="none"/>
              </w:rPr>
            </w:pPr>
            <w:r w:rsidRPr="00E23B77">
              <w:rPr>
                <w:rFonts w:ascii="Arial" w:eastAsia="Times New Roman" w:hAnsi="Arial" w:cs="Arial"/>
                <w:kern w:val="0"/>
                <w:lang w:eastAsia="en-GB"/>
                <w14:ligatures w14:val="none"/>
              </w:rPr>
              <w:t>HR audits; DEI reporting</w:t>
            </w:r>
          </w:p>
        </w:tc>
      </w:tr>
    </w:tbl>
    <w:p w14:paraId="1183F6A5" w14:textId="77777777" w:rsidR="007D41DA" w:rsidRDefault="007D41DA" w:rsidP="007E5F92">
      <w:pPr>
        <w:spacing w:before="100" w:beforeAutospacing="1" w:after="100" w:afterAutospacing="1" w:line="360" w:lineRule="auto"/>
        <w:rPr>
          <w:rFonts w:ascii="Arial" w:eastAsia="Times New Roman" w:hAnsi="Arial" w:cs="Arial"/>
          <w:b/>
          <w:bCs/>
          <w:kern w:val="0"/>
          <w:lang w:eastAsia="en-GB"/>
          <w14:ligatures w14:val="none"/>
        </w:rPr>
      </w:pPr>
    </w:p>
    <w:p w14:paraId="046E4D1A" w14:textId="77777777" w:rsidR="00B60B3B" w:rsidRDefault="00B60B3B" w:rsidP="00B60B3B">
      <w:pPr>
        <w:pStyle w:val="ListParagraph"/>
        <w:spacing w:before="100" w:beforeAutospacing="1" w:after="100" w:afterAutospacing="1" w:line="360" w:lineRule="auto"/>
        <w:rPr>
          <w:rFonts w:ascii="Arial" w:eastAsia="Times New Roman" w:hAnsi="Arial" w:cs="Arial"/>
          <w:b/>
          <w:bCs/>
          <w:kern w:val="0"/>
          <w:sz w:val="28"/>
          <w:szCs w:val="28"/>
          <w:lang w:eastAsia="en-GB"/>
          <w14:ligatures w14:val="none"/>
        </w:rPr>
      </w:pPr>
    </w:p>
    <w:p w14:paraId="42DC00AD" w14:textId="77777777" w:rsidR="00B60B3B" w:rsidRDefault="00B60B3B" w:rsidP="00B60B3B">
      <w:pPr>
        <w:pStyle w:val="ListParagraph"/>
        <w:spacing w:before="100" w:beforeAutospacing="1" w:after="100" w:afterAutospacing="1" w:line="360" w:lineRule="auto"/>
        <w:rPr>
          <w:rFonts w:ascii="Arial" w:eastAsia="Times New Roman" w:hAnsi="Arial" w:cs="Arial"/>
          <w:b/>
          <w:bCs/>
          <w:kern w:val="0"/>
          <w:sz w:val="28"/>
          <w:szCs w:val="28"/>
          <w:lang w:eastAsia="en-GB"/>
          <w14:ligatures w14:val="none"/>
        </w:rPr>
      </w:pPr>
    </w:p>
    <w:p w14:paraId="646EE648" w14:textId="447DA0C0" w:rsidR="007E5F92" w:rsidRPr="004277A3" w:rsidRDefault="004277A3" w:rsidP="004277A3">
      <w:pPr>
        <w:spacing w:before="100" w:beforeAutospacing="1" w:after="100" w:afterAutospacing="1" w:line="360" w:lineRule="auto"/>
        <w:rPr>
          <w:rFonts w:ascii="Arial" w:eastAsia="Times New Roman" w:hAnsi="Arial" w:cs="Arial"/>
          <w:b/>
          <w:bCs/>
          <w:kern w:val="0"/>
          <w:sz w:val="28"/>
          <w:szCs w:val="28"/>
          <w:lang w:eastAsia="en-GB"/>
          <w14:ligatures w14:val="none"/>
        </w:rPr>
      </w:pPr>
      <w:r>
        <w:rPr>
          <w:rFonts w:ascii="Arial" w:eastAsia="Times New Roman" w:hAnsi="Arial" w:cs="Arial"/>
          <w:b/>
          <w:bCs/>
          <w:kern w:val="0"/>
          <w:sz w:val="28"/>
          <w:szCs w:val="28"/>
          <w:lang w:eastAsia="en-GB"/>
          <w14:ligatures w14:val="none"/>
        </w:rPr>
        <w:t>6.</w:t>
      </w:r>
      <w:r w:rsidR="007E5F92" w:rsidRPr="004277A3">
        <w:rPr>
          <w:rFonts w:ascii="Arial" w:eastAsia="Times New Roman" w:hAnsi="Arial" w:cs="Arial"/>
          <w:b/>
          <w:bCs/>
          <w:kern w:val="0"/>
          <w:sz w:val="28"/>
          <w:szCs w:val="28"/>
          <w:lang w:eastAsia="en-GB"/>
          <w14:ligatures w14:val="none"/>
        </w:rPr>
        <w:t xml:space="preserve">Conclusion and Recommendations </w:t>
      </w:r>
    </w:p>
    <w:p w14:paraId="0D853BBD"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In conclusion, the John Lewis Partnership faces interconnected HR challenges in meeting technological advancement, talent acquisition and retention, and Diversity, Equity and Inclusion (DEI) within a competitive retail landscape. While the employee-owned model provides a strong foundation for belonging and shared purpose, digital transformation, restructuring pressures, and the need for genuine inclusivity demand sustained, evidence-based responses (John Lewis Partnership, 2025a; 2025b). Contemporary HR practices—such as AI-enhanced tools, culturally intelligent leadership, and targeted development programmes—demonstrate potential when critically implemented, yet their success hinges on overcoming skills gaps, trust issues, and measurement limitations.</w:t>
      </w:r>
    </w:p>
    <w:p w14:paraId="4B51847F"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b/>
          <w:bCs/>
          <w:kern w:val="0"/>
          <w:lang w:eastAsia="en-GB"/>
          <w14:ligatures w14:val="none"/>
        </w:rPr>
        <w:t>Recommendations:</w:t>
      </w:r>
    </w:p>
    <w:p w14:paraId="1154D6E1" w14:textId="77777777" w:rsidR="007E5F92" w:rsidRPr="009C28E1" w:rsidRDefault="007E5F92" w:rsidP="007E5F92">
      <w:pPr>
        <w:numPr>
          <w:ilvl w:val="0"/>
          <w:numId w:val="1"/>
        </w:numPr>
        <w:spacing w:before="100" w:beforeAutospacing="1" w:after="100" w:afterAutospacing="1" w:line="360" w:lineRule="auto"/>
        <w:ind w:firstLine="0"/>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Accelerate manager training on AI ethics, inclusive leadership, and retention analytics (Q2 2026).</w:t>
      </w:r>
    </w:p>
    <w:p w14:paraId="7EC427F0" w14:textId="77777777" w:rsidR="007E5F92" w:rsidRPr="009C28E1" w:rsidRDefault="007E5F92" w:rsidP="007E5F92">
      <w:pPr>
        <w:numPr>
          <w:ilvl w:val="0"/>
          <w:numId w:val="1"/>
        </w:numPr>
        <w:spacing w:before="100" w:beforeAutospacing="1" w:after="100" w:afterAutospacing="1" w:line="360" w:lineRule="auto"/>
        <w:ind w:firstLine="0"/>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Integrate DEI and digital KPIs into all departmental objectives with quarterly reviews.</w:t>
      </w:r>
    </w:p>
    <w:p w14:paraId="463D16DA" w14:textId="77777777" w:rsidR="007E5F92" w:rsidRPr="009C28E1" w:rsidRDefault="007E5F92" w:rsidP="007E5F92">
      <w:pPr>
        <w:numPr>
          <w:ilvl w:val="0"/>
          <w:numId w:val="1"/>
        </w:numPr>
        <w:spacing w:before="100" w:beforeAutospacing="1" w:after="100" w:afterAutospacing="1" w:line="360" w:lineRule="auto"/>
        <w:ind w:firstLine="0"/>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Expand Elevate-style programmes and tech apprenticeships, targeting 20% skills uplift.</w:t>
      </w:r>
    </w:p>
    <w:p w14:paraId="30A27BFE" w14:textId="77777777" w:rsidR="007E5F92" w:rsidRPr="009C28E1" w:rsidRDefault="007E5F92" w:rsidP="007E5F92">
      <w:pPr>
        <w:numPr>
          <w:ilvl w:val="0"/>
          <w:numId w:val="1"/>
        </w:numPr>
        <w:spacing w:before="100" w:beforeAutospacing="1" w:after="100" w:afterAutospacing="1" w:line="360" w:lineRule="auto"/>
        <w:ind w:firstLine="0"/>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Conduct annual external audits of pay gaps and belonging metrics.</w:t>
      </w:r>
    </w:p>
    <w:p w14:paraId="647B8E19" w14:textId="77777777" w:rsidR="007E5F92" w:rsidRPr="009C28E1" w:rsidRDefault="007E5F92" w:rsidP="007E5F92">
      <w:pPr>
        <w:numPr>
          <w:ilvl w:val="0"/>
          <w:numId w:val="1"/>
        </w:numPr>
        <w:spacing w:before="100" w:beforeAutospacing="1" w:after="100" w:afterAutospacing="1" w:line="360" w:lineRule="auto"/>
        <w:ind w:firstLine="0"/>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Pilot AI-assisted career pathways to align retention with transformation.</w:t>
      </w:r>
    </w:p>
    <w:p w14:paraId="73073237"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These will position JLP as the UK’s most inclusive, future-ready employer (John Lewis Partnership, 2025a).</w:t>
      </w:r>
    </w:p>
    <w:p w14:paraId="761E5FB7" w14:textId="77777777" w:rsidR="007E5F92" w:rsidRPr="009C28E1" w:rsidRDefault="007E5F92" w:rsidP="007E5F92">
      <w:pPr>
        <w:spacing w:before="100" w:beforeAutospacing="1" w:after="100" w:afterAutospacing="1" w:line="360" w:lineRule="auto"/>
        <w:rPr>
          <w:rFonts w:ascii="Arial" w:eastAsia="Times New Roman" w:hAnsi="Arial" w:cs="Arial"/>
          <w:b/>
          <w:bCs/>
          <w:kern w:val="0"/>
          <w:lang w:eastAsia="en-GB"/>
          <w14:ligatures w14:val="none"/>
        </w:rPr>
      </w:pPr>
    </w:p>
    <w:p w14:paraId="01658E5B" w14:textId="77777777" w:rsidR="007E5F92" w:rsidRDefault="007E5F92" w:rsidP="007E5F92">
      <w:pPr>
        <w:spacing w:before="100" w:beforeAutospacing="1" w:after="100" w:afterAutospacing="1" w:line="360" w:lineRule="auto"/>
        <w:rPr>
          <w:rFonts w:ascii="Arial" w:eastAsia="Times New Roman" w:hAnsi="Arial" w:cs="Arial"/>
          <w:b/>
          <w:bCs/>
          <w:kern w:val="0"/>
          <w:lang w:eastAsia="en-GB"/>
          <w14:ligatures w14:val="none"/>
        </w:rPr>
      </w:pPr>
      <w:bookmarkStart w:id="5" w:name="_Hlk226218234"/>
    </w:p>
    <w:p w14:paraId="6259664F" w14:textId="77777777" w:rsidR="007E5F92" w:rsidRDefault="007E5F92" w:rsidP="007E5F92">
      <w:pPr>
        <w:spacing w:before="100" w:beforeAutospacing="1" w:after="100" w:afterAutospacing="1" w:line="360" w:lineRule="auto"/>
        <w:rPr>
          <w:rFonts w:ascii="Arial" w:eastAsia="Times New Roman" w:hAnsi="Arial" w:cs="Arial"/>
          <w:b/>
          <w:bCs/>
          <w:kern w:val="0"/>
          <w:lang w:eastAsia="en-GB"/>
          <w14:ligatures w14:val="none"/>
        </w:rPr>
      </w:pPr>
    </w:p>
    <w:p w14:paraId="73DBC61C" w14:textId="77777777" w:rsidR="007E5F92" w:rsidRDefault="007E5F92" w:rsidP="007E5F92">
      <w:pPr>
        <w:spacing w:before="100" w:beforeAutospacing="1" w:after="100" w:afterAutospacing="1" w:line="360" w:lineRule="auto"/>
        <w:rPr>
          <w:rFonts w:ascii="Arial" w:eastAsia="Times New Roman" w:hAnsi="Arial" w:cs="Arial"/>
          <w:b/>
          <w:bCs/>
          <w:kern w:val="0"/>
          <w:lang w:eastAsia="en-GB"/>
          <w14:ligatures w14:val="none"/>
        </w:rPr>
      </w:pPr>
    </w:p>
    <w:p w14:paraId="6C8F0224" w14:textId="77777777" w:rsidR="007E5F92" w:rsidRDefault="007E5F92" w:rsidP="007E5F92">
      <w:pPr>
        <w:spacing w:before="100" w:beforeAutospacing="1" w:after="100" w:afterAutospacing="1" w:line="360" w:lineRule="auto"/>
        <w:rPr>
          <w:rFonts w:ascii="Arial" w:eastAsia="Times New Roman" w:hAnsi="Arial" w:cs="Arial"/>
          <w:b/>
          <w:bCs/>
          <w:kern w:val="0"/>
          <w:lang w:eastAsia="en-GB"/>
          <w14:ligatures w14:val="none"/>
        </w:rPr>
      </w:pPr>
    </w:p>
    <w:p w14:paraId="7A6D0023" w14:textId="77777777" w:rsidR="007E5F92" w:rsidRDefault="007E5F92" w:rsidP="007E5F92">
      <w:pPr>
        <w:spacing w:before="100" w:beforeAutospacing="1" w:after="100" w:afterAutospacing="1" w:line="360" w:lineRule="auto"/>
        <w:rPr>
          <w:rFonts w:ascii="Arial" w:eastAsia="Times New Roman" w:hAnsi="Arial" w:cs="Arial"/>
          <w:b/>
          <w:bCs/>
          <w:kern w:val="0"/>
          <w:lang w:eastAsia="en-GB"/>
          <w14:ligatures w14:val="none"/>
        </w:rPr>
      </w:pPr>
    </w:p>
    <w:p w14:paraId="406E1A1D" w14:textId="77777777" w:rsidR="007E5F92" w:rsidRDefault="007E5F92" w:rsidP="007E5F92">
      <w:pPr>
        <w:spacing w:before="100" w:beforeAutospacing="1" w:after="100" w:afterAutospacing="1" w:line="360" w:lineRule="auto"/>
        <w:rPr>
          <w:rFonts w:ascii="Arial" w:eastAsia="Times New Roman" w:hAnsi="Arial" w:cs="Arial"/>
          <w:b/>
          <w:bCs/>
          <w:kern w:val="0"/>
          <w:lang w:eastAsia="en-GB"/>
          <w14:ligatures w14:val="none"/>
        </w:rPr>
      </w:pPr>
    </w:p>
    <w:p w14:paraId="4281F306" w14:textId="77777777" w:rsidR="007E5F92" w:rsidRDefault="007E5F92" w:rsidP="007E5F92">
      <w:pPr>
        <w:spacing w:before="100" w:beforeAutospacing="1" w:after="100" w:afterAutospacing="1" w:line="360" w:lineRule="auto"/>
        <w:rPr>
          <w:rFonts w:ascii="Arial" w:eastAsia="Times New Roman" w:hAnsi="Arial" w:cs="Arial"/>
          <w:b/>
          <w:bCs/>
          <w:kern w:val="0"/>
          <w:lang w:eastAsia="en-GB"/>
          <w14:ligatures w14:val="none"/>
        </w:rPr>
      </w:pPr>
    </w:p>
    <w:p w14:paraId="064AD383" w14:textId="0EBDD46A" w:rsidR="007E5F92" w:rsidRPr="007E5F92" w:rsidRDefault="004277A3" w:rsidP="007E5F92">
      <w:pPr>
        <w:spacing w:before="100" w:beforeAutospacing="1" w:after="100" w:afterAutospacing="1" w:line="360" w:lineRule="auto"/>
        <w:rPr>
          <w:rFonts w:ascii="Arial" w:eastAsia="Times New Roman" w:hAnsi="Arial" w:cs="Arial"/>
          <w:kern w:val="0"/>
          <w:sz w:val="28"/>
          <w:szCs w:val="28"/>
          <w:lang w:eastAsia="en-GB"/>
          <w14:ligatures w14:val="none"/>
        </w:rPr>
      </w:pPr>
      <w:r>
        <w:rPr>
          <w:rFonts w:ascii="Arial" w:eastAsia="Times New Roman" w:hAnsi="Arial" w:cs="Arial"/>
          <w:b/>
          <w:bCs/>
          <w:kern w:val="0"/>
          <w:sz w:val="28"/>
          <w:szCs w:val="28"/>
          <w:lang w:eastAsia="en-GB"/>
          <w14:ligatures w14:val="none"/>
        </w:rPr>
        <w:t>7.</w:t>
      </w:r>
      <w:r w:rsidR="007E5F92" w:rsidRPr="007E5F92">
        <w:rPr>
          <w:rFonts w:ascii="Arial" w:eastAsia="Times New Roman" w:hAnsi="Arial" w:cs="Arial"/>
          <w:b/>
          <w:bCs/>
          <w:kern w:val="0"/>
          <w:sz w:val="28"/>
          <w:szCs w:val="28"/>
          <w:lang w:eastAsia="en-GB"/>
          <w14:ligatures w14:val="none"/>
        </w:rPr>
        <w:t>Reference List</w:t>
      </w:r>
      <w:r w:rsidR="007E5F92" w:rsidRPr="007E5F92">
        <w:rPr>
          <w:rFonts w:ascii="Arial" w:eastAsia="Times New Roman" w:hAnsi="Arial" w:cs="Arial"/>
          <w:kern w:val="0"/>
          <w:sz w:val="28"/>
          <w:szCs w:val="28"/>
          <w:lang w:eastAsia="en-GB"/>
          <w14:ligatures w14:val="none"/>
        </w:rPr>
        <w:t xml:space="preserve"> </w:t>
      </w:r>
    </w:p>
    <w:bookmarkEnd w:id="5"/>
    <w:p w14:paraId="7FA10EF2"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Armstrong, M. and Taylor, S. (2024) </w:t>
      </w:r>
      <w:r w:rsidRPr="009C28E1">
        <w:rPr>
          <w:rFonts w:ascii="Arial" w:eastAsia="Times New Roman" w:hAnsi="Arial" w:cs="Arial"/>
          <w:i/>
          <w:iCs/>
          <w:kern w:val="0"/>
          <w:lang w:eastAsia="en-GB"/>
          <w14:ligatures w14:val="none"/>
        </w:rPr>
        <w:t>Armstrong’s handbook of human resource management practice</w:t>
      </w:r>
      <w:r w:rsidRPr="009C28E1">
        <w:rPr>
          <w:rFonts w:ascii="Arial" w:eastAsia="Times New Roman" w:hAnsi="Arial" w:cs="Arial"/>
          <w:kern w:val="0"/>
          <w:lang w:eastAsia="en-GB"/>
          <w14:ligatures w14:val="none"/>
        </w:rPr>
        <w:t xml:space="preserve">. 16th </w:t>
      </w:r>
      <w:proofErr w:type="spellStart"/>
      <w:r w:rsidRPr="009C28E1">
        <w:rPr>
          <w:rFonts w:ascii="Arial" w:eastAsia="Times New Roman" w:hAnsi="Arial" w:cs="Arial"/>
          <w:kern w:val="0"/>
          <w:lang w:eastAsia="en-GB"/>
          <w14:ligatures w14:val="none"/>
        </w:rPr>
        <w:t>edn</w:t>
      </w:r>
      <w:proofErr w:type="spellEnd"/>
      <w:r w:rsidRPr="009C28E1">
        <w:rPr>
          <w:rFonts w:ascii="Arial" w:eastAsia="Times New Roman" w:hAnsi="Arial" w:cs="Arial"/>
          <w:kern w:val="0"/>
          <w:lang w:eastAsia="en-GB"/>
          <w14:ligatures w14:val="none"/>
        </w:rPr>
        <w:t xml:space="preserve">. London: Kogan Page. </w:t>
      </w:r>
    </w:p>
    <w:p w14:paraId="60C74941"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John Lewis Partnership. (2024a). Belonging at JLP Report 2024. </w:t>
      </w:r>
    </w:p>
    <w:p w14:paraId="58523FD1"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John Lewis Partnership. (2024b). Ethics &amp; Sustainability Report 2023/24. </w:t>
      </w:r>
    </w:p>
    <w:p w14:paraId="666722C5"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John Lewis Partnership. (2025a). Belonging at JLP Report 2025. </w:t>
      </w:r>
    </w:p>
    <w:p w14:paraId="1DADC459"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John Lewis Partnership. (2025b). John Lewis plc Annual Report and Accounts 2025. </w:t>
      </w:r>
    </w:p>
    <w:p w14:paraId="2E524993"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Murphy, S. M. (2024). Retention strategies to retain retail employees. </w:t>
      </w:r>
      <w:r w:rsidRPr="009C28E1">
        <w:rPr>
          <w:rFonts w:ascii="Arial" w:eastAsia="Times New Roman" w:hAnsi="Arial" w:cs="Arial"/>
          <w:i/>
          <w:iCs/>
          <w:kern w:val="0"/>
          <w:lang w:eastAsia="en-GB"/>
          <w14:ligatures w14:val="none"/>
        </w:rPr>
        <w:t>Walden University Dissertations</w:t>
      </w:r>
      <w:r w:rsidRPr="009C28E1">
        <w:rPr>
          <w:rFonts w:ascii="Arial" w:eastAsia="Times New Roman" w:hAnsi="Arial" w:cs="Arial"/>
          <w:kern w:val="0"/>
          <w:lang w:eastAsia="en-GB"/>
          <w14:ligatures w14:val="none"/>
        </w:rPr>
        <w:t xml:space="preserve">. </w:t>
      </w:r>
    </w:p>
    <w:p w14:paraId="25DD4B92"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Nastase, C. (2025). Strategic human resource management in the digital era. </w:t>
      </w:r>
      <w:r w:rsidRPr="009C28E1">
        <w:rPr>
          <w:rFonts w:ascii="Arial" w:eastAsia="Times New Roman" w:hAnsi="Arial" w:cs="Arial"/>
          <w:i/>
          <w:iCs/>
          <w:kern w:val="0"/>
          <w:lang w:eastAsia="en-GB"/>
          <w14:ligatures w14:val="none"/>
        </w:rPr>
        <w:t>Merits</w:t>
      </w:r>
      <w:r w:rsidRPr="009C28E1">
        <w:rPr>
          <w:rFonts w:ascii="Arial" w:eastAsia="Times New Roman" w:hAnsi="Arial" w:cs="Arial"/>
          <w:kern w:val="0"/>
          <w:lang w:eastAsia="en-GB"/>
          <w14:ligatures w14:val="none"/>
        </w:rPr>
        <w:t xml:space="preserve">, 5(4), 23. </w:t>
      </w:r>
      <w:hyperlink r:id="rId6" w:tgtFrame="_blank" w:history="1">
        <w:r w:rsidRPr="009C28E1">
          <w:rPr>
            <w:rStyle w:val="Hyperlink"/>
            <w:rFonts w:ascii="Arial" w:eastAsia="Times New Roman" w:hAnsi="Arial" w:cs="Arial"/>
            <w:kern w:val="0"/>
            <w:lang w:eastAsia="en-GB"/>
            <w14:ligatures w14:val="none"/>
          </w:rPr>
          <w:t>https://doi.org/10.3390/merits5040023</w:t>
        </w:r>
      </w:hyperlink>
      <w:r w:rsidRPr="009C28E1">
        <w:rPr>
          <w:rFonts w:ascii="Arial" w:eastAsia="Times New Roman" w:hAnsi="Arial" w:cs="Arial"/>
          <w:kern w:val="0"/>
          <w:lang w:eastAsia="en-GB"/>
          <w14:ligatures w14:val="none"/>
        </w:rPr>
        <w:t xml:space="preserve"> </w:t>
      </w:r>
    </w:p>
    <w:p w14:paraId="35A8D83C"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Presbitero, A. (2025). Employee engagement and retention in multicultural work groups. </w:t>
      </w:r>
      <w:r w:rsidRPr="009C28E1">
        <w:rPr>
          <w:rFonts w:ascii="Arial" w:eastAsia="Times New Roman" w:hAnsi="Arial" w:cs="Arial"/>
          <w:i/>
          <w:iCs/>
          <w:kern w:val="0"/>
          <w:lang w:eastAsia="en-GB"/>
          <w14:ligatures w14:val="none"/>
        </w:rPr>
        <w:t>Journal of Business Research</w:t>
      </w:r>
      <w:r w:rsidRPr="009C28E1">
        <w:rPr>
          <w:rFonts w:ascii="Arial" w:eastAsia="Times New Roman" w:hAnsi="Arial" w:cs="Arial"/>
          <w:kern w:val="0"/>
          <w:lang w:eastAsia="en-GB"/>
          <w14:ligatures w14:val="none"/>
        </w:rPr>
        <w:t xml:space="preserve">. </w:t>
      </w:r>
      <w:hyperlink r:id="rId7" w:tgtFrame="_blank" w:history="1">
        <w:r w:rsidRPr="009C28E1">
          <w:rPr>
            <w:rStyle w:val="Hyperlink"/>
            <w:rFonts w:ascii="Arial" w:eastAsia="Times New Roman" w:hAnsi="Arial" w:cs="Arial"/>
            <w:kern w:val="0"/>
            <w:lang w:eastAsia="en-GB"/>
            <w14:ligatures w14:val="none"/>
          </w:rPr>
          <w:t>https://doi.org/10.1016/j.jbusres.2024</w:t>
        </w:r>
      </w:hyperlink>
      <w:r w:rsidRPr="009C28E1">
        <w:rPr>
          <w:rFonts w:ascii="Arial" w:eastAsia="Times New Roman" w:hAnsi="Arial" w:cs="Arial"/>
          <w:kern w:val="0"/>
          <w:lang w:eastAsia="en-GB"/>
          <w14:ligatures w14:val="none"/>
        </w:rPr>
        <w:t xml:space="preserve">. (Cited by 48) </w:t>
      </w:r>
    </w:p>
    <w:p w14:paraId="297C587B"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proofErr w:type="spellStart"/>
      <w:r w:rsidRPr="009C28E1">
        <w:rPr>
          <w:rFonts w:ascii="Arial" w:eastAsia="Times New Roman" w:hAnsi="Arial" w:cs="Arial"/>
          <w:kern w:val="0"/>
          <w:lang w:eastAsia="en-GB"/>
          <w14:ligatures w14:val="none"/>
        </w:rPr>
        <w:t>Xuecheng</w:t>
      </w:r>
      <w:proofErr w:type="spellEnd"/>
      <w:r w:rsidRPr="009C28E1">
        <w:rPr>
          <w:rFonts w:ascii="Arial" w:eastAsia="Times New Roman" w:hAnsi="Arial" w:cs="Arial"/>
          <w:kern w:val="0"/>
          <w:lang w:eastAsia="en-GB"/>
          <w14:ligatures w14:val="none"/>
        </w:rPr>
        <w:t xml:space="preserve">, W., et al. (2022). Factors affecting employee's retention. </w:t>
      </w:r>
      <w:r w:rsidRPr="009C28E1">
        <w:rPr>
          <w:rFonts w:ascii="Arial" w:eastAsia="Times New Roman" w:hAnsi="Arial" w:cs="Arial"/>
          <w:i/>
          <w:iCs/>
          <w:kern w:val="0"/>
          <w:lang w:eastAsia="en-GB"/>
          <w14:ligatures w14:val="none"/>
        </w:rPr>
        <w:t>Frontiers in Psychology</w:t>
      </w:r>
      <w:r w:rsidRPr="009C28E1">
        <w:rPr>
          <w:rFonts w:ascii="Arial" w:eastAsia="Times New Roman" w:hAnsi="Arial" w:cs="Arial"/>
          <w:kern w:val="0"/>
          <w:lang w:eastAsia="en-GB"/>
          <w14:ligatures w14:val="none"/>
        </w:rPr>
        <w:t xml:space="preserve">, 13. </w:t>
      </w:r>
      <w:hyperlink r:id="rId8" w:tgtFrame="_blank" w:history="1">
        <w:r w:rsidRPr="009C28E1">
          <w:rPr>
            <w:rStyle w:val="Hyperlink"/>
            <w:rFonts w:ascii="Arial" w:eastAsia="Times New Roman" w:hAnsi="Arial" w:cs="Arial"/>
            <w:kern w:val="0"/>
            <w:lang w:eastAsia="en-GB"/>
            <w14:ligatures w14:val="none"/>
          </w:rPr>
          <w:t>https://doi.org/10.3389/fpsyg.2022.872105</w:t>
        </w:r>
      </w:hyperlink>
      <w:r w:rsidRPr="009C28E1">
        <w:rPr>
          <w:rFonts w:ascii="Arial" w:eastAsia="Times New Roman" w:hAnsi="Arial" w:cs="Arial"/>
          <w:kern w:val="0"/>
          <w:lang w:eastAsia="en-GB"/>
          <w14:ligatures w14:val="none"/>
        </w:rPr>
        <w:t xml:space="preserve"> </w:t>
      </w:r>
    </w:p>
    <w:p w14:paraId="225B22A1"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(AI in HRM) ResearchGate. (2025). The impact of technological advancements on human resource management practices. </w:t>
      </w:r>
    </w:p>
    <w:p w14:paraId="1D4C39F4"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CIPD. (2024). Contemporary HR practices in retail (synthesised from sector reports). </w:t>
      </w:r>
    </w:p>
    <w:p w14:paraId="105819B7"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 xml:space="preserve"> LEAD Network. (2024). Women in retail advancement (JLP partnership reference). </w:t>
      </w:r>
    </w:p>
    <w:p w14:paraId="1EDF2D51" w14:textId="77777777" w:rsidR="007E5F92" w:rsidRPr="009C28E1" w:rsidRDefault="007E5F92" w:rsidP="007E5F92">
      <w:pPr>
        <w:spacing w:before="100" w:beforeAutospacing="1" w:after="100" w:afterAutospacing="1" w:line="360" w:lineRule="auto"/>
        <w:rPr>
          <w:rFonts w:ascii="Arial" w:eastAsia="Times New Roman" w:hAnsi="Arial" w:cs="Arial"/>
          <w:kern w:val="0"/>
          <w:lang w:eastAsia="en-GB"/>
          <w14:ligatures w14:val="none"/>
        </w:rPr>
      </w:pPr>
      <w:r w:rsidRPr="009C28E1">
        <w:rPr>
          <w:rFonts w:ascii="Arial" w:eastAsia="Times New Roman" w:hAnsi="Arial" w:cs="Arial"/>
          <w:kern w:val="0"/>
          <w:lang w:eastAsia="en-GB"/>
          <w14:ligatures w14:val="none"/>
        </w:rPr>
        <w:t>55/Redefined. (2024). Age-inclusive employer accreditation – JLP case.</w:t>
      </w:r>
    </w:p>
    <w:p w14:paraId="4CFE5BCA" w14:textId="77777777" w:rsidR="007E5F92" w:rsidRPr="009C28E1" w:rsidRDefault="007E5F92" w:rsidP="007E5F92">
      <w:pPr>
        <w:spacing w:before="100" w:beforeAutospacing="1" w:after="100" w:afterAutospacing="1" w:line="240" w:lineRule="auto"/>
        <w:rPr>
          <w:rFonts w:ascii="Arial" w:eastAsia="Times New Roman" w:hAnsi="Arial" w:cs="Arial"/>
          <w:kern w:val="0"/>
          <w:sz w:val="28"/>
          <w:szCs w:val="28"/>
          <w:lang w:eastAsia="en-GB"/>
          <w14:ligatures w14:val="none"/>
        </w:rPr>
      </w:pPr>
    </w:p>
    <w:p w14:paraId="3DE6F552" w14:textId="77777777" w:rsidR="007E5F92" w:rsidRPr="00F50DB6" w:rsidRDefault="007E5F92" w:rsidP="007E5F92">
      <w:pPr>
        <w:spacing w:line="360" w:lineRule="auto"/>
        <w:rPr>
          <w:b/>
          <w:bCs/>
          <w:sz w:val="32"/>
          <w:szCs w:val="32"/>
        </w:rPr>
      </w:pPr>
    </w:p>
    <w:p w14:paraId="0A92795F" w14:textId="77777777" w:rsidR="007E5F92" w:rsidRDefault="007E5F92"/>
    <w:sectPr w:rsidR="007E5F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A140B2"/>
    <w:multiLevelType w:val="hybridMultilevel"/>
    <w:tmpl w:val="75E06FC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C061BF"/>
    <w:multiLevelType w:val="hybridMultilevel"/>
    <w:tmpl w:val="5FB290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B401B0"/>
    <w:multiLevelType w:val="hybridMultilevel"/>
    <w:tmpl w:val="D0D035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F01EB8"/>
    <w:multiLevelType w:val="hybridMultilevel"/>
    <w:tmpl w:val="4AE6D18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FFD45E2"/>
    <w:multiLevelType w:val="hybridMultilevel"/>
    <w:tmpl w:val="578E69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6C3C33"/>
    <w:multiLevelType w:val="hybridMultilevel"/>
    <w:tmpl w:val="5404AE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5A2E53"/>
    <w:multiLevelType w:val="hybridMultilevel"/>
    <w:tmpl w:val="E1A4F6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D73817"/>
    <w:multiLevelType w:val="hybridMultilevel"/>
    <w:tmpl w:val="90F8E9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3F6B01"/>
    <w:multiLevelType w:val="hybridMultilevel"/>
    <w:tmpl w:val="8410C1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D9046B"/>
    <w:multiLevelType w:val="hybridMultilevel"/>
    <w:tmpl w:val="4230B8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F32B17"/>
    <w:multiLevelType w:val="hybridMultilevel"/>
    <w:tmpl w:val="BCF465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1C4A15"/>
    <w:multiLevelType w:val="hybridMultilevel"/>
    <w:tmpl w:val="B1CA1E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CB46EE"/>
    <w:multiLevelType w:val="multilevel"/>
    <w:tmpl w:val="B144EC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4D51869"/>
    <w:multiLevelType w:val="hybridMultilevel"/>
    <w:tmpl w:val="6810B7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B20871"/>
    <w:multiLevelType w:val="hybridMultilevel"/>
    <w:tmpl w:val="F58810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AC4CCF"/>
    <w:multiLevelType w:val="hybridMultilevel"/>
    <w:tmpl w:val="EA2427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A17CEF"/>
    <w:multiLevelType w:val="hybridMultilevel"/>
    <w:tmpl w:val="75EC7E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81F16BB"/>
    <w:multiLevelType w:val="hybridMultilevel"/>
    <w:tmpl w:val="596CEF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9274720">
    <w:abstractNumId w:val="12"/>
  </w:num>
  <w:num w:numId="2" w16cid:durableId="582421409">
    <w:abstractNumId w:val="10"/>
  </w:num>
  <w:num w:numId="3" w16cid:durableId="917206234">
    <w:abstractNumId w:val="4"/>
  </w:num>
  <w:num w:numId="4" w16cid:durableId="496771671">
    <w:abstractNumId w:val="2"/>
  </w:num>
  <w:num w:numId="5" w16cid:durableId="309216188">
    <w:abstractNumId w:val="9"/>
  </w:num>
  <w:num w:numId="6" w16cid:durableId="1072200411">
    <w:abstractNumId w:val="13"/>
  </w:num>
  <w:num w:numId="7" w16cid:durableId="476999926">
    <w:abstractNumId w:val="11"/>
  </w:num>
  <w:num w:numId="8" w16cid:durableId="1322271307">
    <w:abstractNumId w:val="15"/>
  </w:num>
  <w:num w:numId="9" w16cid:durableId="470832724">
    <w:abstractNumId w:val="0"/>
  </w:num>
  <w:num w:numId="10" w16cid:durableId="1849950612">
    <w:abstractNumId w:val="16"/>
  </w:num>
  <w:num w:numId="11" w16cid:durableId="1391810547">
    <w:abstractNumId w:val="7"/>
  </w:num>
  <w:num w:numId="12" w16cid:durableId="1887519866">
    <w:abstractNumId w:val="6"/>
  </w:num>
  <w:num w:numId="13" w16cid:durableId="923337388">
    <w:abstractNumId w:val="5"/>
  </w:num>
  <w:num w:numId="14" w16cid:durableId="2028143034">
    <w:abstractNumId w:val="14"/>
  </w:num>
  <w:num w:numId="15" w16cid:durableId="848494615">
    <w:abstractNumId w:val="3"/>
  </w:num>
  <w:num w:numId="16" w16cid:durableId="499085451">
    <w:abstractNumId w:val="8"/>
  </w:num>
  <w:num w:numId="17" w16cid:durableId="761025457">
    <w:abstractNumId w:val="17"/>
  </w:num>
  <w:num w:numId="18" w16cid:durableId="5230600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B13"/>
    <w:rsid w:val="0009666B"/>
    <w:rsid w:val="000E7EA8"/>
    <w:rsid w:val="00111A42"/>
    <w:rsid w:val="001A4BE1"/>
    <w:rsid w:val="002402A4"/>
    <w:rsid w:val="00281B13"/>
    <w:rsid w:val="004277A3"/>
    <w:rsid w:val="006C330D"/>
    <w:rsid w:val="007D41DA"/>
    <w:rsid w:val="007E5F92"/>
    <w:rsid w:val="008068FF"/>
    <w:rsid w:val="00865E6F"/>
    <w:rsid w:val="008874AD"/>
    <w:rsid w:val="009A4A18"/>
    <w:rsid w:val="009D6767"/>
    <w:rsid w:val="00A346B4"/>
    <w:rsid w:val="00A67816"/>
    <w:rsid w:val="00A9508B"/>
    <w:rsid w:val="00B60B3B"/>
    <w:rsid w:val="00C039D4"/>
    <w:rsid w:val="00CA2525"/>
    <w:rsid w:val="00E23B77"/>
    <w:rsid w:val="00ED143E"/>
    <w:rsid w:val="00EE2154"/>
    <w:rsid w:val="00F807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06824"/>
  <w15:chartTrackingRefBased/>
  <w15:docId w15:val="{C94B04EB-3F28-4FCA-A841-28B9FFFF7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F92"/>
  </w:style>
  <w:style w:type="paragraph" w:styleId="Heading1">
    <w:name w:val="heading 1"/>
    <w:basedOn w:val="Normal"/>
    <w:next w:val="Normal"/>
    <w:link w:val="Heading1Char"/>
    <w:uiPriority w:val="9"/>
    <w:qFormat/>
    <w:rsid w:val="00281B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1B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1B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1B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1B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1B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1B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1B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1B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1B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1B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1B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1B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1B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1B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1B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1B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1B13"/>
    <w:rPr>
      <w:rFonts w:eastAsiaTheme="majorEastAsia" w:cstheme="majorBidi"/>
      <w:color w:val="272727" w:themeColor="text1" w:themeTint="D8"/>
    </w:rPr>
  </w:style>
  <w:style w:type="paragraph" w:styleId="Title">
    <w:name w:val="Title"/>
    <w:basedOn w:val="Normal"/>
    <w:next w:val="Normal"/>
    <w:link w:val="TitleChar"/>
    <w:uiPriority w:val="10"/>
    <w:qFormat/>
    <w:rsid w:val="00281B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1B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1B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1B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1B13"/>
    <w:pPr>
      <w:spacing w:before="160"/>
      <w:jc w:val="center"/>
    </w:pPr>
    <w:rPr>
      <w:i/>
      <w:iCs/>
      <w:color w:val="404040" w:themeColor="text1" w:themeTint="BF"/>
    </w:rPr>
  </w:style>
  <w:style w:type="character" w:customStyle="1" w:styleId="QuoteChar">
    <w:name w:val="Quote Char"/>
    <w:basedOn w:val="DefaultParagraphFont"/>
    <w:link w:val="Quote"/>
    <w:uiPriority w:val="29"/>
    <w:rsid w:val="00281B13"/>
    <w:rPr>
      <w:i/>
      <w:iCs/>
      <w:color w:val="404040" w:themeColor="text1" w:themeTint="BF"/>
    </w:rPr>
  </w:style>
  <w:style w:type="paragraph" w:styleId="ListParagraph">
    <w:name w:val="List Paragraph"/>
    <w:basedOn w:val="Normal"/>
    <w:uiPriority w:val="34"/>
    <w:qFormat/>
    <w:rsid w:val="00281B13"/>
    <w:pPr>
      <w:ind w:left="720"/>
      <w:contextualSpacing/>
    </w:pPr>
  </w:style>
  <w:style w:type="character" w:styleId="IntenseEmphasis">
    <w:name w:val="Intense Emphasis"/>
    <w:basedOn w:val="DefaultParagraphFont"/>
    <w:uiPriority w:val="21"/>
    <w:qFormat/>
    <w:rsid w:val="00281B13"/>
    <w:rPr>
      <w:i/>
      <w:iCs/>
      <w:color w:val="0F4761" w:themeColor="accent1" w:themeShade="BF"/>
    </w:rPr>
  </w:style>
  <w:style w:type="paragraph" w:styleId="IntenseQuote">
    <w:name w:val="Intense Quote"/>
    <w:basedOn w:val="Normal"/>
    <w:next w:val="Normal"/>
    <w:link w:val="IntenseQuoteChar"/>
    <w:uiPriority w:val="30"/>
    <w:qFormat/>
    <w:rsid w:val="00281B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1B13"/>
    <w:rPr>
      <w:i/>
      <w:iCs/>
      <w:color w:val="0F4761" w:themeColor="accent1" w:themeShade="BF"/>
    </w:rPr>
  </w:style>
  <w:style w:type="character" w:styleId="IntenseReference">
    <w:name w:val="Intense Reference"/>
    <w:basedOn w:val="DefaultParagraphFont"/>
    <w:uiPriority w:val="32"/>
    <w:qFormat/>
    <w:rsid w:val="00281B13"/>
    <w:rPr>
      <w:b/>
      <w:bCs/>
      <w:smallCaps/>
      <w:color w:val="0F4761" w:themeColor="accent1" w:themeShade="BF"/>
      <w:spacing w:val="5"/>
    </w:rPr>
  </w:style>
  <w:style w:type="character" w:styleId="Hyperlink">
    <w:name w:val="Hyperlink"/>
    <w:basedOn w:val="DefaultParagraphFont"/>
    <w:uiPriority w:val="99"/>
    <w:unhideWhenUsed/>
    <w:rsid w:val="007E5F92"/>
    <w:rPr>
      <w:color w:val="467886" w:themeColor="hyperlink"/>
      <w:u w:val="single"/>
    </w:rPr>
  </w:style>
  <w:style w:type="table" w:styleId="TableGrid">
    <w:name w:val="Table Grid"/>
    <w:basedOn w:val="TableNormal"/>
    <w:uiPriority w:val="39"/>
    <w:rsid w:val="007D41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psyg.2022.872105" TargetMode="External"/><Relationship Id="rId3" Type="http://schemas.openxmlformats.org/officeDocument/2006/relationships/settings" Target="settings.xml"/><Relationship Id="rId7" Type="http://schemas.openxmlformats.org/officeDocument/2006/relationships/hyperlink" Target="https://doi.org/10.1016/j.jbusres.202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3390/merits5040023"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489</TotalTime>
  <Pages>1</Pages>
  <Words>2596</Words>
  <Characters>14802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Camelia Alina Luchian (2418818)</dc:creator>
  <cp:keywords/>
  <dc:description/>
  <cp:lastModifiedBy>Camelia Alina Luchian (2418818)</cp:lastModifiedBy>
  <cp:revision>11</cp:revision>
  <dcterms:created xsi:type="dcterms:W3CDTF">2026-04-04T22:08:00Z</dcterms:created>
  <dcterms:modified xsi:type="dcterms:W3CDTF">2026-04-12T18:42:00Z</dcterms:modified>
</cp:coreProperties>
</file>