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E91F6" w14:textId="40A76EC0" w:rsidR="00DF67CF" w:rsidRPr="00B346DF" w:rsidRDefault="000F386D" w:rsidP="00B346DF">
      <w:pPr>
        <w:jc w:val="center"/>
        <w:rPr>
          <w:u w:val="single"/>
        </w:rPr>
      </w:pPr>
      <w:r w:rsidRPr="00B346DF">
        <w:rPr>
          <w:u w:val="single"/>
        </w:rPr>
        <w:t>Response to ‘Permeable Boundaries: Experiencing the Divine Beyond Sight’, by Silvia Sensi</w:t>
      </w:r>
    </w:p>
    <w:p w14:paraId="60CD51BD" w14:textId="4300DCFD" w:rsidR="001A2E78" w:rsidRDefault="001A2E78" w:rsidP="004F4C70">
      <w:r w:rsidRPr="001A2E78">
        <w:t xml:space="preserve">This paper argues that ancient Egyptian religion should be understood as a deeply multi-sensory experience, with smell playing a central role in how </w:t>
      </w:r>
      <w:r w:rsidR="007B554C">
        <w:t>the Egyptians</w:t>
      </w:r>
      <w:r w:rsidRPr="001A2E78">
        <w:t xml:space="preserve"> interacted with the divine. </w:t>
      </w:r>
      <w:r w:rsidR="00146BCD">
        <w:t>S</w:t>
      </w:r>
      <w:r w:rsidR="007B554C">
        <w:t>ilvia</w:t>
      </w:r>
      <w:r w:rsidRPr="001A2E78">
        <w:t xml:space="preserve"> uses sensorial archaeology to show how fragrance—through incense, sacred plants, and perfumes—was considered a</w:t>
      </w:r>
      <w:r w:rsidR="004A2995">
        <w:t xml:space="preserve">n </w:t>
      </w:r>
      <w:r w:rsidRPr="001A2E78">
        <w:t>extension of the gods themselves. Scents from substances like myrrh, frankincense, and lotus were embedded in myth, ritual, and temple environments, where they could animate divine statues</w:t>
      </w:r>
      <w:r w:rsidR="009E2545">
        <w:t xml:space="preserve"> and</w:t>
      </w:r>
      <w:r w:rsidRPr="001A2E78">
        <w:t xml:space="preserve"> restore life</w:t>
      </w:r>
      <w:r w:rsidR="009E2545">
        <w:t xml:space="preserve"> to the dead.</w:t>
      </w:r>
      <w:r w:rsidR="007015DB">
        <w:t xml:space="preserve"> Silvia also discusses the association of solar symbolism with scent, positioning it as a channel through which solar energy and divine life force are transmitted. </w:t>
      </w:r>
      <w:r w:rsidRPr="001A2E78">
        <w:t>Overall, it calls for a shift in Egyptology toward incorporating all the senses to better reconstruct how ancient Egyptians lived, experienced, and understood their world.</w:t>
      </w:r>
    </w:p>
    <w:p w14:paraId="565AF7AA" w14:textId="4C0546F5" w:rsidR="00B346DF" w:rsidRDefault="002D1C15" w:rsidP="004F4C70">
      <w:r>
        <w:t>I</w:t>
      </w:r>
      <w:r w:rsidR="00FC6626">
        <w:t xml:space="preserve">ncense and plants </w:t>
      </w:r>
      <w:r>
        <w:t xml:space="preserve">are frequently depicted </w:t>
      </w:r>
      <w:r w:rsidR="00FC6626">
        <w:t>in Egyptian art</w:t>
      </w:r>
      <w:r>
        <w:t>,</w:t>
      </w:r>
      <w:r w:rsidR="00FC6626">
        <w:t xml:space="preserve"> and I have </w:t>
      </w:r>
      <w:r w:rsidR="00F12705">
        <w:t xml:space="preserve">often </w:t>
      </w:r>
      <w:r w:rsidR="00FC6626">
        <w:t>wondered wh</w:t>
      </w:r>
      <w:r>
        <w:t xml:space="preserve">ich specific ingredients </w:t>
      </w:r>
      <w:r w:rsidR="00FC6626">
        <w:t xml:space="preserve">would have been used and </w:t>
      </w:r>
      <w:r>
        <w:t>the sacred meaning behind them.</w:t>
      </w:r>
      <w:r w:rsidR="00B346DF">
        <w:t xml:space="preserve"> Silvia has raised many </w:t>
      </w:r>
      <w:r>
        <w:t>engaging</w:t>
      </w:r>
      <w:r w:rsidR="00B346DF">
        <w:t xml:space="preserve"> points for discussion and </w:t>
      </w:r>
      <w:r>
        <w:t xml:space="preserve">there are </w:t>
      </w:r>
      <w:r w:rsidR="00CA02B8">
        <w:t>some</w:t>
      </w:r>
      <w:r>
        <w:t xml:space="preserve"> areas I would be </w:t>
      </w:r>
      <w:r w:rsidR="00CA02B8">
        <w:t>i</w:t>
      </w:r>
      <w:r>
        <w:t xml:space="preserve">nterested in seeing her develop further in her final thesis.  </w:t>
      </w:r>
    </w:p>
    <w:p w14:paraId="46026B50" w14:textId="1759A327" w:rsidR="004F4C70" w:rsidRDefault="00F12705" w:rsidP="00CA02B8">
      <w:r w:rsidRPr="00F12705">
        <w:t>First</w:t>
      </w:r>
      <w:r>
        <w:t>,</w:t>
      </w:r>
      <w:r w:rsidRPr="00F12705">
        <w:t xml:space="preserve"> </w:t>
      </w:r>
      <w:r w:rsidR="00865661">
        <w:t xml:space="preserve">it </w:t>
      </w:r>
      <w:r w:rsidR="00146BCD">
        <w:t>might be interesting to include</w:t>
      </w:r>
      <w:r w:rsidRPr="00F12705">
        <w:t xml:space="preserve"> more context</w:t>
      </w:r>
      <w:r w:rsidR="004F4C70">
        <w:t xml:space="preserve"> about the </w:t>
      </w:r>
      <w:r>
        <w:t xml:space="preserve">ancient Egyptian </w:t>
      </w:r>
      <w:r w:rsidR="004F4C70">
        <w:t xml:space="preserve">landscape. </w:t>
      </w:r>
      <w:r>
        <w:t xml:space="preserve">We often think of Egypt as </w:t>
      </w:r>
      <w:r w:rsidR="00DE3F08">
        <w:t xml:space="preserve">predominantly </w:t>
      </w:r>
      <w:r>
        <w:t>desert</w:t>
      </w:r>
      <w:r w:rsidR="00DE3F08">
        <w:t>-like</w:t>
      </w:r>
      <w:r>
        <w:t xml:space="preserve">, but along the Nile it was </w:t>
      </w:r>
      <w:proofErr w:type="gramStart"/>
      <w:r>
        <w:t>actually lush</w:t>
      </w:r>
      <w:proofErr w:type="gramEnd"/>
      <w:r>
        <w:t xml:space="preserve"> and fertile. It would be interesting to explore which plants were available locally and which might have been imported, for example through trade expeditions to Punt. </w:t>
      </w:r>
      <w:r w:rsidR="004F4C70">
        <w:t xml:space="preserve"> </w:t>
      </w:r>
      <w:r>
        <w:t xml:space="preserve">Expanding on this could help us understand where the ingredients for perfumes and incense came from. </w:t>
      </w:r>
      <w:r w:rsidR="00694D49">
        <w:t xml:space="preserve"> </w:t>
      </w:r>
    </w:p>
    <w:p w14:paraId="57EF4E99" w14:textId="77777777" w:rsidR="002824C2" w:rsidRDefault="002824C2" w:rsidP="002824C2">
      <w:r>
        <w:t xml:space="preserve">Sylvia has mentioned several different types of plant and ingredients used in the fragrances, such as lotus blossom and sycamore. It would be worthwhile developing this further, examining some material evidence. For example, recipes found on papyrus tell us that </w:t>
      </w:r>
      <w:proofErr w:type="spellStart"/>
      <w:r>
        <w:t>kyphi</w:t>
      </w:r>
      <w:proofErr w:type="spellEnd"/>
      <w:r>
        <w:t xml:space="preserve"> was a mixture of honey, resins and herbs and this was used to appease and soothe the deities. There appears to a be a lot of evidence about the ‘Seven Sacred Oils’, described in the Pyramid Texts, temple inscriptions and found in physical evidence such as fragrance jars. Including more information on ingredients and production methods would make the discussion more concrete and vivid. Would the preparation of the fragrance have been considered a ritual in itself?  </w:t>
      </w:r>
    </w:p>
    <w:p w14:paraId="2426B6C4" w14:textId="3C0049FB" w:rsidR="009C7D3D" w:rsidRDefault="00A50D07" w:rsidP="005B022A">
      <w:r>
        <w:t>T</w:t>
      </w:r>
      <w:r w:rsidR="005B022A">
        <w:t>h</w:t>
      </w:r>
      <w:r w:rsidR="00F12705">
        <w:t xml:space="preserve">e paper’s discussion of temple spaces </w:t>
      </w:r>
      <w:r>
        <w:t xml:space="preserve">is particularly effective, especially the </w:t>
      </w:r>
      <w:r w:rsidR="00F12705">
        <w:t xml:space="preserve">use </w:t>
      </w:r>
      <w:r w:rsidR="00AF34F8">
        <w:t>of images</w:t>
      </w:r>
      <w:r w:rsidR="005B022A">
        <w:t xml:space="preserve"> </w:t>
      </w:r>
      <w:r>
        <w:t>such as</w:t>
      </w:r>
      <w:r w:rsidR="005B022A">
        <w:t xml:space="preserve"> the temple </w:t>
      </w:r>
      <w:r w:rsidR="00E901EA">
        <w:t xml:space="preserve">garden </w:t>
      </w:r>
      <w:r w:rsidR="005B022A">
        <w:t>of Amun-Ra</w:t>
      </w:r>
      <w:r>
        <w:t>, which helps situate scent</w:t>
      </w:r>
      <w:r w:rsidR="00F12705">
        <w:t xml:space="preserve"> </w:t>
      </w:r>
      <w:r w:rsidR="00B709F9">
        <w:t xml:space="preserve">in </w:t>
      </w:r>
      <w:r w:rsidR="00F12705">
        <w:t>a</w:t>
      </w:r>
      <w:r w:rsidR="00B709F9">
        <w:t xml:space="preserve"> religious context.</w:t>
      </w:r>
      <w:r w:rsidR="005B022A">
        <w:t xml:space="preserve"> </w:t>
      </w:r>
      <w:r w:rsidR="00F12705">
        <w:t xml:space="preserve">However, </w:t>
      </w:r>
      <w:r w:rsidR="00CD1171">
        <w:t>the discussion of non-elite experience could be developed further</w:t>
      </w:r>
      <w:r w:rsidR="00F12705">
        <w:t>. The introduction mentions</w:t>
      </w:r>
      <w:r>
        <w:t xml:space="preserve"> non-elite engagement with the divine, but</w:t>
      </w:r>
      <w:r w:rsidR="00F12705">
        <w:t xml:space="preserve"> </w:t>
      </w:r>
      <w:r w:rsidR="00B953FD">
        <w:t xml:space="preserve">did </w:t>
      </w:r>
      <w:r w:rsidR="00F12705">
        <w:t xml:space="preserve">poorer </w:t>
      </w:r>
      <w:r w:rsidR="00AF34F8">
        <w:t>individuals</w:t>
      </w:r>
      <w:r w:rsidR="00F12705">
        <w:t xml:space="preserve"> ha</w:t>
      </w:r>
      <w:r w:rsidR="00B953FD">
        <w:t>ve</w:t>
      </w:r>
      <w:r w:rsidR="00F12705">
        <w:t xml:space="preserve"> access to different ointments incense o</w:t>
      </w:r>
      <w:r w:rsidR="00865661">
        <w:t>r</w:t>
      </w:r>
      <w:r w:rsidR="00F12705">
        <w:t xml:space="preserve"> perfumes</w:t>
      </w:r>
      <w:r w:rsidR="00B953FD">
        <w:t>?</w:t>
      </w:r>
      <w:r w:rsidR="009415D0" w:rsidRPr="009415D0">
        <w:t xml:space="preserve"> </w:t>
      </w:r>
      <w:r w:rsidR="009415D0">
        <w:t xml:space="preserve">Lucas (1930), for example, notes that Frankincense and Myrrh were in popular use but became too </w:t>
      </w:r>
      <w:r w:rsidR="009415D0">
        <w:lastRenderedPageBreak/>
        <w:t xml:space="preserve">expensive for ordinary people and brown resin was used instead. </w:t>
      </w:r>
      <w:r w:rsidR="00F12705">
        <w:t xml:space="preserve">It would be </w:t>
      </w:r>
      <w:r w:rsidR="007015DB">
        <w:t>worthwhile</w:t>
      </w:r>
      <w:r w:rsidR="00F12705">
        <w:t xml:space="preserve"> to compare how priests and non-elite used fragrance in worship. </w:t>
      </w:r>
      <w:r w:rsidR="009C7D3D">
        <w:t xml:space="preserve"> For </w:t>
      </w:r>
      <w:r w:rsidR="00F12705">
        <w:t>instance</w:t>
      </w:r>
      <w:r w:rsidR="009C7D3D">
        <w:t>,</w:t>
      </w:r>
      <w:r w:rsidR="00B709F9">
        <w:t xml:space="preserve"> priests used an olfactory ‘clock’ </w:t>
      </w:r>
      <w:r w:rsidR="00B709F9" w:rsidRPr="006C2725">
        <w:t xml:space="preserve">burning frankincense in the morning, myrrh at midday, and </w:t>
      </w:r>
      <w:proofErr w:type="spellStart"/>
      <w:r w:rsidR="00B709F9" w:rsidRPr="006C2725">
        <w:t>kyphi</w:t>
      </w:r>
      <w:proofErr w:type="spellEnd"/>
      <w:r w:rsidR="00B709F9" w:rsidRPr="006C2725">
        <w:t xml:space="preserve"> in the evening</w:t>
      </w:r>
      <w:r w:rsidR="00166F8B">
        <w:t>; was fragrance used in a similar way</w:t>
      </w:r>
      <w:r w:rsidR="00F12705">
        <w:t xml:space="preserve"> in </w:t>
      </w:r>
      <w:r w:rsidR="004F65A6">
        <w:t>domestic space</w:t>
      </w:r>
      <w:r w:rsidR="00F12705">
        <w:t>s</w:t>
      </w:r>
      <w:r w:rsidR="004F65A6">
        <w:t xml:space="preserve">? </w:t>
      </w:r>
    </w:p>
    <w:p w14:paraId="142E7CC9" w14:textId="271F0C1E" w:rsidR="00A50D07" w:rsidRDefault="00F12705" w:rsidP="00A50D07">
      <w:r>
        <w:t>Finally</w:t>
      </w:r>
      <w:r w:rsidR="00CD1171">
        <w:t>,</w:t>
      </w:r>
      <w:r>
        <w:t xml:space="preserve"> I would suggest addressing some of the methodological challenges. O</w:t>
      </w:r>
      <w:r w:rsidR="009C7D3D">
        <w:t>rganic substances found in tombs</w:t>
      </w:r>
      <w:r w:rsidR="007015DB">
        <w:t xml:space="preserve"> </w:t>
      </w:r>
      <w:r w:rsidR="009C7D3D">
        <w:t>decayed over time making the</w:t>
      </w:r>
      <w:r w:rsidR="00865661">
        <w:t>m</w:t>
      </w:r>
      <w:r w:rsidR="009C7D3D">
        <w:t xml:space="preserve"> difficult to analyse.</w:t>
      </w:r>
      <w:r w:rsidR="00AF34F8">
        <w:t xml:space="preserve"> </w:t>
      </w:r>
      <w:r w:rsidR="00CD1171">
        <w:t>How far</w:t>
      </w:r>
      <w:r w:rsidR="00B953FD">
        <w:t xml:space="preserve"> can we </w:t>
      </w:r>
      <w:r w:rsidR="00CD1171">
        <w:t xml:space="preserve">reconstruct smell archaeologically? </w:t>
      </w:r>
      <w:r w:rsidR="00AF34F8">
        <w:t xml:space="preserve">Being more explicit about these limitations would strengthen the argument. </w:t>
      </w:r>
      <w:r w:rsidR="009C7D3D">
        <w:t xml:space="preserve"> </w:t>
      </w:r>
    </w:p>
    <w:p w14:paraId="04B5705A" w14:textId="1C2F3D23" w:rsidR="00AF34F8" w:rsidRDefault="00B709F9">
      <w:r>
        <w:t xml:space="preserve">Overall, </w:t>
      </w:r>
      <w:r w:rsidR="00AF34F8">
        <w:t>this</w:t>
      </w:r>
      <w:r>
        <w:t xml:space="preserve"> is</w:t>
      </w:r>
      <w:r w:rsidR="00AF34F8">
        <w:t xml:space="preserve"> a</w:t>
      </w:r>
      <w:r w:rsidR="00B953FD">
        <w:t xml:space="preserve"> very informative and interesting paper</w:t>
      </w:r>
      <w:r w:rsidR="00DE3F08">
        <w:t xml:space="preserve"> that I very much enjoyed reading. </w:t>
      </w:r>
    </w:p>
    <w:p w14:paraId="630F1F32" w14:textId="77777777" w:rsidR="009415D0" w:rsidRDefault="009415D0" w:rsidP="009415D0">
      <w:r>
        <w:t>Bibliography</w:t>
      </w:r>
    </w:p>
    <w:p w14:paraId="470687CE" w14:textId="568C7506" w:rsidR="009415D0" w:rsidRPr="002442CE" w:rsidRDefault="009415D0" w:rsidP="009415D0">
      <w:pPr>
        <w:pStyle w:val="ListParagraph"/>
        <w:numPr>
          <w:ilvl w:val="0"/>
          <w:numId w:val="3"/>
        </w:numPr>
      </w:pPr>
      <w:hyperlink r:id="rId5" w:history="1">
        <w:r w:rsidRPr="002442CE">
          <w:rPr>
            <w:rStyle w:val="Hyperlink"/>
            <w:color w:val="auto"/>
            <w:u w:val="none"/>
          </w:rPr>
          <w:t>Lucas</w:t>
        </w:r>
      </w:hyperlink>
      <w:r w:rsidRPr="002442CE">
        <w:t>, A.</w:t>
      </w:r>
      <w:r w:rsidR="002442CE">
        <w:t>(1930)</w:t>
      </w:r>
      <w:r w:rsidRPr="002442CE">
        <w:t xml:space="preserve"> </w:t>
      </w:r>
      <w:hyperlink r:id="rId6" w:history="1">
        <w:r w:rsidRPr="002442CE">
          <w:rPr>
            <w:rStyle w:val="Hyperlink"/>
            <w:i/>
            <w:iCs/>
            <w:color w:val="auto"/>
            <w:u w:val="none"/>
          </w:rPr>
          <w:t>The Journal of Egyptian Archaeology</w:t>
        </w:r>
      </w:hyperlink>
      <w:r w:rsidRPr="002442CE">
        <w:t xml:space="preserve">, 16, </w:t>
      </w:r>
      <w:r w:rsidR="002824C2">
        <w:t>(</w:t>
      </w:r>
      <w:r w:rsidRPr="002442CE">
        <w:t>1/2</w:t>
      </w:r>
      <w:r w:rsidR="002824C2">
        <w:t>)</w:t>
      </w:r>
      <w:r w:rsidRPr="002442CE">
        <w:t xml:space="preserve">, pp. 41-53 </w:t>
      </w:r>
      <w:hyperlink r:id="rId7" w:tgtFrame="_blank" w:history="1">
        <w:r w:rsidRPr="002442CE">
          <w:rPr>
            <w:rStyle w:val="Hyperlink"/>
            <w:color w:val="auto"/>
            <w:u w:val="none"/>
          </w:rPr>
          <w:t>https://doi.org/10.2307/3854332</w:t>
        </w:r>
      </w:hyperlink>
      <w:r w:rsidRPr="002442CE">
        <w:t xml:space="preserve"> </w:t>
      </w:r>
    </w:p>
    <w:p w14:paraId="7FD84921" w14:textId="504A21FB" w:rsidR="00B346DF" w:rsidRPr="002442CE" w:rsidRDefault="009415D0" w:rsidP="009415D0">
      <w:pPr>
        <w:pStyle w:val="ListParagraph"/>
        <w:numPr>
          <w:ilvl w:val="0"/>
          <w:numId w:val="3"/>
        </w:numPr>
      </w:pPr>
      <w:r w:rsidRPr="002442CE">
        <w:t>El-</w:t>
      </w:r>
      <w:proofErr w:type="spellStart"/>
      <w:r w:rsidRPr="002442CE">
        <w:t>Badrawy</w:t>
      </w:r>
      <w:proofErr w:type="spellEnd"/>
      <w:r w:rsidRPr="002442CE">
        <w:t xml:space="preserve">, S. (2023) </w:t>
      </w:r>
      <w:r w:rsidRPr="002442CE">
        <w:rPr>
          <w:i/>
          <w:iCs/>
        </w:rPr>
        <w:t xml:space="preserve">The religious function of </w:t>
      </w:r>
      <w:r w:rsidRPr="002442CE">
        <w:t xml:space="preserve">oils </w:t>
      </w:r>
      <w:r w:rsidRPr="002824C2">
        <w:rPr>
          <w:i/>
          <w:iCs/>
        </w:rPr>
        <w:t>in ancient Egypt</w:t>
      </w:r>
      <w:r w:rsidRPr="002442CE">
        <w:t>. Journal of the General Union of Arab Archaeologists, 8(2), pp. 79–112</w:t>
      </w:r>
    </w:p>
    <w:sectPr w:rsidR="00B346DF" w:rsidRPr="00244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214E3"/>
    <w:multiLevelType w:val="hybridMultilevel"/>
    <w:tmpl w:val="EFE82D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2130A08"/>
    <w:multiLevelType w:val="hybridMultilevel"/>
    <w:tmpl w:val="EAFE9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D0E86"/>
    <w:multiLevelType w:val="hybridMultilevel"/>
    <w:tmpl w:val="DF4C08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4211036"/>
    <w:multiLevelType w:val="hybridMultilevel"/>
    <w:tmpl w:val="55807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7F475F"/>
    <w:multiLevelType w:val="hybridMultilevel"/>
    <w:tmpl w:val="921A8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AE13D5"/>
    <w:multiLevelType w:val="hybridMultilevel"/>
    <w:tmpl w:val="2DBE16AE"/>
    <w:lvl w:ilvl="0" w:tplc="0809000F">
      <w:start w:val="1"/>
      <w:numFmt w:val="decimal"/>
      <w:lvlText w:val="%1."/>
      <w:lvlJc w:val="left"/>
      <w:pPr>
        <w:ind w:left="720" w:hanging="360"/>
      </w:pPr>
      <w:rPr>
        <w:rFonts w:hint="default"/>
      </w:rPr>
    </w:lvl>
    <w:lvl w:ilvl="1" w:tplc="70A83BAE">
      <w:start w:val="1"/>
      <w:numFmt w:val="upperLetter"/>
      <w:lvlText w:val="%2."/>
      <w:lvlJc w:val="left"/>
      <w:pPr>
        <w:ind w:left="1440" w:hanging="360"/>
      </w:pPr>
      <w:rPr>
        <w:rFonts w:hint="default"/>
        <w:color w:val="467886" w:themeColor="hyperlink"/>
        <w:u w:val="single"/>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226A1C"/>
    <w:multiLevelType w:val="hybridMultilevel"/>
    <w:tmpl w:val="1EC61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5A3A85"/>
    <w:multiLevelType w:val="hybridMultilevel"/>
    <w:tmpl w:val="7326F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B955DE"/>
    <w:multiLevelType w:val="hybridMultilevel"/>
    <w:tmpl w:val="27BA7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1584482">
    <w:abstractNumId w:val="8"/>
  </w:num>
  <w:num w:numId="2" w16cid:durableId="1878158192">
    <w:abstractNumId w:val="5"/>
  </w:num>
  <w:num w:numId="3" w16cid:durableId="1516110367">
    <w:abstractNumId w:val="1"/>
  </w:num>
  <w:num w:numId="4" w16cid:durableId="1233541800">
    <w:abstractNumId w:val="3"/>
  </w:num>
  <w:num w:numId="5" w16cid:durableId="2109688324">
    <w:abstractNumId w:val="4"/>
  </w:num>
  <w:num w:numId="6" w16cid:durableId="214582109">
    <w:abstractNumId w:val="0"/>
  </w:num>
  <w:num w:numId="7" w16cid:durableId="1747339526">
    <w:abstractNumId w:val="6"/>
  </w:num>
  <w:num w:numId="8" w16cid:durableId="1115059791">
    <w:abstractNumId w:val="2"/>
  </w:num>
  <w:num w:numId="9" w16cid:durableId="7886238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86D"/>
    <w:rsid w:val="00062FA7"/>
    <w:rsid w:val="000953BC"/>
    <w:rsid w:val="000D3089"/>
    <w:rsid w:val="000F386D"/>
    <w:rsid w:val="00122CDF"/>
    <w:rsid w:val="00146BCD"/>
    <w:rsid w:val="00166F8B"/>
    <w:rsid w:val="001A2E78"/>
    <w:rsid w:val="0022580A"/>
    <w:rsid w:val="002442CE"/>
    <w:rsid w:val="00254461"/>
    <w:rsid w:val="00260D99"/>
    <w:rsid w:val="002824C2"/>
    <w:rsid w:val="002D1C15"/>
    <w:rsid w:val="004A2995"/>
    <w:rsid w:val="004D2C33"/>
    <w:rsid w:val="004F4C70"/>
    <w:rsid w:val="004F65A6"/>
    <w:rsid w:val="005B022A"/>
    <w:rsid w:val="0069330D"/>
    <w:rsid w:val="00694D49"/>
    <w:rsid w:val="006C2725"/>
    <w:rsid w:val="007015DB"/>
    <w:rsid w:val="00755234"/>
    <w:rsid w:val="00757B80"/>
    <w:rsid w:val="007B554C"/>
    <w:rsid w:val="00865661"/>
    <w:rsid w:val="00901A94"/>
    <w:rsid w:val="009415D0"/>
    <w:rsid w:val="009C7D3D"/>
    <w:rsid w:val="009E2545"/>
    <w:rsid w:val="009F505A"/>
    <w:rsid w:val="00A50D07"/>
    <w:rsid w:val="00AF34F8"/>
    <w:rsid w:val="00B346DF"/>
    <w:rsid w:val="00B709F9"/>
    <w:rsid w:val="00B953FD"/>
    <w:rsid w:val="00BD6B3D"/>
    <w:rsid w:val="00C36CFA"/>
    <w:rsid w:val="00CA02B8"/>
    <w:rsid w:val="00CD1171"/>
    <w:rsid w:val="00D052B2"/>
    <w:rsid w:val="00D67F41"/>
    <w:rsid w:val="00DE3F08"/>
    <w:rsid w:val="00DE69E7"/>
    <w:rsid w:val="00DF67CF"/>
    <w:rsid w:val="00E901EA"/>
    <w:rsid w:val="00E91D94"/>
    <w:rsid w:val="00F12705"/>
    <w:rsid w:val="00FC3FBE"/>
    <w:rsid w:val="00FC6626"/>
    <w:rsid w:val="00FC7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A6D82"/>
  <w15:chartTrackingRefBased/>
  <w15:docId w15:val="{7BD598D4-38CC-4FE8-8EF5-5C4C62EBF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8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38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38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38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8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8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8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8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8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8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38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38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38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8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8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8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8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86D"/>
    <w:rPr>
      <w:rFonts w:eastAsiaTheme="majorEastAsia" w:cstheme="majorBidi"/>
      <w:color w:val="272727" w:themeColor="text1" w:themeTint="D8"/>
    </w:rPr>
  </w:style>
  <w:style w:type="paragraph" w:styleId="Title">
    <w:name w:val="Title"/>
    <w:basedOn w:val="Normal"/>
    <w:next w:val="Normal"/>
    <w:link w:val="TitleChar"/>
    <w:uiPriority w:val="10"/>
    <w:qFormat/>
    <w:rsid w:val="000F38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8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8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8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86D"/>
    <w:pPr>
      <w:spacing w:before="160"/>
      <w:jc w:val="center"/>
    </w:pPr>
    <w:rPr>
      <w:i/>
      <w:iCs/>
      <w:color w:val="404040" w:themeColor="text1" w:themeTint="BF"/>
    </w:rPr>
  </w:style>
  <w:style w:type="character" w:customStyle="1" w:styleId="QuoteChar">
    <w:name w:val="Quote Char"/>
    <w:basedOn w:val="DefaultParagraphFont"/>
    <w:link w:val="Quote"/>
    <w:uiPriority w:val="29"/>
    <w:rsid w:val="000F386D"/>
    <w:rPr>
      <w:i/>
      <w:iCs/>
      <w:color w:val="404040" w:themeColor="text1" w:themeTint="BF"/>
    </w:rPr>
  </w:style>
  <w:style w:type="paragraph" w:styleId="ListParagraph">
    <w:name w:val="List Paragraph"/>
    <w:basedOn w:val="Normal"/>
    <w:uiPriority w:val="34"/>
    <w:qFormat/>
    <w:rsid w:val="000F386D"/>
    <w:pPr>
      <w:ind w:left="720"/>
      <w:contextualSpacing/>
    </w:pPr>
  </w:style>
  <w:style w:type="character" w:styleId="IntenseEmphasis">
    <w:name w:val="Intense Emphasis"/>
    <w:basedOn w:val="DefaultParagraphFont"/>
    <w:uiPriority w:val="21"/>
    <w:qFormat/>
    <w:rsid w:val="000F386D"/>
    <w:rPr>
      <w:i/>
      <w:iCs/>
      <w:color w:val="0F4761" w:themeColor="accent1" w:themeShade="BF"/>
    </w:rPr>
  </w:style>
  <w:style w:type="paragraph" w:styleId="IntenseQuote">
    <w:name w:val="Intense Quote"/>
    <w:basedOn w:val="Normal"/>
    <w:next w:val="Normal"/>
    <w:link w:val="IntenseQuoteChar"/>
    <w:uiPriority w:val="30"/>
    <w:qFormat/>
    <w:rsid w:val="000F38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86D"/>
    <w:rPr>
      <w:i/>
      <w:iCs/>
      <w:color w:val="0F4761" w:themeColor="accent1" w:themeShade="BF"/>
    </w:rPr>
  </w:style>
  <w:style w:type="character" w:styleId="IntenseReference">
    <w:name w:val="Intense Reference"/>
    <w:basedOn w:val="DefaultParagraphFont"/>
    <w:uiPriority w:val="32"/>
    <w:qFormat/>
    <w:rsid w:val="000F386D"/>
    <w:rPr>
      <w:b/>
      <w:bCs/>
      <w:smallCaps/>
      <w:color w:val="0F4761" w:themeColor="accent1" w:themeShade="BF"/>
      <w:spacing w:val="5"/>
    </w:rPr>
  </w:style>
  <w:style w:type="character" w:styleId="Hyperlink">
    <w:name w:val="Hyperlink"/>
    <w:basedOn w:val="DefaultParagraphFont"/>
    <w:uiPriority w:val="99"/>
    <w:unhideWhenUsed/>
    <w:rsid w:val="00694D49"/>
    <w:rPr>
      <w:color w:val="467886" w:themeColor="hyperlink"/>
      <w:u w:val="single"/>
    </w:rPr>
  </w:style>
  <w:style w:type="character" w:styleId="UnresolvedMention">
    <w:name w:val="Unresolved Mention"/>
    <w:basedOn w:val="DefaultParagraphFont"/>
    <w:uiPriority w:val="99"/>
    <w:semiHidden/>
    <w:unhideWhenUsed/>
    <w:rsid w:val="00694D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uwtsd.idm.oclc.org/10.2307/385433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stor-org.uwtsd.idm.oclc.org/journal/jegyparch" TargetMode="External"/><Relationship Id="rId5" Type="http://schemas.openxmlformats.org/officeDocument/2006/relationships/hyperlink" Target="https://www-jstor-org.uwtsd.idm.oclc.org/action/doBasicSearch?Query=au%3A%22A.%20Lucas%2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2</Pages>
  <Words>604</Words>
  <Characters>3346</Characters>
  <Application>Microsoft Office Word</Application>
  <DocSecurity>0</DocSecurity>
  <Lines>52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Davey</dc:creator>
  <cp:keywords/>
  <dc:description/>
  <cp:lastModifiedBy>Rosie Davey</cp:lastModifiedBy>
  <cp:revision>8</cp:revision>
  <dcterms:created xsi:type="dcterms:W3CDTF">2026-03-25T13:11:00Z</dcterms:created>
  <dcterms:modified xsi:type="dcterms:W3CDTF">2026-03-25T14:14:00Z</dcterms:modified>
</cp:coreProperties>
</file>