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49E940" w14:textId="77777777" w:rsidR="00185A4F" w:rsidRPr="005D1C2F" w:rsidRDefault="00185A4F" w:rsidP="00185A4F">
      <w:pPr>
        <w:spacing w:line="276" w:lineRule="auto"/>
        <w:jc w:val="center"/>
        <w:rPr>
          <w:rFonts w:cs="Times New Roman"/>
          <w:b/>
          <w:bCs/>
          <w:sz w:val="32"/>
          <w:szCs w:val="32"/>
        </w:rPr>
      </w:pPr>
      <w:bookmarkStart w:id="0" w:name="_x90ash0e5wi" w:colFirst="0" w:colLast="0"/>
      <w:bookmarkEnd w:id="0"/>
      <w:r w:rsidRPr="005D1C2F">
        <w:rPr>
          <w:rFonts w:cs="Times New Roman"/>
          <w:b/>
          <w:bCs/>
          <w:sz w:val="32"/>
          <w:szCs w:val="32"/>
        </w:rPr>
        <w:t>Student Learning Log</w:t>
      </w:r>
    </w:p>
    <w:p w14:paraId="1F85F38D" w14:textId="77777777" w:rsidR="00185A4F" w:rsidRPr="005D1C2F" w:rsidRDefault="00185A4F" w:rsidP="00185A4F">
      <w:pPr>
        <w:spacing w:line="276" w:lineRule="auto"/>
        <w:jc w:val="center"/>
        <w:rPr>
          <w:rFonts w:cs="Times New Roman"/>
          <w:b/>
          <w:bCs/>
          <w:sz w:val="32"/>
          <w:szCs w:val="32"/>
        </w:rPr>
      </w:pPr>
    </w:p>
    <w:p w14:paraId="23DF4F41" w14:textId="77777777" w:rsidR="00185A4F" w:rsidRDefault="00185A4F" w:rsidP="00185A4F">
      <w:pPr>
        <w:spacing w:line="276" w:lineRule="auto"/>
        <w:jc w:val="center"/>
        <w:rPr>
          <w:rFonts w:cs="Times New Roman"/>
          <w:b/>
          <w:bCs/>
          <w:sz w:val="32"/>
          <w:szCs w:val="32"/>
        </w:rPr>
      </w:pPr>
      <w:r w:rsidRPr="00185A4F">
        <w:rPr>
          <w:rFonts w:cs="Times New Roman"/>
          <w:b/>
          <w:bCs/>
          <w:sz w:val="32"/>
          <w:szCs w:val="32"/>
        </w:rPr>
        <w:t>Managing Hotel Administration</w:t>
      </w:r>
    </w:p>
    <w:p w14:paraId="6DC73056" w14:textId="0449F241" w:rsidR="00185A4F" w:rsidRPr="005D1C2F" w:rsidRDefault="00185A4F" w:rsidP="00185A4F">
      <w:pPr>
        <w:spacing w:line="276" w:lineRule="auto"/>
        <w:jc w:val="center"/>
        <w:rPr>
          <w:rFonts w:cs="Times New Roman"/>
          <w:b/>
          <w:bCs/>
          <w:sz w:val="32"/>
          <w:szCs w:val="32"/>
        </w:rPr>
      </w:pPr>
      <w:r w:rsidRPr="005D1C2F">
        <w:rPr>
          <w:rFonts w:cs="Times New Roman"/>
          <w:b/>
          <w:bCs/>
          <w:sz w:val="32"/>
          <w:szCs w:val="32"/>
        </w:rPr>
        <w:t>BMIH600</w:t>
      </w:r>
      <w:r>
        <w:rPr>
          <w:rFonts w:cs="Times New Roman"/>
          <w:b/>
          <w:bCs/>
          <w:sz w:val="32"/>
          <w:szCs w:val="32"/>
        </w:rPr>
        <w:t>4</w:t>
      </w:r>
    </w:p>
    <w:p w14:paraId="0D963494" w14:textId="77777777" w:rsidR="00185A4F" w:rsidRPr="005D1C2F" w:rsidRDefault="00185A4F" w:rsidP="00185A4F">
      <w:pPr>
        <w:spacing w:line="276" w:lineRule="auto"/>
        <w:jc w:val="center"/>
        <w:rPr>
          <w:rFonts w:cs="Times New Roman"/>
          <w:b/>
          <w:bCs/>
          <w:sz w:val="32"/>
          <w:szCs w:val="32"/>
        </w:rPr>
      </w:pPr>
    </w:p>
    <w:p w14:paraId="566BC371" w14:textId="77777777" w:rsidR="00185A4F" w:rsidRPr="005D1C2F" w:rsidRDefault="00185A4F" w:rsidP="00185A4F">
      <w:pPr>
        <w:spacing w:line="276" w:lineRule="auto"/>
        <w:jc w:val="center"/>
        <w:rPr>
          <w:rFonts w:cs="Times New Roman"/>
          <w:b/>
          <w:bCs/>
          <w:sz w:val="32"/>
          <w:szCs w:val="32"/>
        </w:rPr>
      </w:pPr>
      <w:r w:rsidRPr="005D1C2F">
        <w:rPr>
          <w:rFonts w:cs="Times New Roman"/>
          <w:b/>
          <w:bCs/>
          <w:sz w:val="32"/>
          <w:szCs w:val="32"/>
        </w:rPr>
        <w:t>Ion Lucian Grigore Maracine</w:t>
      </w:r>
    </w:p>
    <w:p w14:paraId="7F35B04C" w14:textId="77777777" w:rsidR="00185A4F" w:rsidRPr="005D1C2F" w:rsidRDefault="00185A4F" w:rsidP="00185A4F">
      <w:pPr>
        <w:spacing w:line="276" w:lineRule="auto"/>
        <w:jc w:val="center"/>
        <w:rPr>
          <w:rFonts w:cs="Times New Roman"/>
          <w:b/>
          <w:bCs/>
          <w:sz w:val="32"/>
          <w:szCs w:val="32"/>
        </w:rPr>
      </w:pPr>
      <w:r w:rsidRPr="005D1C2F">
        <w:rPr>
          <w:rFonts w:cs="Times New Roman"/>
          <w:b/>
          <w:bCs/>
          <w:sz w:val="32"/>
          <w:szCs w:val="32"/>
        </w:rPr>
        <w:t>Student Number: 2131338</w:t>
      </w:r>
    </w:p>
    <w:p w14:paraId="49B9432D" w14:textId="77777777" w:rsidR="00185A4F" w:rsidRPr="005D1C2F" w:rsidRDefault="00185A4F" w:rsidP="00185A4F">
      <w:pPr>
        <w:spacing w:line="276" w:lineRule="auto"/>
        <w:jc w:val="left"/>
        <w:rPr>
          <w:rFonts w:eastAsiaTheme="majorEastAsia" w:cs="Times New Roman"/>
          <w:b/>
          <w:bCs/>
          <w:sz w:val="32"/>
          <w:szCs w:val="32"/>
        </w:rPr>
      </w:pPr>
      <w:r w:rsidRPr="005D1C2F">
        <w:rPr>
          <w:rFonts w:cs="Times New Roman"/>
          <w:sz w:val="32"/>
          <w:szCs w:val="32"/>
        </w:rPr>
        <w:br w:type="page"/>
      </w:r>
    </w:p>
    <w:sdt>
      <w:sdtPr>
        <w:rPr>
          <w:rFonts w:eastAsiaTheme="minorEastAsia" w:cstheme="minorBidi"/>
          <w:b w:val="0"/>
          <w:bCs w:val="0"/>
          <w:sz w:val="24"/>
          <w:szCs w:val="22"/>
          <w:lang w:bidi="ar-SA"/>
        </w:rPr>
        <w:id w:val="-533814146"/>
        <w:docPartObj>
          <w:docPartGallery w:val="Table of Contents"/>
          <w:docPartUnique/>
        </w:docPartObj>
      </w:sdtPr>
      <w:sdtEndPr>
        <w:rPr>
          <w:noProof/>
        </w:rPr>
      </w:sdtEndPr>
      <w:sdtContent>
        <w:p w14:paraId="3982E651" w14:textId="77777777" w:rsidR="00185A4F" w:rsidRDefault="00185A4F" w:rsidP="00185A4F">
          <w:pPr>
            <w:pStyle w:val="TOCHeading"/>
            <w:jc w:val="center"/>
          </w:pPr>
          <w:r>
            <w:t>Table of Contents</w:t>
          </w:r>
        </w:p>
        <w:p w14:paraId="6DCA73E2" w14:textId="26A0CD88" w:rsidR="00185A4F" w:rsidRDefault="00185A4F" w:rsidP="00185A4F">
          <w:pPr>
            <w:pStyle w:val="TOC1"/>
            <w:tabs>
              <w:tab w:val="right" w:leader="dot" w:pos="9350"/>
            </w:tabs>
            <w:rPr>
              <w:noProof/>
            </w:rPr>
          </w:pPr>
          <w:r>
            <w:fldChar w:fldCharType="begin"/>
          </w:r>
          <w:r>
            <w:instrText xml:space="preserve"> TOC \o "1-3" \h \z \u </w:instrText>
          </w:r>
          <w:r>
            <w:fldChar w:fldCharType="separate"/>
          </w:r>
          <w:hyperlink w:anchor="_Toc181031493" w:history="1">
            <w:r w:rsidRPr="003E7EE3">
              <w:rPr>
                <w:rStyle w:val="Hyperlink"/>
                <w:noProof/>
              </w:rPr>
              <w:t>Introduction</w:t>
            </w:r>
            <w:r>
              <w:rPr>
                <w:noProof/>
                <w:webHidden/>
              </w:rPr>
              <w:tab/>
            </w:r>
            <w:r>
              <w:rPr>
                <w:noProof/>
                <w:webHidden/>
              </w:rPr>
              <w:fldChar w:fldCharType="begin"/>
            </w:r>
            <w:r>
              <w:rPr>
                <w:noProof/>
                <w:webHidden/>
              </w:rPr>
              <w:instrText xml:space="preserve"> PAGEREF _Toc181031493 \h </w:instrText>
            </w:r>
            <w:r>
              <w:rPr>
                <w:noProof/>
                <w:webHidden/>
              </w:rPr>
            </w:r>
            <w:r>
              <w:rPr>
                <w:noProof/>
                <w:webHidden/>
              </w:rPr>
              <w:fldChar w:fldCharType="separate"/>
            </w:r>
            <w:r>
              <w:rPr>
                <w:noProof/>
                <w:webHidden/>
              </w:rPr>
              <w:t>3</w:t>
            </w:r>
            <w:r>
              <w:rPr>
                <w:noProof/>
                <w:webHidden/>
              </w:rPr>
              <w:fldChar w:fldCharType="end"/>
            </w:r>
          </w:hyperlink>
        </w:p>
        <w:p w14:paraId="0ACCA9BA" w14:textId="5F5A3689" w:rsidR="00185A4F" w:rsidRDefault="00185A4F" w:rsidP="00185A4F">
          <w:pPr>
            <w:pStyle w:val="TOC1"/>
            <w:tabs>
              <w:tab w:val="right" w:leader="dot" w:pos="9350"/>
            </w:tabs>
            <w:rPr>
              <w:noProof/>
            </w:rPr>
          </w:pPr>
          <w:hyperlink w:anchor="_Toc181031494" w:history="1">
            <w:r w:rsidRPr="003E7EE3">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_Toc181031494 \h </w:instrText>
            </w:r>
            <w:r>
              <w:rPr>
                <w:noProof/>
                <w:webHidden/>
              </w:rPr>
            </w:r>
            <w:r>
              <w:rPr>
                <w:noProof/>
                <w:webHidden/>
              </w:rPr>
              <w:fldChar w:fldCharType="separate"/>
            </w:r>
            <w:r>
              <w:rPr>
                <w:noProof/>
                <w:webHidden/>
              </w:rPr>
              <w:t>4</w:t>
            </w:r>
            <w:r>
              <w:rPr>
                <w:noProof/>
                <w:webHidden/>
              </w:rPr>
              <w:fldChar w:fldCharType="end"/>
            </w:r>
          </w:hyperlink>
        </w:p>
        <w:p w14:paraId="68980B86" w14:textId="3133D49C" w:rsidR="00185A4F" w:rsidRDefault="00185A4F" w:rsidP="00185A4F">
          <w:pPr>
            <w:pStyle w:val="TOC1"/>
            <w:tabs>
              <w:tab w:val="right" w:leader="dot" w:pos="9350"/>
            </w:tabs>
            <w:rPr>
              <w:noProof/>
            </w:rPr>
          </w:pPr>
          <w:hyperlink w:anchor="_Toc181031495" w:history="1">
            <w:r w:rsidRPr="003E7EE3">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_Toc181031495 \h </w:instrText>
            </w:r>
            <w:r>
              <w:rPr>
                <w:noProof/>
                <w:webHidden/>
              </w:rPr>
            </w:r>
            <w:r>
              <w:rPr>
                <w:noProof/>
                <w:webHidden/>
              </w:rPr>
              <w:fldChar w:fldCharType="separate"/>
            </w:r>
            <w:r>
              <w:rPr>
                <w:noProof/>
                <w:webHidden/>
              </w:rPr>
              <w:t>5</w:t>
            </w:r>
            <w:r>
              <w:rPr>
                <w:noProof/>
                <w:webHidden/>
              </w:rPr>
              <w:fldChar w:fldCharType="end"/>
            </w:r>
          </w:hyperlink>
        </w:p>
        <w:p w14:paraId="2BFF1468" w14:textId="65F61D79" w:rsidR="00185A4F" w:rsidRDefault="00185A4F" w:rsidP="00185A4F">
          <w:pPr>
            <w:pStyle w:val="TOC1"/>
            <w:tabs>
              <w:tab w:val="right" w:leader="dot" w:pos="9350"/>
            </w:tabs>
            <w:rPr>
              <w:noProof/>
            </w:rPr>
          </w:pPr>
          <w:hyperlink w:anchor="_Toc181031496" w:history="1">
            <w:r w:rsidRPr="003E7EE3">
              <w:rPr>
                <w:rStyle w:val="Hyperlink"/>
                <w:noProof/>
              </w:rPr>
              <w:t>Section 3: Reflection on Organisational Issues</w:t>
            </w:r>
            <w:r>
              <w:rPr>
                <w:noProof/>
                <w:webHidden/>
              </w:rPr>
              <w:tab/>
            </w:r>
            <w:r>
              <w:rPr>
                <w:noProof/>
                <w:webHidden/>
              </w:rPr>
              <w:fldChar w:fldCharType="begin"/>
            </w:r>
            <w:r>
              <w:rPr>
                <w:noProof/>
                <w:webHidden/>
              </w:rPr>
              <w:instrText xml:space="preserve"> PAGEREF _Toc181031496 \h </w:instrText>
            </w:r>
            <w:r>
              <w:rPr>
                <w:noProof/>
                <w:webHidden/>
              </w:rPr>
            </w:r>
            <w:r>
              <w:rPr>
                <w:noProof/>
                <w:webHidden/>
              </w:rPr>
              <w:fldChar w:fldCharType="separate"/>
            </w:r>
            <w:r>
              <w:rPr>
                <w:noProof/>
                <w:webHidden/>
              </w:rPr>
              <w:t>6</w:t>
            </w:r>
            <w:r>
              <w:rPr>
                <w:noProof/>
                <w:webHidden/>
              </w:rPr>
              <w:fldChar w:fldCharType="end"/>
            </w:r>
          </w:hyperlink>
        </w:p>
        <w:p w14:paraId="73BEB5DE" w14:textId="73B61362" w:rsidR="00185A4F" w:rsidRDefault="00185A4F" w:rsidP="00185A4F">
          <w:pPr>
            <w:pStyle w:val="TOC1"/>
            <w:tabs>
              <w:tab w:val="right" w:leader="dot" w:pos="9350"/>
            </w:tabs>
            <w:rPr>
              <w:noProof/>
            </w:rPr>
          </w:pPr>
          <w:hyperlink w:anchor="_Toc181031497" w:history="1">
            <w:r w:rsidRPr="003E7EE3">
              <w:rPr>
                <w:rStyle w:val="Hyperlink"/>
                <w:noProof/>
              </w:rPr>
              <w:t>Conclusion and Action Plan</w:t>
            </w:r>
            <w:r>
              <w:rPr>
                <w:noProof/>
                <w:webHidden/>
              </w:rPr>
              <w:tab/>
            </w:r>
            <w:r>
              <w:rPr>
                <w:noProof/>
                <w:webHidden/>
              </w:rPr>
              <w:fldChar w:fldCharType="begin"/>
            </w:r>
            <w:r>
              <w:rPr>
                <w:noProof/>
                <w:webHidden/>
              </w:rPr>
              <w:instrText xml:space="preserve"> PAGEREF _Toc181031497 \h </w:instrText>
            </w:r>
            <w:r>
              <w:rPr>
                <w:noProof/>
                <w:webHidden/>
              </w:rPr>
            </w:r>
            <w:r>
              <w:rPr>
                <w:noProof/>
                <w:webHidden/>
              </w:rPr>
              <w:fldChar w:fldCharType="separate"/>
            </w:r>
            <w:r>
              <w:rPr>
                <w:noProof/>
                <w:webHidden/>
              </w:rPr>
              <w:t>8</w:t>
            </w:r>
            <w:r>
              <w:rPr>
                <w:noProof/>
                <w:webHidden/>
              </w:rPr>
              <w:fldChar w:fldCharType="end"/>
            </w:r>
          </w:hyperlink>
        </w:p>
        <w:p w14:paraId="7653E88D" w14:textId="7F5EDA8D" w:rsidR="00185A4F" w:rsidRDefault="00185A4F" w:rsidP="00185A4F">
          <w:pPr>
            <w:pStyle w:val="TOC1"/>
            <w:tabs>
              <w:tab w:val="right" w:leader="dot" w:pos="9350"/>
            </w:tabs>
            <w:rPr>
              <w:noProof/>
            </w:rPr>
          </w:pPr>
          <w:hyperlink w:anchor="_Toc181031498" w:history="1">
            <w:r w:rsidRPr="003E7EE3">
              <w:rPr>
                <w:rStyle w:val="Hyperlink"/>
                <w:noProof/>
              </w:rPr>
              <w:t>Reference</w:t>
            </w:r>
            <w:r>
              <w:rPr>
                <w:noProof/>
                <w:webHidden/>
              </w:rPr>
              <w:tab/>
            </w:r>
            <w:r>
              <w:rPr>
                <w:noProof/>
                <w:webHidden/>
              </w:rPr>
              <w:fldChar w:fldCharType="begin"/>
            </w:r>
            <w:r>
              <w:rPr>
                <w:noProof/>
                <w:webHidden/>
              </w:rPr>
              <w:instrText xml:space="preserve"> PAGEREF _Toc181031498 \h </w:instrText>
            </w:r>
            <w:r>
              <w:rPr>
                <w:noProof/>
                <w:webHidden/>
              </w:rPr>
            </w:r>
            <w:r>
              <w:rPr>
                <w:noProof/>
                <w:webHidden/>
              </w:rPr>
              <w:fldChar w:fldCharType="separate"/>
            </w:r>
            <w:r>
              <w:rPr>
                <w:noProof/>
                <w:webHidden/>
              </w:rPr>
              <w:t>9</w:t>
            </w:r>
            <w:r>
              <w:rPr>
                <w:noProof/>
                <w:webHidden/>
              </w:rPr>
              <w:fldChar w:fldCharType="end"/>
            </w:r>
          </w:hyperlink>
        </w:p>
        <w:p w14:paraId="0D4FB077" w14:textId="6E0C22B5" w:rsidR="00185A4F" w:rsidRPr="00185A4F" w:rsidRDefault="00185A4F" w:rsidP="00185A4F">
          <w:pPr>
            <w:rPr>
              <w:noProof/>
            </w:rPr>
          </w:pPr>
          <w:r>
            <w:rPr>
              <w:noProof/>
            </w:rPr>
            <w:t>Statement…………………………………………………………………………………………10</w:t>
          </w:r>
        </w:p>
        <w:p w14:paraId="0C0D6070" w14:textId="77777777" w:rsidR="00185A4F" w:rsidRDefault="00185A4F" w:rsidP="00185A4F">
          <w:r>
            <w:rPr>
              <w:b/>
              <w:bCs/>
              <w:noProof/>
            </w:rPr>
            <w:fldChar w:fldCharType="end"/>
          </w:r>
        </w:p>
      </w:sdtContent>
    </w:sdt>
    <w:p w14:paraId="78395BDC" w14:textId="77777777" w:rsidR="00185A4F" w:rsidRDefault="00185A4F" w:rsidP="00185A4F">
      <w:pPr>
        <w:spacing w:line="276" w:lineRule="auto"/>
        <w:jc w:val="left"/>
        <w:rPr>
          <w:rFonts w:eastAsiaTheme="majorEastAsia" w:cstheme="majorBidi"/>
          <w:b/>
          <w:bCs/>
          <w:sz w:val="28"/>
          <w:szCs w:val="28"/>
        </w:rPr>
      </w:pPr>
      <w:r>
        <w:br w:type="page"/>
      </w:r>
    </w:p>
    <w:p w14:paraId="4B860972" w14:textId="77777777" w:rsidR="00185A4F" w:rsidRDefault="00185A4F" w:rsidP="00185A4F">
      <w:pPr>
        <w:pStyle w:val="Heading1"/>
      </w:pPr>
      <w:bookmarkStart w:id="1" w:name="_Toc181031493"/>
      <w:r>
        <w:lastRenderedPageBreak/>
        <w:t>Introduction</w:t>
      </w:r>
      <w:bookmarkEnd w:id="1"/>
      <w:r>
        <w:t xml:space="preserve"> </w:t>
      </w:r>
    </w:p>
    <w:p w14:paraId="7025446F" w14:textId="77777777" w:rsidR="00185A4F" w:rsidRDefault="00185A4F" w:rsidP="00185A4F">
      <w:pPr>
        <w:spacing w:before="240" w:after="240"/>
      </w:pPr>
      <w:r>
        <w:t xml:space="preserve">Housekeeping, maintaining the property, dining offerings, visitor check-in, and hotel promotion are all examples of handling administrative duties at a hotel. The chief operating officer oversees everything that happens every day; the food and beverage division manages eating; the registration desk performs registration; and cleaning maintains maintenance. </w:t>
      </w:r>
    </w:p>
    <w:p w14:paraId="60BF5759" w14:textId="77777777" w:rsidR="00185A4F" w:rsidRDefault="00185A4F" w:rsidP="00185A4F">
      <w:pPr>
        <w:spacing w:before="240" w:after="240"/>
      </w:pPr>
      <w:r>
        <w:t xml:space="preserve">Educational goals for the administration of Rossington Hall assignments might include several things: </w:t>
      </w:r>
    </w:p>
    <w:p w14:paraId="2786E972" w14:textId="77777777" w:rsidR="00185A4F" w:rsidRDefault="00185A4F" w:rsidP="00185A4F">
      <w:pPr>
        <w:numPr>
          <w:ilvl w:val="0"/>
          <w:numId w:val="1"/>
        </w:numPr>
        <w:spacing w:before="240"/>
        <w:jc w:val="left"/>
      </w:pPr>
      <w:r>
        <w:t>Comprehending the hospitality industry Learners can gain knowledge about the many departments' functions, the value of providing excellent consumer service, and potential careers in the hospitality industry.</w:t>
      </w:r>
    </w:p>
    <w:p w14:paraId="7DB67468" w14:textId="77777777" w:rsidR="00185A4F" w:rsidRDefault="00185A4F" w:rsidP="00185A4F">
      <w:pPr>
        <w:numPr>
          <w:ilvl w:val="0"/>
          <w:numId w:val="1"/>
        </w:numPr>
        <w:jc w:val="left"/>
      </w:pPr>
      <w:r>
        <w:t>By acquiring knowledge through internships, students may obtain hands-on knowledge in the hospitality industry.</w:t>
      </w:r>
    </w:p>
    <w:p w14:paraId="5B9CAA3F" w14:textId="77777777" w:rsidR="00185A4F" w:rsidRDefault="00185A4F" w:rsidP="00185A4F">
      <w:pPr>
        <w:numPr>
          <w:ilvl w:val="0"/>
          <w:numId w:val="1"/>
        </w:numPr>
        <w:spacing w:after="240"/>
        <w:jc w:val="left"/>
      </w:pPr>
      <w:r>
        <w:t xml:space="preserve">Acquiring knowledge about technology Participants can get knowledge on how to use technologies in many hospitality-related fields. </w:t>
      </w:r>
    </w:p>
    <w:p w14:paraId="243C2574" w14:textId="77777777" w:rsidR="00185A4F" w:rsidRDefault="00185A4F" w:rsidP="00185A4F">
      <w:pPr>
        <w:spacing w:line="276" w:lineRule="auto"/>
        <w:jc w:val="left"/>
        <w:rPr>
          <w:rFonts w:eastAsiaTheme="majorEastAsia" w:cstheme="majorBidi"/>
          <w:b/>
          <w:bCs/>
          <w:sz w:val="28"/>
          <w:szCs w:val="28"/>
        </w:rPr>
      </w:pPr>
      <w:bookmarkStart w:id="2" w:name="_me1crv78hzm2" w:colFirst="0" w:colLast="0"/>
      <w:bookmarkStart w:id="3" w:name="_Toc181031494"/>
      <w:bookmarkEnd w:id="2"/>
      <w:r>
        <w:br w:type="page"/>
      </w:r>
    </w:p>
    <w:p w14:paraId="3275A291" w14:textId="77777777" w:rsidR="00185A4F" w:rsidRDefault="00185A4F" w:rsidP="00185A4F">
      <w:pPr>
        <w:pStyle w:val="Heading1"/>
      </w:pPr>
      <w:r>
        <w:lastRenderedPageBreak/>
        <w:t>Section 1: Reflection on Experience and Personal Development</w:t>
      </w:r>
      <w:bookmarkEnd w:id="3"/>
      <w:r>
        <w:t xml:space="preserve"> </w:t>
      </w:r>
    </w:p>
    <w:p w14:paraId="65EA5CD4" w14:textId="77777777" w:rsidR="00185A4F" w:rsidRDefault="00185A4F" w:rsidP="00185A4F">
      <w:pPr>
        <w:spacing w:before="280"/>
      </w:pPr>
      <w:r>
        <w:t>An excellent way to get an understanding of the understanding of technology and work-based skills needed for overseeing client service standards is to shadow a Rossington Hall cleaning supervisor. The significance of proficiency in technology, ability to communicate, organising your time, commitment to information, and the capacity to resolve problems is highlighted by this event (</w:t>
      </w:r>
      <w:r>
        <w:rPr>
          <w:color w:val="222222"/>
          <w:highlight w:val="white"/>
        </w:rPr>
        <w:t xml:space="preserve">Baum and Hai, </w:t>
      </w:r>
      <w:r w:rsidRPr="008E734E">
        <w:rPr>
          <w:color w:val="222222"/>
          <w:highlight w:val="white"/>
        </w:rPr>
        <w:t>2020</w:t>
      </w:r>
      <w:r>
        <w:t>). The line manager demonstrates these abilities by carefully inspecting each area, allocating resources effectively, and communicating with both workers and visitors. Technical expertise is also essential for efficient housekeeping by the leadership team, such as comprehending cleaning requirements unique to a certain sector and adhering to regulations of safety and health. Effective problem-solving skills are crucial for preserving visitor happiness, as demonstrated by the manager's capacity to manage unforeseen difficulties (</w:t>
      </w:r>
      <w:r>
        <w:rPr>
          <w:color w:val="222222"/>
          <w:highlight w:val="white"/>
        </w:rPr>
        <w:t xml:space="preserve">Baum and Hai, </w:t>
      </w:r>
      <w:r w:rsidRPr="008E734E">
        <w:rPr>
          <w:color w:val="222222"/>
          <w:highlight w:val="white"/>
        </w:rPr>
        <w:t>2020</w:t>
      </w:r>
      <w:r>
        <w:t>).</w:t>
      </w:r>
    </w:p>
    <w:p w14:paraId="6AF82E25" w14:textId="77777777" w:rsidR="00185A4F" w:rsidRDefault="00185A4F" w:rsidP="00185A4F">
      <w:pPr>
        <w:spacing w:before="240" w:after="240" w:line="390" w:lineRule="auto"/>
      </w:pPr>
      <w:r>
        <w:t>To appreciate the value of work-based competencies and technological expertise, one must have prior guest customer service experience. Clear communication, compassion, flexibility, perseverance, figuring out solutions, understanding of the product's physical expression, a cheerful disposition, and a willingness to work hard are all essential (</w:t>
      </w:r>
      <w:r w:rsidRPr="008E734E">
        <w:rPr>
          <w:color w:val="222222"/>
          <w:highlight w:val="white"/>
        </w:rPr>
        <w:t>Jiang</w:t>
      </w:r>
      <w:r>
        <w:rPr>
          <w:color w:val="222222"/>
          <w:highlight w:val="white"/>
        </w:rPr>
        <w:t xml:space="preserve"> </w:t>
      </w:r>
      <w:r w:rsidRPr="008E734E">
        <w:rPr>
          <w:i/>
          <w:color w:val="222222"/>
          <w:highlight w:val="white"/>
        </w:rPr>
        <w:t>et al.,</w:t>
      </w:r>
      <w:r w:rsidRPr="008E734E">
        <w:rPr>
          <w:color w:val="222222"/>
          <w:highlight w:val="white"/>
        </w:rPr>
        <w:t xml:space="preserve"> 2021</w:t>
      </w:r>
      <w:r>
        <w:t xml:space="preserve">). A determination to succeed prepares for difficulties at work, curiosity boosts job confidence among employees and bosses, compassion helps decrease high-tension circumstances, versatility allows for individualised service, perseverance is crucial during tricky circumstances, problem-solving effectively recognises and fixes customer complaints, expertise in products provides precise information, gestures indicate future </w:t>
      </w:r>
      <w:proofErr w:type="gramStart"/>
      <w:r>
        <w:t>needs</w:t>
      </w:r>
      <w:proofErr w:type="gramEnd"/>
      <w:r>
        <w:t xml:space="preserve"> and effective interactions build connections with guests. </w:t>
      </w:r>
      <w:r>
        <w:br/>
        <w:t>By improving staff performance, developing relationships with other people, and creating fulfilling careers, developing oneself both professionally and personally may greatly enhance Rossington Hall management (</w:t>
      </w:r>
      <w:r>
        <w:rPr>
          <w:color w:val="222222"/>
          <w:highlight w:val="white"/>
        </w:rPr>
        <w:t xml:space="preserve">Baum and Hai, </w:t>
      </w:r>
      <w:r w:rsidRPr="008E734E">
        <w:rPr>
          <w:color w:val="222222"/>
          <w:highlight w:val="white"/>
        </w:rPr>
        <w:t>2020</w:t>
      </w:r>
      <w:r>
        <w:t xml:space="preserve">). Training initiatives can result in improved consumer service, improved operational effectiveness, and an edge over the competition in the </w:t>
      </w:r>
      <w:r>
        <w:lastRenderedPageBreak/>
        <w:t>market. Patience, dedication to detail, flexibility, and cooperation are essential personality qualities for success in the hospitality industry. In addition to guaranteeing steady visitor pleasure and keeping top workers, management at Rossington Hall training may promote a culture of ongoing learning (</w:t>
      </w:r>
      <w:r>
        <w:rPr>
          <w:color w:val="222222"/>
          <w:highlight w:val="white"/>
        </w:rPr>
        <w:t xml:space="preserve">Gelbman, </w:t>
      </w:r>
      <w:r w:rsidRPr="008E734E">
        <w:rPr>
          <w:color w:val="222222"/>
          <w:highlight w:val="white"/>
        </w:rPr>
        <w:t>2021</w:t>
      </w:r>
      <w:r>
        <w:t xml:space="preserve">). </w:t>
      </w:r>
      <w:proofErr w:type="gramStart"/>
      <w:r>
        <w:t>Last but not least</w:t>
      </w:r>
      <w:proofErr w:type="gramEnd"/>
      <w:r>
        <w:t xml:space="preserve">, professional development guarantees the hotel maintains its leadership position in the hospitality industry by giving students the information and practical expertise necessary for a particular job.  </w:t>
      </w:r>
    </w:p>
    <w:p w14:paraId="4E0F2851" w14:textId="77777777" w:rsidR="00185A4F" w:rsidRDefault="00185A4F" w:rsidP="00185A4F">
      <w:pPr>
        <w:pStyle w:val="Heading1"/>
      </w:pPr>
      <w:bookmarkStart w:id="4" w:name="_hm9kc9g1gwk5" w:colFirst="0" w:colLast="0"/>
      <w:bookmarkStart w:id="5" w:name="_Toc181031495"/>
      <w:bookmarkEnd w:id="4"/>
      <w:r>
        <w:t>Section 2: Critical Analysis of Work-Based Skills and Technical Knowledge</w:t>
      </w:r>
      <w:bookmarkEnd w:id="5"/>
      <w:r>
        <w:t xml:space="preserve"> </w:t>
      </w:r>
    </w:p>
    <w:p w14:paraId="368A9467" w14:textId="77777777" w:rsidR="00185A4F" w:rsidRDefault="00185A4F" w:rsidP="00185A4F">
      <w:pPr>
        <w:spacing w:before="240" w:after="240"/>
      </w:pPr>
      <w:r>
        <w:t>Technical expertise and practical abilities are necessary for Rossington Hall administration to improve client satisfaction, maintain competitiveness, and adjust to the always-shifting market. Hotels may create marketing plans and enhance client service by collecting and analysing consumer data with the use of knowledge administration (</w:t>
      </w:r>
      <w:r>
        <w:rPr>
          <w:color w:val="222222"/>
          <w:highlight w:val="white"/>
        </w:rPr>
        <w:t xml:space="preserve">Gelbman, </w:t>
      </w:r>
      <w:r w:rsidRPr="008E734E">
        <w:rPr>
          <w:color w:val="222222"/>
          <w:highlight w:val="white"/>
        </w:rPr>
        <w:t>2021</w:t>
      </w:r>
      <w:r>
        <w:t>). For managers of Rossington Halls, skills in fields like advertising, accounting, and fiscal analysis are essential. Additionally essential are informal abilities like solving issues, being a leader, and connection. To protect the safety of both guests and staff, hotel managers need to be competent to multitask, swiftly adjust to the ever-changing sector, and make sure that health and security regulations are followed. In the cutthroat industry of today, these abilities are critical to Rossington Hall's development. The hospitality sector depends heavily on hotel managers, who must possess outstanding interpersonal, interaction, conflict resolution, and operational abilities, as well as the capacity to multitask and take honest feedback (</w:t>
      </w:r>
      <w:r>
        <w:rPr>
          <w:color w:val="222222"/>
          <w:highlight w:val="white"/>
        </w:rPr>
        <w:t xml:space="preserve">Gelbman, </w:t>
      </w:r>
      <w:r w:rsidRPr="008E734E">
        <w:rPr>
          <w:color w:val="222222"/>
          <w:highlight w:val="white"/>
        </w:rPr>
        <w:t>2021</w:t>
      </w:r>
      <w:r>
        <w:t>). Maintaining a pleasant atmosphere, overseeing educated judgements, resolving disagreements, encouraging positive collaboration surroundings, and making sure Rossington Hall succeeds all depend on these abilities. Adapting to diverse traditions and ways also requires a positive outlook, cultural sensitivity, and teamwork. Rossington Hall managers need to be tech-savvy to expand and compete.</w:t>
      </w:r>
    </w:p>
    <w:p w14:paraId="7D6BF93F" w14:textId="77777777" w:rsidR="00185A4F" w:rsidRDefault="00185A4F" w:rsidP="00185A4F">
      <w:pPr>
        <w:spacing w:before="240" w:after="240"/>
      </w:pPr>
      <w:r>
        <w:t xml:space="preserve">A useful strategy for learning the skills and information necessary for managerial work is job shadowing. It aids in technical expertise, data input, and research. It also helps with task </w:t>
      </w:r>
      <w:r>
        <w:lastRenderedPageBreak/>
        <w:t>performance, professional interaction, organisational understanding, and work environment. Shadowing seasoned coworkers may teach you about their methods, approaches to resolving issues and strategies for expanding your professional network (</w:t>
      </w:r>
      <w:r>
        <w:rPr>
          <w:color w:val="222222"/>
          <w:highlight w:val="white"/>
        </w:rPr>
        <w:t xml:space="preserve">Mooney, </w:t>
      </w:r>
      <w:r w:rsidRPr="008E734E">
        <w:rPr>
          <w:color w:val="222222"/>
          <w:highlight w:val="white"/>
        </w:rPr>
        <w:t>2020</w:t>
      </w:r>
      <w:r>
        <w:t xml:space="preserve">). It also aids in the acquisition of knowledge about administrative workflows, ways to make decisions, and collaboration. In the end, work shadowing assists you in acquiring the technical, educational, and interpersonal abilities required for certain career positions. </w:t>
      </w:r>
    </w:p>
    <w:p w14:paraId="3245F12E" w14:textId="77777777" w:rsidR="00185A4F" w:rsidRDefault="00185A4F" w:rsidP="00185A4F">
      <w:pPr>
        <w:pStyle w:val="Heading1"/>
      </w:pPr>
      <w:bookmarkStart w:id="6" w:name="_ljagu3t4llh4" w:colFirst="0" w:colLast="0"/>
      <w:bookmarkStart w:id="7" w:name="_Toc181031496"/>
      <w:bookmarkEnd w:id="6"/>
      <w:r>
        <w:t>Section 3: Reflection on Organisational Issues</w:t>
      </w:r>
      <w:bookmarkEnd w:id="7"/>
      <w:r>
        <w:t xml:space="preserve"> </w:t>
      </w:r>
    </w:p>
    <w:p w14:paraId="40423EF6" w14:textId="77777777" w:rsidR="00185A4F" w:rsidRDefault="00185A4F" w:rsidP="00185A4F">
      <w:pPr>
        <w:spacing w:before="240" w:after="240"/>
      </w:pPr>
      <w:r>
        <w:t>Rossington Halls address a wide range of organisational concerns, including hiring practices, technological advancements, expectations from consumers, security and confidential information, procurement, ethics, and teamwork. Long hours, poor working conditions, and heightened competitiveness are all examples of staffing challenges. Examples of technological problems include ICT and marketing through the Internet. Meeting customer needs requires effective management and exceptional experience delivery. Issues related to safety and stable operation include inadequate monitoring, malfunctioning locking mechanisms, and lax regulations regarding safety (</w:t>
      </w:r>
      <w:r>
        <w:rPr>
          <w:color w:val="222222"/>
          <w:highlight w:val="white"/>
        </w:rPr>
        <w:t xml:space="preserve">Mooney, </w:t>
      </w:r>
      <w:r w:rsidRPr="008E734E">
        <w:rPr>
          <w:color w:val="222222"/>
          <w:highlight w:val="white"/>
        </w:rPr>
        <w:t>2020</w:t>
      </w:r>
      <w:r>
        <w:t>). Finding premium products at the lowest cost is a challenge in the process of acquiring goods and services. Moral leadership requires the management of values including authenticity, equitable treatment, diversity, and honesty. Collaboration is essential to providing exceptional service to guests. Additional challenges include inconsistent customer service, fluctuating percentages of occupancy, outdated technological equipment, poor resource management, unstable price structures, and changing market trends.</w:t>
      </w:r>
    </w:p>
    <w:p w14:paraId="4876479F" w14:textId="77777777" w:rsidR="00185A4F" w:rsidRPr="008E734E" w:rsidRDefault="00185A4F" w:rsidP="00185A4F">
      <w:pPr>
        <w:spacing w:before="240" w:after="240"/>
      </w:pPr>
      <w:r>
        <w:t>Freebies might result in unfavourable evaluations and are essential for visitor happiness. Using a contactless check-in system for mobile devices, maintaining a lot of cleaning materials in wardrobes and washing stations, and ensuring effective maintenance with cleaning products and current maps are all ways that hoteliers may increase productivity (</w:t>
      </w:r>
      <w:r>
        <w:rPr>
          <w:color w:val="222222"/>
          <w:highlight w:val="white"/>
        </w:rPr>
        <w:t xml:space="preserve">Mooney, </w:t>
      </w:r>
      <w:r w:rsidRPr="008E734E">
        <w:rPr>
          <w:color w:val="222222"/>
          <w:highlight w:val="white"/>
        </w:rPr>
        <w:t>2020</w:t>
      </w:r>
      <w:r>
        <w:t xml:space="preserve">). By incorporating email identification into the check-in procedure and promptly recognising disgruntled guests, Rossington Halls may also handle guest information from online travel agencies. Rossington Hall management could use guest messaging applications to convey </w:t>
      </w:r>
      <w:r>
        <w:lastRenderedPageBreak/>
        <w:t>pertinent knowledge and notify visitors about working hours to resolve closed facilities. Rossington Halls should implement PCI-compliant digital authorisation systems to lower reimbursements and fraud (</w:t>
      </w:r>
      <w:r w:rsidRPr="008E734E">
        <w:rPr>
          <w:color w:val="222222"/>
          <w:highlight w:val="white"/>
        </w:rPr>
        <w:t>Jiang</w:t>
      </w:r>
      <w:r>
        <w:rPr>
          <w:color w:val="222222"/>
          <w:highlight w:val="white"/>
        </w:rPr>
        <w:t xml:space="preserve"> </w:t>
      </w:r>
      <w:r w:rsidRPr="008E734E">
        <w:rPr>
          <w:i/>
          <w:color w:val="222222"/>
          <w:highlight w:val="white"/>
        </w:rPr>
        <w:t>et al.,</w:t>
      </w:r>
      <w:r w:rsidRPr="008E734E">
        <w:rPr>
          <w:color w:val="222222"/>
          <w:highlight w:val="white"/>
        </w:rPr>
        <w:t xml:space="preserve"> 2021</w:t>
      </w:r>
      <w:r>
        <w:t>). Recruiting campaigns, complementing bonuses, and providing possibilities for growth can all help address personnel constraints. Using technologies powered by the web that are available through smartphone browsing and providing communications solutions that integrate with pre-existing applications will help overcome the low uptake of Rossington Hall apps.</w:t>
      </w:r>
      <w:bookmarkStart w:id="8" w:name="_2xkja5qe5ik" w:colFirst="0" w:colLast="0"/>
      <w:bookmarkStart w:id="9" w:name="_Toc181031497"/>
      <w:bookmarkEnd w:id="8"/>
      <w:r>
        <w:br w:type="page"/>
      </w:r>
    </w:p>
    <w:p w14:paraId="7CA679F2" w14:textId="77777777" w:rsidR="00185A4F" w:rsidRDefault="00185A4F" w:rsidP="00185A4F">
      <w:pPr>
        <w:pStyle w:val="Heading1"/>
      </w:pPr>
      <w:r>
        <w:lastRenderedPageBreak/>
        <w:t>Conclusion and Action Plan</w:t>
      </w:r>
      <w:bookmarkEnd w:id="9"/>
    </w:p>
    <w:p w14:paraId="19A13B4B" w14:textId="77777777" w:rsidR="00185A4F" w:rsidRDefault="00185A4F" w:rsidP="00185A4F">
      <w:pPr>
        <w:spacing w:before="240" w:after="240"/>
      </w:pPr>
      <w:r>
        <w:t>The paragraph highlights how crucial it is to comprehend the technology and have work-related abilities to manage Rossington Hall's customer service requirements. It emphasises the necessity of having strong communication, technological, scheduling, information-commitment, and ability to solve issues. Advertising, bookkeeping, financial analysis, solving problems, managing others, and interpersonal skills are all necessary for managers. Learning management skills, such as data entry, research, completing tasks, professional contact, organisational knowledge, and work environment, may be accomplished through job shadowing. Recruitment procedures, technology developments, client demands, security, acquisition, ethics, and collaboration are some of Rossington Hall's administrative concerns. Extended work hours, unfavourable workplace circumstances, intense competition, and safety concerns are some of the difficulties. Using electronic check-in systems, managing guest data from travel sites, using guest messaging services, implementing PCI-compliant digital registration systems, recruiting campaigns, offering chances to grow, and complementing incentives are all ways that hotels may boost efficiency.</w:t>
      </w:r>
    </w:p>
    <w:p w14:paraId="596C61D2" w14:textId="77777777" w:rsidR="00185A4F" w:rsidRDefault="00185A4F" w:rsidP="00185A4F">
      <w:pPr>
        <w:spacing w:line="276" w:lineRule="auto"/>
        <w:jc w:val="left"/>
        <w:rPr>
          <w:rFonts w:eastAsiaTheme="majorEastAsia" w:cstheme="majorBidi"/>
          <w:b/>
          <w:bCs/>
          <w:sz w:val="28"/>
          <w:szCs w:val="28"/>
        </w:rPr>
      </w:pPr>
      <w:bookmarkStart w:id="10" w:name="_s99nlhcshcnt" w:colFirst="0" w:colLast="0"/>
      <w:bookmarkStart w:id="11" w:name="_Toc181031498"/>
      <w:bookmarkEnd w:id="10"/>
      <w:r>
        <w:br w:type="page"/>
      </w:r>
    </w:p>
    <w:p w14:paraId="2DF18A42" w14:textId="77777777" w:rsidR="00185A4F" w:rsidRDefault="00185A4F" w:rsidP="00185A4F">
      <w:pPr>
        <w:pStyle w:val="Heading1"/>
        <w:spacing w:before="240" w:after="240"/>
      </w:pPr>
      <w:r>
        <w:lastRenderedPageBreak/>
        <w:t>Reference</w:t>
      </w:r>
      <w:bookmarkEnd w:id="11"/>
    </w:p>
    <w:p w14:paraId="2651DF11" w14:textId="77777777" w:rsidR="00185A4F" w:rsidRPr="008E734E" w:rsidRDefault="00185A4F" w:rsidP="00185A4F">
      <w:pPr>
        <w:rPr>
          <w:color w:val="222222"/>
          <w:highlight w:val="white"/>
        </w:rPr>
      </w:pPr>
      <w:r w:rsidRPr="008E734E">
        <w:rPr>
          <w:color w:val="222222"/>
          <w:highlight w:val="white"/>
        </w:rPr>
        <w:t xml:space="preserve">Baum, T. and Hai, N.T.T., 2020. Hospitality, tourism, human rights and the impact of COVID-19. </w:t>
      </w:r>
      <w:r w:rsidRPr="008E734E">
        <w:rPr>
          <w:i/>
          <w:color w:val="222222"/>
          <w:highlight w:val="white"/>
        </w:rPr>
        <w:t>International Journal of Contemporary Hospitality Management</w:t>
      </w:r>
      <w:r w:rsidRPr="008E734E">
        <w:rPr>
          <w:color w:val="222222"/>
          <w:highlight w:val="white"/>
        </w:rPr>
        <w:t xml:space="preserve">, </w:t>
      </w:r>
      <w:r w:rsidRPr="008E734E">
        <w:rPr>
          <w:i/>
          <w:color w:val="222222"/>
          <w:highlight w:val="white"/>
        </w:rPr>
        <w:t>32</w:t>
      </w:r>
      <w:r w:rsidRPr="008E734E">
        <w:rPr>
          <w:color w:val="222222"/>
          <w:highlight w:val="white"/>
        </w:rPr>
        <w:t>(7), pp.2397-2407.</w:t>
      </w:r>
    </w:p>
    <w:p w14:paraId="2DE767E4" w14:textId="77777777" w:rsidR="00185A4F" w:rsidRPr="008E734E" w:rsidRDefault="00185A4F" w:rsidP="00185A4F">
      <w:pPr>
        <w:rPr>
          <w:color w:val="222222"/>
          <w:highlight w:val="white"/>
        </w:rPr>
      </w:pPr>
      <w:proofErr w:type="spellStart"/>
      <w:r w:rsidRPr="008E734E">
        <w:rPr>
          <w:color w:val="222222"/>
          <w:highlight w:val="white"/>
        </w:rPr>
        <w:t>Buhalis</w:t>
      </w:r>
      <w:proofErr w:type="spellEnd"/>
      <w:r w:rsidRPr="008E734E">
        <w:rPr>
          <w:color w:val="222222"/>
          <w:highlight w:val="white"/>
        </w:rPr>
        <w:t xml:space="preserve">, D. and Park, S., 2021. Brand management and cocreation lessons from tourism and hospitality: introduction to the special issue. </w:t>
      </w:r>
      <w:r w:rsidRPr="008E734E">
        <w:rPr>
          <w:i/>
          <w:color w:val="222222"/>
          <w:highlight w:val="white"/>
        </w:rPr>
        <w:t>Journal of Product &amp; Brand Management</w:t>
      </w:r>
      <w:r w:rsidRPr="008E734E">
        <w:rPr>
          <w:color w:val="222222"/>
          <w:highlight w:val="white"/>
        </w:rPr>
        <w:t xml:space="preserve">, </w:t>
      </w:r>
      <w:r w:rsidRPr="008E734E">
        <w:rPr>
          <w:i/>
          <w:color w:val="222222"/>
          <w:highlight w:val="white"/>
        </w:rPr>
        <w:t>30</w:t>
      </w:r>
      <w:r w:rsidRPr="008E734E">
        <w:rPr>
          <w:color w:val="222222"/>
          <w:highlight w:val="white"/>
        </w:rPr>
        <w:t>(1), pp.1-11.</w:t>
      </w:r>
    </w:p>
    <w:p w14:paraId="21897211" w14:textId="77777777" w:rsidR="00185A4F" w:rsidRPr="008E734E" w:rsidRDefault="00185A4F" w:rsidP="00185A4F">
      <w:pPr>
        <w:rPr>
          <w:color w:val="222222"/>
          <w:highlight w:val="white"/>
        </w:rPr>
      </w:pPr>
      <w:r w:rsidRPr="008E734E">
        <w:rPr>
          <w:color w:val="222222"/>
          <w:highlight w:val="white"/>
        </w:rPr>
        <w:t xml:space="preserve">Della Lucia, M., Dimanche, F., Giudici, E., Camargo, B.A. and Winchenbach, A., 2021. Enhancing tourism education: The contribution of humanistic management. </w:t>
      </w:r>
      <w:r w:rsidRPr="008E734E">
        <w:rPr>
          <w:i/>
          <w:color w:val="222222"/>
          <w:highlight w:val="white"/>
        </w:rPr>
        <w:t>Humanistic management journal</w:t>
      </w:r>
      <w:r w:rsidRPr="008E734E">
        <w:rPr>
          <w:color w:val="222222"/>
          <w:highlight w:val="white"/>
        </w:rPr>
        <w:t xml:space="preserve">, </w:t>
      </w:r>
      <w:r w:rsidRPr="008E734E">
        <w:rPr>
          <w:i/>
          <w:color w:val="222222"/>
          <w:highlight w:val="white"/>
        </w:rPr>
        <w:t>6</w:t>
      </w:r>
      <w:r w:rsidRPr="008E734E">
        <w:rPr>
          <w:color w:val="222222"/>
          <w:highlight w:val="white"/>
        </w:rPr>
        <w:t>, pp.429-449.</w:t>
      </w:r>
    </w:p>
    <w:p w14:paraId="30E9C0A8" w14:textId="77777777" w:rsidR="00185A4F" w:rsidRPr="008E734E" w:rsidRDefault="00185A4F" w:rsidP="00185A4F">
      <w:pPr>
        <w:rPr>
          <w:color w:val="222222"/>
          <w:highlight w:val="white"/>
        </w:rPr>
      </w:pPr>
      <w:r w:rsidRPr="008E734E">
        <w:rPr>
          <w:color w:val="222222"/>
          <w:highlight w:val="white"/>
        </w:rPr>
        <w:t xml:space="preserve">Gelbman, A., 2021. Tourist experience and innovative hospitality management in different cities. </w:t>
      </w:r>
      <w:r w:rsidRPr="008E734E">
        <w:rPr>
          <w:i/>
          <w:color w:val="222222"/>
          <w:highlight w:val="white"/>
        </w:rPr>
        <w:t>Sustainability</w:t>
      </w:r>
      <w:r w:rsidRPr="008E734E">
        <w:rPr>
          <w:color w:val="222222"/>
          <w:highlight w:val="white"/>
        </w:rPr>
        <w:t xml:space="preserve">, </w:t>
      </w:r>
      <w:r w:rsidRPr="008E734E">
        <w:rPr>
          <w:i/>
          <w:color w:val="222222"/>
          <w:highlight w:val="white"/>
        </w:rPr>
        <w:t>13</w:t>
      </w:r>
      <w:r w:rsidRPr="008E734E">
        <w:rPr>
          <w:color w:val="222222"/>
          <w:highlight w:val="white"/>
        </w:rPr>
        <w:t>(12), p.6578.</w:t>
      </w:r>
    </w:p>
    <w:p w14:paraId="1290B5A4" w14:textId="77777777" w:rsidR="00185A4F" w:rsidRPr="008E734E" w:rsidRDefault="00185A4F" w:rsidP="00185A4F">
      <w:pPr>
        <w:rPr>
          <w:color w:val="222222"/>
          <w:highlight w:val="white"/>
        </w:rPr>
      </w:pPr>
      <w:r w:rsidRPr="008E734E">
        <w:rPr>
          <w:color w:val="222222"/>
          <w:highlight w:val="white"/>
        </w:rPr>
        <w:t xml:space="preserve">Jiang, Y., Ritchie, B.W. and </w:t>
      </w:r>
      <w:proofErr w:type="spellStart"/>
      <w:r w:rsidRPr="008E734E">
        <w:rPr>
          <w:color w:val="222222"/>
          <w:highlight w:val="white"/>
        </w:rPr>
        <w:t>Verreynne</w:t>
      </w:r>
      <w:proofErr w:type="spellEnd"/>
      <w:r w:rsidRPr="008E734E">
        <w:rPr>
          <w:color w:val="222222"/>
          <w:highlight w:val="white"/>
        </w:rPr>
        <w:t xml:space="preserve">, M.L., 2021. Developing disaster resilience: A processual and reflective approach. </w:t>
      </w:r>
      <w:r w:rsidRPr="008E734E">
        <w:rPr>
          <w:i/>
          <w:color w:val="222222"/>
          <w:highlight w:val="white"/>
        </w:rPr>
        <w:t>Tourism Management</w:t>
      </w:r>
      <w:r w:rsidRPr="008E734E">
        <w:rPr>
          <w:color w:val="222222"/>
          <w:highlight w:val="white"/>
        </w:rPr>
        <w:t xml:space="preserve">, </w:t>
      </w:r>
      <w:r w:rsidRPr="008E734E">
        <w:rPr>
          <w:i/>
          <w:color w:val="222222"/>
          <w:highlight w:val="white"/>
        </w:rPr>
        <w:t>87</w:t>
      </w:r>
      <w:r w:rsidRPr="008E734E">
        <w:rPr>
          <w:color w:val="222222"/>
          <w:highlight w:val="white"/>
        </w:rPr>
        <w:t>, p.104374.</w:t>
      </w:r>
    </w:p>
    <w:p w14:paraId="5495086D" w14:textId="77777777" w:rsidR="00185A4F" w:rsidRPr="008E734E" w:rsidRDefault="00185A4F" w:rsidP="00185A4F">
      <w:pPr>
        <w:rPr>
          <w:color w:val="222222"/>
          <w:highlight w:val="white"/>
        </w:rPr>
      </w:pPr>
      <w:r w:rsidRPr="008E734E">
        <w:rPr>
          <w:color w:val="222222"/>
          <w:highlight w:val="white"/>
        </w:rPr>
        <w:t xml:space="preserve">Lim, S.E. and Ok, C.M., 2021. A meta-analytic review of antecedents of hospitality and tourism firms’ performance: A cross-cultural comparison. </w:t>
      </w:r>
      <w:r w:rsidRPr="008E734E">
        <w:rPr>
          <w:i/>
          <w:color w:val="222222"/>
          <w:highlight w:val="white"/>
        </w:rPr>
        <w:t>Tourism Management</w:t>
      </w:r>
      <w:r w:rsidRPr="008E734E">
        <w:rPr>
          <w:color w:val="222222"/>
          <w:highlight w:val="white"/>
        </w:rPr>
        <w:t xml:space="preserve">, </w:t>
      </w:r>
      <w:r w:rsidRPr="008E734E">
        <w:rPr>
          <w:i/>
          <w:color w:val="222222"/>
          <w:highlight w:val="white"/>
        </w:rPr>
        <w:t>86</w:t>
      </w:r>
      <w:r w:rsidRPr="008E734E">
        <w:rPr>
          <w:color w:val="222222"/>
          <w:highlight w:val="white"/>
        </w:rPr>
        <w:t>, p.104325.</w:t>
      </w:r>
    </w:p>
    <w:p w14:paraId="7471321C" w14:textId="77777777" w:rsidR="00185A4F" w:rsidRPr="008E734E" w:rsidRDefault="00185A4F" w:rsidP="00185A4F">
      <w:pPr>
        <w:rPr>
          <w:color w:val="222222"/>
          <w:highlight w:val="white"/>
        </w:rPr>
      </w:pPr>
      <w:r w:rsidRPr="008E734E">
        <w:rPr>
          <w:color w:val="222222"/>
          <w:highlight w:val="white"/>
        </w:rPr>
        <w:t xml:space="preserve">Lynch, P., McIntosh, A., Molz, J.G., Lugosi, P. and Ong, C.E., 2021. Reflecting on Hospitality &amp; Society: The first ten years. </w:t>
      </w:r>
      <w:r w:rsidRPr="008E734E">
        <w:rPr>
          <w:i/>
          <w:color w:val="222222"/>
          <w:highlight w:val="white"/>
        </w:rPr>
        <w:t>Hospitality &amp; Society</w:t>
      </w:r>
      <w:r w:rsidRPr="008E734E">
        <w:rPr>
          <w:color w:val="222222"/>
          <w:highlight w:val="white"/>
        </w:rPr>
        <w:t xml:space="preserve">, </w:t>
      </w:r>
      <w:r w:rsidRPr="008E734E">
        <w:rPr>
          <w:i/>
          <w:color w:val="222222"/>
          <w:highlight w:val="white"/>
        </w:rPr>
        <w:t>11</w:t>
      </w:r>
      <w:r w:rsidRPr="008E734E">
        <w:rPr>
          <w:color w:val="222222"/>
          <w:highlight w:val="white"/>
        </w:rPr>
        <w:t>(3), pp.239-248.</w:t>
      </w:r>
    </w:p>
    <w:p w14:paraId="359C4752" w14:textId="77777777" w:rsidR="00185A4F" w:rsidRPr="008E734E" w:rsidRDefault="00185A4F" w:rsidP="00185A4F">
      <w:pPr>
        <w:rPr>
          <w:color w:val="222222"/>
          <w:highlight w:val="white"/>
        </w:rPr>
      </w:pPr>
      <w:r w:rsidRPr="008E734E">
        <w:rPr>
          <w:color w:val="222222"/>
          <w:highlight w:val="white"/>
        </w:rPr>
        <w:t xml:space="preserve">Mooney, S.K., 2020. Gender research in hospitality and tourism management: time to change the guard. </w:t>
      </w:r>
      <w:r w:rsidRPr="008E734E">
        <w:rPr>
          <w:i/>
          <w:color w:val="222222"/>
          <w:highlight w:val="white"/>
        </w:rPr>
        <w:t>International Journal of Contemporary Hospitality Management</w:t>
      </w:r>
      <w:r w:rsidRPr="008E734E">
        <w:rPr>
          <w:color w:val="222222"/>
          <w:highlight w:val="white"/>
        </w:rPr>
        <w:t xml:space="preserve">, </w:t>
      </w:r>
      <w:r w:rsidRPr="008E734E">
        <w:rPr>
          <w:i/>
          <w:color w:val="222222"/>
          <w:highlight w:val="white"/>
        </w:rPr>
        <w:t>32</w:t>
      </w:r>
      <w:r w:rsidRPr="008E734E">
        <w:rPr>
          <w:color w:val="222222"/>
          <w:highlight w:val="white"/>
        </w:rPr>
        <w:t>(5), pp.1861-1879.</w:t>
      </w:r>
    </w:p>
    <w:p w14:paraId="4768E50A" w14:textId="77777777" w:rsidR="00185A4F" w:rsidRPr="008E734E" w:rsidRDefault="00185A4F" w:rsidP="00185A4F">
      <w:pPr>
        <w:rPr>
          <w:color w:val="222222"/>
          <w:highlight w:val="white"/>
        </w:rPr>
      </w:pPr>
      <w:r w:rsidRPr="008E734E">
        <w:rPr>
          <w:color w:val="222222"/>
          <w:highlight w:val="white"/>
        </w:rPr>
        <w:t>Stoyanova-</w:t>
      </w:r>
      <w:proofErr w:type="spellStart"/>
      <w:r w:rsidRPr="008E734E">
        <w:rPr>
          <w:color w:val="222222"/>
          <w:highlight w:val="white"/>
        </w:rPr>
        <w:t>Bozhkova</w:t>
      </w:r>
      <w:proofErr w:type="spellEnd"/>
      <w:r w:rsidRPr="008E734E">
        <w:rPr>
          <w:color w:val="222222"/>
          <w:highlight w:val="white"/>
        </w:rPr>
        <w:t xml:space="preserve">, S., </w:t>
      </w:r>
      <w:proofErr w:type="spellStart"/>
      <w:r w:rsidRPr="008E734E">
        <w:rPr>
          <w:color w:val="222222"/>
          <w:highlight w:val="white"/>
        </w:rPr>
        <w:t>Paskova</w:t>
      </w:r>
      <w:proofErr w:type="spellEnd"/>
      <w:r w:rsidRPr="008E734E">
        <w:rPr>
          <w:color w:val="222222"/>
          <w:highlight w:val="white"/>
        </w:rPr>
        <w:t xml:space="preserve">, T. and </w:t>
      </w:r>
      <w:proofErr w:type="spellStart"/>
      <w:r w:rsidRPr="008E734E">
        <w:rPr>
          <w:color w:val="222222"/>
          <w:highlight w:val="white"/>
        </w:rPr>
        <w:t>Buhalis</w:t>
      </w:r>
      <w:proofErr w:type="spellEnd"/>
      <w:r w:rsidRPr="008E734E">
        <w:rPr>
          <w:color w:val="222222"/>
          <w:highlight w:val="white"/>
        </w:rPr>
        <w:t xml:space="preserve">, D., 2022. Emotional intelligence: a competitive advantage for tourism and hospitality managers. </w:t>
      </w:r>
      <w:r w:rsidRPr="008E734E">
        <w:rPr>
          <w:i/>
          <w:color w:val="222222"/>
          <w:highlight w:val="white"/>
        </w:rPr>
        <w:t>Tourism Recreation Research</w:t>
      </w:r>
      <w:r w:rsidRPr="008E734E">
        <w:rPr>
          <w:color w:val="222222"/>
          <w:highlight w:val="white"/>
        </w:rPr>
        <w:t xml:space="preserve">, </w:t>
      </w:r>
      <w:r w:rsidRPr="008E734E">
        <w:rPr>
          <w:i/>
          <w:color w:val="222222"/>
          <w:highlight w:val="white"/>
        </w:rPr>
        <w:t>47</w:t>
      </w:r>
      <w:r w:rsidRPr="008E734E">
        <w:rPr>
          <w:color w:val="222222"/>
          <w:highlight w:val="white"/>
        </w:rPr>
        <w:t>(4), pp.359-371.</w:t>
      </w:r>
    </w:p>
    <w:p w14:paraId="1E2778B7" w14:textId="77777777" w:rsidR="00185A4F" w:rsidRPr="00D032EF" w:rsidRDefault="00185A4F" w:rsidP="00185A4F">
      <w:pPr>
        <w:rPr>
          <w:color w:val="222222"/>
          <w:highlight w:val="white"/>
        </w:rPr>
      </w:pPr>
      <w:proofErr w:type="spellStart"/>
      <w:r w:rsidRPr="008E734E">
        <w:rPr>
          <w:color w:val="222222"/>
          <w:highlight w:val="white"/>
        </w:rPr>
        <w:t>Talawanich</w:t>
      </w:r>
      <w:proofErr w:type="spellEnd"/>
      <w:r w:rsidRPr="008E734E">
        <w:rPr>
          <w:color w:val="222222"/>
          <w:highlight w:val="white"/>
        </w:rPr>
        <w:t xml:space="preserve">, S. and </w:t>
      </w:r>
      <w:proofErr w:type="spellStart"/>
      <w:r w:rsidRPr="008E734E">
        <w:rPr>
          <w:color w:val="222222"/>
          <w:highlight w:val="white"/>
        </w:rPr>
        <w:t>Wattanacharoensil</w:t>
      </w:r>
      <w:proofErr w:type="spellEnd"/>
      <w:r w:rsidRPr="008E734E">
        <w:rPr>
          <w:color w:val="222222"/>
          <w:highlight w:val="white"/>
        </w:rPr>
        <w:t xml:space="preserve">, W., 2021. Transforming graduates into successful hotel management trainees: Exploring important management trainee competencies. </w:t>
      </w:r>
      <w:r w:rsidRPr="008E734E">
        <w:rPr>
          <w:i/>
          <w:color w:val="222222"/>
          <w:highlight w:val="white"/>
        </w:rPr>
        <w:t>Journal of Teaching in Travel &amp; Tourism</w:t>
      </w:r>
      <w:r w:rsidRPr="008E734E">
        <w:rPr>
          <w:color w:val="222222"/>
          <w:highlight w:val="white"/>
        </w:rPr>
        <w:t xml:space="preserve">, </w:t>
      </w:r>
      <w:r w:rsidRPr="008E734E">
        <w:rPr>
          <w:i/>
          <w:color w:val="222222"/>
          <w:highlight w:val="white"/>
        </w:rPr>
        <w:t>21</w:t>
      </w:r>
      <w:r w:rsidRPr="008E734E">
        <w:rPr>
          <w:color w:val="222222"/>
          <w:highlight w:val="white"/>
        </w:rPr>
        <w:t>(1), pp.43-71.</w:t>
      </w:r>
    </w:p>
    <w:p w14:paraId="4A5138FD" w14:textId="77777777" w:rsidR="00185A4F" w:rsidRPr="001F2649" w:rsidRDefault="00185A4F" w:rsidP="00185A4F">
      <w:pPr>
        <w:rPr>
          <w:rFonts w:cs="Times New Roman"/>
          <w:sz w:val="32"/>
          <w:szCs w:val="32"/>
        </w:rPr>
      </w:pPr>
      <w:r>
        <w:rPr>
          <w:rFonts w:cs="Times New Roman"/>
          <w:sz w:val="32"/>
          <w:szCs w:val="32"/>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3BA00BE" w14:textId="77777777" w:rsidR="00DF26C4" w:rsidRDefault="00DF26C4"/>
    <w:sectPr w:rsidR="00DF26C4" w:rsidSect="00185A4F">
      <w:footerReference w:type="default" r:id="rId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4006608"/>
      <w:docPartObj>
        <w:docPartGallery w:val="Page Numbers (Bottom of Page)"/>
        <w:docPartUnique/>
      </w:docPartObj>
    </w:sdtPr>
    <w:sdtEndPr>
      <w:rPr>
        <w:noProof/>
      </w:rPr>
    </w:sdtEndPr>
    <w:sdtContent>
      <w:p w14:paraId="6B4ED447" w14:textId="77777777" w:rsidR="00000000" w:rsidRDefault="00000000">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4A3292CA"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C7786B"/>
    <w:multiLevelType w:val="multilevel"/>
    <w:tmpl w:val="CA26AB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34517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BB55C0"/>
    <w:rsid w:val="00185A4F"/>
    <w:rsid w:val="00B03819"/>
    <w:rsid w:val="00BB55C0"/>
    <w:rsid w:val="00DF2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56F04"/>
  <w15:chartTrackingRefBased/>
  <w15:docId w15:val="{0CFAF4D2-6D89-43D6-AE20-0AF08EF9A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A4F"/>
    <w:pPr>
      <w:spacing w:line="360" w:lineRule="auto"/>
      <w:jc w:val="both"/>
    </w:pPr>
    <w:rPr>
      <w:rFonts w:ascii="Times New Roman" w:eastAsiaTheme="minorEastAsia" w:hAnsi="Times New Roman"/>
      <w:kern w:val="0"/>
      <w:sz w:val="24"/>
      <w:lang w:eastAsia="en-GB"/>
    </w:rPr>
  </w:style>
  <w:style w:type="paragraph" w:styleId="Heading1">
    <w:name w:val="heading 1"/>
    <w:basedOn w:val="Normal"/>
    <w:next w:val="Normal"/>
    <w:link w:val="Heading1Char"/>
    <w:uiPriority w:val="9"/>
    <w:qFormat/>
    <w:rsid w:val="00BB55C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BB55C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B55C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B55C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B55C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B55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5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5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5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5C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BB55C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B55C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B55C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B55C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B55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5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5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5C0"/>
    <w:rPr>
      <w:rFonts w:eastAsiaTheme="majorEastAsia" w:cstheme="majorBidi"/>
      <w:color w:val="272727" w:themeColor="text1" w:themeTint="D8"/>
    </w:rPr>
  </w:style>
  <w:style w:type="paragraph" w:styleId="Title">
    <w:name w:val="Title"/>
    <w:basedOn w:val="Normal"/>
    <w:next w:val="Normal"/>
    <w:link w:val="TitleChar"/>
    <w:uiPriority w:val="10"/>
    <w:qFormat/>
    <w:rsid w:val="00BB55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5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5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5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5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B55C0"/>
    <w:rPr>
      <w:i/>
      <w:iCs/>
      <w:color w:val="404040" w:themeColor="text1" w:themeTint="BF"/>
    </w:rPr>
  </w:style>
  <w:style w:type="paragraph" w:styleId="ListParagraph">
    <w:name w:val="List Paragraph"/>
    <w:basedOn w:val="Normal"/>
    <w:uiPriority w:val="34"/>
    <w:qFormat/>
    <w:rsid w:val="00BB55C0"/>
    <w:pPr>
      <w:ind w:left="720"/>
      <w:contextualSpacing/>
    </w:pPr>
  </w:style>
  <w:style w:type="character" w:styleId="IntenseEmphasis">
    <w:name w:val="Intense Emphasis"/>
    <w:basedOn w:val="DefaultParagraphFont"/>
    <w:uiPriority w:val="21"/>
    <w:qFormat/>
    <w:rsid w:val="00BB55C0"/>
    <w:rPr>
      <w:i/>
      <w:iCs/>
      <w:color w:val="365F91" w:themeColor="accent1" w:themeShade="BF"/>
    </w:rPr>
  </w:style>
  <w:style w:type="paragraph" w:styleId="IntenseQuote">
    <w:name w:val="Intense Quote"/>
    <w:basedOn w:val="Normal"/>
    <w:next w:val="Normal"/>
    <w:link w:val="IntenseQuoteChar"/>
    <w:uiPriority w:val="30"/>
    <w:qFormat/>
    <w:rsid w:val="00BB55C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B55C0"/>
    <w:rPr>
      <w:i/>
      <w:iCs/>
      <w:color w:val="365F91" w:themeColor="accent1" w:themeShade="BF"/>
    </w:rPr>
  </w:style>
  <w:style w:type="character" w:styleId="IntenseReference">
    <w:name w:val="Intense Reference"/>
    <w:basedOn w:val="DefaultParagraphFont"/>
    <w:uiPriority w:val="32"/>
    <w:qFormat/>
    <w:rsid w:val="00BB55C0"/>
    <w:rPr>
      <w:b/>
      <w:bCs/>
      <w:smallCaps/>
      <w:color w:val="365F91" w:themeColor="accent1" w:themeShade="BF"/>
      <w:spacing w:val="5"/>
    </w:rPr>
  </w:style>
  <w:style w:type="paragraph" w:styleId="TOCHeading">
    <w:name w:val="TOC Heading"/>
    <w:basedOn w:val="Heading1"/>
    <w:next w:val="Normal"/>
    <w:uiPriority w:val="39"/>
    <w:semiHidden/>
    <w:unhideWhenUsed/>
    <w:qFormat/>
    <w:rsid w:val="00185A4F"/>
    <w:pPr>
      <w:keepNext w:val="0"/>
      <w:keepLines w:val="0"/>
      <w:spacing w:before="480" w:after="0"/>
      <w:contextualSpacing/>
      <w:outlineLvl w:val="9"/>
    </w:pPr>
    <w:rPr>
      <w:rFonts w:ascii="Times New Roman" w:hAnsi="Times New Roman"/>
      <w:b/>
      <w:bCs/>
      <w:color w:val="auto"/>
      <w:sz w:val="28"/>
      <w:szCs w:val="28"/>
      <w:lang w:bidi="en-US"/>
    </w:rPr>
  </w:style>
  <w:style w:type="paragraph" w:styleId="TOC1">
    <w:name w:val="toc 1"/>
    <w:basedOn w:val="Normal"/>
    <w:next w:val="Normal"/>
    <w:autoRedefine/>
    <w:uiPriority w:val="39"/>
    <w:unhideWhenUsed/>
    <w:rsid w:val="00185A4F"/>
    <w:pPr>
      <w:spacing w:after="100"/>
    </w:pPr>
  </w:style>
  <w:style w:type="character" w:styleId="Hyperlink">
    <w:name w:val="Hyperlink"/>
    <w:basedOn w:val="DefaultParagraphFont"/>
    <w:uiPriority w:val="99"/>
    <w:unhideWhenUsed/>
    <w:rsid w:val="00185A4F"/>
    <w:rPr>
      <w:color w:val="0000FF" w:themeColor="hyperlink"/>
      <w:u w:val="single"/>
    </w:rPr>
  </w:style>
  <w:style w:type="paragraph" w:styleId="Footer">
    <w:name w:val="footer"/>
    <w:basedOn w:val="Normal"/>
    <w:link w:val="FooterChar"/>
    <w:uiPriority w:val="99"/>
    <w:unhideWhenUsed/>
    <w:rsid w:val="00185A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A4F"/>
    <w:rPr>
      <w:rFonts w:ascii="Times New Roman" w:eastAsiaTheme="minorEastAsia" w:hAnsi="Times New Roman"/>
      <w:kern w:val="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1886</Words>
  <Characters>10755</Characters>
  <Application>Microsoft Office Word</Application>
  <DocSecurity>0</DocSecurity>
  <Lines>89</Lines>
  <Paragraphs>25</Paragraphs>
  <ScaleCrop>false</ScaleCrop>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Ion-Lucian-Grigore Maracine (2131338)</dc:creator>
  <cp:keywords/>
  <dc:description/>
  <cp:lastModifiedBy>Ion-Lucian-Grigore Maracine (2131338)</cp:lastModifiedBy>
  <cp:revision>2</cp:revision>
  <dcterms:created xsi:type="dcterms:W3CDTF">2024-11-01T11:20:00Z</dcterms:created>
  <dcterms:modified xsi:type="dcterms:W3CDTF">2024-11-01T11:23:00Z</dcterms:modified>
</cp:coreProperties>
</file>