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CAF0F2" w14:textId="77777777" w:rsidR="3CB11CCF" w:rsidRDefault="3CB11CCF" w:rsidP="3CB11CCF">
      <w:pPr>
        <w:pStyle w:val="Subtitle"/>
        <w:jc w:val="center"/>
        <w:rPr>
          <w:rFonts w:ascii="Times New Roman" w:eastAsia="Times New Roman" w:hAnsi="Times New Roman" w:cs="Times New Roman"/>
          <w:i w:val="0"/>
          <w:iCs w:val="0"/>
          <w:color w:val="000000" w:themeColor="text1"/>
        </w:rPr>
      </w:pPr>
    </w:p>
    <w:p w14:paraId="568A5F49" w14:textId="77777777" w:rsidR="3CB11CCF" w:rsidRDefault="3CB11CCF" w:rsidP="3CB11CCF">
      <w:pPr>
        <w:pStyle w:val="Subtitle"/>
        <w:jc w:val="center"/>
        <w:rPr>
          <w:rFonts w:ascii="Times New Roman" w:eastAsia="Times New Roman" w:hAnsi="Times New Roman" w:cs="Times New Roman"/>
          <w:i w:val="0"/>
          <w:iCs w:val="0"/>
          <w:color w:val="000000" w:themeColor="text1"/>
        </w:rPr>
      </w:pPr>
    </w:p>
    <w:p w14:paraId="1576589A" w14:textId="77777777" w:rsidR="00450A4E" w:rsidRDefault="3CB11CCF" w:rsidP="3CB11CCF">
      <w:pPr>
        <w:pStyle w:val="Subtitle"/>
        <w:jc w:val="center"/>
        <w:rPr>
          <w:rFonts w:ascii="Times New Roman" w:eastAsia="Times New Roman" w:hAnsi="Times New Roman" w:cs="Times New Roman"/>
          <w:i w:val="0"/>
          <w:iCs w:val="0"/>
          <w:color w:val="000000" w:themeColor="text1"/>
        </w:rPr>
      </w:pPr>
      <w:r w:rsidRPr="3CB11CCF">
        <w:rPr>
          <w:rFonts w:ascii="Times New Roman" w:eastAsia="Times New Roman" w:hAnsi="Times New Roman" w:cs="Times New Roman"/>
          <w:i w:val="0"/>
          <w:iCs w:val="0"/>
        </w:rPr>
        <w:t>LCMB7037</w:t>
      </w:r>
    </w:p>
    <w:p w14:paraId="7831C0B1" w14:textId="77777777" w:rsidR="00450A4E" w:rsidRDefault="3CB11CCF" w:rsidP="3CB11CCF">
      <w:pPr>
        <w:pStyle w:val="Title"/>
        <w:jc w:val="center"/>
        <w:rPr>
          <w:rFonts w:ascii="Times New Roman" w:eastAsia="Times New Roman" w:hAnsi="Times New Roman" w:cs="Times New Roman"/>
          <w:color w:val="000000" w:themeColor="text1"/>
        </w:rPr>
      </w:pPr>
      <w:r w:rsidRPr="3CB11CCF">
        <w:rPr>
          <w:rFonts w:ascii="Times New Roman" w:eastAsia="Times New Roman" w:hAnsi="Times New Roman" w:cs="Times New Roman"/>
        </w:rPr>
        <w:t>A Strategic Evaluation of Market Expansion Opportunities for Mahindra &amp; Mahindra’s Electric SUV Portfolio in India</w:t>
      </w:r>
    </w:p>
    <w:p w14:paraId="27BA41B6" w14:textId="77777777" w:rsidR="00450A4E" w:rsidRDefault="3CB11CCF" w:rsidP="3CB11CCF">
      <w:pPr>
        <w:pStyle w:val="Subtitle"/>
        <w:jc w:val="center"/>
        <w:rPr>
          <w:rFonts w:ascii="Times New Roman" w:eastAsia="Times New Roman" w:hAnsi="Times New Roman" w:cs="Times New Roman"/>
          <w:i w:val="0"/>
          <w:iCs w:val="0"/>
          <w:color w:val="000000" w:themeColor="text1"/>
        </w:rPr>
      </w:pPr>
      <w:r w:rsidRPr="3CB11CCF">
        <w:rPr>
          <w:rFonts w:ascii="Times New Roman" w:eastAsia="Times New Roman" w:hAnsi="Times New Roman" w:cs="Times New Roman"/>
          <w:i w:val="0"/>
          <w:iCs w:val="0"/>
        </w:rPr>
        <w:t>Business Development Proposal Outline</w:t>
      </w:r>
    </w:p>
    <w:p w14:paraId="2F779CE3" w14:textId="77777777" w:rsidR="00450A4E" w:rsidRDefault="3CB11CCF" w:rsidP="3CB11CCF">
      <w:pPr>
        <w:jc w:val="center"/>
        <w:rPr>
          <w:rFonts w:eastAsia="Times New Roman" w:cs="Times New Roman"/>
          <w:color w:val="000000" w:themeColor="text1"/>
        </w:rPr>
      </w:pPr>
      <w:r w:rsidRPr="3CB11CCF">
        <w:rPr>
          <w:rFonts w:eastAsia="Times New Roman" w:cs="Times New Roman"/>
          <w:color w:val="000000" w:themeColor="text1"/>
        </w:rPr>
        <w:t>Programme: Master of Business Administration</w:t>
      </w:r>
    </w:p>
    <w:p w14:paraId="1ACA8C08" w14:textId="77777777" w:rsidR="00450A4E" w:rsidRDefault="3CB11CCF" w:rsidP="3CB11CCF">
      <w:pPr>
        <w:jc w:val="center"/>
        <w:rPr>
          <w:rFonts w:eastAsia="Times New Roman" w:cs="Times New Roman"/>
          <w:color w:val="000000" w:themeColor="text1"/>
        </w:rPr>
      </w:pPr>
      <w:r w:rsidRPr="3CB11CCF">
        <w:rPr>
          <w:rFonts w:eastAsia="Times New Roman" w:cs="Times New Roman"/>
          <w:color w:val="000000" w:themeColor="text1"/>
        </w:rPr>
        <w:t>Module: LCMB7037 Business Development Proposal</w:t>
      </w:r>
    </w:p>
    <w:p w14:paraId="676AC108" w14:textId="77777777" w:rsidR="00450A4E" w:rsidRDefault="3CB11CCF" w:rsidP="3CB11CCF">
      <w:pPr>
        <w:jc w:val="center"/>
        <w:rPr>
          <w:rFonts w:eastAsia="Times New Roman" w:cs="Times New Roman"/>
          <w:color w:val="000000" w:themeColor="text1"/>
        </w:rPr>
      </w:pPr>
      <w:r w:rsidRPr="3CB11CCF">
        <w:rPr>
          <w:rFonts w:eastAsia="Times New Roman" w:cs="Times New Roman"/>
          <w:color w:val="000000" w:themeColor="text1"/>
        </w:rPr>
        <w:t>Pathway: Path B Business Plan for an Existing Company</w:t>
      </w:r>
    </w:p>
    <w:p w14:paraId="057C3D9B" w14:textId="77777777" w:rsidR="00450A4E" w:rsidRDefault="3CB11CCF" w:rsidP="3CB11CCF">
      <w:pPr>
        <w:jc w:val="center"/>
        <w:rPr>
          <w:rFonts w:eastAsia="Times New Roman" w:cs="Times New Roman"/>
          <w:color w:val="000000" w:themeColor="text1"/>
        </w:rPr>
      </w:pPr>
      <w:r w:rsidRPr="3CB11CCF">
        <w:rPr>
          <w:rFonts w:eastAsia="Times New Roman" w:cs="Times New Roman"/>
          <w:color w:val="000000" w:themeColor="text1"/>
        </w:rPr>
        <w:t>Student name: Modhavadiya Rambhai</w:t>
      </w:r>
    </w:p>
    <w:p w14:paraId="0A5413CA" w14:textId="77777777" w:rsidR="00450A4E" w:rsidRDefault="3CB11CCF" w:rsidP="3CB11CCF">
      <w:pPr>
        <w:jc w:val="center"/>
        <w:rPr>
          <w:rFonts w:eastAsia="Times New Roman" w:cs="Times New Roman"/>
          <w:color w:val="000000" w:themeColor="text1"/>
        </w:rPr>
      </w:pPr>
      <w:r w:rsidRPr="3CB11CCF">
        <w:rPr>
          <w:rFonts w:eastAsia="Times New Roman" w:cs="Times New Roman"/>
          <w:color w:val="000000" w:themeColor="text1"/>
        </w:rPr>
        <w:t>Student ID: 2516705</w:t>
      </w:r>
    </w:p>
    <w:p w14:paraId="5687F3DD" w14:textId="77777777" w:rsidR="00450A4E" w:rsidRDefault="3CB11CCF" w:rsidP="3CB11CCF">
      <w:pPr>
        <w:jc w:val="center"/>
        <w:rPr>
          <w:rFonts w:eastAsia="Times New Roman" w:cs="Times New Roman"/>
          <w:color w:val="000000" w:themeColor="text1"/>
        </w:rPr>
      </w:pPr>
      <w:r w:rsidRPr="3CB11CCF">
        <w:rPr>
          <w:rFonts w:eastAsia="Times New Roman" w:cs="Times New Roman"/>
          <w:color w:val="000000" w:themeColor="text1"/>
        </w:rPr>
        <w:t>Supervisor: Masud Ibrahim</w:t>
      </w:r>
    </w:p>
    <w:p w14:paraId="38A34A11" w14:textId="77777777" w:rsidR="00450A4E" w:rsidRDefault="3CB11CCF" w:rsidP="3CB11CCF">
      <w:pPr>
        <w:jc w:val="center"/>
        <w:rPr>
          <w:rFonts w:eastAsia="Times New Roman" w:cs="Times New Roman"/>
          <w:color w:val="000000" w:themeColor="text1"/>
        </w:rPr>
      </w:pPr>
      <w:r w:rsidRPr="3CB11CCF">
        <w:rPr>
          <w:rFonts w:eastAsia="Times New Roman" w:cs="Times New Roman"/>
          <w:color w:val="000000" w:themeColor="text1"/>
        </w:rPr>
        <w:t>Submission: Week 5 formative submission</w:t>
      </w:r>
    </w:p>
    <w:p w14:paraId="6B5D2D6A" w14:textId="77777777" w:rsidR="00450A4E" w:rsidRDefault="00AD12EB">
      <w:r>
        <w:br w:type="page"/>
      </w:r>
    </w:p>
    <w:p w14:paraId="70A42108" w14:textId="77777777" w:rsidR="00450A4E" w:rsidRDefault="3CB11CCF" w:rsidP="3CB11CCF">
      <w:pPr>
        <w:pStyle w:val="Heading1"/>
        <w:spacing w:line="360" w:lineRule="auto"/>
        <w:jc w:val="both"/>
        <w:rPr>
          <w:rFonts w:ascii="Times New Roman" w:eastAsia="Times New Roman" w:hAnsi="Times New Roman" w:cs="Times New Roman"/>
          <w:color w:val="000000" w:themeColor="text1"/>
          <w:sz w:val="24"/>
          <w:szCs w:val="24"/>
        </w:rPr>
      </w:pPr>
      <w:r w:rsidRPr="3CB11CCF">
        <w:rPr>
          <w:rFonts w:ascii="Times New Roman" w:eastAsia="Times New Roman" w:hAnsi="Times New Roman" w:cs="Times New Roman"/>
          <w:sz w:val="24"/>
          <w:szCs w:val="24"/>
        </w:rPr>
        <w:t>1 Introduction aims objectives and company description</w:t>
      </w:r>
    </w:p>
    <w:p w14:paraId="639434E7"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1.1 Company description</w:t>
      </w:r>
    </w:p>
    <w:p w14:paraId="47BE6BA4"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Mahindra &amp; Mahindra Limited (M&amp;M) is the established automotive and farm-equipment company selected for this proposal. The Mahindra Group was founded in 1945 and developed a diversified presence in automotive, farming, financial services, technology and other industries. M&amp;M operates within this wider group rather than representing every group business. Its SUV expertise and existing customer relationships provide a relevant basis for examining electric passenger-vehicle growth (Mahindra &amp; Mahindra, 2025c; 2026b).</w:t>
      </w:r>
    </w:p>
    <w:p w14:paraId="6F3457BB"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M&amp;M is a publicly listed Indian limited company, with ownership distributed among its promoter group and other shareholders. The final business plan will use the latest annual report and shareholding disclosures to distinguish the parent company, relevant EV entities and external partners. The operating scope here is India: vehicle development and manufacture, dealer and digital sales, finance partnerships, charging access and after-sales support. The research will not assume that all group resources are automatically available to the electric SUV business.</w:t>
      </w:r>
    </w:p>
    <w:p w14:paraId="46168304"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company’s wider purpose links business development with positive change for communities. Its electric-origin SUV communication expresses an ambition to deliver innovative Indian electric SUVs for wider markets. This proposal interprets those published purpose and product-vision statements as a basis for evaluating customer value and sustainable mobility; it does not invent a separate formal mission or vision for M&amp;M’s EV division (Mahindra &amp; Mahindra, 2025c; 2026b).</w:t>
      </w:r>
    </w:p>
    <w:p w14:paraId="68AD0173"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M&amp;M reported consolidated FY2025–26 revenue of ₹198,639 crore and profit after tax of ₹17,099 crore. Revenue increased by 25 per cent, while reported PAT growth was 32 per cent, or 35 per cent when the prior year’s land-sale gain was excluded. Its 25.3 per cent SUV revenue market share relates to the wider SUV business and must not be described as electric passenger-vehicle registration share (Mahindra &amp; Mahindra, 2026b). These results indicate company scale, but do not establish electric SUV profitability.</w:t>
      </w:r>
    </w:p>
    <w:p w14:paraId="501D802D"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portfolio spans compact and larger electric SUVs. Published launch prices place the XUV 3XO EV at ₹13.89 lakh and the seven-seat XEV 9S at ₹19.95 lakh; the BE 6 and XEV 9e also form part of the electric-origin range. These are dated launch prices rather than verified October 2026 transaction prices. The company markets the XUV 3XO EV for urban use and reports a 39.4 kWh battery with real-world range up to 285 km; this is a manufacturer claim, not independently measured range (Mahindra &amp; Mahindra, 2025b; 2025c; 2026d).</w:t>
      </w:r>
    </w:p>
    <w:p w14:paraId="16CB31AA"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Potential customers include urban households, buyers seeking larger family SUVs and corporate users. These are candidate segments for research rather than confirmed profitable targets. The proposition to be assessed combines SUV design and performance with charging convenience and support. Mahindra’s Charge_iN network announcement and HPCL partnership provide evidence of ecosystem development, although their commercial and customer benefits require validation (Mahindra &amp; Mahindra, 2025d; 2026c).</w:t>
      </w:r>
    </w:p>
    <w:p w14:paraId="0C3D0F24"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This proposal evaluates how M&amp;M can expand its electric SUV portfolio across India while preserving profitability, brand differentiation and service quality. It follows Path B, defined in the module guidance as a business plan for an existing company that identifies a problem, weakness or growth opportunity and provides a realistic recommendation. Path A concerns a new business start-up and is outside this project. The unit of analysis is M&amp;M’s Indian electric passenger-SUV business, including the XUV 3XO EV, BE 6, XEV 9e, XEV 9S, the earlier XUV400 customer base and associated charging and service provision.</w:t>
      </w:r>
    </w:p>
    <w:p w14:paraId="1D7A9D64"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1.2 Business development opportunity</w:t>
      </w:r>
    </w:p>
    <w:p w14:paraId="03F4B97B"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opportunity is to convert initial electric SUV interest into sustained sales across suitable Indian customer segments and locations. M&amp;M reported 30,179 first-day bookings for the BE 6 and XEV 9e in February 2025. This shows launch interest, but bookings are not completed registrations, repeat purchases or evidence of nationwide profitability (Mahindra &amp; Mahindra, 2025c). Indian consumer research identifies perceived usefulness, ease of use, risk and financial incentives as relevant to adoption intention (Jaiswal et al., 2021). The business problem is therefore how M&amp;M can reduce ownership barriers while selecting expansion opportunities that are commercially feasible.</w:t>
      </w:r>
    </w:p>
    <w:p w14:paraId="5E7C6758"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proposed solution is a phased Mahindra Electric SUV Market Expansion Programme. City clusters would first be screened for demand, charging access and dealer capability. Customer-access options would then be evaluated, including finance or leasing, clear battery-warranty communication and residual-value support. Finally, sales expansion would be linked to technician readiness, home-charging fulfilment and reliable public charging. Literature supports investigating affordability and infrastructure as adoption factors (Kumar and Alok, 2020; Gupta, 2025), while M&amp;M’s charging announcements establish relevant company initiatives (Mahindra &amp; Mahindra, 2025d; 2026c). These are proposals to test, not established company commitments or proven outcomes.</w:t>
      </w:r>
    </w:p>
    <w:p w14:paraId="659575A1"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Within Path B, the study will compare two strategic options: premium-led expansion using the BE and XEV range, and broader urban access using the XUV 3XO EV. These are alternative commercial strategies within the same assessment pathway. A combined recommendation will be considered only where evidence supports incremental demand, manageable cannibalisation and adequate service capacity.</w:t>
      </w:r>
    </w:p>
    <w:p w14:paraId="31CE9973"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1.3 Research aim question and objectives</w:t>
      </w:r>
    </w:p>
    <w:p w14:paraId="5DE1A332"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Aim</w:t>
      </w:r>
      <w:r w:rsidR="006B0A11">
        <w:rPr>
          <w:rFonts w:eastAsia="Times New Roman" w:cs="Times New Roman"/>
          <w:color w:val="000000" w:themeColor="text1"/>
          <w:szCs w:val="24"/>
        </w:rPr>
        <w:t>:</w:t>
      </w:r>
      <w:r w:rsidRPr="3CB11CCF">
        <w:rPr>
          <w:rFonts w:eastAsia="Times New Roman" w:cs="Times New Roman"/>
          <w:color w:val="000000" w:themeColor="text1"/>
          <w:szCs w:val="24"/>
        </w:rPr>
        <w:t xml:space="preserve"> To evaluate Indian market expansion opportunities for M&amp;M’s electric SUV portfolio and develop a commercially feasible growth strategy covering target segments, geographic priorities, customer access and the supporting ownership ecosystem.</w:t>
      </w:r>
    </w:p>
    <w:p w14:paraId="343EADE0"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Research question</w:t>
      </w:r>
      <w:r w:rsidR="006B0A11">
        <w:rPr>
          <w:rFonts w:eastAsia="Times New Roman" w:cs="Times New Roman"/>
          <w:color w:val="000000" w:themeColor="text1"/>
          <w:szCs w:val="24"/>
        </w:rPr>
        <w:t>:</w:t>
      </w:r>
      <w:r w:rsidRPr="3CB11CCF">
        <w:rPr>
          <w:rFonts w:eastAsia="Times New Roman" w:cs="Times New Roman"/>
          <w:color w:val="000000" w:themeColor="text1"/>
          <w:szCs w:val="24"/>
        </w:rPr>
        <w:t xml:space="preserve"> How should Mahindra &amp; Mahindra expand its electric SUV portfolio across Indian customer segments and regions while maintaining profitability, brand differentiation and operational readiness?</w:t>
      </w:r>
    </w:p>
    <w:p w14:paraId="63A135C0" w14:textId="77777777" w:rsidR="00450A4E" w:rsidRDefault="3CB11CCF" w:rsidP="3CB11CCF">
      <w:pPr>
        <w:pStyle w:val="ListNumber"/>
        <w:spacing w:line="360" w:lineRule="auto"/>
        <w:jc w:val="both"/>
        <w:rPr>
          <w:rFonts w:eastAsia="Times New Roman" w:cs="Times New Roman"/>
          <w:color w:val="000000" w:themeColor="text1"/>
          <w:szCs w:val="24"/>
        </w:rPr>
      </w:pPr>
      <w:r w:rsidRPr="3CB11CCF">
        <w:rPr>
          <w:rFonts w:eastAsia="Times New Roman" w:cs="Times New Roman"/>
          <w:color w:val="000000" w:themeColor="text1"/>
          <w:szCs w:val="24"/>
        </w:rPr>
        <w:t>Assess M&amp;M’s Indian electric SUV portfolio, company resources and financial position to identify strengths and constraints affecting its proposed expansion.</w:t>
      </w:r>
    </w:p>
    <w:p w14:paraId="3A97FC9D" w14:textId="77777777" w:rsidR="00450A4E" w:rsidRDefault="3CB11CCF" w:rsidP="3CB11CCF">
      <w:pPr>
        <w:pStyle w:val="ListNumber"/>
        <w:spacing w:line="360" w:lineRule="auto"/>
        <w:jc w:val="both"/>
        <w:rPr>
          <w:rFonts w:eastAsia="Times New Roman" w:cs="Times New Roman"/>
          <w:color w:val="000000" w:themeColor="text1"/>
          <w:szCs w:val="24"/>
        </w:rPr>
      </w:pPr>
      <w:r w:rsidRPr="3CB11CCF">
        <w:rPr>
          <w:rFonts w:eastAsia="Times New Roman" w:cs="Times New Roman"/>
          <w:color w:val="000000" w:themeColor="text1"/>
          <w:szCs w:val="24"/>
        </w:rPr>
        <w:t>Analyse Indian electric passenger-vehicle registrations and selected regional patterns to identify customer segments and city clusters that M&amp;M could serve, together with their adoption barriers.</w:t>
      </w:r>
    </w:p>
    <w:p w14:paraId="73C2E228" w14:textId="77777777" w:rsidR="00450A4E" w:rsidRDefault="3CB11CCF" w:rsidP="3CB11CCF">
      <w:pPr>
        <w:pStyle w:val="ListNumber"/>
        <w:spacing w:line="360" w:lineRule="auto"/>
        <w:jc w:val="both"/>
        <w:rPr>
          <w:rFonts w:eastAsia="Times New Roman" w:cs="Times New Roman"/>
          <w:color w:val="000000" w:themeColor="text1"/>
          <w:szCs w:val="24"/>
        </w:rPr>
      </w:pPr>
      <w:r w:rsidRPr="3CB11CCF">
        <w:rPr>
          <w:rFonts w:eastAsia="Times New Roman" w:cs="Times New Roman"/>
          <w:color w:val="000000" w:themeColor="text1"/>
          <w:szCs w:val="24"/>
        </w:rPr>
        <w:t>Compare M&amp;M’s electric SUV customer proposition, pricing and ownership support with Tata Motors, JSW MG Motor, Hyundai and Maruti Suzuki to identify defensible opportunities for M&amp;M.</w:t>
      </w:r>
    </w:p>
    <w:p w14:paraId="166B118B" w14:textId="77777777" w:rsidR="00450A4E" w:rsidRDefault="3CB11CCF" w:rsidP="3CB11CCF">
      <w:pPr>
        <w:pStyle w:val="ListNumber"/>
        <w:spacing w:line="360" w:lineRule="auto"/>
        <w:jc w:val="both"/>
        <w:rPr>
          <w:rFonts w:eastAsia="Times New Roman" w:cs="Times New Roman"/>
          <w:color w:val="000000" w:themeColor="text1"/>
          <w:szCs w:val="24"/>
        </w:rPr>
      </w:pPr>
      <w:r w:rsidRPr="3CB11CCF">
        <w:rPr>
          <w:rFonts w:eastAsia="Times New Roman" w:cs="Times New Roman"/>
          <w:color w:val="000000" w:themeColor="text1"/>
          <w:szCs w:val="24"/>
        </w:rPr>
        <w:t>Evaluate M&amp;M’s premium-led and broader-access expansion options using the Business Model Canvas, PESTLE, SWOT, competitor analysis, Porter’s Five Forces and the Ansoff Matrix.</w:t>
      </w:r>
    </w:p>
    <w:p w14:paraId="248CC276" w14:textId="77777777" w:rsidR="00450A4E" w:rsidRDefault="3CB11CCF" w:rsidP="3CB11CCF">
      <w:pPr>
        <w:pStyle w:val="ListNumber"/>
        <w:spacing w:line="360" w:lineRule="auto"/>
        <w:jc w:val="both"/>
        <w:rPr>
          <w:rFonts w:eastAsia="Times New Roman" w:cs="Times New Roman"/>
          <w:color w:val="000000" w:themeColor="text1"/>
          <w:szCs w:val="24"/>
        </w:rPr>
      </w:pPr>
      <w:r w:rsidRPr="3CB11CCF">
        <w:rPr>
          <w:rFonts w:eastAsia="Times New Roman" w:cs="Times New Roman"/>
          <w:color w:val="000000" w:themeColor="text1"/>
          <w:szCs w:val="24"/>
        </w:rPr>
        <w:t>Develop a phased expansion recommendation for M&amp;M’s Indian electric SUV business, supported by financial scenarios, implementation responsibilities, performance indicators and risk controls.</w:t>
      </w:r>
    </w:p>
    <w:p w14:paraId="470CEEDA"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final BDP will follow the supplied full-report structure: Executive Summary, Company description, Market research and validation, Business Model Canvas, Marketing and sales strategy, Operation plan, Human resource capital allocation, Business Analysis Models, Financial plan and Reflection, followed by References and any Appendices. The Financial plan will examine M&amp;M’s most recent available cash flow statement as well as the proposed expansion scenarios. This week 5 outline follows the separate proposal guidance and does not substitute for the completed business plan.</w:t>
      </w:r>
    </w:p>
    <w:p w14:paraId="5633EDB2" w14:textId="77777777" w:rsidR="00450A4E" w:rsidRDefault="3CB11CCF" w:rsidP="3CB11CCF">
      <w:pPr>
        <w:pStyle w:val="Heading1"/>
        <w:spacing w:line="360" w:lineRule="auto"/>
        <w:jc w:val="both"/>
        <w:rPr>
          <w:rFonts w:ascii="Times New Roman" w:eastAsia="Times New Roman" w:hAnsi="Times New Roman" w:cs="Times New Roman"/>
          <w:color w:val="000000" w:themeColor="text1"/>
          <w:sz w:val="24"/>
          <w:szCs w:val="24"/>
        </w:rPr>
      </w:pPr>
      <w:r w:rsidRPr="3CB11CCF">
        <w:rPr>
          <w:rFonts w:ascii="Times New Roman" w:eastAsia="Times New Roman" w:hAnsi="Times New Roman" w:cs="Times New Roman"/>
          <w:sz w:val="24"/>
          <w:szCs w:val="24"/>
        </w:rPr>
        <w:t xml:space="preserve">2 Methodology </w:t>
      </w:r>
    </w:p>
    <w:p w14:paraId="2132B0F7"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2.1 Research design</w:t>
      </w:r>
    </w:p>
    <w:p w14:paraId="30BBAB67"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study will adopt a pragmatic, single-company case study combining quantitative market and financial analysis with qualitative strategic analysis (Saunders, Lewis and Thornhill, 2023). Market potential depends on the interaction between customer behaviour, policy, charging infrastructure, competitors and Mahindra’s capabilities (Yin, 2018). Abductive reasoning will refine preliminary explanations through structured comparison.</w:t>
      </w:r>
    </w:p>
    <w:p w14:paraId="2AAB66AF"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project will use secondary research only, with no interviews, surveys, observation, personal data or confidential material. This is feasible within 16 weeks and limits ethical risk while enabling analysis of registrations, disclosures, policy and academic research. Customer attitudes will not be presented as first-hand findings.</w:t>
      </w:r>
    </w:p>
    <w:p w14:paraId="0C8F205E"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2.2 Evidence collection and selection</w:t>
      </w:r>
    </w:p>
    <w:p w14:paraId="69D972FD"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Company evidence will be collected from M&amp;M annual reports, investor presentations, stock-exchange disclosures, sales releases, product specifications and charging announcements. Market evidence will draw on the Ministry of Road Transport and Highways’ VAHAN registration data where coverage permits, the Society of Indian Automobile Manufacturers, the Ministry of Heavy Industries, NITI Aayog, state EV policies and credible industry reports. Competitor prices, range, warranties, capacity and distribution claims will be taken from official manufacturer sources and checked against dated independent reporting. Peer-reviewed literature will be located through Scopus, ABI/INFORM and Google Scholar.</w:t>
      </w:r>
    </w:p>
    <w:p w14:paraId="561D40A1"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core comparison will cover completed financial years 2022–23 to 2025–26, ending on 31 March 2026. FY2026–27 runs from 1 April 2026 to 31 March 2027 and is incomplete at the revision date of 3 October 2026. Only published, clearly dated FY2026–27 observations will be used as supplementary updates. An interim quarter or partial-year series will be compared with the matching prior-year period; it will not be represented as an annual total, directly compared with a full year or annualised without a stated assumption. The extraction date, period covered and reporting lag will be recorded for each dataset.</w:t>
      </w:r>
    </w:p>
    <w:p w14:paraId="3B454FD5"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Search terms will include India electric passenger vehicle adoption, electric SUV demand, charging infrastructure, EV total cost of ownership, purchase intention, residual value, dealership readiness and battery warranty. Sources must identify the publisher and date, explain the dataset or method, and concern Indian passenger vehicles or an explicitly transferable academic concept. Anonymous commentary, duplicate releases, undated estimates and untraceable shares will be excluded. A source register will record definitions, geographic coverage, limitations and the section supported. Academic studies of adoption intention will be distinguished from observations of actual purchases.</w:t>
      </w:r>
    </w:p>
    <w:p w14:paraId="6D147512"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2.3 Analysis and validation</w:t>
      </w:r>
    </w:p>
    <w:p w14:paraId="44DC1373"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Quantitative analysis will examine electric passenger-vehicle registrations, growth, penetration, manufacturer share, model price bands and selected state or city patterns. M&amp;M revenue, SUV volume and investment disclosures will provide the company context. Where model contribution margins or development costs are not disclosed, the study will use transparent low, central and high scenarios rather than claim false precision. Scenarios will test addressable customers, conversion, average revenue, finance or charging attachment, service cost, capital intensity and break-even timing. Sensitivity analysis will identify which assumptions most affect the recommendation.</w:t>
      </w:r>
    </w:p>
    <w:p w14:paraId="49E2E96F"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Microsoft Excel will be used to calculate year-on-year registration growth, EV penetration and manufacturer share using consistent vehicle categories and denominators. Growth will equal the change in registrations divided by the previous period’s registrations; EV penetration will equal electric passenger-vehicle registrations divided by all passenger-vehicle registrations; and manufacturer share will use the electric passenger-vehicle total as its denominator. City screening will compare available indicators of EV demand, charging access and dealer readiness. Missing comparable city measures or company-specific costs will be reported explicitly.</w:t>
      </w:r>
    </w:p>
    <w:p w14:paraId="21222C2E" w14:textId="77777777" w:rsidR="00F9437E" w:rsidRDefault="00CF67CA">
      <w:r>
        <w:t>Similar use of existing market evidence is demonstrated by Sierzchula et al. (2014), who analysed national EV market shares and socioeconomic indicators for 30 countries in 2012 using multiple linear regression. Charging infrastructure, financial incentives and domestic production were positively associated with adoption, but descriptive comparisons showed that infrastructure or incentives alone did not guarantee high uptake. This supports examining demand alongside infrastructure and affordability. The pre</w:t>
      </w:r>
      <w:r>
        <w:t>sent project adapts that evidence-led comparison to Indian market screening; it does not reproduce their regression, infer causality or transfer national coefficients to individual cities.</w:t>
      </w:r>
    </w:p>
    <w:p w14:paraId="3705A6EB" w14:textId="77777777" w:rsidR="00F9437E" w:rsidRDefault="00CF67CA">
      <w:r>
        <w:t>Kumar and Alok (2020) used an integrative literature review to synthesise EV adoption research. Their approach provides a precedent for drawing together published evidence on adoption barriers and motivators, supporting the qualitative component of this secondary-data study. It does not validate the proposed city-ranking weights. Jaiswal et al. (2021) and Gupta (2025) will supply published findings about Indian adoption intention, rather than serve as precedents for conducting a new survey in this project.</w:t>
      </w:r>
    </w:p>
    <w:p w14:paraId="6EE166C6" w14:textId="77777777" w:rsidR="00F9437E" w:rsidRDefault="00CF67CA">
      <w:r>
        <w:t>The city-screening model will be an exploratory decision tool developed for this proposal, rather than an established model attributed to these authors. Comparable indicators will be converted to a common 0–100 scale, with higher scores indicating stronger readiness, and combined using weights that sum to one. Equal weights will provide the baseline; alternative demand-led and infrastructure-led weights will test whether priorities change. Indicator definitions, weights and missing-data rules will be disclo</w:t>
      </w:r>
      <w:r>
        <w:t>sed. Where dealer readiness or charging reliability cannot be measured comparably, the resulting ranking will remain provisional and require validation before investment.</w:t>
      </w:r>
    </w:p>
    <w:p w14:paraId="5830BF3A"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Qualitative evidence will be coded by customer barrier, purchase criterion, infrastructure constraint, policy influence, competitive response and organisational requirement using a structured thematic method (Braun and Clarke, 2006). The final report will apply PESTLE, SWOT, competitor analysis, Porter’s Five Forces (Porter, 1980) and the Ansoff Matrix (Ansoff, 1957), as required by the module. A Business Model Canvas will connect customer segments and channels to resources, partners, costs and revenues (Osterwalder and Pigneur, 2010). Triangulation across registrations, company filings, government documents and academic studies will reduce dependence on promotional evidence.</w:t>
      </w:r>
    </w:p>
    <w:p w14:paraId="6124F34D"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required models will inform specific M&amp;M decisions. PESTLE will identify external constraints; SWOT will combine these with company capabilities; competitor analysis will test relative customer value; Porter’s Five Forces will assess industry pressures; and the Ansoff Matrix will locate expansion within market penetration, market development or product development. The Business Model Canvas will connect recommendations to the resources, partners, channels and revenues needed to deliver them. The study will also examine staffing and training requirements, operating responsibilities, funding implications and the latest company cash flow statement, in line with Path B.</w:t>
      </w:r>
    </w:p>
    <w:p w14:paraId="6196CC01"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2.4 Ethics evidence quality and limitations</w:t>
      </w:r>
    </w:p>
    <w:p w14:paraId="711D25F1"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absence of human participants makes the project low risk, but formal ethical approval must still be obtained before research begins. Public data will be cited in Harvard style, licence and copyright restrictions will be respected, and no proprietary datasets will be redistributed. Research files will be stored in password-protected university storage with versioned filenames, a source log and a data dictionary. Conflicting statistics will be reconciled by checking scope, period and registration coverage; unresolved differences will be reported rather than averaged without justification.</w:t>
      </w:r>
    </w:p>
    <w:p w14:paraId="064577C1"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Manufacturer releases will be treated as attributed corporate evidence. Academic literature will support explanations of adoption behaviour, while current financial and registration evidence will support company and market statistics. These sources serve different purposes and will not be substituted for one another. The main limitations are undisclosed model profitability, uneven registration coverage and the absence of direct customer research. Proposed actions will therefore be presented as conditional recommendations. Any permitted AI assistance will be declared in accordance with the applicable university requirements and checked against original sources.</w:t>
      </w:r>
    </w:p>
    <w:p w14:paraId="320FDB7D" w14:textId="77777777" w:rsidR="00450A4E" w:rsidRDefault="3CB11CCF" w:rsidP="3CB11CCF">
      <w:pPr>
        <w:pStyle w:val="Heading1"/>
        <w:spacing w:line="360" w:lineRule="auto"/>
        <w:jc w:val="both"/>
        <w:rPr>
          <w:rFonts w:ascii="Times New Roman" w:eastAsia="Times New Roman" w:hAnsi="Times New Roman" w:cs="Times New Roman"/>
          <w:color w:val="000000" w:themeColor="text1"/>
          <w:sz w:val="24"/>
          <w:szCs w:val="24"/>
        </w:rPr>
      </w:pPr>
      <w:r w:rsidRPr="3CB11CCF">
        <w:rPr>
          <w:rFonts w:ascii="Times New Roman" w:eastAsia="Times New Roman" w:hAnsi="Times New Roman" w:cs="Times New Roman"/>
          <w:sz w:val="24"/>
          <w:szCs w:val="24"/>
        </w:rPr>
        <w:t>3 Market research and validation</w:t>
      </w:r>
    </w:p>
    <w:p w14:paraId="256422FA"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3.1 Preliminary company and market evidence</w:t>
      </w:r>
    </w:p>
    <w:p w14:paraId="0D9E9F20"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Mahindra’s booking announcement provides preliminary evidence of demand for its electric-origin range, while its FY2025–26 results indicate wider automotive scale. Neither measure establishes M&amp;M’s share of all Indian electric passenger-vehicle registrations. The final market analysis will obtain comparable registration or industry series to assess market size, growth, penetration and manufacturer position, explicitly separating retail registrations from manufacturer dispatches and launch bookings (Mahindra &amp; Mahindra, 2025c; 2026b).</w:t>
      </w:r>
    </w:p>
    <w:p w14:paraId="194B3AFC"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compact XUV 3XO EV and larger XEV 9S demonstrate different published price and use-case propositions. This gives M&amp;M options for segment development, but product variety alone does not prove product-market fit. Launch prices will be compared with dated competitor offers and total ownership costs, including finance, insurance, electricity, home-charger installation and servicing. Range claims will be labelled by their test or manufacturer basis and will not be treated as identical to customer experience (Mahindra &amp; Mahindra, 2025b; 2026d).</w:t>
      </w:r>
    </w:p>
    <w:p w14:paraId="76229D66"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3.2 Academic basis for customer and geographic analysis</w:t>
      </w:r>
    </w:p>
    <w:p w14:paraId="28FD59AD"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Jaiswal et al. (2021) use an extended Technology Acceptance Model to study Indian EV adoption intention. Their results connect usefulness, ease of use, perceived risk and financial incentives with intention. For M&amp;M, this supports testing whether communications and ownership arrangements address practical benefits and perceived uncertainty. It does not establish that a particular Mahindra customer segment will buy, or that an incentive produces profitable incremental sales.</w:t>
      </w:r>
    </w:p>
    <w:p w14:paraId="1A6612D9"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Gupta (2025) examines Indian EV purchase intention using 553 responses and reports significant relationships involving charging infrastructure, technological factors, environmental concerns and total ownership cost. The ownership-cost effect is weaker than several other factors, cautioning against treating price support as sufficient. Kumar and Alok’s (2020) review also organises EV adoption barriers and motivators across different settings. Together these studies justify comparing customer access and infrastructure alongside product features; their findings require contextual interpretation for Mahindra electric SUVs.</w:t>
      </w:r>
    </w:p>
    <w:p w14:paraId="58EDCFDE"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Metropolitan technology adopters, urban families and corporate users will be treated as provisional segments. Regional screening will compare major metros, selected Tier-2 clusters and inter-city corridors only where consistent data are available. Demand estimates will be tested against charging accessibility, dealer capability and service capacity. This is a proposed decision method derived from the adoption evidence and company context, rather than a claim that any city is already an approved expansion target.</w:t>
      </w:r>
    </w:p>
    <w:p w14:paraId="364C6AF7"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3.3 Infrastructure competition and regulatory validation</w:t>
      </w:r>
    </w:p>
    <w:p w14:paraId="2CB04E1D"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M&amp;M announced a target of 1,000 Charge_iN charging points by the end of 2027 and subsequently announced a partnership to develop charging infrastructure at HPCL fuel stations. These support the relevance of an ecosystem approach, but a target or agreement is not evidence that all locations are operational. The study will distinguish planned and commissioned sites and investigate geographic access, compatibility, uptime evidence and service arrangements (Mahindra &amp; Mahindra, 2025d; 2026c).</w:t>
      </w:r>
    </w:p>
    <w:p w14:paraId="02B173D9"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Competitor analysis will compare Tata Motors, JSW MG Motor, Hyundai and Maruti Suzuki using dated official product and distribution information. It will examine vehicle price bands, use cases, charging and warranty provision, finance structures and after-sales access without assuming that brand size determines EV advantage. Porter’s framework will structure analysis of rivalry, substitutes, supplier pressures, buyer power and entry threats (Porter, 1980). State and central policy documents will be checked for eligibility dates and vehicle categories before any incentive enters the financial model. General support for electrification will not be assumed to provide a passenger-car purchase subsidy.</w:t>
      </w:r>
    </w:p>
    <w:p w14:paraId="6CB5FFFB" w14:textId="77777777" w:rsidR="00450A4E" w:rsidRDefault="3CB11CCF" w:rsidP="3CB11CCF">
      <w:pPr>
        <w:pStyle w:val="Heading2"/>
        <w:spacing w:line="360" w:lineRule="auto"/>
        <w:jc w:val="both"/>
        <w:rPr>
          <w:rFonts w:ascii="Times New Roman" w:eastAsia="Times New Roman" w:hAnsi="Times New Roman" w:cs="Times New Roman"/>
          <w:color w:val="000000" w:themeColor="text1"/>
          <w:szCs w:val="24"/>
        </w:rPr>
      </w:pPr>
      <w:r w:rsidRPr="3CB11CCF">
        <w:rPr>
          <w:rFonts w:ascii="Times New Roman" w:eastAsia="Times New Roman" w:hAnsi="Times New Roman" w:cs="Times New Roman"/>
          <w:szCs w:val="24"/>
        </w:rPr>
        <w:t>3.4 Commercial validation and expected output</w:t>
      </w:r>
    </w:p>
    <w:p w14:paraId="1D2A2A36"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programme will be assessed against six tests: incremental demand after internal cannibalisation; customer affordability after finance and charging costs; dealer and technician readiness; charging availability and reliability; unit economics under price competition; and evidence supporting retention or advocacy. Public evidence may support only some indicators. Internal measures such as test-drive conversion, contribution per vehicle and customer acquisition cost will be proposed as pilot monitoring indicators rather than claimed as observed results.</w:t>
      </w:r>
    </w:p>
    <w:p w14:paraId="75A224EB" w14:textId="77777777" w:rsidR="00450A4E" w:rsidRDefault="3CB11CCF" w:rsidP="3CB11CCF">
      <w:pPr>
        <w:jc w:val="both"/>
      </w:pPr>
      <w:r w:rsidRPr="3CB11CCF">
        <w:rPr>
          <w:rFonts w:eastAsia="Times New Roman" w:cs="Times New Roman"/>
          <w:color w:val="000000" w:themeColor="text1"/>
          <w:szCs w:val="24"/>
        </w:rPr>
        <w:t>The final recommendation will identify target segments and city clusters, marketing and sales improvements, operating and human-capital requirements, a Business Model Canvas, financial scenarios and implementation gates. It will include a critical Path B reflection on the opportunity, recommended solution, required resources and barriers, and whether M&amp;M should implement the programme fully, partially or in revised form. Where evidence is insufficient, a limited pilot or further validation will be recommended instead of unconditional national expansion.</w:t>
      </w:r>
      <w:r w:rsidR="006B0A11">
        <w:rPr>
          <w:rFonts w:eastAsia="Times New Roman" w:cs="Times New Roman"/>
          <w:color w:val="000000" w:themeColor="text1"/>
          <w:szCs w:val="24"/>
        </w:rPr>
        <w:t xml:space="preserve"> </w:t>
      </w:r>
    </w:p>
    <w:p w14:paraId="686F3A43" w14:textId="77777777" w:rsidR="00450A4E" w:rsidRDefault="3CB11CCF" w:rsidP="3CB11CCF">
      <w:pPr>
        <w:pStyle w:val="Heading1"/>
        <w:pageBreakBefore/>
        <w:spacing w:line="360" w:lineRule="auto"/>
        <w:jc w:val="both"/>
        <w:rPr>
          <w:rFonts w:ascii="Times New Roman" w:eastAsia="Times New Roman" w:hAnsi="Times New Roman" w:cs="Times New Roman"/>
          <w:color w:val="000000" w:themeColor="text1"/>
          <w:sz w:val="24"/>
          <w:szCs w:val="24"/>
        </w:rPr>
      </w:pPr>
      <w:r w:rsidRPr="3CB11CCF">
        <w:rPr>
          <w:rFonts w:ascii="Times New Roman" w:eastAsia="Times New Roman" w:hAnsi="Times New Roman" w:cs="Times New Roman"/>
          <w:sz w:val="24"/>
          <w:szCs w:val="24"/>
        </w:rPr>
        <w:t>4 Risks</w:t>
      </w:r>
    </w:p>
    <w:p w14:paraId="0E1B15F4"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initial risk register uses a five-point likelihood (L) and impact (I) scale, with 1 low and 5 high. Score equals L × I. Ratings are preliminary research judgements, not measured probabilities; they will be reviewed at supervision points.</w:t>
      </w:r>
    </w:p>
    <w:p w14:paraId="4025DD8D" w14:textId="77777777" w:rsidR="00F9437E" w:rsidRDefault="00CF67CA">
      <w:pPr>
        <w:pStyle w:val="Caption"/>
        <w:keepNext/>
      </w:pPr>
      <w:r>
        <w:t>Table 1 Preliminary risk register for the Mahindra electric SUV expansion proposal</w:t>
      </w:r>
    </w:p>
    <w:tbl>
      <w:tblPr>
        <w:tblW w:w="10101" w:type="dxa"/>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2197"/>
        <w:gridCol w:w="512"/>
        <w:gridCol w:w="512"/>
        <w:gridCol w:w="732"/>
        <w:gridCol w:w="6148"/>
      </w:tblGrid>
      <w:tr w:rsidR="00450A4E" w14:paraId="1B14F894" w14:textId="77777777" w:rsidTr="3CB11CCF">
        <w:trPr>
          <w:tblHeader/>
        </w:trPr>
        <w:tc>
          <w:tcPr>
            <w:tcW w:w="2160"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07B12EA3" w14:textId="77777777" w:rsidR="00450A4E" w:rsidRDefault="3CB11CCF" w:rsidP="3CB11CCF">
            <w:pPr>
              <w:spacing w:before="60" w:after="60" w:line="240" w:lineRule="auto"/>
              <w:jc w:val="both"/>
              <w:rPr>
                <w:rFonts w:eastAsia="Times New Roman" w:cs="Times New Roman"/>
                <w:b/>
                <w:bCs/>
                <w:szCs w:val="24"/>
              </w:rPr>
            </w:pPr>
            <w:r w:rsidRPr="3CB11CCF">
              <w:rPr>
                <w:rFonts w:eastAsia="Times New Roman" w:cs="Times New Roman"/>
                <w:b/>
                <w:bCs/>
                <w:sz w:val="20"/>
                <w:szCs w:val="24"/>
              </w:rPr>
              <w:t>Risk</w:t>
            </w:r>
          </w:p>
        </w:tc>
        <w:tc>
          <w:tcPr>
            <w:tcW w:w="504"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3356D079" w14:textId="77777777" w:rsidR="00450A4E" w:rsidRDefault="3CB11CCF" w:rsidP="3CB11CCF">
            <w:pPr>
              <w:spacing w:before="60" w:after="60" w:line="240" w:lineRule="auto"/>
              <w:jc w:val="both"/>
              <w:rPr>
                <w:rFonts w:eastAsia="Times New Roman" w:cs="Times New Roman"/>
                <w:b/>
                <w:bCs/>
                <w:szCs w:val="24"/>
              </w:rPr>
            </w:pPr>
            <w:r w:rsidRPr="3CB11CCF">
              <w:rPr>
                <w:rFonts w:eastAsia="Times New Roman" w:cs="Times New Roman"/>
                <w:b/>
                <w:bCs/>
                <w:sz w:val="20"/>
                <w:szCs w:val="24"/>
              </w:rPr>
              <w:t>L</w:t>
            </w:r>
          </w:p>
        </w:tc>
        <w:tc>
          <w:tcPr>
            <w:tcW w:w="504"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248880B5" w14:textId="77777777" w:rsidR="00450A4E" w:rsidRDefault="3CB11CCF" w:rsidP="3CB11CCF">
            <w:pPr>
              <w:spacing w:before="60" w:after="60" w:line="240" w:lineRule="auto"/>
              <w:jc w:val="both"/>
              <w:rPr>
                <w:rFonts w:eastAsia="Times New Roman" w:cs="Times New Roman"/>
                <w:b/>
                <w:bCs/>
                <w:szCs w:val="24"/>
              </w:rPr>
            </w:pPr>
            <w:r w:rsidRPr="3CB11CCF">
              <w:rPr>
                <w:rFonts w:eastAsia="Times New Roman" w:cs="Times New Roman"/>
                <w:b/>
                <w:bCs/>
                <w:sz w:val="20"/>
                <w:szCs w:val="24"/>
              </w:rPr>
              <w:t>I</w:t>
            </w:r>
          </w:p>
        </w:tc>
        <w:tc>
          <w:tcPr>
            <w:tcW w:w="720"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23BE75EC" w14:textId="77777777" w:rsidR="00450A4E" w:rsidRDefault="3CB11CCF" w:rsidP="3CB11CCF">
            <w:pPr>
              <w:spacing w:before="60" w:after="60" w:line="240" w:lineRule="auto"/>
              <w:jc w:val="both"/>
              <w:rPr>
                <w:rFonts w:eastAsia="Times New Roman" w:cs="Times New Roman"/>
                <w:b/>
                <w:bCs/>
                <w:szCs w:val="24"/>
              </w:rPr>
            </w:pPr>
            <w:r w:rsidRPr="3CB11CCF">
              <w:rPr>
                <w:rFonts w:eastAsia="Times New Roman" w:cs="Times New Roman"/>
                <w:b/>
                <w:bCs/>
                <w:sz w:val="20"/>
                <w:szCs w:val="24"/>
              </w:rPr>
              <w:t>Score</w:t>
            </w:r>
          </w:p>
        </w:tc>
        <w:tc>
          <w:tcPr>
            <w:tcW w:w="6048"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5CBEB43A" w14:textId="77777777" w:rsidR="00450A4E" w:rsidRDefault="3CB11CCF" w:rsidP="3CB11CCF">
            <w:pPr>
              <w:spacing w:before="60" w:after="60" w:line="240" w:lineRule="auto"/>
              <w:jc w:val="both"/>
              <w:rPr>
                <w:rFonts w:eastAsia="Times New Roman" w:cs="Times New Roman"/>
                <w:b/>
                <w:bCs/>
                <w:szCs w:val="24"/>
              </w:rPr>
            </w:pPr>
            <w:r w:rsidRPr="3CB11CCF">
              <w:rPr>
                <w:rFonts w:eastAsia="Times New Roman" w:cs="Times New Roman"/>
                <w:b/>
                <w:bCs/>
                <w:sz w:val="20"/>
                <w:szCs w:val="24"/>
              </w:rPr>
              <w:t>Mitigation</w:t>
            </w:r>
          </w:p>
        </w:tc>
      </w:tr>
      <w:tr w:rsidR="00450A4E" w14:paraId="11C3EAD1" w14:textId="77777777" w:rsidTr="3CB11CCF">
        <w:tc>
          <w:tcPr>
            <w:tcW w:w="216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E9101A3"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Fast market or policy change</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BF882B5"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7BB584F"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72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937A099"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16</w:t>
            </w:r>
          </w:p>
        </w:tc>
        <w:tc>
          <w:tcPr>
            <w:tcW w:w="604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618D583"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Date all evidence; freeze the main dataset in week 10 and complete a final update check.</w:t>
            </w:r>
          </w:p>
        </w:tc>
      </w:tr>
      <w:tr w:rsidR="00450A4E" w14:paraId="07C32393" w14:textId="77777777" w:rsidTr="3CB11CCF">
        <w:tc>
          <w:tcPr>
            <w:tcW w:w="2160"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41420CE"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Inconsistent registration coverage</w:t>
            </w:r>
          </w:p>
        </w:tc>
        <w:tc>
          <w:tcPr>
            <w:tcW w:w="504"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33B4040"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504"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31CA0AF"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720"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7C4D0D59"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16</w:t>
            </w:r>
          </w:p>
        </w:tc>
        <w:tc>
          <w:tcPr>
            <w:tcW w:w="6048"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305FCE1"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Define vehicle category, period and geography; reconcile VAHAN with SIAM and company data.</w:t>
            </w:r>
          </w:p>
        </w:tc>
      </w:tr>
      <w:tr w:rsidR="00450A4E" w14:paraId="3A49380E" w14:textId="77777777" w:rsidTr="3CB11CCF">
        <w:tc>
          <w:tcPr>
            <w:tcW w:w="216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4387E17"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Promotional source bias</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64A2154"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4ED7FB6"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3</w:t>
            </w:r>
          </w:p>
        </w:tc>
        <w:tc>
          <w:tcPr>
            <w:tcW w:w="72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6494E0B"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12</w:t>
            </w:r>
          </w:p>
        </w:tc>
        <w:tc>
          <w:tcPr>
            <w:tcW w:w="604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543EF8A"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Triangulate manufacturer claims with government, academic and independent evidence.</w:t>
            </w:r>
          </w:p>
        </w:tc>
      </w:tr>
      <w:tr w:rsidR="00450A4E" w14:paraId="1A815275" w14:textId="77777777" w:rsidTr="3CB11CCF">
        <w:tc>
          <w:tcPr>
            <w:tcW w:w="2160"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5F85066"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Undisclosed model economics</w:t>
            </w:r>
          </w:p>
        </w:tc>
        <w:tc>
          <w:tcPr>
            <w:tcW w:w="504"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2310E54"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504"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EFF8BF9"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720"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CA9B908"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16</w:t>
            </w:r>
          </w:p>
        </w:tc>
        <w:tc>
          <w:tcPr>
            <w:tcW w:w="6048"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762C3F32"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Use explicit scenario ranges and sensitivity tests; label assumptions clearly.</w:t>
            </w:r>
          </w:p>
        </w:tc>
      </w:tr>
      <w:tr w:rsidR="00450A4E" w14:paraId="208CF595" w14:textId="77777777" w:rsidTr="3CB11CCF">
        <w:tc>
          <w:tcPr>
            <w:tcW w:w="216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E451E8E"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Scope becomes too broad</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CB2156F"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3</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6ED3A17"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72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5DA3415"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12</w:t>
            </w:r>
          </w:p>
        </w:tc>
        <w:tc>
          <w:tcPr>
            <w:tcW w:w="604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F0CFE85"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Limit the case to Indian electric passenger SUVs and selected city clusters.</w:t>
            </w:r>
          </w:p>
        </w:tc>
      </w:tr>
      <w:tr w:rsidR="00450A4E" w14:paraId="7D4E975B" w14:textId="77777777" w:rsidTr="3CB11CCF">
        <w:tc>
          <w:tcPr>
            <w:tcW w:w="2160"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AB6109F"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Price competition or weak demand</w:t>
            </w:r>
          </w:p>
        </w:tc>
        <w:tc>
          <w:tcPr>
            <w:tcW w:w="504"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15A88625"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504"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7D2EFFDF"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4</w:t>
            </w:r>
          </w:p>
        </w:tc>
        <w:tc>
          <w:tcPr>
            <w:tcW w:w="720"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F1B0454"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16</w:t>
            </w:r>
          </w:p>
        </w:tc>
        <w:tc>
          <w:tcPr>
            <w:tcW w:w="6048"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1A81B6CD"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Use staged pilots, conversion gates and product/finance scenarios before capacity commitments.</w:t>
            </w:r>
          </w:p>
        </w:tc>
      </w:tr>
      <w:tr w:rsidR="00450A4E" w14:paraId="1DF623FF" w14:textId="77777777" w:rsidTr="3CB11CCF">
        <w:tc>
          <w:tcPr>
            <w:tcW w:w="216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B1189CD"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Charging or service failure</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AE04E2B"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3</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A23B984"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5</w:t>
            </w:r>
          </w:p>
        </w:tc>
        <w:tc>
          <w:tcPr>
            <w:tcW w:w="72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790B407"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15</w:t>
            </w:r>
          </w:p>
        </w:tc>
        <w:tc>
          <w:tcPr>
            <w:tcW w:w="604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557376D"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Set readiness and uptime thresholds; certify sites, technicians and escalation processes.</w:t>
            </w:r>
          </w:p>
        </w:tc>
      </w:tr>
      <w:tr w:rsidR="00450A4E" w14:paraId="0E8F9FE7" w14:textId="77777777" w:rsidTr="3CB11CCF">
        <w:tc>
          <w:tcPr>
            <w:tcW w:w="2160"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6CFA77C"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Battery supply or residual-value risk</w:t>
            </w:r>
          </w:p>
        </w:tc>
        <w:tc>
          <w:tcPr>
            <w:tcW w:w="504"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758FC36"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3</w:t>
            </w:r>
          </w:p>
        </w:tc>
        <w:tc>
          <w:tcPr>
            <w:tcW w:w="504"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BD09E59"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5</w:t>
            </w:r>
          </w:p>
        </w:tc>
        <w:tc>
          <w:tcPr>
            <w:tcW w:w="720"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D57AA66"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15</w:t>
            </w:r>
          </w:p>
        </w:tc>
        <w:tc>
          <w:tcPr>
            <w:tcW w:w="6048"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73104BD"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Diversify supply, monitor warranty data and test buyback assumptions conservatively.</w:t>
            </w:r>
          </w:p>
        </w:tc>
      </w:tr>
      <w:tr w:rsidR="00450A4E" w14:paraId="541BB382" w14:textId="77777777" w:rsidTr="3CB11CCF">
        <w:tc>
          <w:tcPr>
            <w:tcW w:w="216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6F62135"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Academic integrity or inaccurate AI output</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B64C240"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2</w:t>
            </w:r>
          </w:p>
        </w:tc>
        <w:tc>
          <w:tcPr>
            <w:tcW w:w="504"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37CDC7B"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5</w:t>
            </w:r>
          </w:p>
        </w:tc>
        <w:tc>
          <w:tcPr>
            <w:tcW w:w="720"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8231C3E"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10</w:t>
            </w:r>
          </w:p>
        </w:tc>
        <w:tc>
          <w:tcPr>
            <w:tcW w:w="6048"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5FF7441" w14:textId="77777777" w:rsidR="00450A4E" w:rsidRDefault="3CB11CCF" w:rsidP="3CB11CCF">
            <w:pPr>
              <w:spacing w:before="60" w:after="60" w:line="240" w:lineRule="auto"/>
              <w:jc w:val="both"/>
              <w:rPr>
                <w:rFonts w:eastAsia="Times New Roman" w:cs="Times New Roman"/>
                <w:szCs w:val="24"/>
              </w:rPr>
            </w:pPr>
            <w:r w:rsidRPr="3CB11CCF">
              <w:rPr>
                <w:rFonts w:eastAsia="Times New Roman" w:cs="Times New Roman"/>
                <w:sz w:val="20"/>
                <w:szCs w:val="24"/>
              </w:rPr>
              <w:t>Follow policy, declare permitted use and verify all evidence against original sources.</w:t>
            </w:r>
          </w:p>
        </w:tc>
      </w:tr>
    </w:tbl>
    <w:p w14:paraId="45C27085" w14:textId="77777777" w:rsidR="00F9437E" w:rsidRDefault="00CF67CA">
      <w:pPr>
        <w:pStyle w:val="Caption"/>
      </w:pPr>
      <w:r>
        <w:t>Source: Author’s own preliminary assessment of research and implementation risks. Likelihood (L) and impact (I) each use a 1–5 scale, from low to high; score = L × I. Ratings are judgement-based screening values, not measured probabilities or Mahindra’s official risk ratings. Mitigations are proposed actions.</w:t>
      </w:r>
    </w:p>
    <w:p w14:paraId="4F63868B"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highest-rated issues will be checked before recommending expansion. Undisclosed unit economics will require conservative scenarios, and unreliable local charging or inadequate service readiness will prevent a cluster from advancing. Approval delays will be managed by completing scoping and the ethics application first and rescheduling evidence collection if approval is not received on time.</w:t>
      </w:r>
    </w:p>
    <w:p w14:paraId="382D4F60" w14:textId="77777777" w:rsidR="00450A4E" w:rsidRDefault="3CB11CCF" w:rsidP="3CB11CCF">
      <w:pPr>
        <w:pStyle w:val="Heading1"/>
        <w:pageBreakBefore/>
        <w:spacing w:line="360" w:lineRule="auto"/>
        <w:jc w:val="both"/>
        <w:rPr>
          <w:rFonts w:ascii="Times New Roman" w:eastAsia="Times New Roman" w:hAnsi="Times New Roman" w:cs="Times New Roman"/>
          <w:color w:val="000000" w:themeColor="text1"/>
          <w:sz w:val="24"/>
          <w:szCs w:val="24"/>
        </w:rPr>
      </w:pPr>
      <w:r w:rsidRPr="3CB11CCF">
        <w:rPr>
          <w:rFonts w:ascii="Times New Roman" w:eastAsia="Times New Roman" w:hAnsi="Times New Roman" w:cs="Times New Roman"/>
          <w:sz w:val="24"/>
          <w:szCs w:val="24"/>
        </w:rPr>
        <w:t>5 Timeline Gantt chart</w:t>
      </w:r>
    </w:p>
    <w:p w14:paraId="3D4AD74A" w14:textId="77777777" w:rsidR="00450A4E" w:rsidRDefault="3CB11CCF" w:rsidP="3CB11CCF">
      <w:pPr>
        <w:jc w:val="both"/>
        <w:rPr>
          <w:rFonts w:eastAsia="Times New Roman" w:cs="Times New Roman"/>
          <w:color w:val="000000" w:themeColor="text1"/>
          <w:szCs w:val="24"/>
        </w:rPr>
      </w:pPr>
      <w:r w:rsidRPr="3CB11CCF">
        <w:rPr>
          <w:rFonts w:eastAsia="Times New Roman" w:cs="Times New Roman"/>
          <w:color w:val="000000" w:themeColor="text1"/>
          <w:szCs w:val="24"/>
        </w:rPr>
        <w:t>The indicative 16-week schedule preserves the week 5 outline and ethics application milestone. Scoping, search-protocol design and application preparation may begin first; substantive data collection and analysis will start only after the required ethical approval. If approval is delayed, the schedule will be adjusted with the supervisor.</w:t>
      </w:r>
    </w:p>
    <w:p w14:paraId="7B31FB4F" w14:textId="77777777" w:rsidR="00450A4E" w:rsidRDefault="3CB11CCF" w:rsidP="3CB11CCF">
      <w:pPr>
        <w:pStyle w:val="Caption"/>
        <w:keepNext/>
        <w:spacing w:line="360" w:lineRule="auto"/>
        <w:jc w:val="both"/>
        <w:rPr>
          <w:rFonts w:eastAsia="Times New Roman" w:cs="Times New Roman"/>
          <w:color w:val="000000" w:themeColor="text1"/>
          <w:sz w:val="24"/>
          <w:szCs w:val="24"/>
        </w:rPr>
      </w:pPr>
      <w:r w:rsidRPr="3CB11CCF">
        <w:rPr>
          <w:rFonts w:eastAsia="Times New Roman" w:cs="Times New Roman"/>
          <w:color w:val="000000" w:themeColor="text1"/>
          <w:sz w:val="24"/>
          <w:szCs w:val="24"/>
        </w:rPr>
        <w:t>Figure 1 Indicative 16 week project Gantt chart</w:t>
      </w:r>
    </w:p>
    <w:tbl>
      <w:tblPr>
        <w:tblW w:w="0" w:type="auto"/>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3096"/>
        <w:gridCol w:w="379"/>
        <w:gridCol w:w="379"/>
        <w:gridCol w:w="379"/>
        <w:gridCol w:w="379"/>
        <w:gridCol w:w="379"/>
        <w:gridCol w:w="379"/>
        <w:gridCol w:w="379"/>
        <w:gridCol w:w="379"/>
        <w:gridCol w:w="379"/>
        <w:gridCol w:w="379"/>
        <w:gridCol w:w="379"/>
        <w:gridCol w:w="379"/>
        <w:gridCol w:w="379"/>
        <w:gridCol w:w="379"/>
        <w:gridCol w:w="379"/>
        <w:gridCol w:w="379"/>
      </w:tblGrid>
      <w:tr w:rsidR="00450A4E" w14:paraId="4D7B6EDE" w14:textId="77777777">
        <w:trPr>
          <w:trHeight w:val="461"/>
          <w:tblHeader/>
        </w:trPr>
        <w:tc>
          <w:tcPr>
            <w:tcW w:w="3096"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47830633" w14:textId="77777777" w:rsidR="00450A4E" w:rsidRDefault="00AD12EB">
            <w:pPr>
              <w:spacing w:after="0" w:line="240" w:lineRule="auto"/>
            </w:pPr>
            <w:r>
              <w:rPr>
                <w:b/>
                <w:sz w:val="15"/>
              </w:rPr>
              <w:t>Activity</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0891C027" w14:textId="77777777" w:rsidR="00450A4E" w:rsidRDefault="00AD12EB">
            <w:pPr>
              <w:spacing w:after="0" w:line="240" w:lineRule="auto"/>
            </w:pPr>
            <w:r>
              <w:rPr>
                <w:b/>
                <w:sz w:val="15"/>
              </w:rPr>
              <w:t>1</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5A8541AD" w14:textId="77777777" w:rsidR="00450A4E" w:rsidRDefault="00AD12EB">
            <w:pPr>
              <w:spacing w:after="0" w:line="240" w:lineRule="auto"/>
            </w:pPr>
            <w:r>
              <w:rPr>
                <w:b/>
                <w:sz w:val="15"/>
              </w:rPr>
              <w:t>2</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45357BD0" w14:textId="77777777" w:rsidR="00450A4E" w:rsidRDefault="00AD12EB">
            <w:pPr>
              <w:spacing w:after="0" w:line="240" w:lineRule="auto"/>
            </w:pPr>
            <w:r>
              <w:rPr>
                <w:b/>
                <w:sz w:val="15"/>
              </w:rPr>
              <w:t>3</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2FDBBEF8" w14:textId="77777777" w:rsidR="00450A4E" w:rsidRDefault="00AD12EB">
            <w:pPr>
              <w:spacing w:after="0" w:line="240" w:lineRule="auto"/>
            </w:pPr>
            <w:r>
              <w:rPr>
                <w:b/>
                <w:sz w:val="15"/>
              </w:rPr>
              <w:t>4</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1C39F2DB" w14:textId="77777777" w:rsidR="00450A4E" w:rsidRDefault="00AD12EB">
            <w:pPr>
              <w:spacing w:after="0" w:line="240" w:lineRule="auto"/>
            </w:pPr>
            <w:r>
              <w:rPr>
                <w:b/>
                <w:sz w:val="15"/>
              </w:rPr>
              <w:t>5</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76268F53" w14:textId="77777777" w:rsidR="00450A4E" w:rsidRDefault="00AD12EB">
            <w:pPr>
              <w:spacing w:after="0" w:line="240" w:lineRule="auto"/>
            </w:pPr>
            <w:r>
              <w:rPr>
                <w:b/>
                <w:sz w:val="15"/>
              </w:rPr>
              <w:t>6</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40556634" w14:textId="77777777" w:rsidR="00450A4E" w:rsidRDefault="00AD12EB">
            <w:pPr>
              <w:spacing w:after="0" w:line="240" w:lineRule="auto"/>
            </w:pPr>
            <w:r>
              <w:rPr>
                <w:b/>
                <w:sz w:val="15"/>
              </w:rPr>
              <w:t>7</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273EA6E5" w14:textId="77777777" w:rsidR="00450A4E" w:rsidRDefault="00AD12EB">
            <w:pPr>
              <w:spacing w:after="0" w:line="240" w:lineRule="auto"/>
            </w:pPr>
            <w:r>
              <w:rPr>
                <w:b/>
                <w:sz w:val="15"/>
              </w:rPr>
              <w:t>8</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2995560A" w14:textId="77777777" w:rsidR="00450A4E" w:rsidRDefault="00AD12EB">
            <w:pPr>
              <w:spacing w:after="0" w:line="240" w:lineRule="auto"/>
            </w:pPr>
            <w:r>
              <w:rPr>
                <w:b/>
                <w:sz w:val="15"/>
              </w:rPr>
              <w:t>9</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611295F9" w14:textId="77777777" w:rsidR="00450A4E" w:rsidRDefault="00AD12EB">
            <w:pPr>
              <w:spacing w:after="0" w:line="240" w:lineRule="auto"/>
            </w:pPr>
            <w:r>
              <w:rPr>
                <w:b/>
                <w:sz w:val="15"/>
              </w:rPr>
              <w:t>10</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21105138" w14:textId="77777777" w:rsidR="00450A4E" w:rsidRDefault="00AD12EB">
            <w:pPr>
              <w:spacing w:after="0" w:line="240" w:lineRule="auto"/>
            </w:pPr>
            <w:r>
              <w:rPr>
                <w:b/>
                <w:sz w:val="15"/>
              </w:rPr>
              <w:t>11</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0A088A11" w14:textId="77777777" w:rsidR="00450A4E" w:rsidRDefault="00AD12EB">
            <w:pPr>
              <w:spacing w:after="0" w:line="240" w:lineRule="auto"/>
            </w:pPr>
            <w:r>
              <w:rPr>
                <w:b/>
                <w:sz w:val="15"/>
              </w:rPr>
              <w:t>12</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04A574E9" w14:textId="77777777" w:rsidR="00450A4E" w:rsidRDefault="00AD12EB">
            <w:pPr>
              <w:spacing w:after="0" w:line="240" w:lineRule="auto"/>
            </w:pPr>
            <w:r>
              <w:rPr>
                <w:b/>
                <w:sz w:val="15"/>
              </w:rPr>
              <w:t>13</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5A82D41A" w14:textId="77777777" w:rsidR="00450A4E" w:rsidRDefault="00AD12EB">
            <w:pPr>
              <w:spacing w:after="0" w:line="240" w:lineRule="auto"/>
            </w:pPr>
            <w:r>
              <w:rPr>
                <w:b/>
                <w:sz w:val="15"/>
              </w:rPr>
              <w:t>14</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680FD1E5" w14:textId="77777777" w:rsidR="00450A4E" w:rsidRDefault="00AD12EB">
            <w:pPr>
              <w:spacing w:after="0" w:line="240" w:lineRule="auto"/>
            </w:pPr>
            <w:r>
              <w:rPr>
                <w:b/>
                <w:sz w:val="15"/>
              </w:rPr>
              <w:t>15</w:t>
            </w:r>
          </w:p>
        </w:tc>
        <w:tc>
          <w:tcPr>
            <w:tcW w:w="379" w:type="dxa"/>
            <w:tcBorders>
              <w:top w:val="single" w:sz="4" w:space="0" w:color="D9D9D9"/>
              <w:left w:val="single" w:sz="4" w:space="0" w:color="D9D9D9"/>
              <w:bottom w:val="single" w:sz="4" w:space="0" w:color="D9D9D9"/>
              <w:right w:val="single" w:sz="4" w:space="0" w:color="D9D9D9"/>
            </w:tcBorders>
            <w:shd w:val="clear" w:color="auto" w:fill="E7E6E6"/>
            <w:tcMar>
              <w:top w:w="85" w:type="dxa"/>
              <w:left w:w="85" w:type="dxa"/>
              <w:bottom w:w="85" w:type="dxa"/>
              <w:right w:w="85" w:type="dxa"/>
            </w:tcMar>
            <w:vAlign w:val="center"/>
          </w:tcPr>
          <w:p w14:paraId="41F41FF9" w14:textId="77777777" w:rsidR="00450A4E" w:rsidRDefault="00AD12EB">
            <w:pPr>
              <w:spacing w:after="0" w:line="240" w:lineRule="auto"/>
            </w:pPr>
            <w:r>
              <w:rPr>
                <w:b/>
                <w:sz w:val="15"/>
              </w:rPr>
              <w:t>16</w:t>
            </w:r>
          </w:p>
        </w:tc>
      </w:tr>
      <w:tr w:rsidR="00450A4E" w14:paraId="6CF653A6"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3592B92" w14:textId="77777777" w:rsidR="00450A4E" w:rsidRDefault="00AD12EB">
            <w:pPr>
              <w:spacing w:after="0" w:line="240" w:lineRule="auto"/>
            </w:pPr>
            <w:r>
              <w:rPr>
                <w:sz w:val="15"/>
              </w:rPr>
              <w:t>Confirm scope and question</w:t>
            </w: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5EE92940"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31E05258"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5C3C87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2EF716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6DE37E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613C80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FED7B0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49678A3"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B9EFA0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CEABF3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4B5ED82"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2654FD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3B5E7F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490D35B"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309481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61F61C3" w14:textId="77777777" w:rsidR="00450A4E" w:rsidRDefault="00450A4E">
            <w:pPr>
              <w:spacing w:after="0" w:line="240" w:lineRule="auto"/>
              <w:jc w:val="center"/>
            </w:pPr>
          </w:p>
        </w:tc>
      </w:tr>
      <w:tr w:rsidR="00450A4E" w14:paraId="16555C0A"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0F3F107" w14:textId="77777777" w:rsidR="00450A4E" w:rsidRDefault="00AD12EB">
            <w:pPr>
              <w:spacing w:after="0" w:line="240" w:lineRule="auto"/>
            </w:pPr>
            <w:r>
              <w:rPr>
                <w:sz w:val="15"/>
              </w:rPr>
              <w:t>Search protocol and source criteria</w:t>
            </w: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69727EC5"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6876349D"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19CD5E34"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76A3AB55"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7FF0CFCA"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460789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13FEE43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486D885"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42D306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4A76B5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5CE973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18CF1C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7251BD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5AAD7A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6212BB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196EED7" w14:textId="77777777" w:rsidR="00450A4E" w:rsidRDefault="00450A4E">
            <w:pPr>
              <w:spacing w:after="0" w:line="240" w:lineRule="auto"/>
              <w:jc w:val="center"/>
            </w:pPr>
          </w:p>
        </w:tc>
      </w:tr>
      <w:tr w:rsidR="00450A4E" w14:paraId="587EF774"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3B8AC5F" w14:textId="77777777" w:rsidR="00450A4E" w:rsidRDefault="00AD12EB">
            <w:pPr>
              <w:spacing w:after="0" w:line="240" w:lineRule="auto"/>
            </w:pPr>
            <w:r>
              <w:rPr>
                <w:sz w:val="15"/>
              </w:rPr>
              <w:t>Outline and ethics application</w:t>
            </w: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EB99B7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718D98B0"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60279930"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6A2CAD03"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4EF63F7B"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7EE210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5761775"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E6EBE63"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98AE8D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112F96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FF8113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AB9F29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A9BF20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BA1D83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AF029EB"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A84ECD7" w14:textId="77777777" w:rsidR="00450A4E" w:rsidRDefault="00450A4E">
            <w:pPr>
              <w:spacing w:after="0" w:line="240" w:lineRule="auto"/>
              <w:jc w:val="center"/>
            </w:pPr>
          </w:p>
        </w:tc>
      </w:tr>
      <w:tr w:rsidR="00450A4E" w14:paraId="58369460"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19E80704" w14:textId="77777777" w:rsidR="00450A4E" w:rsidRDefault="00AD12EB">
            <w:pPr>
              <w:spacing w:after="0" w:line="240" w:lineRule="auto"/>
            </w:pPr>
            <w:r>
              <w:rPr>
                <w:sz w:val="15"/>
              </w:rPr>
              <w:t>Approval and collection readiness</w:t>
            </w: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7561F12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96E4B8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75531F9"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A6AD775"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3FD8473F"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67320803"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56A49EA"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9A23BE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FE1A321"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E3BED0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C00D652"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772AEB2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48BBEB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0211979"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0DB155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7FCF8BE4" w14:textId="77777777" w:rsidR="00450A4E" w:rsidRDefault="00450A4E">
            <w:pPr>
              <w:spacing w:after="0" w:line="240" w:lineRule="auto"/>
              <w:jc w:val="center"/>
            </w:pPr>
          </w:p>
        </w:tc>
      </w:tr>
      <w:tr w:rsidR="00450A4E" w14:paraId="1509ED2D"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0E70BF4" w14:textId="77777777" w:rsidR="00450A4E" w:rsidRDefault="00AD12EB">
            <w:pPr>
              <w:spacing w:after="0" w:line="240" w:lineRule="auto"/>
            </w:pPr>
            <w:r>
              <w:rPr>
                <w:sz w:val="15"/>
              </w:rPr>
              <w:t>Company and portfolio evidence</w:t>
            </w: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AC26AC0"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F864329"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CCB35AA"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AD69653"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551A04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077EB17E"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226BDF41"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1F608819"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551E57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1DE1EB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14E1E31"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CE8F600"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0321A53"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D28833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63F62E9"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8C26783" w14:textId="77777777" w:rsidR="00450A4E" w:rsidRDefault="00450A4E">
            <w:pPr>
              <w:spacing w:after="0" w:line="240" w:lineRule="auto"/>
              <w:jc w:val="center"/>
            </w:pPr>
          </w:p>
        </w:tc>
      </w:tr>
      <w:tr w:rsidR="00450A4E" w14:paraId="6F44CED4"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8DC8FFF" w14:textId="77777777" w:rsidR="00450A4E" w:rsidRDefault="00AD12EB">
            <w:pPr>
              <w:spacing w:after="0" w:line="240" w:lineRule="auto"/>
            </w:pPr>
            <w:r>
              <w:rPr>
                <w:sz w:val="15"/>
              </w:rPr>
              <w:t>Registrations and policy evidence</w:t>
            </w: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08CE96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8E2DE00"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726B67B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1D76A1E3"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B2D432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4276FAA7"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697AA252"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20B212D6"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6A89568F"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31CA9C58"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4DCA121"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F1E3B90"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5DFF59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1BDD08A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9A2D3DB"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6A62777" w14:textId="77777777" w:rsidR="00450A4E" w:rsidRDefault="00450A4E">
            <w:pPr>
              <w:spacing w:after="0" w:line="240" w:lineRule="auto"/>
              <w:jc w:val="center"/>
            </w:pPr>
          </w:p>
        </w:tc>
      </w:tr>
      <w:tr w:rsidR="00450A4E" w14:paraId="7B13B699"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DBF899C" w14:textId="77777777" w:rsidR="00450A4E" w:rsidRDefault="00AD12EB">
            <w:pPr>
              <w:spacing w:after="0" w:line="240" w:lineRule="auto"/>
            </w:pPr>
            <w:r>
              <w:rPr>
                <w:sz w:val="15"/>
              </w:rPr>
              <w:t>Competitor and customer literature</w:t>
            </w: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80F036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3028F89"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449640B"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E8FDBC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FEF3CB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17F8B64F"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3B76C459"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56576764"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72265818"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440E78B8"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A3A092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F7EF77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4E93EB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317D72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4A704B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66C7D67" w14:textId="77777777" w:rsidR="00450A4E" w:rsidRDefault="00450A4E">
            <w:pPr>
              <w:spacing w:after="0" w:line="240" w:lineRule="auto"/>
              <w:jc w:val="center"/>
            </w:pPr>
          </w:p>
        </w:tc>
      </w:tr>
      <w:tr w:rsidR="00450A4E" w14:paraId="4A1FD4ED"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E511826" w14:textId="77777777" w:rsidR="00450A4E" w:rsidRDefault="00AD12EB">
            <w:pPr>
              <w:spacing w:after="0" w:line="240" w:lineRule="auto"/>
            </w:pPr>
            <w:r>
              <w:rPr>
                <w:sz w:val="15"/>
              </w:rPr>
              <w:t>Strategic models and option design</w:t>
            </w: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8183A5A"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48372A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1D22FF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17879CA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89299A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B1D585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FD3A03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24B5E27A"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70BE3843"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4C81494A"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16E58BC1"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7F2F25DB"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ECC2BFB"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9C02BE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C61101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2B30DA9" w14:textId="77777777" w:rsidR="00450A4E" w:rsidRDefault="00450A4E">
            <w:pPr>
              <w:spacing w:after="0" w:line="240" w:lineRule="auto"/>
              <w:jc w:val="center"/>
            </w:pPr>
          </w:p>
        </w:tc>
      </w:tr>
      <w:tr w:rsidR="00450A4E" w14:paraId="2A1A5C07"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2385B58" w14:textId="77777777" w:rsidR="00450A4E" w:rsidRDefault="00AD12EB">
            <w:pPr>
              <w:spacing w:after="0" w:line="240" w:lineRule="auto"/>
            </w:pPr>
            <w:r>
              <w:rPr>
                <w:sz w:val="15"/>
              </w:rPr>
              <w:t>Financial scenarios and risks</w:t>
            </w: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715113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E433BE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45F1373"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E79CB2A"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173E06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5758B1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965D4D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2A3DE2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438E5D07"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4793ADBC"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077CD71F"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5B558139"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7A4B540D"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6E4699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3B38AD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9E3254A" w14:textId="77777777" w:rsidR="00450A4E" w:rsidRDefault="00450A4E">
            <w:pPr>
              <w:spacing w:after="0" w:line="240" w:lineRule="auto"/>
              <w:jc w:val="center"/>
            </w:pPr>
          </w:p>
        </w:tc>
      </w:tr>
      <w:tr w:rsidR="00450A4E" w14:paraId="7C11BFCC"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04951B5" w14:textId="77777777" w:rsidR="00450A4E" w:rsidRDefault="00AD12EB">
            <w:pPr>
              <w:spacing w:after="0" w:line="240" w:lineRule="auto"/>
            </w:pPr>
            <w:r>
              <w:rPr>
                <w:sz w:val="15"/>
              </w:rPr>
              <w:t>Draft full BDP sections</w:t>
            </w: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7D06C70"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1DCDCC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110F95B1"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1DEE6C6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EC0EE93"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A8D6AB9"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E441593"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4FC5E20"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0B3D48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4DED3641"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20473514"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66CC1575"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3E601780"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077255DB"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854698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96252DC" w14:textId="77777777" w:rsidR="00450A4E" w:rsidRDefault="00450A4E">
            <w:pPr>
              <w:spacing w:after="0" w:line="240" w:lineRule="auto"/>
              <w:jc w:val="center"/>
            </w:pPr>
          </w:p>
        </w:tc>
      </w:tr>
      <w:tr w:rsidR="00450A4E" w14:paraId="4394C979"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FF7FB4E" w14:textId="77777777" w:rsidR="00450A4E" w:rsidRDefault="00AD12EB">
            <w:pPr>
              <w:spacing w:after="0" w:line="240" w:lineRule="auto"/>
            </w:pPr>
            <w:r>
              <w:rPr>
                <w:sz w:val="15"/>
              </w:rPr>
              <w:t>Update evidence and supervisor review</w:t>
            </w: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7770C57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C542FD0"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4BB004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50662B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1068FF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3CD4C52"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5F5C6F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0DF087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7556892"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299759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441FA4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22C35E3"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351C1E1B"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12BBC715"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8D118D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8B3C4E2" w14:textId="77777777" w:rsidR="00450A4E" w:rsidRDefault="00450A4E">
            <w:pPr>
              <w:spacing w:after="0" w:line="240" w:lineRule="auto"/>
              <w:jc w:val="center"/>
            </w:pPr>
          </w:p>
        </w:tc>
      </w:tr>
      <w:tr w:rsidR="00450A4E" w14:paraId="2ACDB84F"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E0209B7" w14:textId="77777777" w:rsidR="00450A4E" w:rsidRDefault="00AD12EB">
            <w:pPr>
              <w:spacing w:after="0" w:line="240" w:lineRule="auto"/>
            </w:pPr>
            <w:r>
              <w:rPr>
                <w:sz w:val="15"/>
              </w:rPr>
              <w:t>Edit references and layout</w:t>
            </w: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F3B746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6ED0209"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D73E7B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428D262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BFD9BBB"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B4C2E8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4A293F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6C1436A9"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5E81E4D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835A251"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7CA0C175"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3E2AA302"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04BC6729"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4ACE44CB"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663202B9"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F5F5F5"/>
            <w:tcMar>
              <w:top w:w="85" w:type="dxa"/>
              <w:left w:w="85" w:type="dxa"/>
              <w:bottom w:w="85" w:type="dxa"/>
              <w:right w:w="85" w:type="dxa"/>
            </w:tcMar>
            <w:vAlign w:val="center"/>
          </w:tcPr>
          <w:p w14:paraId="279F7163" w14:textId="77777777" w:rsidR="00450A4E" w:rsidRDefault="00450A4E">
            <w:pPr>
              <w:spacing w:after="0" w:line="240" w:lineRule="auto"/>
              <w:jc w:val="center"/>
            </w:pPr>
          </w:p>
        </w:tc>
      </w:tr>
      <w:tr w:rsidR="00450A4E" w14:paraId="5D41CC0F" w14:textId="77777777">
        <w:trPr>
          <w:trHeight w:val="461"/>
        </w:trPr>
        <w:tc>
          <w:tcPr>
            <w:tcW w:w="3096"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1248445" w14:textId="77777777" w:rsidR="00450A4E" w:rsidRDefault="00AD12EB">
            <w:pPr>
              <w:spacing w:after="0" w:line="240" w:lineRule="auto"/>
            </w:pPr>
            <w:r>
              <w:rPr>
                <w:sz w:val="15"/>
              </w:rPr>
              <w:t>Final revision and submission</w:t>
            </w: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0F30F2D"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79A0F75"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1C4FDABE"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3E875954"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97ACF18"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767B4EB"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094761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A83E8BC"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618468F5"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2FBB7817"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5FAD236"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425F42E0"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5B955C5F"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FFFFFF"/>
            <w:tcMar>
              <w:top w:w="85" w:type="dxa"/>
              <w:left w:w="85" w:type="dxa"/>
              <w:bottom w:w="85" w:type="dxa"/>
              <w:right w:w="85" w:type="dxa"/>
            </w:tcMar>
            <w:vAlign w:val="center"/>
          </w:tcPr>
          <w:p w14:paraId="0C058FEB" w14:textId="77777777" w:rsidR="00450A4E" w:rsidRDefault="00450A4E">
            <w:pPr>
              <w:spacing w:after="0" w:line="240" w:lineRule="auto"/>
              <w:jc w:val="center"/>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4C6ED0F5" w14:textId="77777777" w:rsidR="00450A4E" w:rsidRDefault="00450A4E">
            <w:pPr>
              <w:spacing w:after="0" w:line="240" w:lineRule="auto"/>
            </w:pPr>
          </w:p>
        </w:tc>
        <w:tc>
          <w:tcPr>
            <w:tcW w:w="379" w:type="dxa"/>
            <w:tcBorders>
              <w:top w:val="single" w:sz="4" w:space="0" w:color="D9D9D9"/>
              <w:left w:val="single" w:sz="4" w:space="0" w:color="D9D9D9"/>
              <w:bottom w:val="single" w:sz="4" w:space="0" w:color="D9D9D9"/>
              <w:right w:val="single" w:sz="4" w:space="0" w:color="D9D9D9"/>
            </w:tcBorders>
            <w:shd w:val="clear" w:color="auto" w:fill="8F8F8F"/>
            <w:tcMar>
              <w:top w:w="85" w:type="dxa"/>
              <w:left w:w="85" w:type="dxa"/>
              <w:bottom w:w="85" w:type="dxa"/>
              <w:right w:w="85" w:type="dxa"/>
            </w:tcMar>
            <w:vAlign w:val="center"/>
          </w:tcPr>
          <w:p w14:paraId="525335BF" w14:textId="77777777" w:rsidR="00450A4E" w:rsidRDefault="00450A4E">
            <w:pPr>
              <w:spacing w:after="0" w:line="240" w:lineRule="auto"/>
            </w:pPr>
          </w:p>
        </w:tc>
      </w:tr>
    </w:tbl>
    <w:p w14:paraId="403E35F7" w14:textId="77777777" w:rsidR="00F9437E" w:rsidRDefault="00CF67CA">
      <w:pPr>
        <w:pStyle w:val="Caption"/>
      </w:pPr>
      <w:r>
        <w:t xml:space="preserve">Source: Author’s own proposed schedule for the Mahindra electric SUV business development project. Columns 1–16 represent project weeks; shaded cells indicate planned activity. Supervision checkpoints occur every two weeks. Collection and analysis depend on ethical approval. The main dataset freezes in week 10; later developments are logged separately to preserve reproducibility. Weeks 15–16 cover checks of citations, calculations, model consistency and presentation. The draft deadline is 4 January 2027 at </w:t>
      </w:r>
      <w:r>
        <w:t>2 pm, subject to confirmation against the module notice.</w:t>
      </w:r>
    </w:p>
    <w:p w14:paraId="2DA90864" w14:textId="77777777" w:rsidR="00450A4E" w:rsidRDefault="3CB11CCF" w:rsidP="3CB11CCF">
      <w:pPr>
        <w:pStyle w:val="Heading1"/>
        <w:pageBreakBefore/>
        <w:spacing w:line="360" w:lineRule="auto"/>
        <w:jc w:val="both"/>
        <w:rPr>
          <w:rFonts w:ascii="Times New Roman" w:eastAsia="Times New Roman" w:hAnsi="Times New Roman" w:cs="Times New Roman"/>
          <w:color w:val="000000" w:themeColor="text1"/>
          <w:sz w:val="24"/>
          <w:szCs w:val="24"/>
        </w:rPr>
      </w:pPr>
      <w:r w:rsidRPr="3CB11CCF">
        <w:rPr>
          <w:rFonts w:ascii="Times New Roman" w:eastAsia="Times New Roman" w:hAnsi="Times New Roman" w:cs="Times New Roman"/>
          <w:sz w:val="24"/>
          <w:szCs w:val="24"/>
        </w:rPr>
        <w:t>References</w:t>
      </w:r>
    </w:p>
    <w:p w14:paraId="48B3BEFE"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Ansoff, H.I. (1957) ‘Strategies for diversification’, Harvard Business Review, 35(5), pp. 113–124.</w:t>
      </w:r>
    </w:p>
    <w:p w14:paraId="32B2E7DF"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Braun, V. and Clarke, V. (2006) ‘Using thematic analysis in psychology’, Qualitative Research in Psychology, 3(2), pp. 77–101. doi: 10.1191/1478088706qp063oa.</w:t>
      </w:r>
    </w:p>
    <w:p w14:paraId="14762870"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Gupta, A.K. (2025) ‘Environmental concerns, technological factors, total cost of ownership, and charging infrastructure accelerate intention to electric vehicle adoption: A non-linear value-attitude-intention model’, Research in Transportation Business &amp; Management, 63, 101504. doi: 10.1016/j.rtbm.2025.101504.</w:t>
      </w:r>
    </w:p>
    <w:p w14:paraId="13F9FCAC"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Jaiswal, D., Kaushal, V., Kant, R. and Singh, P.K. (2021) ‘Consumer adoption intention for electric vehicles: Insights and evidence from Indian sustainable transportation’, Technological Forecasting and Social Change, 173, 121089. doi: 10.1016/j.techfore.2021.121089.</w:t>
      </w:r>
    </w:p>
    <w:p w14:paraId="785F1DDC"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Kumar, R.R. and Alok, K. (2020) ‘Adoption of electric vehicle: A literature review and prospects for sustainability’, Journal of Cleaner Production, 253, 119911. doi: 10.1016/j.jclepro.2019.119911.</w:t>
      </w:r>
    </w:p>
    <w:p w14:paraId="740976C8"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Mahindra &amp; Mahindra (2025b) ‘Mahindra unveils XEV 9S’, 27 November. Available at: https://www.mahindra.com/news-room/press-release/en/mahindra-unveils-xev-9s-indias-big-new-electric-7-seater-suv-starting-at-rupees-19.95-lakh (Accessed: 3 October 2026).</w:t>
      </w:r>
    </w:p>
    <w:p w14:paraId="2A1ECC38"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Mahindra &amp; Mahindra (2025c) ‘Mahindra Electric Origin SUVs create new record in the EV category’, 14 February. Available at: https://auto.mahindra.com/press-release/mahindra-electric-origin-suvs-create-new-record-in-the-ev-category-securing-bookings.html (Accessed: 3 October 2026).</w:t>
      </w:r>
    </w:p>
    <w:p w14:paraId="7A8D5A08"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Mahindra &amp; Mahindra (2025d) ‘Charge_iN inaugurates 180 kW ultra-fast charging network’, 25 November. Available at: https://www.mahindra.com/news-room/press-release/en/mahindra-charge-in-inaugurates-180-kw-ultra-fast-charging-network-commits-to-set-up-1000-charging-points-by-end-of-2027 (Accessed: 3 October 2026).</w:t>
      </w:r>
    </w:p>
    <w:p w14:paraId="1BC3CF02"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Mahindra &amp; Mahindra (2026b) ‘M&amp;M results Q4 FY26 and FY26’. Available at: https://www.mahindra.com/news-room/press-release/en/m-and-m-results-q4-f26-and-fy26 (Accessed: 3 October 2026).</w:t>
      </w:r>
    </w:p>
    <w:p w14:paraId="41E93AFF"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Mahindra &amp; Mahindra (2026c) ‘Charge_iN by Mahindra signs strategic agreement with HPCL’, 20 March. Available at: https://auto.mahindra.com/press-release/mahindra-charge-in-hpcl.html (Accessed: 3 October 2026).</w:t>
      </w:r>
    </w:p>
    <w:p w14:paraId="2B89161D"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Mahindra &amp; Mahindra (2026d) ‘Mahindra introduces electric powertrain to XUV 3XO’, 6 January. Available at: https://www.mahindra.com/news-room/press-release/en/mahindra-introduces-electric-powertrain-to-xuv-3xo-starting-at-13-89-lakh (Accessed: 3 October 2026).</w:t>
      </w:r>
    </w:p>
    <w:p w14:paraId="45222955"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Osterwalder, A. and Pigneur, Y. (2010) Business Model Generation. Hoboken, NJ: John Wiley &amp; Sons.</w:t>
      </w:r>
    </w:p>
    <w:p w14:paraId="4A9870B4"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Porter, M.E. (1980) Competitive Strategy. New York: Free Press.</w:t>
      </w:r>
    </w:p>
    <w:p w14:paraId="55288687"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Saunders, M.N.K., Lewis, P. and Thornhill, A. (2023) Research Methods for Business Students. 9th edn. Harlow: Pearson.</w:t>
      </w:r>
    </w:p>
    <w:p w14:paraId="0EBDBA6B" w14:textId="77777777" w:rsidR="00F9437E" w:rsidRDefault="00CF67CA">
      <w:r>
        <w:t>Sierzchula, W., Bakker, S., Maat, K. and van Wee, B. (2014) ‘The influence of financial incentives and other socio-economic factors on electric vehicle adoption’, Energy Policy, 68, pp. 183–194. doi: 10.1016/j.enpol.2014.01.043.</w:t>
      </w:r>
    </w:p>
    <w:p w14:paraId="1FA55864" w14:textId="77777777" w:rsidR="00450A4E" w:rsidRDefault="3CB11CCF" w:rsidP="3CB11CCF">
      <w:pPr>
        <w:keepLines/>
        <w:spacing w:after="160"/>
        <w:jc w:val="both"/>
        <w:rPr>
          <w:rFonts w:eastAsia="Times New Roman" w:cs="Times New Roman"/>
          <w:color w:val="000000" w:themeColor="text1"/>
          <w:szCs w:val="24"/>
        </w:rPr>
      </w:pPr>
      <w:r w:rsidRPr="3CB11CCF">
        <w:rPr>
          <w:rFonts w:eastAsia="Times New Roman" w:cs="Times New Roman"/>
          <w:color w:val="000000" w:themeColor="text1"/>
          <w:szCs w:val="24"/>
        </w:rPr>
        <w:t>Yin, R.K. (2018) Case Study Research and Applications. 6th edn. Thousand Oaks, CA: Sage.</w:t>
      </w:r>
    </w:p>
    <w:sectPr w:rsidR="00450A4E" w:rsidSect="00034616">
      <w:headerReference w:type="default" r:id="rId8"/>
      <w:footerReference w:type="default" r:id="rId9"/>
      <w:pgSz w:w="12240" w:h="15840"/>
      <w:pgMar w:top="1080" w:right="1152" w:bottom="1080"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B993A3" w14:textId="77777777" w:rsidR="00B36168" w:rsidRDefault="00B36168">
      <w:pPr>
        <w:spacing w:after="0" w:line="240" w:lineRule="auto"/>
      </w:pPr>
      <w:r>
        <w:separator/>
      </w:r>
    </w:p>
  </w:endnote>
  <w:endnote w:type="continuationSeparator" w:id="0">
    <w:p w14:paraId="13AD6B4F" w14:textId="77777777" w:rsidR="00B36168" w:rsidRDefault="00B36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2AFF" w:usb1="C000ACFF"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B7439D" w14:textId="77777777" w:rsidR="00450A4E" w:rsidRDefault="00AD12EB">
    <w:pPr>
      <w:pStyle w:val="Footer"/>
      <w:jc w:val="right"/>
    </w:pPr>
    <w:r>
      <w:t xml:space="preserve">Page </w:t>
    </w:r>
    <w:r>
      <w:fldChar w:fldCharType="begin"/>
    </w:r>
    <w:r>
      <w:instrText>PAGE</w:instrText>
    </w:r>
    <w:r>
      <w:fldChar w:fldCharType="separate"/>
    </w:r>
    <w:r w:rsidR="00C8605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9331B" w14:textId="77777777" w:rsidR="00B36168" w:rsidRDefault="00B36168">
      <w:pPr>
        <w:spacing w:after="0" w:line="240" w:lineRule="auto"/>
      </w:pPr>
      <w:r>
        <w:separator/>
      </w:r>
    </w:p>
  </w:footnote>
  <w:footnote w:type="continuationSeparator" w:id="0">
    <w:p w14:paraId="409FCFCE" w14:textId="77777777" w:rsidR="00B36168" w:rsidRDefault="00B361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877F29" w14:textId="77777777" w:rsidR="00450A4E" w:rsidRDefault="00AD12EB">
    <w:pPr>
      <w:pStyle w:val="Header"/>
    </w:pPr>
    <w:r>
      <w:rPr>
        <w:sz w:val="18"/>
      </w:rPr>
      <w:t>LCMB</w:t>
    </w:r>
    <w:r>
      <w:rPr>
        <w:sz w:val="18"/>
      </w:rPr>
      <w:t>7037  Business Development Proposal Outline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57490445">
    <w:abstractNumId w:val="8"/>
  </w:num>
  <w:num w:numId="2" w16cid:durableId="1588342924">
    <w:abstractNumId w:val="6"/>
  </w:num>
  <w:num w:numId="3" w16cid:durableId="625701338">
    <w:abstractNumId w:val="5"/>
  </w:num>
  <w:num w:numId="4" w16cid:durableId="451942291">
    <w:abstractNumId w:val="4"/>
  </w:num>
  <w:num w:numId="5" w16cid:durableId="896090608">
    <w:abstractNumId w:val="7"/>
  </w:num>
  <w:num w:numId="6" w16cid:durableId="1669552714">
    <w:abstractNumId w:val="3"/>
  </w:num>
  <w:num w:numId="7" w16cid:durableId="890119060">
    <w:abstractNumId w:val="2"/>
  </w:num>
  <w:num w:numId="8" w16cid:durableId="1479155468">
    <w:abstractNumId w:val="1"/>
  </w:num>
  <w:num w:numId="9" w16cid:durableId="1171063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50A4E"/>
    <w:rsid w:val="004F6477"/>
    <w:rsid w:val="006B0A11"/>
    <w:rsid w:val="00AA1D8D"/>
    <w:rsid w:val="00AD12EB"/>
    <w:rsid w:val="00B36168"/>
    <w:rsid w:val="00B47730"/>
    <w:rsid w:val="00C70E23"/>
    <w:rsid w:val="00C86050"/>
    <w:rsid w:val="00CB0664"/>
    <w:rsid w:val="00CF67CA"/>
    <w:rsid w:val="00DE5787"/>
    <w:rsid w:val="00F9437E"/>
    <w:rsid w:val="00FC693F"/>
    <w:rsid w:val="0561AF39"/>
    <w:rsid w:val="168C54D9"/>
    <w:rsid w:val="1E2171AE"/>
    <w:rsid w:val="3CB11CCF"/>
    <w:rsid w:val="57839C68"/>
    <w:rsid w:val="5DAD6E3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FE849"/>
  <w14:defaultImageDpi w14:val="300"/>
  <w15:docId w15:val="{780A9230-5DE4-478D-8A1E-FCEB9E776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324" w:lineRule="auto"/>
    </w:pPr>
    <w:rPr>
      <w:rFonts w:ascii="Times New Roman" w:hAnsi="Times New Roman"/>
      <w:color w:val="000000"/>
      <w:sz w:val="24"/>
    </w:rPr>
  </w:style>
  <w:style w:type="paragraph" w:styleId="Heading1">
    <w:name w:val="heading 1"/>
    <w:basedOn w:val="Normal"/>
    <w:next w:val="Normal"/>
    <w:link w:val="Heading1Char"/>
    <w:uiPriority w:val="9"/>
    <w:qFormat/>
    <w:rsid w:val="00FC693F"/>
    <w:pPr>
      <w:keepNext/>
      <w:keepLines/>
      <w:spacing w:before="240" w:after="12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240" w:after="12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300" w:line="240" w:lineRule="auto"/>
      <w:contextualSpacing/>
    </w:pPr>
    <w:rPr>
      <w:rFonts w:asciiTheme="majorHAnsi" w:eastAsiaTheme="majorEastAsia" w:hAnsiTheme="majorHAnsi" w:cstheme="majorBidi"/>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Revision">
    <w:name w:val="Revision"/>
    <w:hidden/>
    <w:uiPriority w:val="99"/>
    <w:semiHidden/>
    <w:rsid w:val="006B0A11"/>
    <w:pPr>
      <w:spacing w:after="0" w:line="240" w:lineRule="auto"/>
    </w:pPr>
    <w:rPr>
      <w:rFonts w:ascii="Calibri" w:hAnsi="Calibri"/>
      <w:color w:val="000000"/>
    </w:rPr>
  </w:style>
  <w:style w:type="character" w:styleId="CommentReference">
    <w:name w:val="annotation reference"/>
    <w:basedOn w:val="DefaultParagraphFont"/>
    <w:uiPriority w:val="99"/>
    <w:semiHidden/>
    <w:unhideWhenUsed/>
    <w:rsid w:val="006B0A11"/>
    <w:rPr>
      <w:sz w:val="16"/>
      <w:szCs w:val="16"/>
    </w:rPr>
  </w:style>
  <w:style w:type="paragraph" w:styleId="CommentText">
    <w:name w:val="annotation text"/>
    <w:basedOn w:val="Normal"/>
    <w:link w:val="CommentTextChar"/>
    <w:uiPriority w:val="99"/>
    <w:semiHidden/>
    <w:unhideWhenUsed/>
    <w:rsid w:val="006B0A11"/>
    <w:pPr>
      <w:spacing w:line="240" w:lineRule="auto"/>
    </w:pPr>
    <w:rPr>
      <w:sz w:val="20"/>
      <w:szCs w:val="20"/>
    </w:rPr>
  </w:style>
  <w:style w:type="character" w:customStyle="1" w:styleId="CommentTextChar">
    <w:name w:val="Comment Text Char"/>
    <w:basedOn w:val="DefaultParagraphFont"/>
    <w:link w:val="CommentText"/>
    <w:uiPriority w:val="99"/>
    <w:semiHidden/>
    <w:rsid w:val="006B0A11"/>
    <w:rPr>
      <w:rFonts w:ascii="Calibri" w:hAnsi="Calibri"/>
      <w:color w:val="000000"/>
      <w:sz w:val="20"/>
      <w:szCs w:val="20"/>
    </w:rPr>
  </w:style>
  <w:style w:type="paragraph" w:styleId="CommentSubject">
    <w:name w:val="annotation subject"/>
    <w:basedOn w:val="CommentText"/>
    <w:next w:val="CommentText"/>
    <w:link w:val="CommentSubjectChar"/>
    <w:uiPriority w:val="99"/>
    <w:semiHidden/>
    <w:unhideWhenUsed/>
    <w:rsid w:val="006B0A11"/>
    <w:rPr>
      <w:b/>
      <w:bCs/>
    </w:rPr>
  </w:style>
  <w:style w:type="character" w:customStyle="1" w:styleId="CommentSubjectChar">
    <w:name w:val="Comment Subject Char"/>
    <w:basedOn w:val="CommentTextChar"/>
    <w:link w:val="CommentSubject"/>
    <w:uiPriority w:val="99"/>
    <w:semiHidden/>
    <w:rsid w:val="006B0A11"/>
    <w:rPr>
      <w:rFonts w:ascii="Calibri" w:hAnsi="Calibri"/>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4348</Words>
  <Characters>24784</Characters>
  <Application>Microsoft Office Word</Application>
  <DocSecurity>0</DocSecurity>
  <Lines>206</Lines>
  <Paragraphs>58</Paragraphs>
  <ScaleCrop>false</ScaleCrop>
  <Manager/>
  <Company/>
  <LinksUpToDate>false</LinksUpToDate>
  <CharactersWithSpaces>29074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Ram modhavadiya</cp:lastModifiedBy>
  <cp:revision>2</cp:revision>
  <dcterms:created xsi:type="dcterms:W3CDTF">2026-10-09T12:16:00Z</dcterms:created>
  <dcterms:modified xsi:type="dcterms:W3CDTF">2026-10-09T12:16:00Z</dcterms:modified>
  <cp:category/>
</cp:coreProperties>
</file>