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DA9E4C" w14:textId="77777777" w:rsidR="007E0057" w:rsidRPr="00016A82" w:rsidRDefault="00016A82" w:rsidP="00016A82">
      <w:pPr>
        <w:jc w:val="center"/>
        <w:rPr>
          <w:b/>
          <w:sz w:val="32"/>
          <w:szCs w:val="32"/>
          <w:u w:val="single"/>
        </w:rPr>
      </w:pPr>
      <w:r w:rsidRPr="00016A82">
        <w:rPr>
          <w:b/>
          <w:sz w:val="32"/>
          <w:szCs w:val="32"/>
          <w:u w:val="single"/>
        </w:rPr>
        <w:t>SPECIFIC PERFORMANCE QUESTIONS</w:t>
      </w:r>
      <w:r w:rsidR="007904FA">
        <w:rPr>
          <w:b/>
          <w:sz w:val="32"/>
          <w:szCs w:val="32"/>
          <w:u w:val="single"/>
        </w:rPr>
        <w:t xml:space="preserve"> (ANSWERS)</w:t>
      </w:r>
    </w:p>
    <w:p w14:paraId="79F7AD30" w14:textId="77777777" w:rsidR="00016A82" w:rsidRPr="00016A82" w:rsidRDefault="00016A82" w:rsidP="00016A82">
      <w:pPr>
        <w:rPr>
          <w:sz w:val="32"/>
          <w:szCs w:val="32"/>
        </w:rPr>
      </w:pPr>
    </w:p>
    <w:p w14:paraId="2DBBF3A3" w14:textId="77777777" w:rsidR="00016A82" w:rsidRPr="00016A82" w:rsidRDefault="00016A82" w:rsidP="00016A82">
      <w:pPr>
        <w:pStyle w:val="ListParagraph"/>
        <w:numPr>
          <w:ilvl w:val="0"/>
          <w:numId w:val="2"/>
        </w:numPr>
        <w:rPr>
          <w:sz w:val="32"/>
          <w:szCs w:val="32"/>
        </w:rPr>
      </w:pPr>
      <w:r w:rsidRPr="00016A82">
        <w:rPr>
          <w:sz w:val="32"/>
          <w:szCs w:val="32"/>
        </w:rPr>
        <w:t>Explain whether an order for specific performance would be available in the following cases:</w:t>
      </w:r>
    </w:p>
    <w:p w14:paraId="1E7E8EF5" w14:textId="77777777" w:rsidR="00016A82" w:rsidRPr="00016A82" w:rsidRDefault="00016A82" w:rsidP="00016A82">
      <w:pPr>
        <w:ind w:left="360"/>
        <w:rPr>
          <w:sz w:val="32"/>
          <w:szCs w:val="32"/>
        </w:rPr>
      </w:pPr>
    </w:p>
    <w:p w14:paraId="783EFF34" w14:textId="77777777" w:rsidR="00016A82" w:rsidRPr="00016A82" w:rsidRDefault="00016A82" w:rsidP="00016A82">
      <w:pPr>
        <w:pStyle w:val="ListParagraph"/>
        <w:numPr>
          <w:ilvl w:val="0"/>
          <w:numId w:val="3"/>
        </w:numPr>
        <w:rPr>
          <w:sz w:val="32"/>
          <w:szCs w:val="32"/>
        </w:rPr>
      </w:pPr>
      <w:r w:rsidRPr="00016A82">
        <w:rPr>
          <w:sz w:val="32"/>
          <w:szCs w:val="32"/>
        </w:rPr>
        <w:t>A contract to purchase 1,000 shares in Marks &amp; Spencer Plc;</w:t>
      </w:r>
    </w:p>
    <w:p w14:paraId="23D1628E" w14:textId="77777777" w:rsidR="00016A82" w:rsidRPr="00016A82" w:rsidRDefault="00016A82" w:rsidP="00016A82">
      <w:pPr>
        <w:pStyle w:val="ListParagraph"/>
        <w:numPr>
          <w:ilvl w:val="0"/>
          <w:numId w:val="3"/>
        </w:numPr>
        <w:rPr>
          <w:sz w:val="32"/>
          <w:szCs w:val="32"/>
        </w:rPr>
      </w:pPr>
      <w:r w:rsidRPr="00016A82">
        <w:rPr>
          <w:sz w:val="32"/>
          <w:szCs w:val="32"/>
        </w:rPr>
        <w:t>A contract to purchase the original manuscript of Harry Potter and the Goblet of Fire;</w:t>
      </w:r>
    </w:p>
    <w:p w14:paraId="32BEB462" w14:textId="77777777" w:rsidR="00016A82" w:rsidRDefault="00016A82" w:rsidP="00016A82">
      <w:pPr>
        <w:pStyle w:val="ListParagraph"/>
        <w:numPr>
          <w:ilvl w:val="0"/>
          <w:numId w:val="3"/>
        </w:numPr>
        <w:rPr>
          <w:sz w:val="32"/>
          <w:szCs w:val="32"/>
        </w:rPr>
      </w:pPr>
      <w:r w:rsidRPr="00016A82">
        <w:rPr>
          <w:sz w:val="32"/>
          <w:szCs w:val="32"/>
        </w:rPr>
        <w:t>A contract to purchase a rare painting by Picasso that has since been destroyed in a fire.</w:t>
      </w:r>
    </w:p>
    <w:p w14:paraId="591AE26D" w14:textId="77777777" w:rsidR="007904FA" w:rsidRDefault="007904FA" w:rsidP="007904FA">
      <w:pPr>
        <w:rPr>
          <w:sz w:val="32"/>
          <w:szCs w:val="32"/>
        </w:rPr>
      </w:pPr>
    </w:p>
    <w:p w14:paraId="776D4CBB" w14:textId="77777777" w:rsidR="007904FA" w:rsidRDefault="007904FA" w:rsidP="007904FA">
      <w:pPr>
        <w:rPr>
          <w:i/>
          <w:color w:val="00B050"/>
          <w:sz w:val="32"/>
          <w:szCs w:val="32"/>
        </w:rPr>
      </w:pPr>
      <w:r>
        <w:rPr>
          <w:i/>
          <w:color w:val="00B050"/>
          <w:sz w:val="32"/>
          <w:szCs w:val="32"/>
        </w:rPr>
        <w:t>An order for SP is discretionary and it will only be made if damages at common law would be an inadequate remedy.  Contracts for the purchase of goods or shares are not normally specifically enforceable because the item can be purchased elsewhere and therefore damages will be adequate.  The Purchaser will still be able to get the item they contracted to purchase.</w:t>
      </w:r>
    </w:p>
    <w:p w14:paraId="372599AB" w14:textId="77777777" w:rsidR="007904FA" w:rsidRDefault="007904FA" w:rsidP="007904FA">
      <w:pPr>
        <w:rPr>
          <w:i/>
          <w:color w:val="00B050"/>
          <w:sz w:val="32"/>
          <w:szCs w:val="32"/>
        </w:rPr>
      </w:pPr>
    </w:p>
    <w:p w14:paraId="38851927" w14:textId="77777777" w:rsidR="007904FA" w:rsidRDefault="007904FA" w:rsidP="007904FA">
      <w:pPr>
        <w:rPr>
          <w:i/>
          <w:color w:val="00B050"/>
          <w:sz w:val="32"/>
          <w:szCs w:val="32"/>
        </w:rPr>
      </w:pPr>
      <w:r>
        <w:rPr>
          <w:i/>
          <w:color w:val="00B050"/>
          <w:sz w:val="32"/>
          <w:szCs w:val="32"/>
        </w:rPr>
        <w:t>The contract to purchase the shares in Marks &amp; Spencer plc will therefore not be specifically enforceable, because there is an open market in these shares.  It would be different if the shares were in a private unlisted company.</w:t>
      </w:r>
    </w:p>
    <w:p w14:paraId="6522B373" w14:textId="77777777" w:rsidR="007904FA" w:rsidRDefault="007904FA" w:rsidP="007904FA">
      <w:pPr>
        <w:rPr>
          <w:i/>
          <w:color w:val="00B050"/>
          <w:sz w:val="32"/>
          <w:szCs w:val="32"/>
        </w:rPr>
      </w:pPr>
    </w:p>
    <w:p w14:paraId="7F4B2B26" w14:textId="77777777" w:rsidR="007904FA" w:rsidRDefault="007904FA" w:rsidP="007904FA">
      <w:pPr>
        <w:rPr>
          <w:i/>
          <w:color w:val="00B050"/>
          <w:sz w:val="32"/>
          <w:szCs w:val="32"/>
        </w:rPr>
      </w:pPr>
      <w:r>
        <w:rPr>
          <w:i/>
          <w:color w:val="00B050"/>
          <w:sz w:val="32"/>
          <w:szCs w:val="32"/>
        </w:rPr>
        <w:t xml:space="preserve">The contract to purchase the original manuscript of Harry Potter and the Goblet of Fire is different, because there is only 1 copy of this manuscript.  As it is unique, SP is available, as it was in Phillips v </w:t>
      </w:r>
      <w:proofErr w:type="spellStart"/>
      <w:r>
        <w:rPr>
          <w:i/>
          <w:color w:val="00B050"/>
          <w:sz w:val="32"/>
          <w:szCs w:val="32"/>
        </w:rPr>
        <w:t>Lamdin</w:t>
      </w:r>
      <w:proofErr w:type="spellEnd"/>
      <w:r>
        <w:rPr>
          <w:i/>
          <w:color w:val="00B050"/>
          <w:sz w:val="32"/>
          <w:szCs w:val="32"/>
        </w:rPr>
        <w:t xml:space="preserve"> [1949] (contract for the sale and purchase of an antique door).</w:t>
      </w:r>
    </w:p>
    <w:p w14:paraId="01C351FC" w14:textId="77777777" w:rsidR="007904FA" w:rsidRDefault="007904FA" w:rsidP="007904FA">
      <w:pPr>
        <w:rPr>
          <w:i/>
          <w:color w:val="00B050"/>
          <w:sz w:val="32"/>
          <w:szCs w:val="32"/>
        </w:rPr>
      </w:pPr>
    </w:p>
    <w:p w14:paraId="3D2CE9B8" w14:textId="77777777" w:rsidR="007904FA" w:rsidRPr="007904FA" w:rsidRDefault="007904FA" w:rsidP="007904FA">
      <w:pPr>
        <w:rPr>
          <w:i/>
          <w:color w:val="00B050"/>
          <w:sz w:val="32"/>
          <w:szCs w:val="32"/>
        </w:rPr>
      </w:pPr>
      <w:r>
        <w:rPr>
          <w:i/>
          <w:color w:val="00B050"/>
          <w:sz w:val="32"/>
          <w:szCs w:val="32"/>
        </w:rPr>
        <w:t>The Picasso painting destroyed by fire illustrates another ground for refusing SP.  Equity will not make an order unless the court can ensure it can be observed: “equity will do nothing in vain”.  As this property no longer exists, SP will not be ordered.</w:t>
      </w:r>
    </w:p>
    <w:p w14:paraId="7F0F0206" w14:textId="77777777" w:rsidR="00016A82" w:rsidRDefault="00016A82" w:rsidP="00016A82">
      <w:pPr>
        <w:rPr>
          <w:sz w:val="32"/>
          <w:szCs w:val="32"/>
        </w:rPr>
      </w:pPr>
    </w:p>
    <w:p w14:paraId="7DCD8A46" w14:textId="77777777" w:rsidR="00016A82" w:rsidRDefault="00016A82" w:rsidP="00016A82">
      <w:pPr>
        <w:pStyle w:val="ListParagraph"/>
        <w:numPr>
          <w:ilvl w:val="0"/>
          <w:numId w:val="2"/>
        </w:numPr>
        <w:rPr>
          <w:sz w:val="32"/>
          <w:szCs w:val="32"/>
        </w:rPr>
      </w:pPr>
      <w:r>
        <w:rPr>
          <w:sz w:val="32"/>
          <w:szCs w:val="32"/>
        </w:rPr>
        <w:lastRenderedPageBreak/>
        <w:t>Yasmin recently started a new job as a legal secretary with a firm of solicitors in Leeds.  Her contract states that she is required to give the firm 6 weeks’ notice.  Yasmin quickly discovers that she hates the job.  When she is offered a job as a holiday rep in Portugal, she accepts and leaves, without giving the law firm any notice at all.</w:t>
      </w:r>
    </w:p>
    <w:p w14:paraId="513EA76C" w14:textId="77777777" w:rsidR="00016A82" w:rsidRDefault="00016A82" w:rsidP="00016A82">
      <w:pPr>
        <w:pStyle w:val="ListParagraph"/>
        <w:rPr>
          <w:sz w:val="32"/>
          <w:szCs w:val="32"/>
        </w:rPr>
      </w:pPr>
    </w:p>
    <w:p w14:paraId="6BA9CE25" w14:textId="77777777" w:rsidR="00016A82" w:rsidRDefault="00016A82" w:rsidP="00016A82">
      <w:pPr>
        <w:pStyle w:val="ListParagraph"/>
        <w:rPr>
          <w:sz w:val="32"/>
          <w:szCs w:val="32"/>
        </w:rPr>
      </w:pPr>
      <w:r>
        <w:rPr>
          <w:sz w:val="32"/>
          <w:szCs w:val="32"/>
        </w:rPr>
        <w:t>Will Yasmin’s former employers be able to obtain an order forcing her to work out her notice?</w:t>
      </w:r>
    </w:p>
    <w:p w14:paraId="6C566191" w14:textId="77777777" w:rsidR="007904FA" w:rsidRDefault="007904FA" w:rsidP="00016A82">
      <w:pPr>
        <w:pStyle w:val="ListParagraph"/>
        <w:rPr>
          <w:sz w:val="32"/>
          <w:szCs w:val="32"/>
        </w:rPr>
      </w:pPr>
    </w:p>
    <w:p w14:paraId="48E9E8E4" w14:textId="0AE1B6D4" w:rsidR="007904FA" w:rsidRDefault="007904FA" w:rsidP="00016A82">
      <w:pPr>
        <w:pStyle w:val="ListParagraph"/>
        <w:rPr>
          <w:i/>
          <w:color w:val="00B050"/>
          <w:sz w:val="32"/>
          <w:szCs w:val="32"/>
        </w:rPr>
      </w:pPr>
      <w:r>
        <w:rPr>
          <w:i/>
          <w:color w:val="00B050"/>
          <w:sz w:val="32"/>
          <w:szCs w:val="32"/>
        </w:rPr>
        <w:t>Yasmin’s contract of employment is a contract to provide personal services.  We can see this if we think about what would happen if Yasmin sent a friend to work in her place; that would not be acceptable</w:t>
      </w:r>
      <w:r w:rsidR="00187C02">
        <w:rPr>
          <w:i/>
          <w:color w:val="00B050"/>
          <w:sz w:val="32"/>
          <w:szCs w:val="32"/>
        </w:rPr>
        <w:t xml:space="preserve"> and it would not meet Yasmin’s obligations to her employer.  Courts rarely order SP of contracts involving personal services.  This is partly because they require supervision and specific performance may not be granted if a contract requires constant supervision. (Ryan v Mutual Tontine Westminster Chambers Association [1893]).  There is also an important public policy consideration.  Equity is unwilling to force people into relationships against their will – examples of this are Clarke v Price [1819] (a contract to write law reports) and Lumley v Wagner (a contract to sing at a theatre).  For these reasons, Yasmin’s employer will not be able to get an order forcing her to work out her notice.</w:t>
      </w:r>
    </w:p>
    <w:p w14:paraId="12CDEA5E" w14:textId="09102712" w:rsidR="00B93A82" w:rsidRDefault="00B93A82" w:rsidP="00B93A82">
      <w:pPr>
        <w:rPr>
          <w:i/>
          <w:color w:val="00B050"/>
          <w:sz w:val="32"/>
          <w:szCs w:val="32"/>
        </w:rPr>
      </w:pPr>
    </w:p>
    <w:p w14:paraId="4BB7A2B3" w14:textId="7512B561" w:rsidR="00B93A82" w:rsidRPr="00652099" w:rsidRDefault="00B93A82" w:rsidP="00B93A82">
      <w:pPr>
        <w:rPr>
          <w:iCs/>
          <w:color w:val="00B050"/>
          <w:sz w:val="32"/>
          <w:szCs w:val="32"/>
        </w:rPr>
      </w:pPr>
      <w:r>
        <w:rPr>
          <w:iCs/>
          <w:color w:val="00B050"/>
          <w:sz w:val="32"/>
          <w:szCs w:val="32"/>
        </w:rPr>
        <w:t>C.</w:t>
      </w:r>
      <w:r w:rsidR="00652099" w:rsidRPr="00652099">
        <w:t xml:space="preserve"> </w:t>
      </w:r>
      <w:r w:rsidR="00652099" w:rsidRPr="00652099">
        <w:rPr>
          <w:sz w:val="32"/>
          <w:szCs w:val="32"/>
        </w:rPr>
        <w:t>The requirement of mutuality is indispensable in a consideration of specific performance. Do you agree?</w:t>
      </w:r>
    </w:p>
    <w:p w14:paraId="1A501868" w14:textId="0DC50468" w:rsidR="00B93A82" w:rsidRDefault="00B93A82" w:rsidP="00016A82">
      <w:pPr>
        <w:pStyle w:val="ListParagraph"/>
        <w:rPr>
          <w:i/>
          <w:color w:val="00B050"/>
          <w:sz w:val="32"/>
          <w:szCs w:val="32"/>
        </w:rPr>
      </w:pPr>
    </w:p>
    <w:p w14:paraId="314F3914" w14:textId="66B0A72F" w:rsidR="00B93A82" w:rsidRPr="00652099" w:rsidRDefault="00B93A82" w:rsidP="00B93A82">
      <w:pPr>
        <w:rPr>
          <w:i/>
          <w:iCs/>
          <w:color w:val="00B050"/>
          <w:sz w:val="32"/>
          <w:szCs w:val="32"/>
        </w:rPr>
      </w:pPr>
      <w:r w:rsidRPr="00652099">
        <w:rPr>
          <w:i/>
          <w:iCs/>
          <w:color w:val="00B050"/>
          <w:sz w:val="32"/>
          <w:szCs w:val="32"/>
        </w:rPr>
        <w:t xml:space="preserve">A definition of specific performance will be the appropriate place to start attempting this question. For a general description of specific performance, see Wilson v Northampton and Banbury Junctions Rly Co (1874) 9 Ch App 279 (see 18.7). Mention that it is an action in </w:t>
      </w:r>
      <w:proofErr w:type="spellStart"/>
      <w:r w:rsidRPr="00652099">
        <w:rPr>
          <w:i/>
          <w:iCs/>
          <w:color w:val="00B050"/>
          <w:sz w:val="32"/>
          <w:szCs w:val="32"/>
        </w:rPr>
        <w:t>personam</w:t>
      </w:r>
      <w:proofErr w:type="spellEnd"/>
      <w:r w:rsidRPr="00652099">
        <w:rPr>
          <w:i/>
          <w:iCs/>
          <w:color w:val="00B050"/>
          <w:sz w:val="32"/>
          <w:szCs w:val="32"/>
        </w:rPr>
        <w:t xml:space="preserve">: Penn v Lord Baltimore (1750) 1 </w:t>
      </w:r>
      <w:proofErr w:type="spellStart"/>
      <w:r w:rsidRPr="00652099">
        <w:rPr>
          <w:i/>
          <w:iCs/>
          <w:color w:val="00B050"/>
          <w:sz w:val="32"/>
          <w:szCs w:val="32"/>
        </w:rPr>
        <w:t>Ves</w:t>
      </w:r>
      <w:proofErr w:type="spellEnd"/>
      <w:r w:rsidRPr="00652099">
        <w:rPr>
          <w:i/>
          <w:iCs/>
          <w:color w:val="00B050"/>
          <w:sz w:val="32"/>
          <w:szCs w:val="32"/>
        </w:rPr>
        <w:t xml:space="preserve"> Sen 444. However, the court may refuse the grant of specific performance on several </w:t>
      </w:r>
      <w:r w:rsidRPr="00652099">
        <w:rPr>
          <w:i/>
          <w:iCs/>
          <w:color w:val="00B050"/>
          <w:sz w:val="32"/>
          <w:szCs w:val="32"/>
        </w:rPr>
        <w:lastRenderedPageBreak/>
        <w:t xml:space="preserve">grounds such as contracts relating to personal property, rather than land, contacts requiring constant supervision by the court, contracts for personal services and contracts lacking in mutuality. Explain what a contract lacking in mutuality means as stated in Flight v </w:t>
      </w:r>
      <w:proofErr w:type="spellStart"/>
      <w:r w:rsidRPr="00652099">
        <w:rPr>
          <w:i/>
          <w:iCs/>
          <w:color w:val="00B050"/>
          <w:sz w:val="32"/>
          <w:szCs w:val="32"/>
        </w:rPr>
        <w:t>Bolland</w:t>
      </w:r>
      <w:proofErr w:type="spellEnd"/>
      <w:r w:rsidRPr="00652099">
        <w:rPr>
          <w:i/>
          <w:iCs/>
          <w:color w:val="00B050"/>
          <w:sz w:val="32"/>
          <w:szCs w:val="32"/>
        </w:rPr>
        <w:t xml:space="preserve"> [1824–34] All ER Rep 372, which lays down the general principle concerning mutuality and specific performance. But the rule of mutuality does not apply to certain instances, e.g. in the sale and purchase of land: Price v Strange [1977] 3 All ER 371. Certainly, given the exceptions to the rule, it is not true that mutuality cannot be dispensed with, only that the instances in which it can be exempted are quite few.</w:t>
      </w:r>
    </w:p>
    <w:p w14:paraId="474D912D" w14:textId="77777777" w:rsidR="00B93A82" w:rsidRPr="00652099" w:rsidRDefault="00B93A82" w:rsidP="00B93A82">
      <w:pPr>
        <w:pStyle w:val="ListParagraph"/>
        <w:rPr>
          <w:color w:val="00B050"/>
          <w:sz w:val="32"/>
          <w:szCs w:val="32"/>
        </w:rPr>
      </w:pPr>
    </w:p>
    <w:p w14:paraId="5A46CD37" w14:textId="05C74E2F" w:rsidR="00B93A82" w:rsidRPr="00B93A82" w:rsidRDefault="00B93A82" w:rsidP="00016A82">
      <w:pPr>
        <w:pStyle w:val="ListParagraph"/>
        <w:rPr>
          <w:iCs/>
          <w:color w:val="00B050"/>
          <w:sz w:val="32"/>
          <w:szCs w:val="32"/>
        </w:rPr>
      </w:pPr>
    </w:p>
    <w:sectPr w:rsidR="00B93A82" w:rsidRPr="00B93A82"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A041D0"/>
    <w:multiLevelType w:val="hybridMultilevel"/>
    <w:tmpl w:val="A81485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923C95"/>
    <w:multiLevelType w:val="hybridMultilevel"/>
    <w:tmpl w:val="C0E6D0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6D177DA"/>
    <w:multiLevelType w:val="hybridMultilevel"/>
    <w:tmpl w:val="5B9040A2"/>
    <w:lvl w:ilvl="0" w:tplc="F374581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057"/>
    <w:rsid w:val="00016A82"/>
    <w:rsid w:val="00187C02"/>
    <w:rsid w:val="005C6E88"/>
    <w:rsid w:val="00652099"/>
    <w:rsid w:val="007904FA"/>
    <w:rsid w:val="007E0057"/>
    <w:rsid w:val="00880DB3"/>
    <w:rsid w:val="008818D4"/>
    <w:rsid w:val="00B93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86F47"/>
  <w15:chartTrackingRefBased/>
  <w15:docId w15:val="{80FA9887-317A-FF4B-AB2E-AD0B01D53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057"/>
    <w:pPr>
      <w:ind w:left="720"/>
      <w:contextualSpacing/>
    </w:pPr>
  </w:style>
  <w:style w:type="paragraph" w:styleId="BalloonText">
    <w:name w:val="Balloon Text"/>
    <w:basedOn w:val="Normal"/>
    <w:link w:val="BalloonTextChar"/>
    <w:uiPriority w:val="99"/>
    <w:semiHidden/>
    <w:unhideWhenUsed/>
    <w:rsid w:val="00016A8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6A8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606</Words>
  <Characters>3459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cp:lastPrinted>2019-09-16T12:12:00Z</cp:lastPrinted>
  <dcterms:created xsi:type="dcterms:W3CDTF">2020-10-07T16:56:00Z</dcterms:created>
  <dcterms:modified xsi:type="dcterms:W3CDTF">2020-10-07T16:56:00Z</dcterms:modified>
</cp:coreProperties>
</file>