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95370E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CertHE Policing Profession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7DB1AF2" w:rsidR="008F1308" w:rsidRPr="00A406E5" w:rsidRDefault="00225E5D" w:rsidP="00E51AAC">
            <w:pPr>
              <w:spacing w:before="120" w:after="120"/>
              <w:jc w:val="both"/>
              <w:rPr>
                <w:rFonts w:ascii="Arial" w:hAnsi="Arial" w:cs="Arial"/>
                <w:b/>
                <w:sz w:val="22"/>
                <w:szCs w:val="22"/>
              </w:rPr>
            </w:pPr>
            <w:r>
              <w:rPr>
                <w:rFonts w:ascii="Arial" w:hAnsi="Arial" w:cs="Arial"/>
                <w:b/>
                <w:sz w:val="22"/>
                <w:szCs w:val="22"/>
              </w:rPr>
              <w:t>Criminal law</w:t>
            </w:r>
            <w:r w:rsidR="00FE0B62">
              <w:rPr>
                <w:rFonts w:ascii="Arial" w:hAnsi="Arial" w:cs="Arial"/>
                <w:b/>
                <w:sz w:val="22"/>
                <w:szCs w:val="22"/>
              </w:rPr>
              <w:t xml:space="preserve"> Resit paper August 2024</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B680FA3" w:rsidR="00B84B5B" w:rsidRPr="00A406E5" w:rsidRDefault="00225E5D" w:rsidP="00152E9D">
            <w:pPr>
              <w:spacing w:before="120" w:after="120"/>
              <w:jc w:val="both"/>
              <w:rPr>
                <w:rFonts w:ascii="Arial" w:hAnsi="Arial" w:cs="Arial"/>
                <w:b/>
                <w:sz w:val="22"/>
                <w:szCs w:val="22"/>
              </w:rPr>
            </w:pPr>
            <w:r>
              <w:rPr>
                <w:rFonts w:ascii="Arial" w:hAnsi="Arial" w:cs="Arial"/>
                <w:b/>
                <w:sz w:val="22"/>
                <w:szCs w:val="22"/>
              </w:rPr>
              <w:t>BMPL4009_CARD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45229F1" w:rsidR="00B84B5B" w:rsidRPr="00A406E5" w:rsidRDefault="00225E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393B529"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7791605"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5A7F637" w:rsidR="00DB116D" w:rsidRPr="00A406E5" w:rsidRDefault="00FE0B62" w:rsidP="005F0579">
            <w:pPr>
              <w:spacing w:before="120" w:after="120"/>
              <w:jc w:val="both"/>
              <w:rPr>
                <w:rFonts w:ascii="Arial" w:hAnsi="Arial" w:cs="Arial"/>
                <w:b/>
                <w:sz w:val="22"/>
                <w:szCs w:val="22"/>
              </w:rPr>
            </w:pPr>
            <w:r>
              <w:rPr>
                <w:rFonts w:ascii="Arial" w:hAnsi="Arial" w:cs="Arial"/>
                <w:b/>
                <w:sz w:val="22"/>
                <w:szCs w:val="22"/>
              </w:rPr>
              <w:t>Actus reus and mens rea</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3634B5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ABB9CBF" w:rsidR="00225E5D" w:rsidRPr="00A406E5" w:rsidRDefault="00F01403" w:rsidP="00FE0B62">
            <w:pPr>
              <w:spacing w:before="120" w:after="120"/>
              <w:jc w:val="both"/>
              <w:rPr>
                <w:rFonts w:ascii="Arial" w:hAnsi="Arial" w:cs="Arial"/>
                <w:b/>
                <w:sz w:val="22"/>
                <w:szCs w:val="22"/>
              </w:rPr>
            </w:pPr>
            <w:r>
              <w:rPr>
                <w:rFonts w:ascii="Arial" w:hAnsi="Arial" w:cs="Arial"/>
                <w:b/>
                <w:sz w:val="22"/>
                <w:szCs w:val="22"/>
              </w:rPr>
              <w:t xml:space="preserve">23:59 </w:t>
            </w:r>
            <w:r w:rsidR="00144B4F">
              <w:rPr>
                <w:rFonts w:ascii="Arial" w:hAnsi="Arial" w:cs="Arial"/>
                <w:b/>
                <w:sz w:val="22"/>
                <w:szCs w:val="22"/>
              </w:rPr>
              <w:t>6/12/24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A4F913C" w:rsidR="00B84B5B" w:rsidRPr="00A406E5" w:rsidRDefault="00144B4F" w:rsidP="005F0579">
            <w:pPr>
              <w:spacing w:before="120" w:after="120"/>
              <w:jc w:val="both"/>
              <w:rPr>
                <w:rFonts w:ascii="Arial" w:hAnsi="Arial" w:cs="Arial"/>
                <w:b/>
                <w:sz w:val="22"/>
                <w:szCs w:val="22"/>
              </w:rPr>
            </w:pPr>
            <w:r>
              <w:rPr>
                <w:rFonts w:ascii="Arial" w:hAnsi="Arial" w:cs="Arial"/>
                <w:b/>
                <w:sz w:val="22"/>
                <w:szCs w:val="22"/>
              </w:rPr>
              <w:t>20 working days after the submission deadline</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225E5D" w:rsidRDefault="00C01A3F" w:rsidP="00273FEE">
            <w:pPr>
              <w:rPr>
                <w:rFonts w:asciiTheme="minorBidi" w:hAnsiTheme="minorBidi" w:cstheme="minorBidi"/>
                <w:sz w:val="28"/>
                <w:szCs w:val="28"/>
              </w:rPr>
            </w:pPr>
          </w:p>
          <w:p w14:paraId="16D5C0EA" w14:textId="77777777"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Upon the successful completion of this module, the student should be able to: </w:t>
            </w:r>
          </w:p>
          <w:p w14:paraId="5847BCA5" w14:textId="531CE6F9"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Demonstrate a working knowledge and understanding of the general principles of criminal liability.</w:t>
            </w:r>
          </w:p>
          <w:p w14:paraId="0E51C81E" w14:textId="7276F2A6"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 • Demonstrate a working knowledge and understanding of the social, moral, ethical and philosophical issues underlying criminal law and the ability to debate issues in relation to more general ethical perspectives </w:t>
            </w:r>
          </w:p>
          <w:p w14:paraId="1D2C4800" w14:textId="0BB7182F" w:rsidR="00C01A3F" w:rsidRPr="00225E5D" w:rsidRDefault="00225E5D" w:rsidP="00225E5D">
            <w:pPr>
              <w:rPr>
                <w:rFonts w:asciiTheme="minorBidi" w:hAnsiTheme="minorBidi" w:cstheme="minorBidi"/>
                <w:sz w:val="28"/>
                <w:szCs w:val="28"/>
              </w:rPr>
            </w:pPr>
            <w:r w:rsidRPr="00225E5D">
              <w:rPr>
                <w:rFonts w:asciiTheme="minorBidi" w:hAnsiTheme="minorBidi" w:cstheme="minorBidi"/>
                <w:sz w:val="24"/>
                <w:szCs w:val="24"/>
              </w:rPr>
              <w:t>• Evaluate the policy issues underlying criminal law and the need to regulate social behaviour whilst balancing the competing interests of the defendant against that of the victim.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20EE9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8084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2B738B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8084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502727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FE0B62">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1896D8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E0B62">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E7186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8084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9E136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8084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3A41F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8084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8F617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E0B62">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5000024F" w14:textId="77777777" w:rsidR="00D671FC" w:rsidRDefault="00D671FC" w:rsidP="00D671FC">
      <w:pPr>
        <w:rPr>
          <w:rFonts w:asciiTheme="minorBidi" w:hAnsiTheme="minorBidi" w:cstheme="minorBidi"/>
          <w:i/>
          <w:iCs/>
          <w:sz w:val="24"/>
          <w:szCs w:val="24"/>
        </w:rPr>
      </w:pPr>
      <w:r w:rsidRPr="00D671FC">
        <w:rPr>
          <w:rFonts w:asciiTheme="minorBidi" w:hAnsiTheme="minorBidi" w:cstheme="minorBidi"/>
          <w:sz w:val="24"/>
          <w:szCs w:val="24"/>
        </w:rPr>
        <w:lastRenderedPageBreak/>
        <w:t xml:space="preserve">This task requires you to answer a number of questions in relation to the elements of criminal liability; </w:t>
      </w:r>
      <w:r w:rsidRPr="00D671FC">
        <w:rPr>
          <w:rFonts w:asciiTheme="minorBidi" w:hAnsiTheme="minorBidi" w:cstheme="minorBidi"/>
          <w:i/>
          <w:iCs/>
          <w:sz w:val="24"/>
          <w:szCs w:val="24"/>
        </w:rPr>
        <w:t xml:space="preserve">actus reus </w:t>
      </w:r>
      <w:r w:rsidRPr="00D671FC">
        <w:rPr>
          <w:rFonts w:asciiTheme="minorBidi" w:hAnsiTheme="minorBidi" w:cstheme="minorBidi"/>
          <w:sz w:val="24"/>
          <w:szCs w:val="24"/>
        </w:rPr>
        <w:t xml:space="preserve">and </w:t>
      </w:r>
      <w:r w:rsidRPr="00D671FC">
        <w:rPr>
          <w:rFonts w:asciiTheme="minorBidi" w:hAnsiTheme="minorBidi" w:cstheme="minorBidi"/>
          <w:i/>
          <w:iCs/>
          <w:sz w:val="24"/>
          <w:szCs w:val="24"/>
        </w:rPr>
        <w:t>mens rea.</w:t>
      </w:r>
    </w:p>
    <w:p w14:paraId="6A3C3C76" w14:textId="6F920613" w:rsidR="00D671FC" w:rsidRPr="00D671FC" w:rsidRDefault="00D671FC" w:rsidP="00D671FC">
      <w:pPr>
        <w:rPr>
          <w:rFonts w:asciiTheme="minorBidi" w:hAnsiTheme="minorBidi" w:cstheme="minorBidi"/>
          <w:i/>
          <w:iCs/>
          <w:sz w:val="24"/>
          <w:szCs w:val="24"/>
        </w:rPr>
      </w:pPr>
      <w:r w:rsidRPr="00D671FC">
        <w:rPr>
          <w:rFonts w:asciiTheme="minorBidi" w:hAnsiTheme="minorBidi" w:cstheme="minorBidi"/>
          <w:i/>
          <w:iCs/>
          <w:sz w:val="24"/>
          <w:szCs w:val="24"/>
        </w:rPr>
        <w:t xml:space="preserve"> </w:t>
      </w:r>
    </w:p>
    <w:p w14:paraId="23E869D7" w14:textId="78F9854B" w:rsidR="00D671FC" w:rsidRPr="00D671FC" w:rsidRDefault="00D671FC" w:rsidP="00D671FC">
      <w:pPr>
        <w:rPr>
          <w:rFonts w:asciiTheme="minorBidi" w:hAnsiTheme="minorBidi" w:cstheme="minorBidi"/>
          <w:sz w:val="24"/>
          <w:szCs w:val="24"/>
        </w:rPr>
      </w:pPr>
      <w:r w:rsidRPr="00D671FC">
        <w:rPr>
          <w:rFonts w:asciiTheme="minorBidi" w:hAnsiTheme="minorBidi" w:cstheme="minorBidi"/>
          <w:sz w:val="24"/>
          <w:szCs w:val="24"/>
        </w:rPr>
        <w:t xml:space="preserve">For questions 1 to 4, you must use </w:t>
      </w:r>
      <w:r w:rsidRPr="00D671FC">
        <w:rPr>
          <w:rFonts w:asciiTheme="minorBidi" w:hAnsiTheme="minorBidi" w:cstheme="minorBidi"/>
          <w:b/>
          <w:bCs/>
          <w:sz w:val="24"/>
          <w:szCs w:val="24"/>
          <w:u w:val="single"/>
        </w:rPr>
        <w:t>ONLY</w:t>
      </w:r>
      <w:r w:rsidRPr="00D671FC">
        <w:rPr>
          <w:rFonts w:asciiTheme="minorBidi" w:hAnsiTheme="minorBidi" w:cstheme="minorBidi"/>
          <w:sz w:val="24"/>
          <w:szCs w:val="24"/>
        </w:rPr>
        <w:t xml:space="preserve"> the following 4 sources which are available via the online UWTSD library. You must read the content</w:t>
      </w:r>
      <w:r>
        <w:rPr>
          <w:rFonts w:asciiTheme="minorBidi" w:hAnsiTheme="minorBidi" w:cstheme="minorBidi"/>
          <w:sz w:val="24"/>
          <w:szCs w:val="24"/>
        </w:rPr>
        <w:t xml:space="preserve"> within the texts</w:t>
      </w:r>
      <w:r w:rsidRPr="00D671FC">
        <w:rPr>
          <w:rFonts w:asciiTheme="minorBidi" w:hAnsiTheme="minorBidi" w:cstheme="minorBidi"/>
          <w:sz w:val="24"/>
          <w:szCs w:val="24"/>
        </w:rPr>
        <w:t xml:space="preserve"> and answer </w:t>
      </w:r>
      <w:r w:rsidRPr="00B01626">
        <w:rPr>
          <w:rFonts w:asciiTheme="minorBidi" w:hAnsiTheme="minorBidi" w:cstheme="minorBidi"/>
          <w:b/>
          <w:bCs/>
          <w:sz w:val="24"/>
          <w:szCs w:val="24"/>
          <w:u w:val="single"/>
        </w:rPr>
        <w:t>within your own words</w:t>
      </w:r>
      <w:r w:rsidRPr="00D671FC">
        <w:rPr>
          <w:rFonts w:asciiTheme="minorBidi" w:hAnsiTheme="minorBidi" w:cstheme="minorBidi"/>
          <w:sz w:val="24"/>
          <w:szCs w:val="24"/>
        </w:rPr>
        <w:t xml:space="preserve"> to demonstrate your understanding of the discussion</w:t>
      </w:r>
      <w:r w:rsidR="00B01626">
        <w:rPr>
          <w:rFonts w:asciiTheme="minorBidi" w:hAnsiTheme="minorBidi" w:cstheme="minorBidi"/>
          <w:sz w:val="24"/>
          <w:szCs w:val="24"/>
        </w:rPr>
        <w:t xml:space="preserve">. You </w:t>
      </w:r>
      <w:r w:rsidR="00B01626" w:rsidRPr="00B01626">
        <w:rPr>
          <w:rFonts w:asciiTheme="minorBidi" w:hAnsiTheme="minorBidi" w:cstheme="minorBidi"/>
          <w:b/>
          <w:bCs/>
          <w:sz w:val="24"/>
          <w:szCs w:val="24"/>
          <w:u w:val="single"/>
        </w:rPr>
        <w:t xml:space="preserve">must not </w:t>
      </w:r>
      <w:r w:rsidR="00B01626">
        <w:rPr>
          <w:rFonts w:asciiTheme="minorBidi" w:hAnsiTheme="minorBidi" w:cstheme="minorBidi"/>
          <w:sz w:val="24"/>
          <w:szCs w:val="24"/>
        </w:rPr>
        <w:t>simply copy and paste the content directly from the sources below:</w:t>
      </w:r>
    </w:p>
    <w:p w14:paraId="263110F5" w14:textId="77777777" w:rsidR="00D671FC" w:rsidRPr="00D671FC" w:rsidRDefault="00D671FC" w:rsidP="00D671FC">
      <w:pPr>
        <w:rPr>
          <w:rFonts w:asciiTheme="minorBidi" w:hAnsiTheme="minorBidi" w:cstheme="minorBidi"/>
          <w:sz w:val="24"/>
          <w:szCs w:val="24"/>
        </w:rPr>
      </w:pPr>
    </w:p>
    <w:p w14:paraId="43645527" w14:textId="77777777" w:rsidR="00D671FC" w:rsidRPr="00D671FC" w:rsidRDefault="00D671FC" w:rsidP="00D671FC">
      <w:pPr>
        <w:pStyle w:val="ListParagraph"/>
        <w:ind w:left="1080"/>
        <w:rPr>
          <w:rFonts w:asciiTheme="minorBidi" w:hAnsiTheme="minorBidi" w:cstheme="minorBidi"/>
          <w:b/>
          <w:bCs/>
          <w:sz w:val="24"/>
          <w:szCs w:val="24"/>
          <w:u w:val="single"/>
        </w:rPr>
      </w:pPr>
      <w:r w:rsidRPr="00D671FC">
        <w:rPr>
          <w:rFonts w:asciiTheme="minorBidi" w:hAnsiTheme="minorBidi" w:cstheme="minorBidi"/>
          <w:color w:val="3A3A3A"/>
          <w:sz w:val="24"/>
          <w:szCs w:val="24"/>
          <w:shd w:val="clear" w:color="auto" w:fill="FFFFFF"/>
        </w:rPr>
        <w:t>Finch, E. and Fafinski, S. (2021) </w:t>
      </w:r>
      <w:r w:rsidRPr="00D671FC">
        <w:rPr>
          <w:rFonts w:asciiTheme="minorBidi" w:hAnsiTheme="minorBidi" w:cstheme="minorBidi"/>
          <w:i/>
          <w:iCs/>
          <w:color w:val="3A3A3A"/>
          <w:sz w:val="24"/>
          <w:szCs w:val="24"/>
          <w:shd w:val="clear" w:color="auto" w:fill="FFFFFF"/>
        </w:rPr>
        <w:t>Criminal law</w:t>
      </w:r>
      <w:r w:rsidRPr="00D671FC">
        <w:rPr>
          <w:rFonts w:asciiTheme="minorBidi" w:hAnsiTheme="minorBidi" w:cstheme="minorBidi"/>
          <w:color w:val="3A3A3A"/>
          <w:sz w:val="24"/>
          <w:szCs w:val="24"/>
          <w:shd w:val="clear" w:color="auto" w:fill="FFFFFF"/>
        </w:rPr>
        <w:t>. 8th edition. Harlow, England: Pearson.</w:t>
      </w:r>
    </w:p>
    <w:p w14:paraId="7B23A450" w14:textId="77777777" w:rsidR="00D671FC" w:rsidRPr="00D671FC" w:rsidRDefault="00D671FC" w:rsidP="00D671FC">
      <w:pPr>
        <w:pStyle w:val="ListParagraph"/>
        <w:ind w:left="1080"/>
        <w:rPr>
          <w:rFonts w:asciiTheme="minorBidi" w:hAnsiTheme="minorBidi" w:cstheme="minorBidi"/>
          <w:color w:val="3A3A3A"/>
          <w:sz w:val="24"/>
          <w:szCs w:val="24"/>
          <w:shd w:val="clear" w:color="auto" w:fill="FFFFFF"/>
        </w:rPr>
      </w:pPr>
      <w:r w:rsidRPr="00D671FC">
        <w:rPr>
          <w:rFonts w:asciiTheme="minorBidi" w:hAnsiTheme="minorBidi" w:cstheme="minorBidi"/>
          <w:color w:val="3A3A3A"/>
          <w:sz w:val="24"/>
          <w:szCs w:val="24"/>
          <w:shd w:val="clear" w:color="auto" w:fill="FFFFFF"/>
        </w:rPr>
        <w:t>Herring, J. (2022) </w:t>
      </w:r>
      <w:r w:rsidRPr="00D671FC">
        <w:rPr>
          <w:rFonts w:asciiTheme="minorBidi" w:hAnsiTheme="minorBidi" w:cstheme="minorBidi"/>
          <w:i/>
          <w:iCs/>
          <w:color w:val="3A3A3A"/>
          <w:sz w:val="24"/>
          <w:szCs w:val="24"/>
          <w:shd w:val="clear" w:color="auto" w:fill="FFFFFF"/>
        </w:rPr>
        <w:t>Criminal law : text, cases, and materials</w:t>
      </w:r>
      <w:r w:rsidRPr="00D671FC">
        <w:rPr>
          <w:rFonts w:asciiTheme="minorBidi" w:hAnsiTheme="minorBidi" w:cstheme="minorBidi"/>
          <w:color w:val="3A3A3A"/>
          <w:sz w:val="24"/>
          <w:szCs w:val="24"/>
          <w:shd w:val="clear" w:color="auto" w:fill="FFFFFF"/>
        </w:rPr>
        <w:t>. Tenth edition. Oxford: Oxford University Press.</w:t>
      </w:r>
    </w:p>
    <w:p w14:paraId="21638787" w14:textId="77777777" w:rsidR="00D671FC" w:rsidRPr="00D671FC" w:rsidRDefault="00D671FC" w:rsidP="00D671FC">
      <w:pPr>
        <w:pStyle w:val="ListParagraph"/>
        <w:ind w:left="1080"/>
        <w:rPr>
          <w:rFonts w:asciiTheme="minorBidi" w:hAnsiTheme="minorBidi" w:cstheme="minorBidi"/>
          <w:color w:val="3A3A3A"/>
          <w:sz w:val="24"/>
          <w:szCs w:val="24"/>
          <w:shd w:val="clear" w:color="auto" w:fill="FFFFFF"/>
        </w:rPr>
      </w:pPr>
      <w:r w:rsidRPr="00D671FC">
        <w:rPr>
          <w:rFonts w:asciiTheme="minorBidi" w:hAnsiTheme="minorBidi" w:cstheme="minorBidi"/>
          <w:color w:val="3A3A3A"/>
          <w:sz w:val="24"/>
          <w:szCs w:val="24"/>
          <w:shd w:val="clear" w:color="auto" w:fill="FFFFFF"/>
        </w:rPr>
        <w:t>Macdonald, S.K. (2018) </w:t>
      </w:r>
      <w:r w:rsidRPr="00D671FC">
        <w:rPr>
          <w:rFonts w:asciiTheme="minorBidi" w:hAnsiTheme="minorBidi" w:cstheme="minorBidi"/>
          <w:i/>
          <w:iCs/>
          <w:color w:val="3A3A3A"/>
          <w:sz w:val="24"/>
          <w:szCs w:val="24"/>
          <w:shd w:val="clear" w:color="auto" w:fill="FFFFFF"/>
        </w:rPr>
        <w:t>Text, cases, and materials on criminal law</w:t>
      </w:r>
      <w:r w:rsidRPr="00D671FC">
        <w:rPr>
          <w:rFonts w:asciiTheme="minorBidi" w:hAnsiTheme="minorBidi" w:cstheme="minorBidi"/>
          <w:color w:val="3A3A3A"/>
          <w:sz w:val="24"/>
          <w:szCs w:val="24"/>
          <w:shd w:val="clear" w:color="auto" w:fill="FFFFFF"/>
        </w:rPr>
        <w:t>. Second edition. Harlow, England: Pearson Education Limited.</w:t>
      </w:r>
    </w:p>
    <w:p w14:paraId="02530044" w14:textId="77777777" w:rsidR="00D671FC" w:rsidRDefault="00D671FC" w:rsidP="00D671FC">
      <w:pPr>
        <w:pStyle w:val="ListParagraph"/>
        <w:ind w:left="1080"/>
        <w:rPr>
          <w:rFonts w:asciiTheme="minorBidi" w:hAnsiTheme="minorBidi" w:cstheme="minorBidi"/>
          <w:color w:val="3A3A3A"/>
          <w:sz w:val="24"/>
          <w:szCs w:val="24"/>
          <w:shd w:val="clear" w:color="auto" w:fill="FFFFFF"/>
        </w:rPr>
      </w:pPr>
      <w:r w:rsidRPr="00D671FC">
        <w:rPr>
          <w:rFonts w:asciiTheme="minorBidi" w:hAnsiTheme="minorBidi" w:cstheme="minorBidi"/>
          <w:color w:val="3A3A3A"/>
          <w:sz w:val="24"/>
          <w:szCs w:val="24"/>
          <w:shd w:val="clear" w:color="auto" w:fill="FFFFFF"/>
        </w:rPr>
        <w:t>Taylor, L. (2018) </w:t>
      </w:r>
      <w:r w:rsidRPr="00D671FC">
        <w:rPr>
          <w:rFonts w:asciiTheme="minorBidi" w:hAnsiTheme="minorBidi" w:cstheme="minorBidi"/>
          <w:i/>
          <w:iCs/>
          <w:color w:val="3A3A3A"/>
          <w:sz w:val="24"/>
          <w:szCs w:val="24"/>
          <w:shd w:val="clear" w:color="auto" w:fill="FFFFFF"/>
        </w:rPr>
        <w:t>Elliott and Quinn’s criminal law</w:t>
      </w:r>
      <w:r w:rsidRPr="00D671FC">
        <w:rPr>
          <w:rFonts w:asciiTheme="minorBidi" w:hAnsiTheme="minorBidi" w:cstheme="minorBidi"/>
          <w:color w:val="3A3A3A"/>
          <w:sz w:val="24"/>
          <w:szCs w:val="24"/>
          <w:shd w:val="clear" w:color="auto" w:fill="FFFFFF"/>
        </w:rPr>
        <w:t>. Twelfth edition. Harlow, England ; Pearson Education Limited.</w:t>
      </w:r>
    </w:p>
    <w:p w14:paraId="1DF61C5F" w14:textId="77777777" w:rsidR="00D671FC" w:rsidRDefault="00D671FC" w:rsidP="00D671FC">
      <w:pPr>
        <w:pStyle w:val="ListParagraph"/>
        <w:ind w:left="1080"/>
        <w:rPr>
          <w:rFonts w:asciiTheme="minorBidi" w:hAnsiTheme="minorBidi" w:cstheme="minorBidi"/>
          <w:color w:val="3A3A3A"/>
          <w:sz w:val="24"/>
          <w:szCs w:val="24"/>
          <w:shd w:val="clear" w:color="auto" w:fill="FFFFFF"/>
        </w:rPr>
      </w:pPr>
    </w:p>
    <w:p w14:paraId="76BC6707" w14:textId="6A459966" w:rsidR="00D671FC" w:rsidRPr="00D671FC" w:rsidRDefault="00D671FC" w:rsidP="00D671FC">
      <w:pPr>
        <w:pStyle w:val="ListParagraph"/>
        <w:ind w:left="1080"/>
        <w:rPr>
          <w:rFonts w:asciiTheme="minorBidi" w:hAnsiTheme="minorBidi" w:cstheme="minorBidi"/>
          <w:b/>
          <w:bCs/>
          <w:color w:val="3A3A3A"/>
          <w:sz w:val="28"/>
          <w:szCs w:val="28"/>
          <w:u w:val="single"/>
          <w:shd w:val="clear" w:color="auto" w:fill="FFFFFF"/>
        </w:rPr>
      </w:pPr>
      <w:r w:rsidRPr="00D671FC">
        <w:rPr>
          <w:rFonts w:asciiTheme="minorBidi" w:hAnsiTheme="minorBidi" w:cstheme="minorBidi"/>
          <w:b/>
          <w:bCs/>
          <w:color w:val="3A3A3A"/>
          <w:sz w:val="28"/>
          <w:szCs w:val="28"/>
          <w:u w:val="single"/>
          <w:shd w:val="clear" w:color="auto" w:fill="FFFFFF"/>
        </w:rPr>
        <w:t>QUESTIONS</w:t>
      </w:r>
    </w:p>
    <w:p w14:paraId="453DE959" w14:textId="77777777" w:rsidR="00D671FC" w:rsidRPr="00D671FC" w:rsidRDefault="00D671FC" w:rsidP="00D671FC">
      <w:pPr>
        <w:pStyle w:val="ListParagraph"/>
        <w:ind w:left="1080"/>
        <w:rPr>
          <w:rFonts w:asciiTheme="minorBidi" w:hAnsiTheme="minorBidi" w:cstheme="minorBidi"/>
          <w:color w:val="3A3A3A"/>
          <w:sz w:val="24"/>
          <w:szCs w:val="24"/>
          <w:shd w:val="clear" w:color="auto" w:fill="FFFFFF"/>
        </w:rPr>
      </w:pPr>
    </w:p>
    <w:p w14:paraId="732DE175" w14:textId="3AEB1514" w:rsidR="00D671FC" w:rsidRPr="00D671FC" w:rsidRDefault="00D671FC" w:rsidP="00D671FC">
      <w:pPr>
        <w:pStyle w:val="ListParagraph"/>
        <w:numPr>
          <w:ilvl w:val="0"/>
          <w:numId w:val="20"/>
        </w:numPr>
        <w:spacing w:after="160" w:line="276" w:lineRule="auto"/>
        <w:jc w:val="center"/>
        <w:rPr>
          <w:rFonts w:asciiTheme="minorBidi" w:hAnsiTheme="minorBidi" w:cstheme="minorBidi"/>
          <w:b/>
          <w:bCs/>
          <w:sz w:val="28"/>
          <w:szCs w:val="28"/>
        </w:rPr>
      </w:pPr>
      <w:r w:rsidRPr="00D671FC">
        <w:rPr>
          <w:rFonts w:asciiTheme="minorBidi" w:hAnsiTheme="minorBidi" w:cstheme="minorBidi"/>
          <w:b/>
          <w:bCs/>
          <w:sz w:val="28"/>
          <w:szCs w:val="28"/>
        </w:rPr>
        <w:t xml:space="preserve">According to Taylor (2018) </w:t>
      </w:r>
      <w:r>
        <w:rPr>
          <w:rFonts w:asciiTheme="minorBidi" w:hAnsiTheme="minorBidi" w:cstheme="minorBidi"/>
          <w:b/>
          <w:bCs/>
          <w:sz w:val="28"/>
          <w:szCs w:val="28"/>
        </w:rPr>
        <w:t>c</w:t>
      </w:r>
      <w:r w:rsidRPr="00D671FC">
        <w:rPr>
          <w:rFonts w:asciiTheme="minorBidi" w:hAnsiTheme="minorBidi" w:cstheme="minorBidi"/>
          <w:b/>
          <w:bCs/>
          <w:sz w:val="28"/>
          <w:szCs w:val="28"/>
        </w:rPr>
        <w:t>rimes can be divided into different types depending on the nature of their actus reus. Briefly explain what these types of crimes are and how the actus reus elements differ. (300 words)</w:t>
      </w:r>
    </w:p>
    <w:p w14:paraId="422F4C73" w14:textId="77777777" w:rsidR="00D671FC" w:rsidRPr="00D671FC" w:rsidRDefault="00D671FC" w:rsidP="00D671FC">
      <w:pPr>
        <w:spacing w:line="276" w:lineRule="auto"/>
        <w:jc w:val="center"/>
        <w:rPr>
          <w:rFonts w:asciiTheme="minorBidi" w:hAnsiTheme="minorBidi" w:cstheme="minorBidi"/>
          <w:b/>
          <w:bCs/>
          <w:sz w:val="28"/>
          <w:szCs w:val="28"/>
        </w:rPr>
      </w:pPr>
    </w:p>
    <w:p w14:paraId="2B94B6DD" w14:textId="3463E911" w:rsidR="00D671FC" w:rsidRPr="00D671FC" w:rsidRDefault="005465E6" w:rsidP="005465E6">
      <w:pPr>
        <w:spacing w:line="276" w:lineRule="auto"/>
        <w:ind w:left="360"/>
        <w:jc w:val="center"/>
        <w:rPr>
          <w:rFonts w:asciiTheme="minorBidi" w:hAnsiTheme="minorBidi" w:cstheme="minorBidi"/>
          <w:b/>
          <w:bCs/>
          <w:sz w:val="28"/>
          <w:szCs w:val="28"/>
        </w:rPr>
      </w:pPr>
      <w:r>
        <w:rPr>
          <w:rFonts w:asciiTheme="minorBidi" w:hAnsiTheme="minorBidi" w:cstheme="minorBidi"/>
          <w:b/>
          <w:bCs/>
          <w:sz w:val="28"/>
          <w:szCs w:val="28"/>
        </w:rPr>
        <w:t xml:space="preserve">  </w:t>
      </w:r>
      <w:r>
        <w:rPr>
          <w:rFonts w:asciiTheme="minorBidi" w:hAnsiTheme="minorBidi" w:cstheme="minorBidi"/>
          <w:b/>
          <w:bCs/>
          <w:sz w:val="28"/>
          <w:szCs w:val="28"/>
        </w:rPr>
        <w:tab/>
      </w:r>
      <w:r w:rsidR="00D671FC" w:rsidRPr="00D671FC">
        <w:rPr>
          <w:rFonts w:asciiTheme="minorBidi" w:hAnsiTheme="minorBidi" w:cstheme="minorBidi"/>
          <w:b/>
          <w:bCs/>
          <w:sz w:val="28"/>
          <w:szCs w:val="28"/>
        </w:rPr>
        <w:t xml:space="preserve">2.  According to Herring (2022), </w:t>
      </w:r>
      <w:r w:rsidR="00C1775D">
        <w:rPr>
          <w:rFonts w:asciiTheme="minorBidi" w:hAnsiTheme="minorBidi" w:cstheme="minorBidi"/>
          <w:b/>
          <w:bCs/>
          <w:sz w:val="28"/>
          <w:szCs w:val="28"/>
        </w:rPr>
        <w:t xml:space="preserve">what </w:t>
      </w:r>
      <w:r w:rsidR="00D671FC" w:rsidRPr="00D671FC">
        <w:rPr>
          <w:rFonts w:asciiTheme="minorBidi" w:hAnsiTheme="minorBidi" w:cstheme="minorBidi"/>
          <w:b/>
          <w:bCs/>
          <w:sz w:val="28"/>
          <w:szCs w:val="28"/>
        </w:rPr>
        <w:t>is the voluntary act ‘requirement’ and what are some of the exceptions to this? (300 words)</w:t>
      </w:r>
    </w:p>
    <w:p w14:paraId="03380306" w14:textId="77777777" w:rsidR="00D671FC" w:rsidRPr="00D671FC" w:rsidRDefault="00D671FC" w:rsidP="00D671FC">
      <w:pPr>
        <w:spacing w:line="276" w:lineRule="auto"/>
        <w:jc w:val="center"/>
        <w:rPr>
          <w:rFonts w:asciiTheme="minorBidi" w:hAnsiTheme="minorBidi" w:cstheme="minorBidi"/>
          <w:b/>
          <w:bCs/>
          <w:sz w:val="28"/>
          <w:szCs w:val="28"/>
        </w:rPr>
      </w:pPr>
    </w:p>
    <w:p w14:paraId="16D89C47" w14:textId="77777777" w:rsidR="00D671FC" w:rsidRPr="00D671FC" w:rsidRDefault="00D671FC" w:rsidP="00D671FC">
      <w:pPr>
        <w:spacing w:line="276" w:lineRule="auto"/>
        <w:jc w:val="center"/>
        <w:rPr>
          <w:rFonts w:asciiTheme="minorBidi" w:hAnsiTheme="minorBidi" w:cstheme="minorBidi"/>
          <w:b/>
          <w:bCs/>
          <w:sz w:val="28"/>
          <w:szCs w:val="28"/>
        </w:rPr>
      </w:pPr>
    </w:p>
    <w:p w14:paraId="664B74C9" w14:textId="05F2B0BA" w:rsidR="00D671FC" w:rsidRPr="00D671FC" w:rsidRDefault="00D671FC" w:rsidP="00D671FC">
      <w:pPr>
        <w:pStyle w:val="ListParagraph"/>
        <w:numPr>
          <w:ilvl w:val="0"/>
          <w:numId w:val="21"/>
        </w:numPr>
        <w:spacing w:after="160" w:line="276" w:lineRule="auto"/>
        <w:jc w:val="center"/>
        <w:rPr>
          <w:rFonts w:asciiTheme="minorBidi" w:hAnsiTheme="minorBidi" w:cstheme="minorBidi"/>
          <w:b/>
          <w:bCs/>
          <w:sz w:val="28"/>
          <w:szCs w:val="28"/>
        </w:rPr>
      </w:pPr>
      <w:r w:rsidRPr="00D671FC">
        <w:rPr>
          <w:rFonts w:asciiTheme="minorBidi" w:hAnsiTheme="minorBidi" w:cstheme="minorBidi"/>
          <w:b/>
          <w:bCs/>
          <w:sz w:val="28"/>
          <w:szCs w:val="28"/>
        </w:rPr>
        <w:t>Using Macdonald (2018) explain the difference between direct and indirect (oblique) intention</w:t>
      </w:r>
      <w:r w:rsidR="00C1775D">
        <w:rPr>
          <w:rFonts w:asciiTheme="minorBidi" w:hAnsiTheme="minorBidi" w:cstheme="minorBidi"/>
          <w:b/>
          <w:bCs/>
          <w:sz w:val="28"/>
          <w:szCs w:val="28"/>
        </w:rPr>
        <w:t>.</w:t>
      </w:r>
      <w:r w:rsidRPr="00D671FC">
        <w:rPr>
          <w:rFonts w:asciiTheme="minorBidi" w:hAnsiTheme="minorBidi" w:cstheme="minorBidi"/>
          <w:b/>
          <w:bCs/>
          <w:sz w:val="28"/>
          <w:szCs w:val="28"/>
        </w:rPr>
        <w:t xml:space="preserve"> (300 words)</w:t>
      </w:r>
    </w:p>
    <w:p w14:paraId="77CC3A01" w14:textId="77777777" w:rsidR="00D671FC" w:rsidRPr="00D671FC" w:rsidRDefault="00D671FC" w:rsidP="00D671FC">
      <w:pPr>
        <w:spacing w:line="276" w:lineRule="auto"/>
        <w:jc w:val="center"/>
        <w:rPr>
          <w:rFonts w:asciiTheme="minorBidi" w:hAnsiTheme="minorBidi" w:cstheme="minorBidi"/>
          <w:b/>
          <w:bCs/>
          <w:sz w:val="28"/>
          <w:szCs w:val="28"/>
        </w:rPr>
      </w:pPr>
    </w:p>
    <w:p w14:paraId="70DA2349" w14:textId="26D22CC2" w:rsidR="00D671FC" w:rsidRPr="00D671FC" w:rsidRDefault="00D671FC" w:rsidP="00D671FC">
      <w:pPr>
        <w:pStyle w:val="ListParagraph"/>
        <w:numPr>
          <w:ilvl w:val="0"/>
          <w:numId w:val="21"/>
        </w:numPr>
        <w:spacing w:after="160" w:line="276" w:lineRule="auto"/>
        <w:jc w:val="center"/>
        <w:rPr>
          <w:rFonts w:asciiTheme="minorBidi" w:hAnsiTheme="minorBidi" w:cstheme="minorBidi"/>
          <w:b/>
          <w:bCs/>
          <w:sz w:val="28"/>
          <w:szCs w:val="28"/>
        </w:rPr>
      </w:pPr>
      <w:r w:rsidRPr="00D671FC">
        <w:rPr>
          <w:rFonts w:asciiTheme="minorBidi" w:hAnsiTheme="minorBidi" w:cstheme="minorBidi"/>
          <w:b/>
          <w:bCs/>
          <w:sz w:val="28"/>
          <w:szCs w:val="28"/>
        </w:rPr>
        <w:t>Using Finch and Fafinski (2021) discuss what the test for subjective recklessness is and identify key cases that apply</w:t>
      </w:r>
      <w:r w:rsidR="00C1775D">
        <w:rPr>
          <w:rFonts w:asciiTheme="minorBidi" w:hAnsiTheme="minorBidi" w:cstheme="minorBidi"/>
          <w:b/>
          <w:bCs/>
          <w:sz w:val="28"/>
          <w:szCs w:val="28"/>
        </w:rPr>
        <w:t>.</w:t>
      </w:r>
      <w:r w:rsidRPr="00D671FC">
        <w:rPr>
          <w:rFonts w:asciiTheme="minorBidi" w:hAnsiTheme="minorBidi" w:cstheme="minorBidi"/>
          <w:b/>
          <w:bCs/>
          <w:sz w:val="28"/>
          <w:szCs w:val="28"/>
        </w:rPr>
        <w:t xml:space="preserve"> (300 words)</w:t>
      </w:r>
    </w:p>
    <w:p w14:paraId="40026AB8" w14:textId="6C3EF84B" w:rsidR="00D671FC" w:rsidRPr="00D671FC" w:rsidRDefault="00D671FC" w:rsidP="00D671FC">
      <w:pPr>
        <w:spacing w:before="100" w:beforeAutospacing="1" w:after="100" w:afterAutospacing="1"/>
        <w:ind w:left="720"/>
        <w:rPr>
          <w:rFonts w:asciiTheme="minorBidi" w:hAnsiTheme="minorBidi" w:cstheme="minorBidi"/>
          <w:b/>
          <w:bCs/>
          <w:sz w:val="24"/>
          <w:szCs w:val="24"/>
        </w:rPr>
      </w:pPr>
      <w:r w:rsidRPr="00D671FC">
        <w:rPr>
          <w:rFonts w:asciiTheme="minorBidi" w:hAnsiTheme="minorBidi" w:cstheme="minorBidi"/>
          <w:b/>
          <w:bCs/>
          <w:sz w:val="24"/>
          <w:szCs w:val="24"/>
        </w:rPr>
        <w:t xml:space="preserve"> For question 5 </w:t>
      </w:r>
      <w:r w:rsidRPr="00D671FC">
        <w:rPr>
          <w:rFonts w:asciiTheme="minorBidi" w:hAnsiTheme="minorBidi" w:cstheme="minorBidi"/>
          <w:sz w:val="24"/>
          <w:szCs w:val="24"/>
        </w:rPr>
        <w:t>you must show evidence of your own independent research</w:t>
      </w:r>
      <w:r w:rsidRPr="00D671FC">
        <w:rPr>
          <w:rFonts w:asciiTheme="minorBidi" w:hAnsiTheme="minorBidi" w:cstheme="minorBidi"/>
          <w:color w:val="000000"/>
          <w:sz w:val="24"/>
          <w:szCs w:val="24"/>
        </w:rPr>
        <w:t>. Your work should be supported with credible sources, such as relevant case law, journal articles</w:t>
      </w:r>
      <w:r>
        <w:rPr>
          <w:rFonts w:asciiTheme="minorBidi" w:hAnsiTheme="minorBidi" w:cstheme="minorBidi"/>
          <w:color w:val="000000"/>
          <w:sz w:val="24"/>
          <w:szCs w:val="24"/>
        </w:rPr>
        <w:t xml:space="preserve"> </w:t>
      </w:r>
      <w:r w:rsidRPr="00D671FC">
        <w:rPr>
          <w:rFonts w:asciiTheme="minorBidi" w:hAnsiTheme="minorBidi" w:cstheme="minorBidi"/>
          <w:color w:val="000000"/>
          <w:sz w:val="24"/>
          <w:szCs w:val="24"/>
        </w:rPr>
        <w:t xml:space="preserve">and </w:t>
      </w:r>
      <w:r>
        <w:rPr>
          <w:rFonts w:asciiTheme="minorBidi" w:hAnsiTheme="minorBidi" w:cstheme="minorBidi"/>
          <w:color w:val="000000"/>
          <w:sz w:val="24"/>
          <w:szCs w:val="24"/>
        </w:rPr>
        <w:t xml:space="preserve">other </w:t>
      </w:r>
      <w:r w:rsidRPr="00D671FC">
        <w:rPr>
          <w:rFonts w:asciiTheme="minorBidi" w:hAnsiTheme="minorBidi" w:cstheme="minorBidi"/>
          <w:color w:val="000000"/>
          <w:sz w:val="24"/>
          <w:szCs w:val="24"/>
        </w:rPr>
        <w:t xml:space="preserve">textbooks (to name a few). </w:t>
      </w:r>
    </w:p>
    <w:p w14:paraId="37C4EEAF" w14:textId="419E48FA" w:rsidR="00D671FC" w:rsidRPr="00D671FC" w:rsidRDefault="00D671FC" w:rsidP="00D671FC">
      <w:pPr>
        <w:pStyle w:val="ListParagraph"/>
        <w:numPr>
          <w:ilvl w:val="0"/>
          <w:numId w:val="21"/>
        </w:numPr>
        <w:spacing w:after="160" w:line="278" w:lineRule="auto"/>
        <w:jc w:val="center"/>
        <w:rPr>
          <w:rFonts w:asciiTheme="minorBidi" w:hAnsiTheme="minorBidi" w:cstheme="minorBidi"/>
          <w:b/>
          <w:bCs/>
          <w:sz w:val="28"/>
          <w:szCs w:val="28"/>
        </w:rPr>
      </w:pPr>
      <w:r w:rsidRPr="00D671FC">
        <w:rPr>
          <w:rFonts w:asciiTheme="minorBidi" w:hAnsiTheme="minorBidi" w:cstheme="minorBidi"/>
          <w:b/>
          <w:bCs/>
          <w:sz w:val="28"/>
          <w:szCs w:val="28"/>
        </w:rPr>
        <w:t>Discuss what is meant by the ‘coincidence of actus reus and mens rea’. Please use relevant case law to support your answer.</w:t>
      </w:r>
      <w:r w:rsidR="00E878C3">
        <w:rPr>
          <w:rFonts w:asciiTheme="minorBidi" w:hAnsiTheme="minorBidi" w:cstheme="minorBidi"/>
          <w:b/>
          <w:bCs/>
          <w:sz w:val="28"/>
          <w:szCs w:val="28"/>
        </w:rPr>
        <w:t xml:space="preserve"> (300 words)</w:t>
      </w:r>
    </w:p>
    <w:p w14:paraId="0AD76D05" w14:textId="2D97FEAA" w:rsidR="004D5E9B" w:rsidRPr="00D671FC" w:rsidRDefault="00D671FC" w:rsidP="000C061F">
      <w:pPr>
        <w:spacing w:before="100" w:beforeAutospacing="1" w:after="100" w:afterAutospacing="1"/>
        <w:ind w:left="720"/>
        <w:rPr>
          <w:rFonts w:asciiTheme="minorBidi" w:hAnsiTheme="minorBidi" w:cstheme="minorBidi"/>
          <w:sz w:val="24"/>
          <w:szCs w:val="24"/>
        </w:rPr>
      </w:pPr>
      <w:r w:rsidRPr="00D671FC">
        <w:rPr>
          <w:rFonts w:asciiTheme="minorBidi" w:hAnsiTheme="minorBidi" w:cstheme="minorBidi"/>
          <w:color w:val="000000"/>
          <w:sz w:val="24"/>
          <w:szCs w:val="24"/>
        </w:rPr>
        <w:t xml:space="preserve">You are reminded to reference in accordance with the Harvard Referencing System throughout your work and should include a reference list to demonstrate your engagement with literature. </w:t>
      </w:r>
      <w:r w:rsidR="000C061F" w:rsidRPr="00D671FC">
        <w:rPr>
          <w:rFonts w:asciiTheme="minorBidi" w:hAnsiTheme="minorBidi" w:cstheme="minorBidi"/>
          <w:color w:val="000000"/>
          <w:sz w:val="24"/>
          <w:szCs w:val="24"/>
        </w:rPr>
        <w:t xml:space="preserve">Please use Arial, font size 12 and line space your work to 1.5. </w:t>
      </w:r>
      <w:r>
        <w:rPr>
          <w:rFonts w:asciiTheme="minorBidi" w:hAnsiTheme="minorBidi" w:cstheme="minorBidi"/>
          <w:color w:val="000000"/>
          <w:sz w:val="24"/>
          <w:szCs w:val="24"/>
        </w:rPr>
        <w:t xml:space="preserve">You should answer within the recommended word count and submit </w:t>
      </w:r>
      <w:r w:rsidR="000C061F" w:rsidRPr="00D671FC">
        <w:rPr>
          <w:rFonts w:asciiTheme="minorBidi" w:hAnsiTheme="minorBidi" w:cstheme="minorBidi"/>
          <w:color w:val="000000"/>
          <w:sz w:val="24"/>
          <w:szCs w:val="24"/>
        </w:rPr>
        <w:t xml:space="preserve">to the Turnitin link by 23:59 on </w:t>
      </w:r>
      <w:r w:rsidR="000C061F" w:rsidRPr="00D671FC">
        <w:rPr>
          <w:rFonts w:asciiTheme="minorBidi" w:hAnsiTheme="minorBidi" w:cstheme="minorBidi"/>
          <w:color w:val="000000"/>
          <w:sz w:val="24"/>
          <w:szCs w:val="24"/>
          <w:highlight w:val="yellow"/>
        </w:rPr>
        <w:t xml:space="preserve">Friday </w:t>
      </w:r>
      <w:r w:rsidR="00B04086">
        <w:rPr>
          <w:rFonts w:asciiTheme="minorBidi" w:hAnsiTheme="minorBidi" w:cstheme="minorBidi"/>
          <w:color w:val="000000"/>
          <w:sz w:val="24"/>
          <w:szCs w:val="24"/>
          <w:highlight w:val="yellow"/>
        </w:rPr>
        <w:t>6/12</w:t>
      </w:r>
      <w:r w:rsidR="000C061F" w:rsidRPr="00D671FC">
        <w:rPr>
          <w:rFonts w:asciiTheme="minorBidi" w:hAnsiTheme="minorBidi" w:cstheme="minorBidi"/>
          <w:color w:val="000000"/>
          <w:sz w:val="24"/>
          <w:szCs w:val="24"/>
          <w:highlight w:val="yellow"/>
        </w:rPr>
        <w:t>/24.</w:t>
      </w: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2A636644" w:rsidR="00C01A3F" w:rsidRPr="00A406E5" w:rsidRDefault="008042F0" w:rsidP="000C061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For </w:t>
      </w:r>
      <w:r w:rsidR="00D671FC">
        <w:rPr>
          <w:rFonts w:ascii="Arial" w:hAnsi="Arial" w:cs="Arial"/>
          <w:i/>
          <w:sz w:val="22"/>
          <w:szCs w:val="22"/>
        </w:rPr>
        <w:t>questions 1-4</w:t>
      </w:r>
      <w:r w:rsidR="000C061F">
        <w:rPr>
          <w:rFonts w:ascii="Arial" w:hAnsi="Arial" w:cs="Arial"/>
          <w:i/>
          <w:sz w:val="22"/>
          <w:szCs w:val="22"/>
        </w:rPr>
        <w:t>, you must ensure only the stated sources are used. When referencing case law and legislation, include them in a separate list underneath your standard reference list. You will need to list in alphabetical order, the full case citations and legislation.</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257039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Please ensure that you are answering the questions that have been asked.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1F30826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33EE27D5" w14:textId="77777777" w:rsidR="000C061F" w:rsidRPr="00A406E5" w:rsidRDefault="008042F0" w:rsidP="000C06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Please ensure that when you cite case law, the principle identified in the case is relevant to the point you are making.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7B409E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Please proofread your work before final submission to minimise spelling and grammatical errors and to ensure sentences make sense.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AF2B4E">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3693ADA"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C67ACBD"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C37B153" w:rsidR="00152E9D" w:rsidRPr="00A406E5" w:rsidRDefault="000C06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40F9B1"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E799CD0"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AF2B4E">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AF2B4E">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5E5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F2B4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2E2FDA" w14:textId="77777777" w:rsidR="005727EF" w:rsidRDefault="005727EF">
      <w:r>
        <w:separator/>
      </w:r>
    </w:p>
  </w:endnote>
  <w:endnote w:type="continuationSeparator" w:id="0">
    <w:p w14:paraId="2048009E" w14:textId="77777777" w:rsidR="005727EF" w:rsidRDefault="005727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CADB7B" w14:textId="77777777" w:rsidR="005727EF" w:rsidRDefault="005727EF">
      <w:r>
        <w:separator/>
      </w:r>
    </w:p>
  </w:footnote>
  <w:footnote w:type="continuationSeparator" w:id="0">
    <w:p w14:paraId="48B8239B" w14:textId="77777777" w:rsidR="005727EF" w:rsidRDefault="005727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673C0"/>
    <w:multiLevelType w:val="hybridMultilevel"/>
    <w:tmpl w:val="374CC6C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2B0527"/>
    <w:multiLevelType w:val="hybridMultilevel"/>
    <w:tmpl w:val="C7DAAF66"/>
    <w:lvl w:ilvl="0" w:tplc="211C70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134A8D"/>
    <w:multiLevelType w:val="hybridMultilevel"/>
    <w:tmpl w:val="737A7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EC650F"/>
    <w:multiLevelType w:val="hybridMultilevel"/>
    <w:tmpl w:val="111A653A"/>
    <w:lvl w:ilvl="0" w:tplc="901A98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2"/>
  </w:num>
  <w:num w:numId="2" w16cid:durableId="1189367096">
    <w:abstractNumId w:val="11"/>
  </w:num>
  <w:num w:numId="3" w16cid:durableId="522594147">
    <w:abstractNumId w:val="19"/>
  </w:num>
  <w:num w:numId="4" w16cid:durableId="1679189305">
    <w:abstractNumId w:val="14"/>
  </w:num>
  <w:num w:numId="5" w16cid:durableId="1356270182">
    <w:abstractNumId w:val="9"/>
  </w:num>
  <w:num w:numId="6" w16cid:durableId="493838803">
    <w:abstractNumId w:val="18"/>
  </w:num>
  <w:num w:numId="7" w16cid:durableId="1685862695">
    <w:abstractNumId w:val="3"/>
  </w:num>
  <w:num w:numId="8" w16cid:durableId="90704009">
    <w:abstractNumId w:val="17"/>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8"/>
  </w:num>
  <w:num w:numId="17" w16cid:durableId="801390225">
    <w:abstractNumId w:val="13"/>
  </w:num>
  <w:num w:numId="18" w16cid:durableId="16465060">
    <w:abstractNumId w:val="7"/>
  </w:num>
  <w:num w:numId="19" w16cid:durableId="319386399">
    <w:abstractNumId w:val="20"/>
  </w:num>
  <w:num w:numId="20" w16cid:durableId="618992291">
    <w:abstractNumId w:val="15"/>
  </w:num>
  <w:num w:numId="21" w16cid:durableId="1096444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CD4"/>
    <w:rsid w:val="000C061F"/>
    <w:rsid w:val="000D2F80"/>
    <w:rsid w:val="000E413A"/>
    <w:rsid w:val="000F5AA3"/>
    <w:rsid w:val="00100396"/>
    <w:rsid w:val="00100B5C"/>
    <w:rsid w:val="001106E9"/>
    <w:rsid w:val="00124CA5"/>
    <w:rsid w:val="00134F77"/>
    <w:rsid w:val="001363A5"/>
    <w:rsid w:val="00137024"/>
    <w:rsid w:val="00144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E5D"/>
    <w:rsid w:val="0022746E"/>
    <w:rsid w:val="00235F71"/>
    <w:rsid w:val="002444CA"/>
    <w:rsid w:val="00260DE6"/>
    <w:rsid w:val="00273FEE"/>
    <w:rsid w:val="0028084F"/>
    <w:rsid w:val="0028204E"/>
    <w:rsid w:val="00284B58"/>
    <w:rsid w:val="00284E11"/>
    <w:rsid w:val="0028591B"/>
    <w:rsid w:val="002878BF"/>
    <w:rsid w:val="00291841"/>
    <w:rsid w:val="002C449B"/>
    <w:rsid w:val="002C6040"/>
    <w:rsid w:val="002D5B3F"/>
    <w:rsid w:val="002E272E"/>
    <w:rsid w:val="002E7276"/>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65E6"/>
    <w:rsid w:val="00552351"/>
    <w:rsid w:val="00561F00"/>
    <w:rsid w:val="00562C4E"/>
    <w:rsid w:val="00562DEC"/>
    <w:rsid w:val="005727E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4F1"/>
    <w:rsid w:val="006A6DC3"/>
    <w:rsid w:val="006A6EE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492"/>
    <w:rsid w:val="009433C5"/>
    <w:rsid w:val="00965881"/>
    <w:rsid w:val="00982DA7"/>
    <w:rsid w:val="009871FF"/>
    <w:rsid w:val="00990799"/>
    <w:rsid w:val="00995D51"/>
    <w:rsid w:val="009A0631"/>
    <w:rsid w:val="009B10ED"/>
    <w:rsid w:val="009D3EA4"/>
    <w:rsid w:val="009D649C"/>
    <w:rsid w:val="009E4BC1"/>
    <w:rsid w:val="009F5CB2"/>
    <w:rsid w:val="00A03BB8"/>
    <w:rsid w:val="00A11CEB"/>
    <w:rsid w:val="00A16E98"/>
    <w:rsid w:val="00A342A4"/>
    <w:rsid w:val="00A3505D"/>
    <w:rsid w:val="00A4036F"/>
    <w:rsid w:val="00A406E5"/>
    <w:rsid w:val="00A423D0"/>
    <w:rsid w:val="00A4641C"/>
    <w:rsid w:val="00A55876"/>
    <w:rsid w:val="00A67FB1"/>
    <w:rsid w:val="00A8481B"/>
    <w:rsid w:val="00A85BFE"/>
    <w:rsid w:val="00AB6FE7"/>
    <w:rsid w:val="00AB7AD7"/>
    <w:rsid w:val="00AD2430"/>
    <w:rsid w:val="00AE41A6"/>
    <w:rsid w:val="00AF0E34"/>
    <w:rsid w:val="00AF271D"/>
    <w:rsid w:val="00AF2B4E"/>
    <w:rsid w:val="00AF56C2"/>
    <w:rsid w:val="00B004E6"/>
    <w:rsid w:val="00B01626"/>
    <w:rsid w:val="00B04086"/>
    <w:rsid w:val="00B0744D"/>
    <w:rsid w:val="00B50EA8"/>
    <w:rsid w:val="00B64082"/>
    <w:rsid w:val="00B72325"/>
    <w:rsid w:val="00B81AD3"/>
    <w:rsid w:val="00B829D8"/>
    <w:rsid w:val="00B84B5B"/>
    <w:rsid w:val="00B86446"/>
    <w:rsid w:val="00BA1176"/>
    <w:rsid w:val="00BA6C1C"/>
    <w:rsid w:val="00BE0B01"/>
    <w:rsid w:val="00BE79C7"/>
    <w:rsid w:val="00BF3CB5"/>
    <w:rsid w:val="00C01A3F"/>
    <w:rsid w:val="00C073F1"/>
    <w:rsid w:val="00C1285B"/>
    <w:rsid w:val="00C1361B"/>
    <w:rsid w:val="00C14E1F"/>
    <w:rsid w:val="00C1775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71FC"/>
    <w:rsid w:val="00DA0E87"/>
    <w:rsid w:val="00DA36EE"/>
    <w:rsid w:val="00DB116D"/>
    <w:rsid w:val="00DD17CC"/>
    <w:rsid w:val="00DE217A"/>
    <w:rsid w:val="00DE67C2"/>
    <w:rsid w:val="00DF321B"/>
    <w:rsid w:val="00E230E0"/>
    <w:rsid w:val="00E27F15"/>
    <w:rsid w:val="00E51AAC"/>
    <w:rsid w:val="00E66CC0"/>
    <w:rsid w:val="00E728A9"/>
    <w:rsid w:val="00E807D9"/>
    <w:rsid w:val="00E878C3"/>
    <w:rsid w:val="00EA0F4E"/>
    <w:rsid w:val="00EA295B"/>
    <w:rsid w:val="00EA3B9B"/>
    <w:rsid w:val="00EA6801"/>
    <w:rsid w:val="00EB4F96"/>
    <w:rsid w:val="00ED365D"/>
    <w:rsid w:val="00ED7072"/>
    <w:rsid w:val="00EE3132"/>
    <w:rsid w:val="00EE3D9D"/>
    <w:rsid w:val="00EE6F25"/>
    <w:rsid w:val="00F01403"/>
    <w:rsid w:val="00F02126"/>
    <w:rsid w:val="00F03D85"/>
    <w:rsid w:val="00F07C8C"/>
    <w:rsid w:val="00F249F1"/>
    <w:rsid w:val="00F25B9D"/>
    <w:rsid w:val="00F2664E"/>
    <w:rsid w:val="00F31163"/>
    <w:rsid w:val="00F311D9"/>
    <w:rsid w:val="00F31C04"/>
    <w:rsid w:val="00F3544E"/>
    <w:rsid w:val="00F442A7"/>
    <w:rsid w:val="00F57A89"/>
    <w:rsid w:val="00F61A20"/>
    <w:rsid w:val="00F63DD9"/>
    <w:rsid w:val="00F67644"/>
    <w:rsid w:val="00F71D16"/>
    <w:rsid w:val="00F8381F"/>
    <w:rsid w:val="00F847F3"/>
    <w:rsid w:val="00FA04CD"/>
    <w:rsid w:val="00FA25F5"/>
    <w:rsid w:val="00FA2810"/>
    <w:rsid w:val="00FA68F8"/>
    <w:rsid w:val="00FB1DC0"/>
    <w:rsid w:val="00FB3B4E"/>
    <w:rsid w:val="00FB4521"/>
    <w:rsid w:val="00FB4F84"/>
    <w:rsid w:val="00FB5CF8"/>
    <w:rsid w:val="00FE0B6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3382</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9</cp:revision>
  <cp:lastPrinted>2014-10-10T07:42:00Z</cp:lastPrinted>
  <dcterms:created xsi:type="dcterms:W3CDTF">2024-08-01T14:41:00Z</dcterms:created>
  <dcterms:modified xsi:type="dcterms:W3CDTF">2024-09-03T10:37:00Z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