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91376519"/>
        <w:docPartObj>
          <w:docPartGallery w:val="Cover Pages"/>
          <w:docPartUnique/>
        </w:docPartObj>
      </w:sdtPr>
      <w:sdtEndPr>
        <w:rPr>
          <w:rFonts w:ascii="Calibri" w:eastAsia="Times New Roman" w:hAnsi="Calibri" w:cs="Segoe UI"/>
          <w:lang w:eastAsia="en-GB"/>
        </w:rPr>
      </w:sdtEndPr>
      <w:sdtContent>
        <w:p w:rsidR="00D54D7B" w:rsidRDefault="00D54D7B" w:rsidP="000369E4">
          <w:pPr>
            <w:spacing w:line="360" w:lineRule="auto"/>
          </w:pPr>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B7674" w:rsidRDefault="005B7674">
                                  <w:pPr>
                                    <w:pStyle w:val="NoSpacing"/>
                                    <w:rPr>
                                      <w:color w:val="FFFFFF" w:themeColor="background1"/>
                                      <w:sz w:val="32"/>
                                      <w:szCs w:val="32"/>
                                    </w:rPr>
                                  </w:pPr>
                                  <w:r>
                                    <w:rPr>
                                      <w:color w:val="FFFFFF" w:themeColor="background1"/>
                                      <w:sz w:val="32"/>
                                      <w:szCs w:val="32"/>
                                    </w:rPr>
                                    <w:t>Student Number: 2005385</w:t>
                                  </w:r>
                                </w:p>
                                <w:p w:rsidR="005B7674" w:rsidRDefault="005B7674">
                                  <w:pPr>
                                    <w:pStyle w:val="NoSpacing"/>
                                    <w:rPr>
                                      <w:color w:val="FFFFFF" w:themeColor="background1"/>
                                      <w:sz w:val="32"/>
                                      <w:szCs w:val="32"/>
                                    </w:rPr>
                                  </w:pPr>
                                  <w:r>
                                    <w:rPr>
                                      <w:color w:val="FFFFFF" w:themeColor="background1"/>
                                      <w:sz w:val="32"/>
                                      <w:szCs w:val="32"/>
                                    </w:rPr>
                                    <w:t>Employment Law Module BMHR7003</w:t>
                                  </w:r>
                                </w:p>
                                <w:p w:rsidR="005B7674" w:rsidRDefault="005B7674">
                                  <w:pPr>
                                    <w:pStyle w:val="NoSpacing"/>
                                    <w:rPr>
                                      <w:color w:val="FFFFFF" w:themeColor="background1"/>
                                      <w:sz w:val="32"/>
                                      <w:szCs w:val="32"/>
                                    </w:rPr>
                                  </w:pPr>
                                  <w:r>
                                    <w:rPr>
                                      <w:color w:val="FFFFFF" w:themeColor="background1"/>
                                      <w:sz w:val="32"/>
                                      <w:szCs w:val="32"/>
                                    </w:rPr>
                                    <w:t>Word Count: 4,621</w:t>
                                  </w:r>
                                </w:p>
                                <w:p w:rsidR="005B7674" w:rsidRDefault="005B7674">
                                  <w:pPr>
                                    <w:pStyle w:val="NoSpacing"/>
                                    <w:rPr>
                                      <w:color w:val="FFFFFF" w:themeColor="background1"/>
                                      <w:sz w:val="32"/>
                                      <w:szCs w:val="32"/>
                                    </w:rPr>
                                  </w:pPr>
                                  <w:r>
                                    <w:rPr>
                                      <w:color w:val="FFFFFF" w:themeColor="background1"/>
                                      <w:sz w:val="32"/>
                                      <w:szCs w:val="32"/>
                                    </w:rPr>
                                    <w:t>University of Wales Trinity Saint David</w:t>
                                  </w:r>
                                </w:p>
                                <w:p w:rsidR="005B7674" w:rsidRDefault="005B767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5B7674" w:rsidRDefault="005B767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Employment Law</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5B7674" w:rsidRDefault="005B7674">
                                      <w:pPr>
                                        <w:pStyle w:val="NoSpacing"/>
                                        <w:spacing w:before="240"/>
                                        <w:rPr>
                                          <w:caps/>
                                          <w:color w:val="44546A" w:themeColor="text2"/>
                                          <w:sz w:val="36"/>
                                          <w:szCs w:val="36"/>
                                        </w:rPr>
                                      </w:pPr>
                                      <w:r>
                                        <w:rPr>
                                          <w:caps/>
                                          <w:color w:val="44546A" w:themeColor="text2"/>
                                          <w:sz w:val="36"/>
                                          <w:szCs w:val="36"/>
                                        </w:rPr>
                                        <w:t>aDVICE FOR BIG BUSES LIMITED</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rsidR="005B7674" w:rsidRDefault="005B7674">
                            <w:pPr>
                              <w:pStyle w:val="NoSpacing"/>
                              <w:rPr>
                                <w:color w:val="FFFFFF" w:themeColor="background1"/>
                                <w:sz w:val="32"/>
                                <w:szCs w:val="32"/>
                              </w:rPr>
                            </w:pPr>
                            <w:r>
                              <w:rPr>
                                <w:color w:val="FFFFFF" w:themeColor="background1"/>
                                <w:sz w:val="32"/>
                                <w:szCs w:val="32"/>
                              </w:rPr>
                              <w:t>Student Number: 2005385</w:t>
                            </w:r>
                          </w:p>
                          <w:p w:rsidR="005B7674" w:rsidRDefault="005B7674">
                            <w:pPr>
                              <w:pStyle w:val="NoSpacing"/>
                              <w:rPr>
                                <w:color w:val="FFFFFF" w:themeColor="background1"/>
                                <w:sz w:val="32"/>
                                <w:szCs w:val="32"/>
                              </w:rPr>
                            </w:pPr>
                            <w:r>
                              <w:rPr>
                                <w:color w:val="FFFFFF" w:themeColor="background1"/>
                                <w:sz w:val="32"/>
                                <w:szCs w:val="32"/>
                              </w:rPr>
                              <w:t>Employment Law Module BMHR7003</w:t>
                            </w:r>
                          </w:p>
                          <w:p w:rsidR="005B7674" w:rsidRDefault="005B7674">
                            <w:pPr>
                              <w:pStyle w:val="NoSpacing"/>
                              <w:rPr>
                                <w:color w:val="FFFFFF" w:themeColor="background1"/>
                                <w:sz w:val="32"/>
                                <w:szCs w:val="32"/>
                              </w:rPr>
                            </w:pPr>
                            <w:r>
                              <w:rPr>
                                <w:color w:val="FFFFFF" w:themeColor="background1"/>
                                <w:sz w:val="32"/>
                                <w:szCs w:val="32"/>
                              </w:rPr>
                              <w:t>Word Count: 4,621</w:t>
                            </w:r>
                          </w:p>
                          <w:p w:rsidR="005B7674" w:rsidRDefault="005B7674">
                            <w:pPr>
                              <w:pStyle w:val="NoSpacing"/>
                              <w:rPr>
                                <w:color w:val="FFFFFF" w:themeColor="background1"/>
                                <w:sz w:val="32"/>
                                <w:szCs w:val="32"/>
                              </w:rPr>
                            </w:pPr>
                            <w:r>
                              <w:rPr>
                                <w:color w:val="FFFFFF" w:themeColor="background1"/>
                                <w:sz w:val="32"/>
                                <w:szCs w:val="32"/>
                              </w:rPr>
                              <w:t>University of Wales Trinity Saint David</w:t>
                            </w:r>
                          </w:p>
                          <w:p w:rsidR="005B7674" w:rsidRDefault="005B7674">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5B7674" w:rsidRDefault="005B767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Employment Law</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5B7674" w:rsidRDefault="005B7674">
                                <w:pPr>
                                  <w:pStyle w:val="NoSpacing"/>
                                  <w:spacing w:before="240"/>
                                  <w:rPr>
                                    <w:caps/>
                                    <w:color w:val="44546A" w:themeColor="text2"/>
                                    <w:sz w:val="36"/>
                                    <w:szCs w:val="36"/>
                                  </w:rPr>
                                </w:pPr>
                                <w:r>
                                  <w:rPr>
                                    <w:caps/>
                                    <w:color w:val="44546A" w:themeColor="text2"/>
                                    <w:sz w:val="36"/>
                                    <w:szCs w:val="36"/>
                                  </w:rPr>
                                  <w:t>aDVICE FOR BIG BUSES LIMITED</w:t>
                                </w:r>
                              </w:p>
                            </w:sdtContent>
                          </w:sdt>
                        </w:txbxContent>
                      </v:textbox>
                    </v:shape>
                    <w10:wrap anchorx="page" anchory="page"/>
                  </v:group>
                </w:pict>
              </mc:Fallback>
            </mc:AlternateContent>
          </w:r>
        </w:p>
        <w:p w:rsidR="00D54D7B" w:rsidRDefault="00D54D7B" w:rsidP="000369E4">
          <w:pPr>
            <w:spacing w:line="360" w:lineRule="auto"/>
            <w:rPr>
              <w:rFonts w:ascii="Calibri" w:eastAsia="Times New Roman" w:hAnsi="Calibri" w:cs="Segoe UI"/>
              <w:lang w:eastAsia="en-GB"/>
            </w:rPr>
          </w:pPr>
          <w:r>
            <w:rPr>
              <w:rFonts w:ascii="Calibri" w:eastAsia="Times New Roman" w:hAnsi="Calibri" w:cs="Segoe UI"/>
              <w:lang w:eastAsia="en-GB"/>
            </w:rPr>
            <w:br w:type="page"/>
          </w:r>
        </w:p>
      </w:sdtContent>
    </w:sdt>
    <w:sdt>
      <w:sdtPr>
        <w:rPr>
          <w:rFonts w:ascii="Arial" w:eastAsiaTheme="minorHAnsi" w:hAnsi="Arial" w:cs="Arial"/>
          <w:color w:val="auto"/>
          <w:sz w:val="24"/>
          <w:szCs w:val="24"/>
          <w:lang w:val="en-GB"/>
        </w:rPr>
        <w:id w:val="-1518383235"/>
        <w:docPartObj>
          <w:docPartGallery w:val="Table of Contents"/>
          <w:docPartUnique/>
        </w:docPartObj>
      </w:sdtPr>
      <w:sdtEndPr>
        <w:rPr>
          <w:b/>
          <w:bCs/>
          <w:noProof/>
        </w:rPr>
      </w:sdtEndPr>
      <w:sdtContent>
        <w:p w:rsidR="00FF2A84" w:rsidRPr="00FF2A84" w:rsidRDefault="00FF2A84" w:rsidP="000369E4">
          <w:pPr>
            <w:pStyle w:val="TOCHeading"/>
            <w:spacing w:line="360" w:lineRule="auto"/>
            <w:rPr>
              <w:rFonts w:ascii="Arial" w:hAnsi="Arial" w:cs="Arial"/>
              <w:sz w:val="24"/>
              <w:szCs w:val="24"/>
            </w:rPr>
          </w:pPr>
          <w:r w:rsidRPr="00FF2A84">
            <w:rPr>
              <w:rFonts w:ascii="Arial" w:hAnsi="Arial" w:cs="Arial"/>
              <w:sz w:val="24"/>
              <w:szCs w:val="24"/>
            </w:rPr>
            <w:t>Contents</w:t>
          </w:r>
        </w:p>
        <w:p w:rsidR="00AB0EEF" w:rsidRDefault="00FF2A84">
          <w:pPr>
            <w:pStyle w:val="TOC1"/>
            <w:tabs>
              <w:tab w:val="right" w:leader="dot" w:pos="9016"/>
            </w:tabs>
            <w:rPr>
              <w:rFonts w:eastAsiaTheme="minorEastAsia"/>
              <w:noProof/>
              <w:lang w:eastAsia="en-GB"/>
            </w:rPr>
          </w:pPr>
          <w:r w:rsidRPr="00FF2A84">
            <w:rPr>
              <w:rFonts w:ascii="Arial" w:hAnsi="Arial" w:cs="Arial"/>
              <w:sz w:val="24"/>
              <w:szCs w:val="24"/>
            </w:rPr>
            <w:fldChar w:fldCharType="begin"/>
          </w:r>
          <w:r w:rsidRPr="00FF2A84">
            <w:rPr>
              <w:rFonts w:ascii="Arial" w:hAnsi="Arial" w:cs="Arial"/>
              <w:sz w:val="24"/>
              <w:szCs w:val="24"/>
            </w:rPr>
            <w:instrText xml:space="preserve"> TOC \o "1-3" \h \z \u </w:instrText>
          </w:r>
          <w:r w:rsidRPr="00FF2A84">
            <w:rPr>
              <w:rFonts w:ascii="Arial" w:hAnsi="Arial" w:cs="Arial"/>
              <w:sz w:val="24"/>
              <w:szCs w:val="24"/>
            </w:rPr>
            <w:fldChar w:fldCharType="separate"/>
          </w:r>
          <w:hyperlink w:anchor="_Toc71489201" w:history="1">
            <w:r w:rsidR="00AB0EEF" w:rsidRPr="00526656">
              <w:rPr>
                <w:rStyle w:val="Hyperlink"/>
                <w:rFonts w:ascii="Arial" w:hAnsi="Arial" w:cs="Arial"/>
                <w:noProof/>
              </w:rPr>
              <w:t>Section A</w:t>
            </w:r>
            <w:r w:rsidR="00AB0EEF">
              <w:rPr>
                <w:noProof/>
                <w:webHidden/>
              </w:rPr>
              <w:tab/>
            </w:r>
            <w:r w:rsidR="00AB0EEF">
              <w:rPr>
                <w:noProof/>
                <w:webHidden/>
              </w:rPr>
              <w:fldChar w:fldCharType="begin"/>
            </w:r>
            <w:r w:rsidR="00AB0EEF">
              <w:rPr>
                <w:noProof/>
                <w:webHidden/>
              </w:rPr>
              <w:instrText xml:space="preserve"> PAGEREF _Toc71489201 \h </w:instrText>
            </w:r>
            <w:r w:rsidR="00AB0EEF">
              <w:rPr>
                <w:noProof/>
                <w:webHidden/>
              </w:rPr>
            </w:r>
            <w:r w:rsidR="00AB0EEF">
              <w:rPr>
                <w:noProof/>
                <w:webHidden/>
              </w:rPr>
              <w:fldChar w:fldCharType="separate"/>
            </w:r>
            <w:r w:rsidR="00AB0EEF">
              <w:rPr>
                <w:noProof/>
                <w:webHidden/>
              </w:rPr>
              <w:t>1</w:t>
            </w:r>
            <w:r w:rsidR="00AB0EEF">
              <w:rPr>
                <w:noProof/>
                <w:webHidden/>
              </w:rPr>
              <w:fldChar w:fldCharType="end"/>
            </w:r>
          </w:hyperlink>
        </w:p>
        <w:p w:rsidR="00AB0EEF" w:rsidRDefault="0058233D">
          <w:pPr>
            <w:pStyle w:val="TOC2"/>
            <w:tabs>
              <w:tab w:val="right" w:leader="dot" w:pos="9016"/>
            </w:tabs>
            <w:rPr>
              <w:rFonts w:eastAsiaTheme="minorEastAsia"/>
              <w:noProof/>
              <w:lang w:eastAsia="en-GB"/>
            </w:rPr>
          </w:pPr>
          <w:hyperlink w:anchor="_Toc71489202" w:history="1">
            <w:r w:rsidR="00AB0EEF" w:rsidRPr="00526656">
              <w:rPr>
                <w:rStyle w:val="Hyperlink"/>
                <w:rFonts w:ascii="Arial" w:hAnsi="Arial" w:cs="Arial"/>
                <w:noProof/>
              </w:rPr>
              <w:t>1.1</w:t>
            </w:r>
            <w:r w:rsidR="00AB0EEF">
              <w:rPr>
                <w:noProof/>
                <w:webHidden/>
              </w:rPr>
              <w:tab/>
            </w:r>
            <w:r w:rsidR="00AB0EEF">
              <w:rPr>
                <w:noProof/>
                <w:webHidden/>
              </w:rPr>
              <w:fldChar w:fldCharType="begin"/>
            </w:r>
            <w:r w:rsidR="00AB0EEF">
              <w:rPr>
                <w:noProof/>
                <w:webHidden/>
              </w:rPr>
              <w:instrText xml:space="preserve"> PAGEREF _Toc71489202 \h </w:instrText>
            </w:r>
            <w:r w:rsidR="00AB0EEF">
              <w:rPr>
                <w:noProof/>
                <w:webHidden/>
              </w:rPr>
            </w:r>
            <w:r w:rsidR="00AB0EEF">
              <w:rPr>
                <w:noProof/>
                <w:webHidden/>
              </w:rPr>
              <w:fldChar w:fldCharType="separate"/>
            </w:r>
            <w:r w:rsidR="00AB0EEF">
              <w:rPr>
                <w:noProof/>
                <w:webHidden/>
              </w:rPr>
              <w:t>2</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03" w:history="1">
            <w:r w:rsidR="00AB0EEF" w:rsidRPr="00526656">
              <w:rPr>
                <w:rStyle w:val="Hyperlink"/>
                <w:rFonts w:ascii="Arial" w:hAnsi="Arial" w:cs="Arial"/>
                <w:noProof/>
              </w:rPr>
              <w:t>Process and timescales for an Employment Tribunal</w:t>
            </w:r>
            <w:r w:rsidR="00AB0EEF">
              <w:rPr>
                <w:noProof/>
                <w:webHidden/>
              </w:rPr>
              <w:tab/>
            </w:r>
            <w:r w:rsidR="00AB0EEF">
              <w:rPr>
                <w:noProof/>
                <w:webHidden/>
              </w:rPr>
              <w:fldChar w:fldCharType="begin"/>
            </w:r>
            <w:r w:rsidR="00AB0EEF">
              <w:rPr>
                <w:noProof/>
                <w:webHidden/>
              </w:rPr>
              <w:instrText xml:space="preserve"> PAGEREF _Toc71489203 \h </w:instrText>
            </w:r>
            <w:r w:rsidR="00AB0EEF">
              <w:rPr>
                <w:noProof/>
                <w:webHidden/>
              </w:rPr>
            </w:r>
            <w:r w:rsidR="00AB0EEF">
              <w:rPr>
                <w:noProof/>
                <w:webHidden/>
              </w:rPr>
              <w:fldChar w:fldCharType="separate"/>
            </w:r>
            <w:r w:rsidR="00AB0EEF">
              <w:rPr>
                <w:noProof/>
                <w:webHidden/>
              </w:rPr>
              <w:t>2</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04" w:history="1">
            <w:r w:rsidR="00AB0EEF" w:rsidRPr="00526656">
              <w:rPr>
                <w:rStyle w:val="Hyperlink"/>
                <w:rFonts w:ascii="Arial" w:hAnsi="Arial" w:cs="Arial"/>
                <w:noProof/>
              </w:rPr>
              <w:t>Details of the grounds for the claims being made</w:t>
            </w:r>
            <w:r w:rsidR="00AB0EEF">
              <w:rPr>
                <w:noProof/>
                <w:webHidden/>
              </w:rPr>
              <w:tab/>
            </w:r>
            <w:r w:rsidR="00AB0EEF">
              <w:rPr>
                <w:noProof/>
                <w:webHidden/>
              </w:rPr>
              <w:fldChar w:fldCharType="begin"/>
            </w:r>
            <w:r w:rsidR="00AB0EEF">
              <w:rPr>
                <w:noProof/>
                <w:webHidden/>
              </w:rPr>
              <w:instrText xml:space="preserve"> PAGEREF _Toc71489204 \h </w:instrText>
            </w:r>
            <w:r w:rsidR="00AB0EEF">
              <w:rPr>
                <w:noProof/>
                <w:webHidden/>
              </w:rPr>
            </w:r>
            <w:r w:rsidR="00AB0EEF">
              <w:rPr>
                <w:noProof/>
                <w:webHidden/>
              </w:rPr>
              <w:fldChar w:fldCharType="separate"/>
            </w:r>
            <w:r w:rsidR="00AB0EEF">
              <w:rPr>
                <w:noProof/>
                <w:webHidden/>
              </w:rPr>
              <w:t>2</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05" w:history="1">
            <w:r w:rsidR="00AB0EEF" w:rsidRPr="00526656">
              <w:rPr>
                <w:rStyle w:val="Hyperlink"/>
                <w:rFonts w:ascii="Arial" w:hAnsi="Arial" w:cs="Arial"/>
                <w:noProof/>
              </w:rPr>
              <w:t>Defences</w:t>
            </w:r>
            <w:r w:rsidR="00AB0EEF">
              <w:rPr>
                <w:noProof/>
                <w:webHidden/>
              </w:rPr>
              <w:tab/>
            </w:r>
            <w:r w:rsidR="00AB0EEF">
              <w:rPr>
                <w:noProof/>
                <w:webHidden/>
              </w:rPr>
              <w:fldChar w:fldCharType="begin"/>
            </w:r>
            <w:r w:rsidR="00AB0EEF">
              <w:rPr>
                <w:noProof/>
                <w:webHidden/>
              </w:rPr>
              <w:instrText xml:space="preserve"> PAGEREF _Toc71489205 \h </w:instrText>
            </w:r>
            <w:r w:rsidR="00AB0EEF">
              <w:rPr>
                <w:noProof/>
                <w:webHidden/>
              </w:rPr>
            </w:r>
            <w:r w:rsidR="00AB0EEF">
              <w:rPr>
                <w:noProof/>
                <w:webHidden/>
              </w:rPr>
              <w:fldChar w:fldCharType="separate"/>
            </w:r>
            <w:r w:rsidR="00AB0EEF">
              <w:rPr>
                <w:noProof/>
                <w:webHidden/>
              </w:rPr>
              <w:t>5</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06" w:history="1">
            <w:r w:rsidR="00AB0EEF" w:rsidRPr="00526656">
              <w:rPr>
                <w:rStyle w:val="Hyperlink"/>
                <w:rFonts w:ascii="Arial" w:hAnsi="Arial" w:cs="Arial"/>
                <w:noProof/>
              </w:rPr>
              <w:t>Strengths and weaknesses</w:t>
            </w:r>
            <w:r w:rsidR="00AB0EEF">
              <w:rPr>
                <w:noProof/>
                <w:webHidden/>
              </w:rPr>
              <w:tab/>
            </w:r>
            <w:r w:rsidR="00AB0EEF">
              <w:rPr>
                <w:noProof/>
                <w:webHidden/>
              </w:rPr>
              <w:fldChar w:fldCharType="begin"/>
            </w:r>
            <w:r w:rsidR="00AB0EEF">
              <w:rPr>
                <w:noProof/>
                <w:webHidden/>
              </w:rPr>
              <w:instrText xml:space="preserve"> PAGEREF _Toc71489206 \h </w:instrText>
            </w:r>
            <w:r w:rsidR="00AB0EEF">
              <w:rPr>
                <w:noProof/>
                <w:webHidden/>
              </w:rPr>
            </w:r>
            <w:r w:rsidR="00AB0EEF">
              <w:rPr>
                <w:noProof/>
                <w:webHidden/>
              </w:rPr>
              <w:fldChar w:fldCharType="separate"/>
            </w:r>
            <w:r w:rsidR="00AB0EEF">
              <w:rPr>
                <w:noProof/>
                <w:webHidden/>
              </w:rPr>
              <w:t>7</w:t>
            </w:r>
            <w:r w:rsidR="00AB0EEF">
              <w:rPr>
                <w:noProof/>
                <w:webHidden/>
              </w:rPr>
              <w:fldChar w:fldCharType="end"/>
            </w:r>
          </w:hyperlink>
        </w:p>
        <w:p w:rsidR="00AB0EEF" w:rsidRDefault="0058233D">
          <w:pPr>
            <w:pStyle w:val="TOC2"/>
            <w:tabs>
              <w:tab w:val="right" w:leader="dot" w:pos="9016"/>
            </w:tabs>
            <w:rPr>
              <w:rFonts w:eastAsiaTheme="minorEastAsia"/>
              <w:noProof/>
              <w:lang w:eastAsia="en-GB"/>
            </w:rPr>
          </w:pPr>
          <w:hyperlink w:anchor="_Toc71489207" w:history="1">
            <w:r w:rsidR="00AB0EEF" w:rsidRPr="00526656">
              <w:rPr>
                <w:rStyle w:val="Hyperlink"/>
                <w:rFonts w:ascii="Arial" w:hAnsi="Arial" w:cs="Arial"/>
                <w:noProof/>
              </w:rPr>
              <w:t>1.2</w:t>
            </w:r>
            <w:r w:rsidR="00AB0EEF">
              <w:rPr>
                <w:noProof/>
                <w:webHidden/>
              </w:rPr>
              <w:tab/>
            </w:r>
            <w:r w:rsidR="00AB0EEF">
              <w:rPr>
                <w:noProof/>
                <w:webHidden/>
              </w:rPr>
              <w:fldChar w:fldCharType="begin"/>
            </w:r>
            <w:r w:rsidR="00AB0EEF">
              <w:rPr>
                <w:noProof/>
                <w:webHidden/>
              </w:rPr>
              <w:instrText xml:space="preserve"> PAGEREF _Toc71489207 \h </w:instrText>
            </w:r>
            <w:r w:rsidR="00AB0EEF">
              <w:rPr>
                <w:noProof/>
                <w:webHidden/>
              </w:rPr>
            </w:r>
            <w:r w:rsidR="00AB0EEF">
              <w:rPr>
                <w:noProof/>
                <w:webHidden/>
              </w:rPr>
              <w:fldChar w:fldCharType="separate"/>
            </w:r>
            <w:r w:rsidR="00AB0EEF">
              <w:rPr>
                <w:noProof/>
                <w:webHidden/>
              </w:rPr>
              <w:t>8</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08" w:history="1">
            <w:r w:rsidR="00AB0EEF" w:rsidRPr="00526656">
              <w:rPr>
                <w:rStyle w:val="Hyperlink"/>
                <w:rFonts w:ascii="Arial" w:hAnsi="Arial" w:cs="Arial"/>
                <w:noProof/>
              </w:rPr>
              <w:t>Remedies</w:t>
            </w:r>
            <w:r w:rsidR="00AB0EEF">
              <w:rPr>
                <w:noProof/>
                <w:webHidden/>
              </w:rPr>
              <w:tab/>
            </w:r>
            <w:r w:rsidR="00AB0EEF">
              <w:rPr>
                <w:noProof/>
                <w:webHidden/>
              </w:rPr>
              <w:fldChar w:fldCharType="begin"/>
            </w:r>
            <w:r w:rsidR="00AB0EEF">
              <w:rPr>
                <w:noProof/>
                <w:webHidden/>
              </w:rPr>
              <w:instrText xml:space="preserve"> PAGEREF _Toc71489208 \h </w:instrText>
            </w:r>
            <w:r w:rsidR="00AB0EEF">
              <w:rPr>
                <w:noProof/>
                <w:webHidden/>
              </w:rPr>
            </w:r>
            <w:r w:rsidR="00AB0EEF">
              <w:rPr>
                <w:noProof/>
                <w:webHidden/>
              </w:rPr>
              <w:fldChar w:fldCharType="separate"/>
            </w:r>
            <w:r w:rsidR="00AB0EEF">
              <w:rPr>
                <w:noProof/>
                <w:webHidden/>
              </w:rPr>
              <w:t>8</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09" w:history="1">
            <w:r w:rsidR="00AB0EEF" w:rsidRPr="00526656">
              <w:rPr>
                <w:rStyle w:val="Hyperlink"/>
                <w:rFonts w:ascii="Arial" w:hAnsi="Arial" w:cs="Arial"/>
                <w:noProof/>
              </w:rPr>
              <w:t>Financial elements</w:t>
            </w:r>
            <w:r w:rsidR="00AB0EEF">
              <w:rPr>
                <w:noProof/>
                <w:webHidden/>
              </w:rPr>
              <w:tab/>
            </w:r>
            <w:r w:rsidR="00AB0EEF">
              <w:rPr>
                <w:noProof/>
                <w:webHidden/>
              </w:rPr>
              <w:fldChar w:fldCharType="begin"/>
            </w:r>
            <w:r w:rsidR="00AB0EEF">
              <w:rPr>
                <w:noProof/>
                <w:webHidden/>
              </w:rPr>
              <w:instrText xml:space="preserve"> PAGEREF _Toc71489209 \h </w:instrText>
            </w:r>
            <w:r w:rsidR="00AB0EEF">
              <w:rPr>
                <w:noProof/>
                <w:webHidden/>
              </w:rPr>
            </w:r>
            <w:r w:rsidR="00AB0EEF">
              <w:rPr>
                <w:noProof/>
                <w:webHidden/>
              </w:rPr>
              <w:fldChar w:fldCharType="separate"/>
            </w:r>
            <w:r w:rsidR="00AB0EEF">
              <w:rPr>
                <w:noProof/>
                <w:webHidden/>
              </w:rPr>
              <w:t>9</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10" w:history="1">
            <w:r w:rsidR="00AB0EEF" w:rsidRPr="00526656">
              <w:rPr>
                <w:rStyle w:val="Hyperlink"/>
                <w:rFonts w:ascii="Arial" w:hAnsi="Arial" w:cs="Arial"/>
                <w:noProof/>
              </w:rPr>
              <w:t>Basic award</w:t>
            </w:r>
            <w:r w:rsidR="00AB0EEF">
              <w:rPr>
                <w:noProof/>
                <w:webHidden/>
              </w:rPr>
              <w:tab/>
            </w:r>
            <w:r w:rsidR="00AB0EEF">
              <w:rPr>
                <w:noProof/>
                <w:webHidden/>
              </w:rPr>
              <w:fldChar w:fldCharType="begin"/>
            </w:r>
            <w:r w:rsidR="00AB0EEF">
              <w:rPr>
                <w:noProof/>
                <w:webHidden/>
              </w:rPr>
              <w:instrText xml:space="preserve"> PAGEREF _Toc71489210 \h </w:instrText>
            </w:r>
            <w:r w:rsidR="00AB0EEF">
              <w:rPr>
                <w:noProof/>
                <w:webHidden/>
              </w:rPr>
            </w:r>
            <w:r w:rsidR="00AB0EEF">
              <w:rPr>
                <w:noProof/>
                <w:webHidden/>
              </w:rPr>
              <w:fldChar w:fldCharType="separate"/>
            </w:r>
            <w:r w:rsidR="00AB0EEF">
              <w:rPr>
                <w:noProof/>
                <w:webHidden/>
              </w:rPr>
              <w:t>9</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11" w:history="1">
            <w:r w:rsidR="00AB0EEF" w:rsidRPr="00526656">
              <w:rPr>
                <w:rStyle w:val="Hyperlink"/>
                <w:rFonts w:ascii="Arial" w:hAnsi="Arial" w:cs="Arial"/>
                <w:noProof/>
              </w:rPr>
              <w:t>Increase or reduce the financial claims</w:t>
            </w:r>
            <w:r w:rsidR="00AB0EEF">
              <w:rPr>
                <w:noProof/>
                <w:webHidden/>
              </w:rPr>
              <w:tab/>
            </w:r>
            <w:r w:rsidR="00AB0EEF">
              <w:rPr>
                <w:noProof/>
                <w:webHidden/>
              </w:rPr>
              <w:fldChar w:fldCharType="begin"/>
            </w:r>
            <w:r w:rsidR="00AB0EEF">
              <w:rPr>
                <w:noProof/>
                <w:webHidden/>
              </w:rPr>
              <w:instrText xml:space="preserve"> PAGEREF _Toc71489211 \h </w:instrText>
            </w:r>
            <w:r w:rsidR="00AB0EEF">
              <w:rPr>
                <w:noProof/>
                <w:webHidden/>
              </w:rPr>
            </w:r>
            <w:r w:rsidR="00AB0EEF">
              <w:rPr>
                <w:noProof/>
                <w:webHidden/>
              </w:rPr>
              <w:fldChar w:fldCharType="separate"/>
            </w:r>
            <w:r w:rsidR="00AB0EEF">
              <w:rPr>
                <w:noProof/>
                <w:webHidden/>
              </w:rPr>
              <w:t>9</w:t>
            </w:r>
            <w:r w:rsidR="00AB0EEF">
              <w:rPr>
                <w:noProof/>
                <w:webHidden/>
              </w:rPr>
              <w:fldChar w:fldCharType="end"/>
            </w:r>
          </w:hyperlink>
        </w:p>
        <w:p w:rsidR="00AB0EEF" w:rsidRDefault="0058233D">
          <w:pPr>
            <w:pStyle w:val="TOC3"/>
            <w:tabs>
              <w:tab w:val="right" w:leader="dot" w:pos="9016"/>
            </w:tabs>
            <w:rPr>
              <w:rFonts w:eastAsiaTheme="minorEastAsia"/>
              <w:noProof/>
              <w:lang w:eastAsia="en-GB"/>
            </w:rPr>
          </w:pPr>
          <w:hyperlink w:anchor="_Toc71489212" w:history="1">
            <w:r w:rsidR="00AB0EEF" w:rsidRPr="00526656">
              <w:rPr>
                <w:rStyle w:val="Hyperlink"/>
                <w:rFonts w:ascii="Arial" w:hAnsi="Arial" w:cs="Arial"/>
                <w:noProof/>
              </w:rPr>
              <w:t>Recommendation</w:t>
            </w:r>
            <w:r w:rsidR="00AB0EEF">
              <w:rPr>
                <w:noProof/>
                <w:webHidden/>
              </w:rPr>
              <w:tab/>
            </w:r>
            <w:r w:rsidR="00AB0EEF">
              <w:rPr>
                <w:noProof/>
                <w:webHidden/>
              </w:rPr>
              <w:fldChar w:fldCharType="begin"/>
            </w:r>
            <w:r w:rsidR="00AB0EEF">
              <w:rPr>
                <w:noProof/>
                <w:webHidden/>
              </w:rPr>
              <w:instrText xml:space="preserve"> PAGEREF _Toc71489212 \h </w:instrText>
            </w:r>
            <w:r w:rsidR="00AB0EEF">
              <w:rPr>
                <w:noProof/>
                <w:webHidden/>
              </w:rPr>
            </w:r>
            <w:r w:rsidR="00AB0EEF">
              <w:rPr>
                <w:noProof/>
                <w:webHidden/>
              </w:rPr>
              <w:fldChar w:fldCharType="separate"/>
            </w:r>
            <w:r w:rsidR="00AB0EEF">
              <w:rPr>
                <w:noProof/>
                <w:webHidden/>
              </w:rPr>
              <w:t>10</w:t>
            </w:r>
            <w:r w:rsidR="00AB0EEF">
              <w:rPr>
                <w:noProof/>
                <w:webHidden/>
              </w:rPr>
              <w:fldChar w:fldCharType="end"/>
            </w:r>
          </w:hyperlink>
        </w:p>
        <w:p w:rsidR="00AB0EEF" w:rsidRDefault="0058233D">
          <w:pPr>
            <w:pStyle w:val="TOC1"/>
            <w:tabs>
              <w:tab w:val="right" w:leader="dot" w:pos="9016"/>
            </w:tabs>
            <w:rPr>
              <w:rFonts w:eastAsiaTheme="minorEastAsia"/>
              <w:noProof/>
              <w:lang w:eastAsia="en-GB"/>
            </w:rPr>
          </w:pPr>
          <w:hyperlink w:anchor="_Toc71489213" w:history="1">
            <w:r w:rsidR="00AB0EEF" w:rsidRPr="00526656">
              <w:rPr>
                <w:rStyle w:val="Hyperlink"/>
                <w:rFonts w:ascii="Arial" w:hAnsi="Arial" w:cs="Arial"/>
                <w:noProof/>
              </w:rPr>
              <w:t>Section 2</w:t>
            </w:r>
            <w:r w:rsidR="00AB0EEF">
              <w:rPr>
                <w:noProof/>
                <w:webHidden/>
              </w:rPr>
              <w:tab/>
            </w:r>
            <w:r w:rsidR="00AB0EEF">
              <w:rPr>
                <w:noProof/>
                <w:webHidden/>
              </w:rPr>
              <w:fldChar w:fldCharType="begin"/>
            </w:r>
            <w:r w:rsidR="00AB0EEF">
              <w:rPr>
                <w:noProof/>
                <w:webHidden/>
              </w:rPr>
              <w:instrText xml:space="preserve"> PAGEREF _Toc71489213 \h </w:instrText>
            </w:r>
            <w:r w:rsidR="00AB0EEF">
              <w:rPr>
                <w:noProof/>
                <w:webHidden/>
              </w:rPr>
            </w:r>
            <w:r w:rsidR="00AB0EEF">
              <w:rPr>
                <w:noProof/>
                <w:webHidden/>
              </w:rPr>
              <w:fldChar w:fldCharType="separate"/>
            </w:r>
            <w:r w:rsidR="00AB0EEF">
              <w:rPr>
                <w:noProof/>
                <w:webHidden/>
              </w:rPr>
              <w:t>11</w:t>
            </w:r>
            <w:r w:rsidR="00AB0EEF">
              <w:rPr>
                <w:noProof/>
                <w:webHidden/>
              </w:rPr>
              <w:fldChar w:fldCharType="end"/>
            </w:r>
          </w:hyperlink>
        </w:p>
        <w:p w:rsidR="00AB0EEF" w:rsidRDefault="0058233D">
          <w:pPr>
            <w:pStyle w:val="TOC2"/>
            <w:tabs>
              <w:tab w:val="right" w:leader="dot" w:pos="9016"/>
            </w:tabs>
            <w:rPr>
              <w:rFonts w:eastAsiaTheme="minorEastAsia"/>
              <w:noProof/>
              <w:lang w:eastAsia="en-GB"/>
            </w:rPr>
          </w:pPr>
          <w:hyperlink w:anchor="_Toc71489214" w:history="1">
            <w:r w:rsidR="00AB0EEF" w:rsidRPr="00526656">
              <w:rPr>
                <w:rStyle w:val="Hyperlink"/>
                <w:rFonts w:ascii="Arial" w:hAnsi="Arial" w:cs="Arial"/>
                <w:noProof/>
              </w:rPr>
              <w:t>2.1 Julie Davies</w:t>
            </w:r>
            <w:r w:rsidR="00AB0EEF">
              <w:rPr>
                <w:noProof/>
                <w:webHidden/>
              </w:rPr>
              <w:tab/>
            </w:r>
            <w:r w:rsidR="00AB0EEF">
              <w:rPr>
                <w:noProof/>
                <w:webHidden/>
              </w:rPr>
              <w:fldChar w:fldCharType="begin"/>
            </w:r>
            <w:r w:rsidR="00AB0EEF">
              <w:rPr>
                <w:noProof/>
                <w:webHidden/>
              </w:rPr>
              <w:instrText xml:space="preserve"> PAGEREF _Toc71489214 \h </w:instrText>
            </w:r>
            <w:r w:rsidR="00AB0EEF">
              <w:rPr>
                <w:noProof/>
                <w:webHidden/>
              </w:rPr>
            </w:r>
            <w:r w:rsidR="00AB0EEF">
              <w:rPr>
                <w:noProof/>
                <w:webHidden/>
              </w:rPr>
              <w:fldChar w:fldCharType="separate"/>
            </w:r>
            <w:r w:rsidR="00AB0EEF">
              <w:rPr>
                <w:noProof/>
                <w:webHidden/>
              </w:rPr>
              <w:t>11</w:t>
            </w:r>
            <w:r w:rsidR="00AB0EEF">
              <w:rPr>
                <w:noProof/>
                <w:webHidden/>
              </w:rPr>
              <w:fldChar w:fldCharType="end"/>
            </w:r>
          </w:hyperlink>
        </w:p>
        <w:p w:rsidR="00AB0EEF" w:rsidRDefault="0058233D">
          <w:pPr>
            <w:pStyle w:val="TOC2"/>
            <w:tabs>
              <w:tab w:val="right" w:leader="dot" w:pos="9016"/>
            </w:tabs>
            <w:rPr>
              <w:rFonts w:eastAsiaTheme="minorEastAsia"/>
              <w:noProof/>
              <w:lang w:eastAsia="en-GB"/>
            </w:rPr>
          </w:pPr>
          <w:hyperlink w:anchor="_Toc71489215" w:history="1">
            <w:r w:rsidR="00AB0EEF" w:rsidRPr="00526656">
              <w:rPr>
                <w:rStyle w:val="Hyperlink"/>
                <w:rFonts w:ascii="Arial" w:hAnsi="Arial" w:cs="Arial"/>
                <w:noProof/>
              </w:rPr>
              <w:t>2.2 Lucy Bell</w:t>
            </w:r>
            <w:r w:rsidR="00AB0EEF">
              <w:rPr>
                <w:noProof/>
                <w:webHidden/>
              </w:rPr>
              <w:tab/>
            </w:r>
            <w:r w:rsidR="00AB0EEF">
              <w:rPr>
                <w:noProof/>
                <w:webHidden/>
              </w:rPr>
              <w:fldChar w:fldCharType="begin"/>
            </w:r>
            <w:r w:rsidR="00AB0EEF">
              <w:rPr>
                <w:noProof/>
                <w:webHidden/>
              </w:rPr>
              <w:instrText xml:space="preserve"> PAGEREF _Toc71489215 \h </w:instrText>
            </w:r>
            <w:r w:rsidR="00AB0EEF">
              <w:rPr>
                <w:noProof/>
                <w:webHidden/>
              </w:rPr>
            </w:r>
            <w:r w:rsidR="00AB0EEF">
              <w:rPr>
                <w:noProof/>
                <w:webHidden/>
              </w:rPr>
              <w:fldChar w:fldCharType="separate"/>
            </w:r>
            <w:r w:rsidR="00AB0EEF">
              <w:rPr>
                <w:noProof/>
                <w:webHidden/>
              </w:rPr>
              <w:t>14</w:t>
            </w:r>
            <w:r w:rsidR="00AB0EEF">
              <w:rPr>
                <w:noProof/>
                <w:webHidden/>
              </w:rPr>
              <w:fldChar w:fldCharType="end"/>
            </w:r>
          </w:hyperlink>
        </w:p>
        <w:p w:rsidR="00AB0EEF" w:rsidRDefault="0058233D">
          <w:pPr>
            <w:pStyle w:val="TOC1"/>
            <w:tabs>
              <w:tab w:val="right" w:leader="dot" w:pos="9016"/>
            </w:tabs>
            <w:rPr>
              <w:rFonts w:eastAsiaTheme="minorEastAsia"/>
              <w:noProof/>
              <w:lang w:eastAsia="en-GB"/>
            </w:rPr>
          </w:pPr>
          <w:hyperlink w:anchor="_Toc71489216" w:history="1">
            <w:r w:rsidR="00AB0EEF" w:rsidRPr="00526656">
              <w:rPr>
                <w:rStyle w:val="Hyperlink"/>
                <w:rFonts w:ascii="Arial" w:hAnsi="Arial" w:cs="Arial"/>
                <w:noProof/>
              </w:rPr>
              <w:t>References</w:t>
            </w:r>
            <w:r w:rsidR="00AB0EEF">
              <w:rPr>
                <w:noProof/>
                <w:webHidden/>
              </w:rPr>
              <w:tab/>
            </w:r>
            <w:r w:rsidR="00AB0EEF">
              <w:rPr>
                <w:noProof/>
                <w:webHidden/>
              </w:rPr>
              <w:fldChar w:fldCharType="begin"/>
            </w:r>
            <w:r w:rsidR="00AB0EEF">
              <w:rPr>
                <w:noProof/>
                <w:webHidden/>
              </w:rPr>
              <w:instrText xml:space="preserve"> PAGEREF _Toc71489216 \h </w:instrText>
            </w:r>
            <w:r w:rsidR="00AB0EEF">
              <w:rPr>
                <w:noProof/>
                <w:webHidden/>
              </w:rPr>
            </w:r>
            <w:r w:rsidR="00AB0EEF">
              <w:rPr>
                <w:noProof/>
                <w:webHidden/>
              </w:rPr>
              <w:fldChar w:fldCharType="separate"/>
            </w:r>
            <w:r w:rsidR="00AB0EEF">
              <w:rPr>
                <w:noProof/>
                <w:webHidden/>
              </w:rPr>
              <w:t>17</w:t>
            </w:r>
            <w:r w:rsidR="00AB0EEF">
              <w:rPr>
                <w:noProof/>
                <w:webHidden/>
              </w:rPr>
              <w:fldChar w:fldCharType="end"/>
            </w:r>
          </w:hyperlink>
        </w:p>
        <w:p w:rsidR="00FF2A84" w:rsidRPr="00FF2A84" w:rsidRDefault="00FF2A84" w:rsidP="000369E4">
          <w:pPr>
            <w:spacing w:line="360" w:lineRule="auto"/>
            <w:rPr>
              <w:rFonts w:ascii="Arial" w:hAnsi="Arial" w:cs="Arial"/>
              <w:sz w:val="24"/>
              <w:szCs w:val="24"/>
            </w:rPr>
          </w:pPr>
          <w:r w:rsidRPr="00FF2A84">
            <w:rPr>
              <w:rFonts w:ascii="Arial" w:hAnsi="Arial" w:cs="Arial"/>
              <w:b/>
              <w:bCs/>
              <w:noProof/>
              <w:sz w:val="24"/>
              <w:szCs w:val="24"/>
            </w:rPr>
            <w:fldChar w:fldCharType="end"/>
          </w:r>
        </w:p>
      </w:sdtContent>
    </w:sdt>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1C0CFD" w:rsidRDefault="001C0CFD" w:rsidP="000369E4">
      <w:pPr>
        <w:spacing w:line="360" w:lineRule="auto"/>
        <w:rPr>
          <w:rFonts w:ascii="Arial" w:hAnsi="Arial" w:cs="Arial"/>
          <w:sz w:val="24"/>
          <w:szCs w:val="24"/>
        </w:rPr>
      </w:pPr>
    </w:p>
    <w:p w:rsidR="00AB0EEF" w:rsidRPr="00FF2A84" w:rsidRDefault="00AB0EEF" w:rsidP="000369E4">
      <w:pPr>
        <w:spacing w:line="360" w:lineRule="auto"/>
        <w:rPr>
          <w:rFonts w:ascii="Arial" w:hAnsi="Arial" w:cs="Arial"/>
          <w:sz w:val="24"/>
          <w:szCs w:val="24"/>
        </w:rPr>
      </w:pPr>
    </w:p>
    <w:p w:rsidR="001C0CFD" w:rsidRPr="00FF2A84" w:rsidRDefault="001C0CFD" w:rsidP="000369E4">
      <w:pPr>
        <w:spacing w:line="360" w:lineRule="auto"/>
        <w:rPr>
          <w:rFonts w:ascii="Arial" w:hAnsi="Arial" w:cs="Arial"/>
          <w:sz w:val="24"/>
          <w:szCs w:val="24"/>
        </w:rPr>
      </w:pPr>
    </w:p>
    <w:p w:rsidR="00BA5B56" w:rsidRPr="00FF2A84" w:rsidRDefault="00BA5B56" w:rsidP="000369E4">
      <w:pPr>
        <w:pStyle w:val="Heading1"/>
        <w:spacing w:line="360" w:lineRule="auto"/>
        <w:jc w:val="both"/>
        <w:rPr>
          <w:rStyle w:val="eop"/>
          <w:rFonts w:ascii="Arial" w:hAnsi="Arial" w:cs="Arial"/>
          <w:sz w:val="24"/>
          <w:szCs w:val="24"/>
        </w:rPr>
      </w:pPr>
      <w:bookmarkStart w:id="0" w:name="_Toc71489201"/>
      <w:r w:rsidRPr="00FF2A84">
        <w:rPr>
          <w:rStyle w:val="normaltextrun"/>
          <w:rFonts w:ascii="Arial" w:hAnsi="Arial" w:cs="Arial"/>
          <w:sz w:val="24"/>
          <w:szCs w:val="24"/>
        </w:rPr>
        <w:lastRenderedPageBreak/>
        <w:t>Section A</w:t>
      </w:r>
      <w:bookmarkEnd w:id="0"/>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2"/>
        <w:spacing w:line="360" w:lineRule="auto"/>
        <w:jc w:val="both"/>
        <w:rPr>
          <w:rFonts w:ascii="Arial" w:hAnsi="Arial" w:cs="Arial"/>
          <w:sz w:val="24"/>
          <w:szCs w:val="24"/>
        </w:rPr>
      </w:pPr>
      <w:bookmarkStart w:id="1" w:name="_Toc71489202"/>
      <w:r w:rsidRPr="00FF2A84">
        <w:rPr>
          <w:rStyle w:val="normaltextrun"/>
          <w:rFonts w:ascii="Arial" w:hAnsi="Arial" w:cs="Arial"/>
          <w:sz w:val="24"/>
          <w:szCs w:val="24"/>
        </w:rPr>
        <w:t>1.1</w:t>
      </w:r>
      <w:bookmarkEnd w:id="1"/>
      <w:r w:rsidRPr="00FF2A84">
        <w:rPr>
          <w:rStyle w:val="eop"/>
          <w:rFonts w:ascii="Arial" w:hAnsi="Arial" w:cs="Arial"/>
          <w:sz w:val="24"/>
          <w:szCs w:val="24"/>
        </w:rPr>
        <w:t> </w:t>
      </w:r>
    </w:p>
    <w:p w:rsidR="00BA5B56" w:rsidRPr="00FF2A84" w:rsidRDefault="00BA5B56" w:rsidP="000369E4">
      <w:pPr>
        <w:pStyle w:val="Heading3"/>
        <w:spacing w:line="360" w:lineRule="auto"/>
        <w:jc w:val="both"/>
        <w:rPr>
          <w:rFonts w:ascii="Arial" w:hAnsi="Arial" w:cs="Arial"/>
          <w:sz w:val="24"/>
          <w:szCs w:val="24"/>
        </w:rPr>
      </w:pPr>
      <w:bookmarkStart w:id="2" w:name="_Toc71489203"/>
      <w:r w:rsidRPr="00FF2A84">
        <w:rPr>
          <w:rStyle w:val="normaltextrun"/>
          <w:rFonts w:ascii="Arial" w:hAnsi="Arial" w:cs="Arial"/>
          <w:sz w:val="24"/>
          <w:szCs w:val="24"/>
        </w:rPr>
        <w:t>Process and timescales for an Employment Tribunal</w:t>
      </w:r>
      <w:bookmarkEnd w:id="2"/>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This is in response to the Managing Director of Big Buses Limited, request for advice on the Employment Tribunal Claim received from Gethin Rees, dated the 6th of December 2020. An early conciliation certificate has been received.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As Mr Rees has received the certificate for the early conciliation, the respondents to the claim, Big Buses Limited, have 28 days to respond (Government 2020a). The process for Employment Tribunals is strict and if not met a default decision will be made and the organisation will no longer be able to bring a defence (CIPD 2021a).</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Within the documentation from the Employment Tribunal, known as a “response pack” (Government 2020a), a letter contained within, will state the deadline date for the defence to be received. This will be 28 days from the date that the Employment Tribunal sent the copy of the claimant's form (HM Courts and Tribunals Claim 2021). To respond, Big Buses Limited will need to complete an ET3 form.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The ET3 form requires the respondents contact details and organisational information, for example the number of staff employed, and whether the company is international. Confirmation of the claimant’s employment details will also be sought, which has been provided on the ET1 form within the “response pack” received, this will be asking for agreement on employment dates, job description, earnings and benefits (Employment Tribunal 2020). The second requirement is to state whether Big Buses Limited wishes to defend the claims that have been made.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 </w:t>
      </w:r>
      <w:r w:rsidRPr="00FF2A84">
        <w:rPr>
          <w:rStyle w:val="eop"/>
          <w:rFonts w:ascii="Arial" w:hAnsi="Arial" w:cs="Arial"/>
        </w:rPr>
        <w:t> </w:t>
      </w:r>
    </w:p>
    <w:p w:rsidR="00BA5B56" w:rsidRPr="00FF2A84" w:rsidRDefault="00BA5B56" w:rsidP="000369E4">
      <w:pPr>
        <w:pStyle w:val="Heading3"/>
        <w:spacing w:line="360" w:lineRule="auto"/>
        <w:jc w:val="both"/>
        <w:rPr>
          <w:rStyle w:val="normaltextrun"/>
          <w:rFonts w:ascii="Arial" w:hAnsi="Arial" w:cs="Arial"/>
          <w:sz w:val="24"/>
          <w:szCs w:val="24"/>
        </w:rPr>
      </w:pPr>
      <w:bookmarkStart w:id="3" w:name="_Toc71489204"/>
      <w:r w:rsidRPr="00FF2A84">
        <w:rPr>
          <w:rStyle w:val="normaltextrun"/>
          <w:rFonts w:ascii="Arial" w:hAnsi="Arial" w:cs="Arial"/>
          <w:sz w:val="24"/>
          <w:szCs w:val="24"/>
        </w:rPr>
        <w:t>Details of the grounds for the claims being made</w:t>
      </w:r>
      <w:bookmarkEnd w:id="3"/>
      <w:r w:rsidRPr="00FF2A84">
        <w:rPr>
          <w:rStyle w:val="normaltextrun"/>
          <w:rFonts w:ascii="Arial" w:hAnsi="Arial" w:cs="Arial"/>
          <w:sz w:val="24"/>
          <w:szCs w:val="24"/>
        </w:rPr>
        <w:t> </w:t>
      </w:r>
      <w:r w:rsidRPr="00FF2A84">
        <w:rPr>
          <w:rStyle w:val="eop"/>
          <w:rFonts w:ascii="Arial" w:hAnsi="Arial" w:cs="Arial"/>
          <w:sz w:val="24"/>
          <w:szCs w:val="24"/>
        </w:rPr>
        <w:t> </w:t>
      </w:r>
    </w:p>
    <w:p w:rsidR="00BA5B56" w:rsidRPr="00FF2A84" w:rsidRDefault="00BA5B56" w:rsidP="000369E4">
      <w:pPr>
        <w:pStyle w:val="Heading4"/>
        <w:spacing w:line="360" w:lineRule="auto"/>
        <w:jc w:val="both"/>
        <w:rPr>
          <w:rStyle w:val="eop"/>
          <w:rFonts w:ascii="Arial" w:hAnsi="Arial" w:cs="Arial"/>
          <w:sz w:val="24"/>
          <w:szCs w:val="24"/>
        </w:rPr>
      </w:pPr>
      <w:r w:rsidRPr="00FF2A84">
        <w:rPr>
          <w:rStyle w:val="normaltextrun"/>
          <w:rFonts w:ascii="Arial" w:hAnsi="Arial" w:cs="Arial"/>
          <w:sz w:val="24"/>
          <w:szCs w:val="24"/>
        </w:rPr>
        <w:t>Unfair dismissal – Procedure </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lastRenderedPageBreak/>
        <w:t>Mr Gethin Rees has the potential to bring a claim for unfair dismissal on the grounds of fair process not being followed. Claimants need to have 2 years’ service to be eligible (Government 2020b) however Mr Gethin Rees has 6 years’ service and will therefore have the potential to bring this claim.</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ACAS have a code of practice that sets out the grounds for what is a fair process, this is what the Employment Tribunal will refer too to see if the employer has followed as a minimum reasonable and fair process (ACAS 2015). In the case of </w:t>
      </w:r>
      <w:r w:rsidRPr="00FF2A84">
        <w:rPr>
          <w:rStyle w:val="normaltextrun"/>
          <w:rFonts w:ascii="Arial" w:hAnsi="Arial" w:cs="Arial"/>
          <w:i/>
          <w:iCs/>
        </w:rPr>
        <w:t>BHS v Burchell</w:t>
      </w:r>
      <w:r w:rsidRPr="00FF2A84">
        <w:rPr>
          <w:rStyle w:val="normaltextrun"/>
          <w:rFonts w:ascii="Arial" w:hAnsi="Arial" w:cs="Arial"/>
        </w:rPr>
        <w:t> [1977] (Thomson and Reuters 2021), the Employment Tribunal established a two-stage test that the burden of proof lies with the employer who needs to have </w:t>
      </w:r>
      <w:r w:rsidRPr="00FF2A84">
        <w:rPr>
          <w:rStyle w:val="normaltextrun"/>
          <w:rFonts w:ascii="Arial" w:hAnsi="Arial" w:cs="Arial"/>
          <w:i/>
          <w:iCs/>
        </w:rPr>
        <w:t>reasonable grounds</w:t>
      </w:r>
      <w:r w:rsidRPr="00FF2A84">
        <w:rPr>
          <w:rStyle w:val="normaltextrun"/>
          <w:rFonts w:ascii="Arial" w:hAnsi="Arial" w:cs="Arial"/>
        </w:rPr>
        <w:t> for belief following a </w:t>
      </w:r>
      <w:r w:rsidRPr="00FF2A84">
        <w:rPr>
          <w:rStyle w:val="normaltextrun"/>
          <w:rFonts w:ascii="Arial" w:hAnsi="Arial" w:cs="Arial"/>
          <w:i/>
          <w:iCs/>
        </w:rPr>
        <w:t>reasonable investigation</w:t>
      </w:r>
      <w:r w:rsidRPr="00FF2A84">
        <w:rPr>
          <w:rStyle w:val="normaltextrun"/>
          <w:rFonts w:ascii="Arial" w:hAnsi="Arial" w:cs="Arial"/>
        </w:rPr>
        <w:t> that the employee has committed the act of misconduct (Medhurst 2018). The BHS and Burchell test run alongside the </w:t>
      </w:r>
      <w:r w:rsidRPr="00FF2A84">
        <w:rPr>
          <w:rStyle w:val="normaltextrun"/>
          <w:rFonts w:ascii="Arial" w:hAnsi="Arial" w:cs="Arial"/>
          <w:i/>
          <w:iCs/>
        </w:rPr>
        <w:t>Employment Rights Act 1996 Section 98</w:t>
      </w:r>
      <w:r w:rsidRPr="00FF2A84">
        <w:rPr>
          <w:rStyle w:val="normaltextrun"/>
          <w:rFonts w:ascii="Arial" w:hAnsi="Arial" w:cs="Arial"/>
        </w:rPr>
        <w:t> which determines fairness of the dismissal acted reasonably and demonstrated a fair process had been followed.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following has the potential to be in breach of this:</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numPr>
          <w:ilvl w:val="0"/>
          <w:numId w:val="14"/>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The investigating officer was a witness to the incident, this should have been carried out by an independent individual. The investigating officer was also included in the hearing rather than remaining separate to this. The ACAS Code of Practice states that “i</w:t>
      </w:r>
      <w:r w:rsidRPr="00FF2A84">
        <w:rPr>
          <w:rStyle w:val="normaltextrun"/>
          <w:rFonts w:ascii="Arial" w:hAnsi="Arial" w:cs="Arial"/>
          <w:color w:val="000000"/>
        </w:rPr>
        <w:t>n misconduct cases, where practicable, different people should carry out the investigation and disciplinary hearing” (ACAS 2015).</w:t>
      </w:r>
      <w:r w:rsidRPr="00FF2A84">
        <w:rPr>
          <w:rStyle w:val="eop"/>
          <w:rFonts w:ascii="Arial" w:hAnsi="Arial" w:cs="Arial"/>
          <w:color w:val="000000"/>
        </w:rPr>
        <w:t> </w:t>
      </w:r>
    </w:p>
    <w:p w:rsidR="00BA5B56" w:rsidRPr="00FF2A84" w:rsidRDefault="00BA5B56" w:rsidP="000369E4">
      <w:pPr>
        <w:pStyle w:val="paragraph"/>
        <w:numPr>
          <w:ilvl w:val="0"/>
          <w:numId w:val="14"/>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ACAS Code of Practice (2015) states that the individual has the right to be informed of the problem. In this case Mr Gethin Rees did not receive the investigation report (including the witness statements) prior to the hearing or within a timely manner that allowed them to have a reasonable and fair time to prepare or find evidence to defend his case. Through the documentation provided, Mr Rees had also not been made aware of the reasoning and or the consequences of these meetings.</w:t>
      </w:r>
      <w:r w:rsidRPr="00FF2A84">
        <w:rPr>
          <w:rStyle w:val="eop"/>
          <w:rFonts w:ascii="Arial" w:hAnsi="Arial" w:cs="Arial"/>
        </w:rPr>
        <w:t> </w:t>
      </w:r>
    </w:p>
    <w:p w:rsidR="00BA5B56" w:rsidRPr="00FF2A84" w:rsidRDefault="00BA5B56" w:rsidP="000369E4">
      <w:pPr>
        <w:pStyle w:val="paragraph"/>
        <w:numPr>
          <w:ilvl w:val="0"/>
          <w:numId w:val="14"/>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 xml:space="preserve">“Employers should allow employees to be accompanied at any formal disciplinary or grievance meeting” (ACAS 2015), although Mr Rees was aware that he could bring along a “work colleague” it is not making Mr Rees aware </w:t>
      </w:r>
      <w:r w:rsidRPr="00FF2A84">
        <w:rPr>
          <w:rStyle w:val="normaltextrun"/>
          <w:rFonts w:ascii="Arial" w:hAnsi="Arial" w:cs="Arial"/>
          <w:color w:val="000000"/>
        </w:rPr>
        <w:lastRenderedPageBreak/>
        <w:t>that he can bring a Trade Union representative, who would be able to advise and allow for proportionate representation.</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ind w:firstLine="100"/>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It has also been noticed that although Mr Rees was provided with details on how to appeal, he was not given a reasonable timeframe from the outcome of the hearing to do so. ACAS (2021b) recommends 5 days as a minimum to allow for a sufficient timeframe to respond.</w:t>
      </w:r>
      <w:r w:rsidRPr="00FF2A84">
        <w:rPr>
          <w:rStyle w:val="eop"/>
          <w:rFonts w:ascii="Arial" w:hAnsi="Arial" w:cs="Arial"/>
        </w:rPr>
        <w:t> </w:t>
      </w:r>
    </w:p>
    <w:p w:rsidR="00BA5B56" w:rsidRPr="00FF2A84" w:rsidRDefault="00BA5B56" w:rsidP="000369E4">
      <w:pPr>
        <w:pStyle w:val="Heading4"/>
        <w:spacing w:line="360" w:lineRule="auto"/>
        <w:jc w:val="both"/>
        <w:rPr>
          <w:rFonts w:ascii="Arial" w:hAnsi="Arial" w:cs="Arial"/>
          <w:sz w:val="24"/>
          <w:szCs w:val="24"/>
        </w:rPr>
      </w:pPr>
    </w:p>
    <w:p w:rsidR="00BA5B56" w:rsidRPr="00FF2A84" w:rsidRDefault="00BA5B56" w:rsidP="000369E4">
      <w:pPr>
        <w:pStyle w:val="Heading4"/>
        <w:spacing w:line="360" w:lineRule="auto"/>
        <w:jc w:val="both"/>
        <w:rPr>
          <w:rStyle w:val="eop"/>
          <w:rFonts w:ascii="Arial" w:hAnsi="Arial" w:cs="Arial"/>
          <w:sz w:val="24"/>
          <w:szCs w:val="24"/>
        </w:rPr>
      </w:pPr>
      <w:r w:rsidRPr="00FF2A84">
        <w:rPr>
          <w:rStyle w:val="normaltextrun"/>
          <w:rFonts w:ascii="Arial" w:hAnsi="Arial" w:cs="Arial"/>
          <w:sz w:val="24"/>
          <w:szCs w:val="24"/>
        </w:rPr>
        <w:t>Wrongful dismissal – breach of contract </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Wrongful dismissal is a breach of contract due to the employer not providing the employee with notice or sufficient notice in situations where the employee was entitled to them (Lewis and Sargeant 2020). As Mr Rees was dismissed without notice on the 12th of November 2020, there is a potential that this claim can be brought.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Under the </w:t>
      </w:r>
      <w:r w:rsidRPr="00FF2A84">
        <w:rPr>
          <w:rStyle w:val="normaltextrun"/>
          <w:rFonts w:ascii="Arial" w:hAnsi="Arial" w:cs="Arial"/>
          <w:i/>
          <w:iCs/>
        </w:rPr>
        <w:t>Employment Rights Act 1996 section 86</w:t>
      </w:r>
      <w:r w:rsidRPr="00FF2A84">
        <w:rPr>
          <w:rStyle w:val="normaltextrun"/>
          <w:rFonts w:ascii="Arial" w:hAnsi="Arial" w:cs="Arial"/>
        </w:rPr>
        <w:t>, employees are entitled to receive statutory notice, equating to one week of service for every year worked until the maximum of 12 weeks. This should also include entitlements to accrued annual leave and pension employer contribution owed up until the termination end date of the correct amount of weeks’ notice and any other benefits that the employee is entitled to (ACAS 2021c). As Mr Rees has worked with Big Buses Limited since March 2014, he is entitled to a notice period of 5 weeks due to the complete number of years worked.</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4"/>
        <w:spacing w:line="360" w:lineRule="auto"/>
        <w:jc w:val="both"/>
        <w:rPr>
          <w:rStyle w:val="eop"/>
          <w:rFonts w:ascii="Arial" w:hAnsi="Arial" w:cs="Arial"/>
          <w:sz w:val="24"/>
          <w:szCs w:val="24"/>
        </w:rPr>
      </w:pPr>
      <w:r w:rsidRPr="00FF2A84">
        <w:rPr>
          <w:rStyle w:val="normaltextrun"/>
          <w:rFonts w:ascii="Arial" w:hAnsi="Arial" w:cs="Arial"/>
          <w:sz w:val="24"/>
          <w:szCs w:val="24"/>
        </w:rPr>
        <w:t>Automatic unfair dismissal – whistleblowing</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i/>
          <w:iCs/>
        </w:rPr>
        <w:t>The Public Interest Disclosure Act 1998 (PIDA)</w:t>
      </w:r>
      <w:r w:rsidRPr="00FF2A84">
        <w:rPr>
          <w:rStyle w:val="normaltextrun"/>
          <w:rFonts w:ascii="Arial" w:hAnsi="Arial" w:cs="Arial"/>
        </w:rPr>
        <w:t> inserted Section 103A into </w:t>
      </w:r>
      <w:r w:rsidRPr="00FF2A84">
        <w:rPr>
          <w:rStyle w:val="normaltextrun"/>
          <w:rFonts w:ascii="Arial" w:hAnsi="Arial" w:cs="Arial"/>
          <w:i/>
          <w:iCs/>
        </w:rPr>
        <w:t>the Employment Rights Act 1996</w:t>
      </w:r>
      <w:r w:rsidRPr="00FF2A84">
        <w:rPr>
          <w:rStyle w:val="normaltextrun"/>
          <w:rFonts w:ascii="Arial" w:hAnsi="Arial" w:cs="Arial"/>
        </w:rPr>
        <w:t> (Department for Business Innovation and Skills, 2015), which provides protection for workers reporting malpractices by their employers or third parties against victimisation or dismissal when disclosing a protected disclosure (Legislation 2006).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lastRenderedPageBreak/>
        <w:t>Within the ET1 completed by Mr Rees, he states that he has raised several concerns surrounding the conditions at work and with the ongoing pandemic, Coronavirus. There are two areas that an individual needs to believe to be covered through Whistleblowing. Firstly, that they are acting in the public best interest, in this case Mr Rees raised concerns about the Health and Safety of the environment within Big Buses. Secondly, the allegations that face masks are being taken off without any action being taken falls into two categories, the failure of complying with a requirement that has been set out in law and endangering someone’s health and safety (Department for Business Innovation and Skills, 2015).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4"/>
        <w:spacing w:line="360" w:lineRule="auto"/>
        <w:jc w:val="both"/>
        <w:rPr>
          <w:rStyle w:val="eop"/>
          <w:rFonts w:ascii="Arial" w:hAnsi="Arial" w:cs="Arial"/>
          <w:sz w:val="24"/>
          <w:szCs w:val="24"/>
        </w:rPr>
      </w:pPr>
      <w:r w:rsidRPr="00FF2A84">
        <w:rPr>
          <w:rStyle w:val="normaltextrun"/>
          <w:rFonts w:ascii="Arial" w:hAnsi="Arial" w:cs="Arial"/>
          <w:sz w:val="24"/>
          <w:szCs w:val="24"/>
        </w:rPr>
        <w:t>Automatic unfair dismissal – Health and Safety dismissal</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w:t>
      </w:r>
      <w:r w:rsidRPr="00FF2A84">
        <w:rPr>
          <w:rStyle w:val="normaltextrun"/>
          <w:rFonts w:ascii="Arial" w:hAnsi="Arial" w:cs="Arial"/>
          <w:i/>
          <w:iCs/>
        </w:rPr>
        <w:t>Employment Rights Act 1986 Section 103a </w:t>
      </w:r>
      <w:r w:rsidRPr="00FF2A84">
        <w:rPr>
          <w:rStyle w:val="normaltextrun"/>
          <w:rFonts w:ascii="Arial" w:hAnsi="Arial" w:cs="Arial"/>
        </w:rPr>
        <w:t>states that an individual can be classed as unfairly dismissed if they made their employer aware of a situation that could be harmful or potentially harmful to Health and Safety. In this case Mr Rees has the potential to raise this claim as he has made Big Buses Limited aware that individuals are removing their facemasks when the foreman is not looking, and nothing has been done about this.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Health and Safety within the workplace no longer sits within the original realms of a slip, trip or hazard but now takes account for an airborne virus that is invisible and can be spread asymptomatically. Under the </w:t>
      </w:r>
      <w:r w:rsidRPr="00FF2A84">
        <w:rPr>
          <w:rStyle w:val="normaltextrun"/>
          <w:rFonts w:ascii="Arial" w:hAnsi="Arial" w:cs="Arial"/>
          <w:i/>
          <w:iCs/>
        </w:rPr>
        <w:t>Health and Safety at Work Act 1974 </w:t>
      </w:r>
      <w:r w:rsidRPr="00FF2A84">
        <w:rPr>
          <w:rStyle w:val="normaltextrun"/>
          <w:rFonts w:ascii="Arial" w:hAnsi="Arial" w:cs="Arial"/>
        </w:rPr>
        <w:t>there is a legal obligation for an employer to protect and look after the Health and Safety of their staff, if found not doing so then the employer can also find themselves in breach of this act (HSE 2021).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The potential raising of this claim can be run in tandem with the whistleblowing, as above.</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 </w:t>
      </w:r>
      <w:r w:rsidRPr="00FF2A84">
        <w:rPr>
          <w:rStyle w:val="eop"/>
          <w:rFonts w:ascii="Arial" w:hAnsi="Arial" w:cs="Arial"/>
        </w:rPr>
        <w:t> </w:t>
      </w:r>
    </w:p>
    <w:p w:rsidR="00BA5B56" w:rsidRPr="00FF2A84" w:rsidRDefault="00BA5B56" w:rsidP="000369E4">
      <w:pPr>
        <w:pStyle w:val="Heading3"/>
        <w:spacing w:line="360" w:lineRule="auto"/>
        <w:jc w:val="both"/>
        <w:rPr>
          <w:rFonts w:ascii="Arial" w:hAnsi="Arial" w:cs="Arial"/>
          <w:sz w:val="24"/>
          <w:szCs w:val="24"/>
        </w:rPr>
      </w:pPr>
      <w:bookmarkStart w:id="4" w:name="_Toc71489205"/>
      <w:r w:rsidRPr="00FF2A84">
        <w:rPr>
          <w:rStyle w:val="normaltextrun"/>
          <w:rFonts w:ascii="Arial" w:hAnsi="Arial" w:cs="Arial"/>
          <w:sz w:val="24"/>
          <w:szCs w:val="24"/>
        </w:rPr>
        <w:t>Defences</w:t>
      </w:r>
      <w:bookmarkEnd w:id="4"/>
      <w:r w:rsidRPr="00FF2A84">
        <w:rPr>
          <w:rStyle w:val="normaltextrun"/>
          <w:rFonts w:ascii="Arial" w:hAnsi="Arial" w:cs="Arial"/>
          <w:sz w:val="24"/>
          <w:szCs w:val="24"/>
        </w:rPr>
        <w:t> </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 xml:space="preserve">Throughout the above claims there are opportunities upon which Big Buses Limited will be able to have a defence. Regarding the claims of unfair dismissal (procedure) and wrongful dismissal (breach of contract) Big Buses Limited need to prove to the </w:t>
      </w:r>
      <w:r w:rsidRPr="00FF2A84">
        <w:rPr>
          <w:rStyle w:val="normaltextrun"/>
          <w:rFonts w:ascii="Arial" w:hAnsi="Arial" w:cs="Arial"/>
        </w:rPr>
        <w:lastRenderedPageBreak/>
        <w:t>employment tribunal that this is a case of gross misconduct, which the ACAS Code of Practice, grievance and disciplinary (2015) they include the act of physical violence.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In this case Mr Rees has been seen to assault Robert Twist, by pushing him to the ground. Although Mr Rees is stating that he was provoked due to Mr Twist walking up and coughing in his face, there has been no witness evidence brought forward to suggest that this was the case, Mr Twist also denies this provocation in his statement. What were the circumstances prior to the incident that took place, was there an ongoing joke that the provocation was a part of?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only evidence that has been put forward is that Mr Rees assaulted Mr Twist within a Health and Safety Environment that could have caused damage to equipment and those involved. Mr Rees was also caught without his facemask on.</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If there has been a genuine belief based on reasonable grounds following a reasonable investigation then it is possible to show that an act of gross misconduct took place (ACAS, 2015). If this can be proved to the Employment Tribunal then there will be no case for the claim of breach of contract.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difficulties that may arise for this defence is the process that was followed, and whether it falls under a fair process following a fair and reasonable investigation as set out in the </w:t>
      </w:r>
      <w:r w:rsidRPr="00FF2A84">
        <w:rPr>
          <w:rStyle w:val="normaltextrun"/>
          <w:rFonts w:ascii="Arial" w:hAnsi="Arial" w:cs="Arial"/>
          <w:i/>
          <w:iCs/>
        </w:rPr>
        <w:t>Employment Rights Act 1996 Section 98</w:t>
      </w:r>
      <w:r w:rsidRPr="00FF2A84">
        <w:rPr>
          <w:rStyle w:val="normaltextrun"/>
          <w:rFonts w:ascii="Arial" w:hAnsi="Arial" w:cs="Arial"/>
        </w:rPr>
        <w:t>. Mr Rees did not receive copies of the investigation including any witness statements and did not receive the chance to comment on them within the disciplinary hearing which is highlighted within ACAS Code of Practice on Disciplinary and Grievance Procedures (2015). Big Buses Limited will be entitled to argue that this was an unprovoked assault which will assist in proving gross misconduct however there will be a requirement to convince the Employment Tribunal that a reasonable investigation did take place.</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As Mr Twist has not received any disciplinary action, there was a potential for inconsistency of treatment to be brought, but if there is genuine belief based on reasonable grounds that this was an unprovoked assault then it will not form a part of that argument.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lastRenderedPageBreak/>
        <w: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defence for whistleblowing and a breach in health and safety runs alongside one another. The questions to ask here are, is there any evidence that Mr Rees has raised this with Steve Smith and then above that to Mr Millard, as the Government (2021) suggest that if unsatisfied then it should be raised with a more senior member of staff. Or is this a case of one against the other? From what has been provided the Employment Tribunal will be able to see that communications were sent out to all employees regarding the wearing of face masks and posters with “hands, face, space” being added to the workspace. It is never possible for an employee to be able to see everything that happens within the working environment, and there is no evidence to suggest that Mr Rees had raised this in line with whistleblowing.</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The employment tribunal will also look at whether there is a clausal link to the dismissal, was Mr Rees dismissed because he raised concerns surrounding a protected disclosure? Within the case </w:t>
      </w:r>
      <w:r w:rsidRPr="00FF2A84">
        <w:rPr>
          <w:rStyle w:val="normaltextrun"/>
          <w:rFonts w:ascii="Arial" w:hAnsi="Arial" w:cs="Arial"/>
          <w:i/>
          <w:iCs/>
        </w:rPr>
        <w:t>Atkins v Coyle Personnel PLC</w:t>
      </w:r>
      <w:r w:rsidRPr="00FF2A84">
        <w:rPr>
          <w:rStyle w:val="normaltextrun"/>
          <w:rFonts w:ascii="Arial" w:hAnsi="Arial" w:cs="Arial"/>
        </w:rPr>
        <w:t> the claimant stated that he was dismissed due to taking paternity leave however the tribunal found that this was not the case, and it was the actions that were taken that resulted in the dismissal (Casemine, 2008). The reasons for the dismissal in this case was the unprovoked attack on Mr Twist by Mr Rees, which there are witness accounts for seeing Mr Rees stood over shouting at Mr Twist who was sprawled on the floor, whilst also wearing no face mask.</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The defence therefore relies on the causal link for the dismissal and whether the right steps had been taken by Mr Rees when raising his concerns.</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 </w:t>
      </w:r>
      <w:r w:rsidRPr="00FF2A84">
        <w:rPr>
          <w:rStyle w:val="eop"/>
          <w:rFonts w:ascii="Arial" w:hAnsi="Arial" w:cs="Arial"/>
        </w:rPr>
        <w:t> </w:t>
      </w:r>
    </w:p>
    <w:p w:rsidR="00BA5B56" w:rsidRPr="00FF2A84" w:rsidRDefault="00BA5B56" w:rsidP="000369E4">
      <w:pPr>
        <w:pStyle w:val="Heading3"/>
        <w:spacing w:line="360" w:lineRule="auto"/>
        <w:jc w:val="both"/>
        <w:rPr>
          <w:rFonts w:ascii="Arial" w:hAnsi="Arial" w:cs="Arial"/>
          <w:sz w:val="24"/>
          <w:szCs w:val="24"/>
        </w:rPr>
      </w:pPr>
      <w:bookmarkStart w:id="5" w:name="_Toc71489206"/>
      <w:r w:rsidRPr="00FF2A84">
        <w:rPr>
          <w:rStyle w:val="normaltextrun"/>
          <w:rFonts w:ascii="Arial" w:hAnsi="Arial" w:cs="Arial"/>
          <w:sz w:val="24"/>
          <w:szCs w:val="24"/>
        </w:rPr>
        <w:t>Strengths and weaknesses</w:t>
      </w:r>
      <w:bookmarkEnd w:id="5"/>
      <w:r w:rsidRPr="00FF2A84">
        <w:rPr>
          <w:rStyle w:val="eop"/>
          <w:rFonts w:ascii="Arial" w:hAnsi="Arial" w:cs="Arial"/>
          <w:sz w:val="24"/>
          <w:szCs w:val="24"/>
        </w:rPr>
        <w:t> </w:t>
      </w:r>
    </w:p>
    <w:p w:rsidR="00BA5B56" w:rsidRPr="00FF2A84" w:rsidRDefault="00BA5B56" w:rsidP="000369E4">
      <w:pPr>
        <w:pStyle w:val="Heading4"/>
        <w:spacing w:line="360" w:lineRule="auto"/>
        <w:jc w:val="both"/>
        <w:rPr>
          <w:rStyle w:val="eop"/>
          <w:rFonts w:ascii="Arial" w:hAnsi="Arial" w:cs="Arial"/>
          <w:sz w:val="24"/>
          <w:szCs w:val="24"/>
        </w:rPr>
      </w:pPr>
      <w:r w:rsidRPr="00FF2A84">
        <w:rPr>
          <w:rStyle w:val="normaltextrun"/>
          <w:rFonts w:ascii="Arial" w:hAnsi="Arial" w:cs="Arial"/>
          <w:sz w:val="24"/>
          <w:szCs w:val="24"/>
        </w:rPr>
        <w:t>Strengths </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Please see summary below of the strengths and weaknesses for what Mr Rees's case:</w:t>
      </w:r>
      <w:r w:rsidRPr="00FF2A84">
        <w:rPr>
          <w:rStyle w:val="eop"/>
          <w:rFonts w:ascii="Arial" w:hAnsi="Arial" w:cs="Arial"/>
        </w:rPr>
        <w:t> </w:t>
      </w:r>
    </w:p>
    <w:p w:rsidR="00BA5B56" w:rsidRPr="00FF2A84" w:rsidRDefault="00BA5B56" w:rsidP="000369E4">
      <w:pPr>
        <w:pStyle w:val="paragraph"/>
        <w:numPr>
          <w:ilvl w:val="0"/>
          <w:numId w:val="15"/>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Previous good behaviour – although Mr Smith states that he has spoken with Mr Rees numerous times there is no evidence of this on the records and the Employment Tribunal will therefore see a record of good behaviour.</w:t>
      </w:r>
      <w:r w:rsidRPr="00FF2A84">
        <w:rPr>
          <w:rStyle w:val="eop"/>
          <w:rFonts w:ascii="Arial" w:hAnsi="Arial" w:cs="Arial"/>
        </w:rPr>
        <w:t> </w:t>
      </w:r>
    </w:p>
    <w:p w:rsidR="00BA5B56" w:rsidRPr="00FF2A84" w:rsidRDefault="00BA5B56" w:rsidP="000369E4">
      <w:pPr>
        <w:pStyle w:val="paragraph"/>
        <w:numPr>
          <w:ilvl w:val="0"/>
          <w:numId w:val="15"/>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lastRenderedPageBreak/>
        <w:t>Length of time at the organisation – Mr Rees has been employed with the organisation with only one expired verbal warning. </w:t>
      </w:r>
      <w:r w:rsidRPr="00FF2A84">
        <w:rPr>
          <w:rStyle w:val="eop"/>
          <w:rFonts w:ascii="Arial" w:hAnsi="Arial" w:cs="Arial"/>
        </w:rPr>
        <w:t> </w:t>
      </w:r>
    </w:p>
    <w:p w:rsidR="00BA5B56" w:rsidRPr="00FF2A84" w:rsidRDefault="00BA5B56" w:rsidP="000369E4">
      <w:pPr>
        <w:pStyle w:val="paragraph"/>
        <w:numPr>
          <w:ilvl w:val="0"/>
          <w:numId w:val="15"/>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Process not being followed – this will be the biggest weakness for Big Buses Limited’s defence and a major strength for Mr Rees as above there are several areas of concern following the fairness of the process and investigation.</w:t>
      </w:r>
      <w:r w:rsidRPr="00FF2A84">
        <w:rPr>
          <w:rStyle w:val="eop"/>
          <w:rFonts w:ascii="Arial" w:hAnsi="Arial" w:cs="Arial"/>
        </w:rPr>
        <w:t> </w:t>
      </w:r>
    </w:p>
    <w:p w:rsidR="00BA5B56" w:rsidRPr="00FF2A84" w:rsidRDefault="00BA5B56" w:rsidP="000369E4">
      <w:pPr>
        <w:pStyle w:val="paragraph"/>
        <w:numPr>
          <w:ilvl w:val="0"/>
          <w:numId w:val="15"/>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Mr Smith has stated that he witnessed the event, however, went on to complete an investigation and was also a part of the disciplinary hearing. If Mr Smith was a witness, then he should not have been the investigating officer, this should have been completed by an independent, which goes against the ACAS Code of Practice. The managing director would then complete the hearing without Mr Smith involved based only on the investigation which was completed by an independent. Although there may be a fair reason there are questions surrounding the fair process.</w:t>
      </w:r>
      <w:r w:rsidRPr="00FF2A84">
        <w:rPr>
          <w:rStyle w:val="eop"/>
          <w:rFonts w:ascii="Arial" w:hAnsi="Arial" w:cs="Arial"/>
        </w:rPr>
        <w:t> </w:t>
      </w:r>
    </w:p>
    <w:p w:rsidR="00BA5B56" w:rsidRPr="00FF2A84" w:rsidRDefault="00BA5B56" w:rsidP="000369E4">
      <w:pPr>
        <w:pStyle w:val="paragraph"/>
        <w:numPr>
          <w:ilvl w:val="0"/>
          <w:numId w:val="15"/>
        </w:numPr>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credibility of Steve as the witness also comes under question. Mr Rees has already stated that Mr Smith was coming after him and as Mr Smith was involved in every aspect of this case, there is the potential for Mr Rees to say he is coming after him, this provides another strength to Mr Rees case.</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ind w:left="360"/>
        <w:jc w:val="both"/>
        <w:textAlignment w:val="baseline"/>
        <w:rPr>
          <w:rFonts w:ascii="Arial" w:hAnsi="Arial" w:cs="Arial"/>
        </w:rPr>
      </w:pPr>
    </w:p>
    <w:p w:rsidR="00BA5B56" w:rsidRPr="00FF2A84" w:rsidRDefault="00BA5B56" w:rsidP="000369E4">
      <w:pPr>
        <w:pStyle w:val="Heading4"/>
        <w:spacing w:line="360" w:lineRule="auto"/>
        <w:jc w:val="both"/>
        <w:rPr>
          <w:rStyle w:val="eop"/>
          <w:rFonts w:ascii="Arial" w:hAnsi="Arial" w:cs="Arial"/>
          <w:sz w:val="24"/>
          <w:szCs w:val="24"/>
        </w:rPr>
      </w:pPr>
      <w:r w:rsidRPr="00FF2A84">
        <w:rPr>
          <w:rStyle w:val="normaltextrun"/>
          <w:rFonts w:ascii="Arial" w:hAnsi="Arial" w:cs="Arial"/>
          <w:sz w:val="24"/>
          <w:szCs w:val="24"/>
        </w:rPr>
        <w:t>Weakness</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numPr>
          <w:ilvl w:val="0"/>
          <w:numId w:val="16"/>
        </w:numPr>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There has been no corroboration around claims on behalf of Mr Rees, there is only what he has said. Nobody has been able to co-berate his claim.</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ind w:firstLine="100"/>
        <w:jc w:val="both"/>
        <w:textAlignment w:val="baseline"/>
        <w:rPr>
          <w:rFonts w:ascii="Arial" w:hAnsi="Arial" w:cs="Arial"/>
        </w:rPr>
      </w:pPr>
    </w:p>
    <w:p w:rsidR="00BA5B56" w:rsidRPr="00FF2A84" w:rsidRDefault="00BA5B56" w:rsidP="000369E4">
      <w:pPr>
        <w:pStyle w:val="Heading2"/>
        <w:spacing w:line="360" w:lineRule="auto"/>
        <w:jc w:val="both"/>
        <w:rPr>
          <w:rStyle w:val="eop"/>
          <w:rFonts w:ascii="Arial" w:hAnsi="Arial" w:cs="Arial"/>
          <w:sz w:val="24"/>
          <w:szCs w:val="24"/>
        </w:rPr>
      </w:pPr>
      <w:bookmarkStart w:id="6" w:name="_Toc71489207"/>
      <w:r w:rsidRPr="00FF2A84">
        <w:rPr>
          <w:rStyle w:val="normaltextrun"/>
          <w:rFonts w:ascii="Arial" w:hAnsi="Arial" w:cs="Arial"/>
          <w:sz w:val="24"/>
          <w:szCs w:val="24"/>
        </w:rPr>
        <w:t>1.2</w:t>
      </w:r>
      <w:bookmarkEnd w:id="6"/>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3"/>
        <w:spacing w:line="360" w:lineRule="auto"/>
        <w:jc w:val="both"/>
        <w:rPr>
          <w:rFonts w:ascii="Arial" w:hAnsi="Arial" w:cs="Arial"/>
          <w:sz w:val="24"/>
          <w:szCs w:val="24"/>
        </w:rPr>
      </w:pPr>
      <w:bookmarkStart w:id="7" w:name="_Toc71489208"/>
      <w:r w:rsidRPr="00FF2A84">
        <w:rPr>
          <w:rStyle w:val="normaltextrun"/>
          <w:rFonts w:ascii="Arial" w:hAnsi="Arial" w:cs="Arial"/>
          <w:sz w:val="24"/>
          <w:szCs w:val="24"/>
        </w:rPr>
        <w:t>Remedies</w:t>
      </w:r>
      <w:bookmarkEnd w:id="7"/>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r w:rsidRPr="00FF2A84">
        <w:rPr>
          <w:rStyle w:val="normaltextrun"/>
          <w:rFonts w:ascii="Arial" w:hAnsi="Arial" w:cs="Arial"/>
        </w:rPr>
        <w:t xml:space="preserve">There are several remedies that the employment tribunal could bring, re-engagement which means that Mr Rees would be brought back to Big Buses Limited in a comparable role or alternative suitable employment to the one that they previously held (Rradar, 2018). Re-instatement will be Mr Rees returning to his role as if there was dismissal, which is what Mr Rees is looking for (Denton, 2021).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lastRenderedPageBreak/>
        <w:t>Both re-engagement and re-instatement are rare for the employment tribunal to award but not unheard of. In </w:t>
      </w:r>
      <w:r w:rsidRPr="00FF2A84">
        <w:rPr>
          <w:rStyle w:val="normaltextrun"/>
          <w:rFonts w:ascii="Arial" w:hAnsi="Arial" w:cs="Arial"/>
          <w:i/>
          <w:iCs/>
        </w:rPr>
        <w:t>McBride V Scottish Police Authority</w:t>
      </w:r>
      <w:r w:rsidRPr="00FF2A84">
        <w:rPr>
          <w:rStyle w:val="normaltextrun"/>
          <w:rFonts w:ascii="Arial" w:hAnsi="Arial" w:cs="Arial"/>
        </w:rPr>
        <w:t> [2016] the tribunal awarded the claimant with a re-instatement order, and although it can be appealed against, the cost is high as there would be back pay requirements as well as the compensation (Weightmans, 2016).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If neither the re-instatement nor re-engagement is suitable due to the employee wishes (have they got a new role), whether it is reasonably practicable (the working relationship will be scrutinised) or whether the claimant contributed to their dismissal (Pure Employment Law, 2012). The other consideration is compensation, which is as the Oxford Dictionary states a monetary award in recognition of loss, suffering or of injury (2021).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3"/>
        <w:spacing w:line="360" w:lineRule="auto"/>
        <w:jc w:val="both"/>
        <w:rPr>
          <w:rFonts w:ascii="Arial" w:hAnsi="Arial" w:cs="Arial"/>
          <w:sz w:val="24"/>
          <w:szCs w:val="24"/>
        </w:rPr>
      </w:pPr>
      <w:bookmarkStart w:id="8" w:name="_Toc71489209"/>
      <w:r w:rsidRPr="00FF2A84">
        <w:rPr>
          <w:rStyle w:val="normaltextrun"/>
          <w:rFonts w:ascii="Arial" w:hAnsi="Arial" w:cs="Arial"/>
          <w:sz w:val="24"/>
          <w:szCs w:val="24"/>
        </w:rPr>
        <w:t>Financial elements</w:t>
      </w:r>
      <w:bookmarkEnd w:id="8"/>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Tribunal will look at compensation in two ways if there was success in the claims. The award for unfair dismissal is as below:</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3"/>
        <w:spacing w:line="360" w:lineRule="auto"/>
        <w:jc w:val="both"/>
        <w:rPr>
          <w:rFonts w:ascii="Arial" w:hAnsi="Arial" w:cs="Arial"/>
          <w:sz w:val="24"/>
          <w:szCs w:val="24"/>
        </w:rPr>
      </w:pPr>
      <w:bookmarkStart w:id="9" w:name="_Toc71489210"/>
      <w:r w:rsidRPr="00FF2A84">
        <w:rPr>
          <w:rStyle w:val="normaltextrun"/>
          <w:rFonts w:ascii="Arial" w:hAnsi="Arial" w:cs="Arial"/>
          <w:sz w:val="24"/>
          <w:szCs w:val="24"/>
        </w:rPr>
        <w:t>Basic award</w:t>
      </w:r>
      <w:bookmarkEnd w:id="9"/>
      <w:r w:rsidRPr="00FF2A84">
        <w:rPr>
          <w:rStyle w:val="normaltextrun"/>
          <w:rFonts w:ascii="Arial" w:hAnsi="Arial" w:cs="Arial"/>
          <w:sz w:val="24"/>
          <w:szCs w:val="24"/>
        </w:rPr>
        <w:t> </w:t>
      </w:r>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Number of years’ service x multiplier of age x weekly pay = the basic award</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In Mr Rees's case it will be 5 x 1 x 500 = 2500</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Compensatory award is the money lost due to the dismissal, it will take account of the loss of earnings from the date of dismissal to the date of tribunal and any future loss of earnings (Citizens Advice, 2020). The claimant will also need to factor in whether they have found alternative employment which will mitigate these circumstances. Employment tribunals can only reward up to £89,493 or the gross pay for a year (Citizens advice, 2021), whichever is lower, in this case Mr Rees's would be the maximum of £26,000.</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only reason the tribunal would place him back was if he were successful on the claim of being dismissed due to whistleblowing (CIPD 2021c).</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3"/>
        <w:spacing w:line="360" w:lineRule="auto"/>
        <w:jc w:val="both"/>
        <w:rPr>
          <w:rFonts w:ascii="Arial" w:hAnsi="Arial" w:cs="Arial"/>
          <w:sz w:val="24"/>
          <w:szCs w:val="24"/>
        </w:rPr>
      </w:pPr>
      <w:bookmarkStart w:id="10" w:name="_Toc71489211"/>
      <w:r w:rsidRPr="00FF2A84">
        <w:rPr>
          <w:rStyle w:val="normaltextrun"/>
          <w:rFonts w:ascii="Arial" w:hAnsi="Arial" w:cs="Arial"/>
          <w:sz w:val="24"/>
          <w:szCs w:val="24"/>
        </w:rPr>
        <w:t>Increase or reduce the financial claims</w:t>
      </w:r>
      <w:bookmarkEnd w:id="10"/>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color w:val="000000"/>
        </w:rPr>
      </w:pPr>
      <w:r w:rsidRPr="00FF2A84">
        <w:rPr>
          <w:rStyle w:val="normaltextrun"/>
          <w:rFonts w:ascii="Arial" w:hAnsi="Arial" w:cs="Arial"/>
        </w:rPr>
        <w:t>If found to not been following the ACAS code of practice on disciplinary and grievance (2015) as a minimum then the tribunal can increase the compensation by a maximum of up to 25%, this power lies within </w:t>
      </w:r>
      <w:r w:rsidRPr="00FF2A84">
        <w:rPr>
          <w:rStyle w:val="normaltextrun"/>
          <w:rFonts w:ascii="Arial" w:hAnsi="Arial" w:cs="Arial"/>
          <w:color w:val="000000"/>
        </w:rPr>
        <w:t>s.207A of the </w:t>
      </w:r>
      <w:r w:rsidRPr="00FF2A84">
        <w:rPr>
          <w:rStyle w:val="normaltextrun"/>
          <w:rFonts w:ascii="Arial" w:hAnsi="Arial" w:cs="Arial"/>
          <w:i/>
          <w:iCs/>
          <w:color w:val="000000"/>
        </w:rPr>
        <w:t>Trade Union and Labour Relations (Consolidation) Act 1992 </w:t>
      </w:r>
      <w:r w:rsidRPr="00FF2A84">
        <w:rPr>
          <w:rStyle w:val="normaltextrun"/>
          <w:rFonts w:ascii="Arial" w:hAnsi="Arial" w:cs="Arial"/>
          <w:color w:val="000000"/>
        </w:rPr>
        <w:t>(Thomas Mansfield, 2018).</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However, there is also the argument that with the Mr Rees failed to appeal when offered the opportunity and so this could reduce the compensation award.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In the case of </w:t>
      </w:r>
      <w:r w:rsidRPr="00FF2A84">
        <w:rPr>
          <w:rStyle w:val="normaltextrun"/>
          <w:rFonts w:ascii="Arial" w:hAnsi="Arial" w:cs="Arial"/>
          <w:i/>
          <w:iCs/>
        </w:rPr>
        <w:t>Nelson v BBC (No.2) [1997], </w:t>
      </w:r>
      <w:r w:rsidRPr="00FF2A84">
        <w:rPr>
          <w:rStyle w:val="normaltextrun"/>
          <w:rFonts w:ascii="Arial" w:hAnsi="Arial" w:cs="Arial"/>
        </w:rPr>
        <w:t>it recognised that there are three steps to consider as to whether there is contributory fault, the individual must have some culpable or blameworthy conduct, it must have contributed to it and it must be accountable to reduce compensation (Tribunal Claim, 2017). In this case there is potential for Mr Rees to be within limits therefore have the compensation reduced.</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i/>
          <w:iCs/>
          <w:color w:val="000000"/>
        </w:rPr>
        <w:t>Polkey v AE Dayton Services </w:t>
      </w:r>
      <w:r w:rsidRPr="00FF2A84">
        <w:rPr>
          <w:rStyle w:val="normaltextrun"/>
          <w:rFonts w:ascii="Arial" w:hAnsi="Arial" w:cs="Arial"/>
          <w:color w:val="000000"/>
        </w:rPr>
        <w:t>brings together the Polkey deduction where it is found that although the claimant may have been unfairly dismissed due to process not being followed, the result would have been dismissal. If it can be proved that it was gross misconduct due to physical violence, then there is the likelihood that Mr Rees would have been dismissed regardless of the process being followed and the compensation reduced. For example, in </w:t>
      </w:r>
      <w:r w:rsidRPr="00FF2A84">
        <w:rPr>
          <w:rStyle w:val="normaltextrun"/>
          <w:rFonts w:ascii="Arial" w:hAnsi="Arial" w:cs="Arial"/>
          <w:i/>
          <w:iCs/>
          <w:color w:val="000000"/>
        </w:rPr>
        <w:t>Gover v Property Care Ltd (2006)</w:t>
      </w:r>
      <w:r w:rsidRPr="00FF2A84">
        <w:rPr>
          <w:rStyle w:val="normaltextrun"/>
          <w:rFonts w:ascii="Arial" w:hAnsi="Arial" w:cs="Arial"/>
        </w:rPr>
        <w:t> the consultation process was not followed but the individuals would not have accepted the lesser terms and therefore would have been dismissed, having their compensation reduced (McKie, 2006). </w:t>
      </w:r>
      <w:r w:rsidRPr="00FF2A84">
        <w:rPr>
          <w:rStyle w:val="eop"/>
          <w:rFonts w:ascii="Arial" w:hAnsi="Arial" w:cs="Arial"/>
        </w:rPr>
        <w:t> </w:t>
      </w:r>
    </w:p>
    <w:p w:rsidR="00FF2A84" w:rsidRPr="00FF2A84" w:rsidRDefault="00FF2A84"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3"/>
        <w:spacing w:line="360" w:lineRule="auto"/>
        <w:rPr>
          <w:rFonts w:ascii="Arial" w:hAnsi="Arial" w:cs="Arial"/>
          <w:sz w:val="24"/>
          <w:szCs w:val="24"/>
        </w:rPr>
      </w:pPr>
      <w:bookmarkStart w:id="11" w:name="_Toc71489212"/>
      <w:r w:rsidRPr="00FF2A84">
        <w:rPr>
          <w:rStyle w:val="normaltextrun"/>
          <w:rFonts w:ascii="Arial" w:hAnsi="Arial" w:cs="Arial"/>
          <w:sz w:val="24"/>
          <w:szCs w:val="24"/>
        </w:rPr>
        <w:t>Recommendation</w:t>
      </w:r>
      <w:bookmarkEnd w:id="11"/>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 xml:space="preserve">Based on the evidence and information provided, it is recommended that Big Buses Limited looks to settle with Mr Rees. With the associated legal costs, the cost of time, including management and any further legal fees, the total value of not advancing to the hearing could then be spent on value of the settlement. A further consideration is </w:t>
      </w:r>
      <w:r w:rsidRPr="00FF2A84">
        <w:rPr>
          <w:rStyle w:val="normaltextrun"/>
          <w:rFonts w:ascii="Arial" w:hAnsi="Arial" w:cs="Arial"/>
        </w:rPr>
        <w:lastRenderedPageBreak/>
        <w:t>if Mr Rees has been successful in attaining a new job, then it may be that the settlement total could be less. A settlement allows for confidentiality and an agreement between the parties for resolution of this, called a COT3 (ACAS, 2021a).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Employment tribunals are published online, which could have a detrimental impact on the organisation's reputation (ACAS, 2021a). By not settling there is a potential for the public to be made aware of the claims (including the Health and Safety concerns) and for the partners of Big Buses Limited to be discouraged from renewing their contracts, having a major impact on the reputational value of Big Buses Limited.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As we are aware from the above Mr Rees has a convincing argument in that process has not been followed, this is potentially a difficult defence which the employment tribunal may find Big Buses Limited guilty of and therefore causing reputational issues and the financial impacts as highlighted above.</w:t>
      </w:r>
      <w:r w:rsidRPr="00FF2A84">
        <w:rPr>
          <w:rStyle w:val="eop"/>
          <w:rFonts w:ascii="Arial" w:hAnsi="Arial" w:cs="Arial"/>
        </w:rPr>
        <w:t> </w:t>
      </w:r>
    </w:p>
    <w:p w:rsidR="00BA5B56"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 </w:t>
      </w:r>
      <w:r w:rsidRPr="00FF2A84">
        <w:rPr>
          <w:rStyle w:val="eop"/>
          <w:rFonts w:ascii="Arial" w:hAnsi="Arial" w:cs="Arial"/>
        </w:rPr>
        <w:t> </w:t>
      </w: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Pr="00FF2A84" w:rsidRDefault="00326630"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1"/>
        <w:spacing w:line="360" w:lineRule="auto"/>
        <w:jc w:val="both"/>
        <w:rPr>
          <w:rStyle w:val="eop"/>
          <w:rFonts w:ascii="Arial" w:hAnsi="Arial" w:cs="Arial"/>
          <w:sz w:val="24"/>
          <w:szCs w:val="24"/>
        </w:rPr>
      </w:pPr>
      <w:bookmarkStart w:id="12" w:name="_Toc71489213"/>
      <w:r w:rsidRPr="00FF2A84">
        <w:rPr>
          <w:rStyle w:val="normaltextrun"/>
          <w:rFonts w:ascii="Arial" w:hAnsi="Arial" w:cs="Arial"/>
          <w:sz w:val="24"/>
          <w:szCs w:val="24"/>
        </w:rPr>
        <w:lastRenderedPageBreak/>
        <w:t>Section 2</w:t>
      </w:r>
      <w:bookmarkEnd w:id="12"/>
      <w:r w:rsidRPr="00FF2A84">
        <w:rPr>
          <w:rStyle w:val="eop"/>
          <w:rFonts w:ascii="Arial" w:hAnsi="Arial" w:cs="Arial"/>
          <w:sz w:val="24"/>
          <w:szCs w:val="24"/>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Heading2"/>
        <w:spacing w:line="360" w:lineRule="auto"/>
        <w:jc w:val="both"/>
        <w:rPr>
          <w:rStyle w:val="eop"/>
          <w:rFonts w:ascii="Arial" w:hAnsi="Arial" w:cs="Arial"/>
          <w:sz w:val="24"/>
          <w:szCs w:val="24"/>
        </w:rPr>
      </w:pPr>
      <w:bookmarkStart w:id="13" w:name="_Toc71489214"/>
      <w:r w:rsidRPr="00FF2A84">
        <w:rPr>
          <w:rStyle w:val="normaltextrun"/>
          <w:rFonts w:ascii="Arial" w:hAnsi="Arial" w:cs="Arial"/>
          <w:sz w:val="24"/>
          <w:szCs w:val="24"/>
        </w:rPr>
        <w:t>2.1</w:t>
      </w:r>
      <w:r w:rsidRPr="00FF2A84">
        <w:rPr>
          <w:rStyle w:val="eop"/>
          <w:rFonts w:ascii="Arial" w:hAnsi="Arial" w:cs="Arial"/>
          <w:sz w:val="24"/>
          <w:szCs w:val="24"/>
        </w:rPr>
        <w:t> </w:t>
      </w:r>
      <w:r w:rsidR="00EE2FF8" w:rsidRPr="00FF2A84">
        <w:rPr>
          <w:rStyle w:val="eop"/>
          <w:rFonts w:ascii="Arial" w:hAnsi="Arial" w:cs="Arial"/>
          <w:sz w:val="24"/>
          <w:szCs w:val="24"/>
        </w:rPr>
        <w:t>Julie Davies</w:t>
      </w:r>
      <w:bookmarkEnd w:id="13"/>
    </w:p>
    <w:p w:rsidR="00EE2FF8" w:rsidRPr="00FF2A84" w:rsidRDefault="00EE2FF8"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Dear Managing Director</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r w:rsidRPr="00FF2A84">
        <w:rPr>
          <w:rStyle w:val="normaltextrun"/>
          <w:rFonts w:ascii="Arial" w:hAnsi="Arial" w:cs="Arial"/>
        </w:rPr>
        <w:t>Thank you for raising these queries with me.</w:t>
      </w:r>
    </w:p>
    <w:p w:rsidR="00EE2FF8" w:rsidRPr="00FF2A84" w:rsidRDefault="00EE2FF8" w:rsidP="000369E4">
      <w:pPr>
        <w:pStyle w:val="paragraph"/>
        <w:spacing w:before="0" w:beforeAutospacing="0" w:after="0" w:afterAutospacing="0" w:line="360" w:lineRule="auto"/>
        <w:jc w:val="both"/>
        <w:textAlignment w:val="baseline"/>
        <w:rPr>
          <w:rStyle w:val="normaltextrun"/>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A flexible working request can be made under statutory procedure if they have worked for their current employer for 26 weeks and have not made statutory request to work flexibly duri</w:t>
      </w:r>
      <w:r w:rsidR="005B7674">
        <w:rPr>
          <w:rStyle w:val="normaltextrun"/>
          <w:rFonts w:ascii="Arial" w:hAnsi="Arial" w:cs="Arial"/>
        </w:rPr>
        <w:t>ng the last 12 months (ACAS 2021e</w:t>
      </w:r>
      <w:r w:rsidRPr="00FF2A84">
        <w:rPr>
          <w:rStyle w:val="normaltextrun"/>
          <w:rFonts w:ascii="Arial" w:hAnsi="Arial" w:cs="Arial"/>
        </w:rPr>
        <w:t>). From the information that has been provided, Julie is eligible to make this request.</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All requests for flexible working should be submitted in writing, the Government (2014) provide a template form for individuals to complete for their request to be documented. This sets out the difference of the hours worked to wanted, the rationale and any impacts/benefits that this may have on the employer. Please can you acknowledge the request that Julie has made and ask for the form to be completed, once received a meeting should be arranged where Julie should be made aware that representation can be brought with her (ACAS 2014).</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By having Julie complete this form it will allow you to consider the request, impacts, benefits and any alternative solutions that may need to be provided and when it comes to the meeting it allows for a balanced and clear discussion.</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For a flexible working request to be refused it needs to fall into one of the below categories as outlined in the </w:t>
      </w:r>
      <w:r w:rsidRPr="00FF2A84">
        <w:rPr>
          <w:rStyle w:val="normaltextrun"/>
          <w:rFonts w:ascii="Arial" w:hAnsi="Arial" w:cs="Arial"/>
          <w:i/>
          <w:iCs/>
        </w:rPr>
        <w:t>Employment Rights Act [1996] Section 80G</w:t>
      </w:r>
      <w:r w:rsidRPr="00FF2A84">
        <w:rPr>
          <w:rStyle w:val="normaltextrun"/>
          <w:rFonts w:ascii="Arial" w:hAnsi="Arial" w:cs="Arial"/>
        </w:rPr>
        <w:t>:</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EE2FF8" w:rsidRPr="00FF2A84" w:rsidRDefault="00BA5B56" w:rsidP="000369E4">
      <w:pPr>
        <w:pStyle w:val="paragraph"/>
        <w:spacing w:before="0" w:beforeAutospacing="0" w:after="0" w:afterAutospacing="0" w:line="360" w:lineRule="auto"/>
        <w:jc w:val="both"/>
        <w:textAlignment w:val="baseline"/>
        <w:rPr>
          <w:rFonts w:ascii="Arial" w:hAnsi="Arial" w:cs="Arial"/>
          <w:color w:val="000000"/>
        </w:rPr>
      </w:pPr>
      <w:r w:rsidRPr="00FF2A84">
        <w:rPr>
          <w:rStyle w:val="normaltextrun"/>
          <w:rFonts w:ascii="Arial" w:hAnsi="Arial" w:cs="Arial"/>
          <w:color w:val="000000"/>
        </w:rPr>
        <w:t>(i)the burden of additional costs,</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(ii)detrimental effect on ability to meet customer demand,</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(iii)inability to re-organise work among existing staff,</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(iv)inability to recruit additional staff,</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(v)detrimental impact on quality,</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lastRenderedPageBreak/>
        <w:t>(vi)detrimental impact on performance,</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(vii)insufficiency of work during the periods the employee proposes to work,</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(viii)planned structural changes, and</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color w:val="000000"/>
        </w:rPr>
        <w:t>(ix)such other grounds as the Secretary of State may specify by regulations.</w:t>
      </w:r>
      <w:r w:rsidRPr="00FF2A84">
        <w:rPr>
          <w:rStyle w:val="eop"/>
          <w:rFonts w:ascii="Arial" w:hAnsi="Arial" w:cs="Arial"/>
          <w:color w:val="000000"/>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To refuse the hours request for Julie, as you have highlighted in your email, it would fall under Section 80G, part B, (i), (ii), (iii), (iv) and (vi) as set out above. With the primary rationale being that there are not sufficient monies to bring in additional members of staff or the capacity for other members of the team to take on more work due to their current workload.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Another reason to refuse the hours would be the request to work 8am – 3pm without a lunch break. Under the </w:t>
      </w:r>
      <w:r w:rsidRPr="00FF2A84">
        <w:rPr>
          <w:rStyle w:val="normaltextrun"/>
          <w:rFonts w:ascii="Arial" w:hAnsi="Arial" w:cs="Arial"/>
          <w:i/>
          <w:iCs/>
        </w:rPr>
        <w:t>Working Time Directives [1998] </w:t>
      </w:r>
      <w:r w:rsidRPr="00FF2A84">
        <w:rPr>
          <w:rStyle w:val="normaltextrun"/>
          <w:rFonts w:ascii="Arial" w:hAnsi="Arial" w:cs="Arial"/>
        </w:rPr>
        <w:t>Section 12, an individual is entitled to a rest break for hours worked of six or more, this rest break will need to consist of no less than 20 minutes uninterrupted.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reasoning that you have provided to decline Julie’s working from home request, is a subjective rationale and one that does require further consideration. Julie’s request to work from home is based on valid reasons, picking up children from school and to assist in looking after her mother who is currently shielding. There is a potential for associative discrimination, which is the discrimination of an individual based on the protected characteristics of another individual (Perry, 2019) if the request to work from home has been refused, as the mother may have a disability and requires additional assistant whilst in the shielding period. The European Court of Justice ruled in the </w:t>
      </w:r>
      <w:r w:rsidRPr="00FF2A84">
        <w:rPr>
          <w:rStyle w:val="normaltextrun"/>
          <w:rFonts w:ascii="Arial" w:hAnsi="Arial" w:cs="Arial"/>
          <w:i/>
          <w:iCs/>
        </w:rPr>
        <w:t>Coleman V Attridge Law</w:t>
      </w:r>
      <w:r w:rsidRPr="00FF2A84">
        <w:rPr>
          <w:rStyle w:val="normaltextrun"/>
          <w:rFonts w:ascii="Arial" w:hAnsi="Arial" w:cs="Arial"/>
        </w:rPr>
        <w:t>, that associative discrimination is unlawful in the workplace (Equality and Human Rights Commission, 2016).</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At present there is no valid explanation that you have provided to show that working from home two days a week could disadvantage the employer or Julie’s colleagues in any way. It has also been proven that the team were able to work from home for a period without any detrimental effects.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lastRenderedPageBreak/>
        <w:t>All requests for flexible working need to be completed within a “reasonable manner,” under the </w:t>
      </w:r>
      <w:r w:rsidRPr="00FF2A84">
        <w:rPr>
          <w:rStyle w:val="normaltextrun"/>
          <w:rFonts w:ascii="Arial" w:hAnsi="Arial" w:cs="Arial"/>
          <w:i/>
          <w:iCs/>
        </w:rPr>
        <w:t>Employment Rights Act 1996 Part 8A</w:t>
      </w:r>
      <w:r w:rsidRPr="00FF2A84">
        <w:rPr>
          <w:rStyle w:val="normaltextrun"/>
          <w:rFonts w:ascii="Arial" w:hAnsi="Arial" w:cs="Arial"/>
        </w:rPr>
        <w:t>, Flexible Working the request must be completed within three months from receipt of the date of the application is made (can be extended) and the ACAS Code of Practice on handling in a reasonable manner requests to work flexibly (2014), states that the three months includes appeals.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Based on the above it is recommended that the working from home request is considered, and the hours change is refused based on the </w:t>
      </w:r>
      <w:r w:rsidRPr="00FF2A84">
        <w:rPr>
          <w:rStyle w:val="normaltextrun"/>
          <w:rFonts w:ascii="Arial" w:hAnsi="Arial" w:cs="Arial"/>
          <w:i/>
          <w:iCs/>
        </w:rPr>
        <w:t>Employment Rights Act 1996, Section 80G.</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Once the meeting has taken place, a letter in writing should be provided to Julie, outlining the reasoning for the refusal, and agreed changes, the start date for the flexible working and the new Terms and Conditions for the changes reflecting the new legally binding change taking place (Government, 2021b). Although there is no statutory right to an appeal, the ACAS Code of Practice (2014) encourages an appeal to be made available to reflect the process has been handled in a “reasonable manner”.</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A further consideration that will need to take place is the management of these meetings. An appeal should be dealt with by a senior manager (CIPD, 2021) in this case the recommendation is that the line manager completes the initial meeting and the appeal (if one is made) can be heard by yourself, the Managing Director.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bookmarkStart w:id="14" w:name="_GoBack"/>
    </w:p>
    <w:p w:rsidR="00BA5B56" w:rsidRPr="00FF2A84" w:rsidRDefault="00BA5B56" w:rsidP="000369E4">
      <w:pPr>
        <w:pStyle w:val="Heading2"/>
        <w:spacing w:line="360" w:lineRule="auto"/>
        <w:jc w:val="both"/>
        <w:rPr>
          <w:rStyle w:val="eop"/>
          <w:rFonts w:ascii="Arial" w:hAnsi="Arial" w:cs="Arial"/>
          <w:sz w:val="24"/>
          <w:szCs w:val="24"/>
        </w:rPr>
      </w:pPr>
      <w:bookmarkStart w:id="15" w:name="_Toc71489215"/>
      <w:bookmarkEnd w:id="14"/>
      <w:r w:rsidRPr="00FF2A84">
        <w:rPr>
          <w:rStyle w:val="normaltextrun"/>
          <w:rFonts w:ascii="Arial" w:hAnsi="Arial" w:cs="Arial"/>
          <w:sz w:val="24"/>
          <w:szCs w:val="24"/>
        </w:rPr>
        <w:t>2.2</w:t>
      </w:r>
      <w:r w:rsidRPr="00FF2A84">
        <w:rPr>
          <w:rStyle w:val="eop"/>
          <w:rFonts w:ascii="Arial" w:hAnsi="Arial" w:cs="Arial"/>
          <w:sz w:val="24"/>
          <w:szCs w:val="24"/>
        </w:rPr>
        <w:t> </w:t>
      </w:r>
      <w:r w:rsidR="00EE2FF8" w:rsidRPr="00FF2A84">
        <w:rPr>
          <w:rStyle w:val="eop"/>
          <w:rFonts w:ascii="Arial" w:hAnsi="Arial" w:cs="Arial"/>
          <w:sz w:val="24"/>
          <w:szCs w:val="24"/>
        </w:rPr>
        <w:t>Lucy Bell</w:t>
      </w:r>
      <w:bookmarkEnd w:id="15"/>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Regarding the questions that you have raised surrounding the grievance by Lucy Bell. Please find my answers below.</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numPr>
          <w:ilvl w:val="0"/>
          <w:numId w:val="11"/>
        </w:numPr>
        <w:spacing w:before="0" w:beforeAutospacing="0" w:after="0" w:afterAutospacing="0" w:line="360" w:lineRule="auto"/>
        <w:ind w:left="360" w:firstLine="0"/>
        <w:jc w:val="both"/>
        <w:textAlignment w:val="baseline"/>
        <w:rPr>
          <w:rStyle w:val="eop"/>
          <w:rFonts w:ascii="Arial" w:hAnsi="Arial" w:cs="Arial"/>
        </w:rPr>
      </w:pPr>
      <w:r w:rsidRPr="00FF2A84">
        <w:rPr>
          <w:rStyle w:val="normaltextrun"/>
          <w:rFonts w:ascii="Arial" w:hAnsi="Arial" w:cs="Arial"/>
        </w:rPr>
        <w:t>Grievance</w:t>
      </w:r>
      <w:r w:rsidRPr="00FF2A84">
        <w:rPr>
          <w:rStyle w:val="eop"/>
          <w:rFonts w:ascii="Arial" w:hAnsi="Arial" w:cs="Arial"/>
        </w:rPr>
        <w:t> </w:t>
      </w:r>
    </w:p>
    <w:p w:rsidR="00EE2FF8" w:rsidRPr="00FF2A84" w:rsidRDefault="00EE2FF8" w:rsidP="000369E4">
      <w:pPr>
        <w:pStyle w:val="paragraph"/>
        <w:spacing w:before="0" w:beforeAutospacing="0" w:after="0" w:afterAutospacing="0" w:line="360" w:lineRule="auto"/>
        <w:ind w:left="360"/>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 xml:space="preserve">Firstly, it is best practice to see if it is possible to resolve the issue on an informal basis by setting up a meeting with Lucy to discuss her concerns raised (ACAS, 2020). If it is </w:t>
      </w:r>
      <w:r w:rsidRPr="00FF2A84">
        <w:rPr>
          <w:rStyle w:val="normaltextrun"/>
          <w:rFonts w:ascii="Arial" w:hAnsi="Arial" w:cs="Arial"/>
        </w:rPr>
        <w:lastRenderedPageBreak/>
        <w:t>not possible and the informal was unsuccessful then we will need to look at requesting an independent individual due to the line manager being named in the grievance, to assist with the investigation (ACAS, 2020). Formal acknowledgment, appointing an investigating officer and confirmation will need to be sent to Lucy.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Style w:val="normaltextrun"/>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This will now follow the ACAS code of practice for Grievance and Disciplinary (2020).</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matter raised will be the processing of Lucy’s sensitive personal data without her consent, in relation to her underlying lung condition, is unlawful and can be seen as a breach of the </w:t>
      </w:r>
      <w:r w:rsidRPr="00FF2A84">
        <w:rPr>
          <w:rStyle w:val="normaltextrun"/>
          <w:rFonts w:ascii="Arial" w:hAnsi="Arial" w:cs="Arial"/>
          <w:i/>
          <w:iCs/>
        </w:rPr>
        <w:t>Data Protection Act 2018, </w:t>
      </w:r>
      <w:r w:rsidRPr="00FF2A84">
        <w:rPr>
          <w:rStyle w:val="normaltextrun"/>
          <w:rFonts w:ascii="Arial" w:hAnsi="Arial" w:cs="Arial"/>
        </w:rPr>
        <w:t>section 35(3)</w:t>
      </w:r>
      <w:r w:rsidRPr="00FF2A84">
        <w:rPr>
          <w:rStyle w:val="normaltextrun"/>
          <w:rFonts w:ascii="Arial" w:hAnsi="Arial" w:cs="Arial"/>
          <w:i/>
          <w:iCs/>
        </w:rPr>
        <w:t>. </w:t>
      </w:r>
      <w:r w:rsidRPr="00FF2A84">
        <w:rPr>
          <w:rStyle w:val="normaltextrun"/>
          <w:rFonts w:ascii="Arial" w:hAnsi="Arial" w:cs="Arial"/>
        </w:rPr>
        <w:t>Due to this Lucy also has the right report this breach to the Information Commissioners Office</w:t>
      </w:r>
      <w:r w:rsidR="000369E4">
        <w:rPr>
          <w:rStyle w:val="normaltextrun"/>
          <w:rFonts w:ascii="Arial" w:hAnsi="Arial" w:cs="Arial"/>
        </w:rPr>
        <w:t xml:space="preserve"> (ICO)</w:t>
      </w:r>
      <w:r w:rsidRPr="00FF2A84">
        <w:rPr>
          <w:rStyle w:val="normaltextrun"/>
          <w:rFonts w:ascii="Arial" w:hAnsi="Arial" w:cs="Arial"/>
        </w:rPr>
        <w:t>. As part of the grievance investigation, the line manager will need to explain the reason behind the steps that he took.</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next step should be that the independent meets with Lucy to take her statement and to understand what the preferred outcome would be. This may be some form of remedial action in relation to the line manager, which could result in disciplinary action or even training in relation to the handling of personal information and data protection (ACAS, 2021d).</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After speaking with the line manager gathering any evidence that would be required and the finalising of the investigation. We would then look to communicate this outcome back to Lucy, which may or may not be what she was had asked for. This communication would therefore need to include information relating to the right of appeal.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To carry this investigation out as per the ACAS Code of Practice (2015), an independent person (not involved in the grievance) will need to complete the investigation, a grievance officer who cannot be the line manager and should not be the Managing Director as you will need to be able to hear the appeal should one be raised.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lastRenderedPageBreak/>
        <w:t>The second part of the grievance that Lucy has raised is the holding of Return-to-Work Interviews after a period of absence this will need to continue to take place as the company have a duty of care as an employer, and this would breach the duty of care if no not hold the meetings (HSE, 2021b). Our duty of care upon return to be make sure that the premises are ok for the individuals returning and to complete a work-based assessment.</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There is also a legal obligation under statutes, </w:t>
      </w:r>
      <w:r w:rsidRPr="00FF2A84">
        <w:rPr>
          <w:rStyle w:val="normaltextrun"/>
          <w:rFonts w:ascii="Arial" w:hAnsi="Arial" w:cs="Arial"/>
          <w:i/>
          <w:iCs/>
        </w:rPr>
        <w:t>Health and Safety at Work Act</w:t>
      </w:r>
      <w:r w:rsidRPr="00FF2A84">
        <w:rPr>
          <w:rStyle w:val="normaltextrun"/>
          <w:rFonts w:ascii="Arial" w:hAnsi="Arial" w:cs="Arial"/>
        </w:rPr>
        <w:t> </w:t>
      </w:r>
      <w:r w:rsidRPr="00FF2A84">
        <w:rPr>
          <w:rStyle w:val="normaltextrun"/>
          <w:rFonts w:ascii="Arial" w:hAnsi="Arial" w:cs="Arial"/>
          <w:i/>
          <w:iCs/>
        </w:rPr>
        <w:t>1974 </w:t>
      </w:r>
      <w:r w:rsidRPr="00FF2A84">
        <w:rPr>
          <w:rStyle w:val="normaltextrun"/>
          <w:rFonts w:ascii="Arial" w:hAnsi="Arial" w:cs="Arial"/>
        </w:rPr>
        <w:t>to make sure that the duty of care for employees is taking place and that a documented forum is of the best interest for the employees to discuss the working environment.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Based on this return-to-work interviews should continue to take place.</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numPr>
          <w:ilvl w:val="0"/>
          <w:numId w:val="12"/>
        </w:numPr>
        <w:spacing w:before="0" w:beforeAutospacing="0" w:after="0" w:afterAutospacing="0" w:line="360" w:lineRule="auto"/>
        <w:ind w:left="360" w:firstLine="0"/>
        <w:jc w:val="both"/>
        <w:textAlignment w:val="baseline"/>
        <w:rPr>
          <w:rStyle w:val="eop"/>
          <w:rFonts w:ascii="Arial" w:hAnsi="Arial" w:cs="Arial"/>
        </w:rPr>
      </w:pPr>
      <w:r w:rsidRPr="00FF2A84">
        <w:rPr>
          <w:rStyle w:val="normaltextrun"/>
          <w:rFonts w:ascii="Arial" w:hAnsi="Arial" w:cs="Arial"/>
        </w:rPr>
        <w:t>Underlying reason </w:t>
      </w:r>
      <w:r w:rsidRPr="00FF2A84">
        <w:rPr>
          <w:rStyle w:val="eop"/>
          <w:rFonts w:ascii="Arial" w:hAnsi="Arial" w:cs="Arial"/>
        </w:rPr>
        <w:t> </w:t>
      </w:r>
    </w:p>
    <w:p w:rsidR="00EE2FF8" w:rsidRPr="00FF2A84" w:rsidRDefault="00EE2FF8" w:rsidP="000369E4">
      <w:pPr>
        <w:pStyle w:val="paragraph"/>
        <w:spacing w:before="0" w:beforeAutospacing="0" w:after="0" w:afterAutospacing="0" w:line="360" w:lineRule="auto"/>
        <w:ind w:left="360"/>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It can be considered as a legitimate reason for telling staff that an individual will not be in and that a cover will be required. However, in relation to COVID and informing others of the reason such as self-isolating or shielding, is close to breaching data protection based on the release of sensitive personal information (ICO, 2021). In general purposes we would not be disclosing this information but for the Health and Safety (duty of care as employers) of those that have been in close contact with the individual that is now self-isolating due to COVID, then this information can be released (ICO, 2021b). This is due to the turnaround of Covid tests taking a few days to be returned and the risk of transmission being too high with those in contact with the individual and respectively their families. There is requirement for a proportionate use of the information and a need-to-know basis.</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numPr>
          <w:ilvl w:val="0"/>
          <w:numId w:val="13"/>
        </w:numPr>
        <w:spacing w:before="0" w:beforeAutospacing="0" w:after="0" w:afterAutospacing="0" w:line="360" w:lineRule="auto"/>
        <w:ind w:left="360" w:firstLine="0"/>
        <w:jc w:val="both"/>
        <w:textAlignment w:val="baseline"/>
        <w:rPr>
          <w:rStyle w:val="eop"/>
          <w:rFonts w:ascii="Arial" w:hAnsi="Arial" w:cs="Arial"/>
        </w:rPr>
      </w:pPr>
      <w:r w:rsidRPr="00FF2A84">
        <w:rPr>
          <w:rStyle w:val="normaltextrun"/>
          <w:rFonts w:ascii="Arial" w:hAnsi="Arial" w:cs="Arial"/>
        </w:rPr>
        <w:t>Record keeping </w:t>
      </w:r>
      <w:r w:rsidRPr="00FF2A84">
        <w:rPr>
          <w:rStyle w:val="eop"/>
          <w:rFonts w:ascii="Arial" w:hAnsi="Arial" w:cs="Arial"/>
        </w:rPr>
        <w:t> </w:t>
      </w:r>
    </w:p>
    <w:p w:rsidR="00EE2FF8" w:rsidRPr="00FF2A84" w:rsidRDefault="00EE2FF8" w:rsidP="000369E4">
      <w:pPr>
        <w:pStyle w:val="paragraph"/>
        <w:spacing w:before="0" w:beforeAutospacing="0" w:after="0" w:afterAutospacing="0" w:line="360" w:lineRule="auto"/>
        <w:ind w:left="360"/>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t>The ICO states that records should not be kept for any longer then necessary (records, retention and destruction) and with legitimate reasons, the recommendation is for 6 years (ICO, 2021c).</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normaltextrun"/>
          <w:rFonts w:ascii="Arial" w:hAnsi="Arial" w:cs="Arial"/>
        </w:rPr>
        <w:lastRenderedPageBreak/>
        <w:t>Although there is a legitimate reason for storing the information for those that are employed for the managing of absence. It is important to incorporate the seven principles of data protection due to the nature of this sensitive personal information, when storing this, the security and who will have access as well as the retention (ICO, 2021d).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Kind Regards</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HR Consultant</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normaltextrun"/>
          <w:rFonts w:ascii="Arial" w:hAnsi="Arial" w:cs="Arial"/>
        </w:rPr>
        <w:t> </w:t>
      </w:r>
      <w:r w:rsidRPr="00FF2A84">
        <w:rPr>
          <w:rStyle w:val="eop"/>
          <w:rFonts w:ascii="Arial" w:hAnsi="Arial" w:cs="Arial"/>
        </w:rPr>
        <w:t> </w:t>
      </w:r>
    </w:p>
    <w:p w:rsidR="00BA5B56" w:rsidRPr="00FF2A84" w:rsidRDefault="00BA5B56" w:rsidP="000369E4">
      <w:pPr>
        <w:pStyle w:val="paragraph"/>
        <w:spacing w:before="0" w:beforeAutospacing="0" w:after="0" w:afterAutospacing="0" w:line="360" w:lineRule="auto"/>
        <w:jc w:val="both"/>
        <w:textAlignment w:val="baseline"/>
        <w:rPr>
          <w:rFonts w:ascii="Arial" w:hAnsi="Arial" w:cs="Arial"/>
        </w:rPr>
      </w:pPr>
      <w:r w:rsidRPr="00FF2A84">
        <w:rPr>
          <w:rStyle w:val="eop"/>
          <w:rFonts w:ascii="Arial" w:hAnsi="Arial" w:cs="Arial"/>
        </w:rPr>
        <w:t> </w:t>
      </w:r>
    </w:p>
    <w:p w:rsidR="00BA5B56" w:rsidRDefault="00BA5B56" w:rsidP="000369E4">
      <w:pPr>
        <w:pStyle w:val="paragraph"/>
        <w:spacing w:before="0" w:beforeAutospacing="0" w:after="0" w:afterAutospacing="0" w:line="360" w:lineRule="auto"/>
        <w:jc w:val="both"/>
        <w:textAlignment w:val="baseline"/>
        <w:rPr>
          <w:rStyle w:val="eop"/>
          <w:rFonts w:ascii="Arial" w:hAnsi="Arial" w:cs="Arial"/>
        </w:rPr>
      </w:pPr>
      <w:r w:rsidRPr="00FF2A84">
        <w:rPr>
          <w:rStyle w:val="eop"/>
          <w:rFonts w:ascii="Arial" w:hAnsi="Arial" w:cs="Arial"/>
        </w:rPr>
        <w:t> </w:t>
      </w: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Default="00326630" w:rsidP="000369E4">
      <w:pPr>
        <w:pStyle w:val="paragraph"/>
        <w:spacing w:before="0" w:beforeAutospacing="0" w:after="0" w:afterAutospacing="0" w:line="360" w:lineRule="auto"/>
        <w:jc w:val="both"/>
        <w:textAlignment w:val="baseline"/>
        <w:rPr>
          <w:rStyle w:val="eop"/>
          <w:rFonts w:ascii="Arial" w:hAnsi="Arial" w:cs="Arial"/>
        </w:rPr>
      </w:pPr>
    </w:p>
    <w:p w:rsidR="00326630" w:rsidRPr="00FF2A84" w:rsidRDefault="00326630" w:rsidP="000369E4">
      <w:pPr>
        <w:pStyle w:val="paragraph"/>
        <w:spacing w:before="0" w:beforeAutospacing="0" w:after="0" w:afterAutospacing="0" w:line="360" w:lineRule="auto"/>
        <w:jc w:val="both"/>
        <w:textAlignment w:val="baseline"/>
        <w:rPr>
          <w:rFonts w:ascii="Arial" w:hAnsi="Arial" w:cs="Arial"/>
        </w:rPr>
      </w:pPr>
    </w:p>
    <w:p w:rsidR="004A7D5F" w:rsidRPr="000369E4" w:rsidRDefault="00FF2A84" w:rsidP="000369E4">
      <w:pPr>
        <w:pStyle w:val="Heading1"/>
        <w:spacing w:line="360" w:lineRule="auto"/>
        <w:rPr>
          <w:rFonts w:ascii="Arial" w:hAnsi="Arial" w:cs="Arial"/>
          <w:sz w:val="24"/>
          <w:szCs w:val="24"/>
        </w:rPr>
      </w:pPr>
      <w:bookmarkStart w:id="16" w:name="_Toc71489216"/>
      <w:r w:rsidRPr="000369E4">
        <w:rPr>
          <w:rFonts w:ascii="Arial" w:hAnsi="Arial" w:cs="Arial"/>
          <w:sz w:val="24"/>
          <w:szCs w:val="24"/>
        </w:rPr>
        <w:lastRenderedPageBreak/>
        <w:t>References</w:t>
      </w:r>
      <w:bookmarkEnd w:id="16"/>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ACAS (2015) </w:t>
      </w:r>
      <w:r w:rsidRPr="000369E4">
        <w:rPr>
          <w:rFonts w:ascii="Arial" w:hAnsi="Arial" w:cs="Arial"/>
          <w:i/>
          <w:sz w:val="24"/>
          <w:szCs w:val="24"/>
        </w:rPr>
        <w:t>Code of Practice on disciplinary and grievance procedures.</w:t>
      </w:r>
      <w:r w:rsidRPr="000369E4">
        <w:rPr>
          <w:rFonts w:ascii="Arial" w:hAnsi="Arial" w:cs="Arial"/>
          <w:sz w:val="24"/>
          <w:szCs w:val="24"/>
        </w:rPr>
        <w:t xml:space="preserve"> Available at: </w:t>
      </w:r>
      <w:hyperlink r:id="rId8" w:anchor="the-code-of-practice" w:history="1">
        <w:r w:rsidRPr="000369E4">
          <w:rPr>
            <w:rStyle w:val="Hyperlink"/>
            <w:rFonts w:ascii="Arial" w:hAnsi="Arial" w:cs="Arial"/>
            <w:sz w:val="24"/>
            <w:szCs w:val="24"/>
          </w:rPr>
          <w:t>Code of Practice on disciplinary and grievance procedures | Acas</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ACAS (2021a) </w:t>
      </w:r>
      <w:r w:rsidRPr="000369E4">
        <w:rPr>
          <w:rFonts w:ascii="Arial" w:hAnsi="Arial" w:cs="Arial"/>
          <w:i/>
          <w:sz w:val="24"/>
          <w:szCs w:val="24"/>
        </w:rPr>
        <w:t xml:space="preserve">Step 1: Deciding if there needs to be an investigation: Investigations for discipline and grievance: step by step. </w:t>
      </w:r>
      <w:r w:rsidRPr="000369E4">
        <w:rPr>
          <w:rFonts w:ascii="Arial" w:hAnsi="Arial" w:cs="Arial"/>
          <w:sz w:val="24"/>
          <w:szCs w:val="24"/>
        </w:rPr>
        <w:t xml:space="preserve"> Available at:</w:t>
      </w:r>
      <w:r w:rsidRPr="000369E4">
        <w:rPr>
          <w:rFonts w:ascii="Arial" w:hAnsi="Arial" w:cs="Arial"/>
          <w:i/>
          <w:sz w:val="24"/>
          <w:szCs w:val="24"/>
        </w:rPr>
        <w:t xml:space="preserve"> </w:t>
      </w:r>
      <w:hyperlink r:id="rId9" w:history="1">
        <w:r w:rsidRPr="000369E4">
          <w:rPr>
            <w:rStyle w:val="Hyperlink"/>
            <w:rFonts w:ascii="Arial" w:hAnsi="Arial" w:cs="Arial"/>
            <w:sz w:val="24"/>
            <w:szCs w:val="24"/>
          </w:rPr>
          <w:t>Step 1: Deciding if there needs to be an investigation: Investigations for discipline and grievance: step by step - Acas</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ACAS (2021b) </w:t>
      </w:r>
      <w:r w:rsidRPr="000369E4">
        <w:rPr>
          <w:rFonts w:ascii="Arial" w:hAnsi="Arial" w:cs="Arial"/>
          <w:i/>
          <w:sz w:val="24"/>
          <w:szCs w:val="24"/>
        </w:rPr>
        <w:t>Appealing a disciplinary or grievance outcome.</w:t>
      </w:r>
      <w:r w:rsidRPr="000369E4">
        <w:rPr>
          <w:rFonts w:ascii="Arial" w:hAnsi="Arial" w:cs="Arial"/>
          <w:sz w:val="24"/>
          <w:szCs w:val="24"/>
        </w:rPr>
        <w:t xml:space="preserve"> Available at: </w:t>
      </w:r>
      <w:hyperlink r:id="rId10" w:history="1">
        <w:r w:rsidRPr="000369E4">
          <w:rPr>
            <w:rStyle w:val="Hyperlink"/>
            <w:rFonts w:ascii="Arial" w:hAnsi="Arial" w:cs="Arial"/>
            <w:sz w:val="24"/>
            <w:szCs w:val="24"/>
          </w:rPr>
          <w:t>Appealing a disciplinary or grievance outcome - Acas</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ACAS (2021c) </w:t>
      </w:r>
      <w:r w:rsidRPr="000369E4">
        <w:rPr>
          <w:rFonts w:ascii="Arial" w:hAnsi="Arial" w:cs="Arial"/>
          <w:i/>
          <w:sz w:val="24"/>
          <w:szCs w:val="24"/>
        </w:rPr>
        <w:t>Notice periods and pay: Dismissals.</w:t>
      </w:r>
      <w:r w:rsidRPr="000369E4">
        <w:rPr>
          <w:rFonts w:ascii="Arial" w:hAnsi="Arial" w:cs="Arial"/>
          <w:sz w:val="24"/>
          <w:szCs w:val="24"/>
        </w:rPr>
        <w:t xml:space="preserve"> Available at: </w:t>
      </w:r>
      <w:hyperlink r:id="rId11" w:history="1">
        <w:r w:rsidRPr="000369E4">
          <w:rPr>
            <w:rStyle w:val="Hyperlink"/>
            <w:rFonts w:ascii="Arial" w:hAnsi="Arial" w:cs="Arial"/>
            <w:sz w:val="24"/>
            <w:szCs w:val="24"/>
          </w:rPr>
          <w:t>Notice periods and pay: Dismissals - Acas</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ACAS (2021d) </w:t>
      </w:r>
      <w:r w:rsidRPr="000369E4">
        <w:rPr>
          <w:rFonts w:ascii="Arial" w:hAnsi="Arial" w:cs="Arial"/>
          <w:i/>
          <w:sz w:val="24"/>
          <w:szCs w:val="24"/>
        </w:rPr>
        <w:t xml:space="preserve">Step 5: Deciding the outcome: Formal grievance procedure: step by step. </w:t>
      </w:r>
      <w:r w:rsidRPr="000369E4">
        <w:rPr>
          <w:rFonts w:ascii="Arial" w:hAnsi="Arial" w:cs="Arial"/>
          <w:sz w:val="24"/>
          <w:szCs w:val="24"/>
        </w:rPr>
        <w:t xml:space="preserve">Available at: </w:t>
      </w:r>
      <w:hyperlink r:id="rId12" w:history="1">
        <w:r w:rsidRPr="000369E4">
          <w:rPr>
            <w:rStyle w:val="Hyperlink"/>
            <w:rFonts w:ascii="Arial" w:hAnsi="Arial" w:cs="Arial"/>
            <w:sz w:val="24"/>
            <w:szCs w:val="24"/>
          </w:rPr>
          <w:t>Step 5: Deciding the outcome: Formal grievance procedure: step by step - Acas</w:t>
        </w:r>
      </w:hyperlink>
      <w:r w:rsidRPr="000369E4">
        <w:rPr>
          <w:rFonts w:ascii="Arial" w:hAnsi="Arial" w:cs="Arial"/>
          <w:sz w:val="24"/>
          <w:szCs w:val="24"/>
        </w:rPr>
        <w:t xml:space="preserve"> </w:t>
      </w:r>
      <w:r w:rsidRPr="000369E4">
        <w:rPr>
          <w:rStyle w:val="Hyperlink"/>
          <w:rFonts w:ascii="Arial" w:hAnsi="Arial" w:cs="Arial"/>
          <w:sz w:val="24"/>
          <w:szCs w:val="24"/>
        </w:rPr>
        <w:t>(Accessed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ACAS (2021e) </w:t>
      </w:r>
      <w:r w:rsidRPr="000369E4">
        <w:rPr>
          <w:rFonts w:ascii="Arial" w:hAnsi="Arial" w:cs="Arial"/>
          <w:i/>
          <w:sz w:val="24"/>
          <w:szCs w:val="24"/>
        </w:rPr>
        <w:t>Asking for flexible working: Making a flexible working request.</w:t>
      </w:r>
      <w:r w:rsidRPr="000369E4">
        <w:rPr>
          <w:rFonts w:ascii="Arial" w:hAnsi="Arial" w:cs="Arial"/>
          <w:sz w:val="24"/>
          <w:szCs w:val="24"/>
        </w:rPr>
        <w:t xml:space="preserve"> Available at: </w:t>
      </w:r>
      <w:hyperlink r:id="rId13" w:history="1">
        <w:r w:rsidRPr="000369E4">
          <w:rPr>
            <w:rStyle w:val="Hyperlink"/>
            <w:rFonts w:ascii="Arial" w:hAnsi="Arial" w:cs="Arial"/>
            <w:sz w:val="24"/>
            <w:szCs w:val="24"/>
          </w:rPr>
          <w:t>Asking for flexible working: Making a flexible working request - Acas</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ACAS (2014) </w:t>
      </w:r>
      <w:r w:rsidRPr="000369E4">
        <w:rPr>
          <w:rFonts w:ascii="Arial" w:hAnsi="Arial" w:cs="Arial"/>
          <w:i/>
          <w:sz w:val="24"/>
          <w:szCs w:val="24"/>
        </w:rPr>
        <w:t xml:space="preserve">Code of Practice on handling in a reasonable manner requests to work flexibly. </w:t>
      </w:r>
      <w:r w:rsidRPr="000369E4">
        <w:rPr>
          <w:rFonts w:ascii="Arial" w:hAnsi="Arial" w:cs="Arial"/>
          <w:sz w:val="24"/>
          <w:szCs w:val="24"/>
        </w:rPr>
        <w:t xml:space="preserve">Available at: </w:t>
      </w:r>
      <w:hyperlink r:id="rId14" w:history="1">
        <w:r w:rsidRPr="000369E4">
          <w:rPr>
            <w:rStyle w:val="Hyperlink"/>
            <w:rFonts w:ascii="Arial" w:hAnsi="Arial" w:cs="Arial"/>
            <w:sz w:val="24"/>
            <w:szCs w:val="24"/>
          </w:rPr>
          <w:t>Code of Practice on handling in a reasonable manner requests to work flexibly | Acas</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ACAS (2020) </w:t>
      </w:r>
      <w:r w:rsidRPr="000369E4">
        <w:rPr>
          <w:rFonts w:ascii="Arial" w:hAnsi="Arial" w:cs="Arial"/>
          <w:i/>
          <w:sz w:val="24"/>
          <w:szCs w:val="24"/>
        </w:rPr>
        <w:t xml:space="preserve">Discipline and Grievances at work. </w:t>
      </w:r>
      <w:r w:rsidRPr="000369E4">
        <w:rPr>
          <w:rFonts w:ascii="Arial" w:hAnsi="Arial" w:cs="Arial"/>
          <w:sz w:val="24"/>
          <w:szCs w:val="24"/>
        </w:rPr>
        <w:t xml:space="preserve">Available at: </w:t>
      </w:r>
      <w:hyperlink r:id="rId15" w:history="1">
        <w:r w:rsidRPr="000369E4">
          <w:rPr>
            <w:rStyle w:val="Hyperlink"/>
            <w:rFonts w:ascii="Arial" w:hAnsi="Arial" w:cs="Arial"/>
            <w:sz w:val="24"/>
            <w:szCs w:val="24"/>
          </w:rPr>
          <w:t>Discipline and Grievances at work (acas.org.uk)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Casemine (2008) </w:t>
      </w:r>
      <w:r w:rsidRPr="000369E4">
        <w:rPr>
          <w:rFonts w:ascii="Arial" w:hAnsi="Arial" w:cs="Arial"/>
          <w:i/>
          <w:sz w:val="24"/>
          <w:szCs w:val="24"/>
        </w:rPr>
        <w:t>Atkins v Coyle Personnel Plc [2008]</w:t>
      </w:r>
      <w:r w:rsidRPr="000369E4">
        <w:rPr>
          <w:rFonts w:ascii="Arial" w:hAnsi="Arial" w:cs="Arial"/>
          <w:sz w:val="24"/>
          <w:szCs w:val="24"/>
        </w:rPr>
        <w:t xml:space="preserve"> Available at: </w:t>
      </w:r>
      <w:hyperlink r:id="rId16" w:history="1">
        <w:r w:rsidRPr="000369E4">
          <w:rPr>
            <w:rStyle w:val="Hyperlink"/>
            <w:rFonts w:ascii="Arial" w:hAnsi="Arial" w:cs="Arial"/>
            <w:sz w:val="24"/>
            <w:szCs w:val="24"/>
          </w:rPr>
          <w:t>Atkins v Coyle Personnel Plc | [2008] UKEAT 0206_07_0802 | United Kingdom Employment Appeal Tribunal | Judgment | Law | CaseMine</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CIPD (2021a) </w:t>
      </w:r>
      <w:r w:rsidRPr="000369E4">
        <w:rPr>
          <w:rFonts w:ascii="Arial" w:hAnsi="Arial" w:cs="Arial"/>
          <w:i/>
          <w:sz w:val="24"/>
          <w:szCs w:val="24"/>
        </w:rPr>
        <w:t>Employment Tribunals Factsheets</w:t>
      </w:r>
      <w:r w:rsidRPr="000369E4">
        <w:rPr>
          <w:rFonts w:ascii="Arial" w:hAnsi="Arial" w:cs="Arial"/>
          <w:sz w:val="24"/>
          <w:szCs w:val="24"/>
        </w:rPr>
        <w:t xml:space="preserve">. Available at: </w:t>
      </w:r>
      <w:hyperlink r:id="rId17" w:history="1">
        <w:r w:rsidRPr="000369E4">
          <w:rPr>
            <w:rStyle w:val="Hyperlink"/>
            <w:rFonts w:ascii="Arial" w:hAnsi="Arial" w:cs="Arial"/>
            <w:sz w:val="24"/>
            <w:szCs w:val="24"/>
          </w:rPr>
          <w:t>Employment Tribunals | Factsheets | CIPD</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CIPD (2021b) </w:t>
      </w:r>
      <w:r w:rsidRPr="000369E4">
        <w:rPr>
          <w:rFonts w:ascii="Arial" w:hAnsi="Arial" w:cs="Arial"/>
          <w:i/>
          <w:sz w:val="24"/>
          <w:szCs w:val="24"/>
        </w:rPr>
        <w:t>Discipline &amp; Grievance Procedures Q&amp;As</w:t>
      </w:r>
      <w:r w:rsidRPr="000369E4">
        <w:rPr>
          <w:rFonts w:ascii="Arial" w:hAnsi="Arial" w:cs="Arial"/>
          <w:sz w:val="24"/>
          <w:szCs w:val="24"/>
        </w:rPr>
        <w:t xml:space="preserve">. Available at: </w:t>
      </w:r>
      <w:hyperlink r:id="rId18" w:history="1">
        <w:r w:rsidRPr="000369E4">
          <w:rPr>
            <w:rStyle w:val="Hyperlink"/>
            <w:rFonts w:ascii="Arial" w:hAnsi="Arial" w:cs="Arial"/>
            <w:sz w:val="24"/>
            <w:szCs w:val="24"/>
          </w:rPr>
          <w:t>Discipline &amp; Grievance Procedures Q&amp;As | CIPD</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lastRenderedPageBreak/>
        <w:t xml:space="preserve">CIPD (2021c) </w:t>
      </w:r>
      <w:r w:rsidRPr="000369E4">
        <w:rPr>
          <w:rFonts w:ascii="Arial" w:hAnsi="Arial" w:cs="Arial"/>
          <w:i/>
          <w:sz w:val="24"/>
          <w:szCs w:val="24"/>
        </w:rPr>
        <w:t>Statutory Rates</w:t>
      </w:r>
      <w:r w:rsidRPr="000369E4">
        <w:rPr>
          <w:rFonts w:ascii="Arial" w:hAnsi="Arial" w:cs="Arial"/>
          <w:sz w:val="24"/>
          <w:szCs w:val="24"/>
        </w:rPr>
        <w:t xml:space="preserve">. Available at: </w:t>
      </w:r>
      <w:hyperlink r:id="rId19" w:history="1">
        <w:r w:rsidRPr="000369E4">
          <w:rPr>
            <w:rStyle w:val="Hyperlink"/>
            <w:rFonts w:ascii="Arial" w:hAnsi="Arial" w:cs="Arial"/>
            <w:sz w:val="24"/>
            <w:szCs w:val="24"/>
          </w:rPr>
          <w:t>Statutory Rates | CIPD</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Citizens Advice (2020) </w:t>
      </w:r>
      <w:r w:rsidRPr="000369E4">
        <w:rPr>
          <w:rFonts w:ascii="Arial" w:hAnsi="Arial" w:cs="Arial"/>
          <w:i/>
          <w:sz w:val="24"/>
          <w:szCs w:val="24"/>
        </w:rPr>
        <w:t xml:space="preserve">Employment tribunal – how to work out your compensatory award if you are claiming unfair dismissal. </w:t>
      </w:r>
      <w:r w:rsidRPr="000369E4">
        <w:rPr>
          <w:rFonts w:ascii="Arial" w:hAnsi="Arial" w:cs="Arial"/>
          <w:sz w:val="24"/>
          <w:szCs w:val="24"/>
        </w:rPr>
        <w:t xml:space="preserve">Available at: </w:t>
      </w:r>
      <w:hyperlink r:id="rId20" w:history="1">
        <w:r w:rsidRPr="000369E4">
          <w:rPr>
            <w:rStyle w:val="Hyperlink"/>
            <w:rFonts w:ascii="Arial" w:hAnsi="Arial" w:cs="Arial"/>
            <w:sz w:val="24"/>
            <w:szCs w:val="24"/>
          </w:rPr>
          <w:t>Employment tribunals - how to work out your compensatory award if you are claiming unfair dismissal - Citizens Advice</w:t>
        </w:r>
      </w:hyperlink>
      <w:r w:rsidRPr="000369E4">
        <w:rPr>
          <w:rFonts w:ascii="Arial" w:hAnsi="Arial" w:cs="Arial"/>
          <w:sz w:val="24"/>
          <w:szCs w:val="24"/>
        </w:rPr>
        <w:t xml:space="preserve"> </w:t>
      </w:r>
      <w:r w:rsidRPr="000369E4">
        <w:rPr>
          <w:rStyle w:val="Hyperlink"/>
          <w:rFonts w:ascii="Arial" w:hAnsi="Arial" w:cs="Arial"/>
          <w:sz w:val="24"/>
          <w:szCs w:val="24"/>
        </w:rPr>
        <w:t>(Accessed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Citizens advice (2021) </w:t>
      </w:r>
      <w:r w:rsidRPr="000369E4">
        <w:rPr>
          <w:rFonts w:ascii="Arial" w:hAnsi="Arial" w:cs="Arial"/>
          <w:i/>
          <w:sz w:val="24"/>
          <w:szCs w:val="24"/>
        </w:rPr>
        <w:t xml:space="preserve">Employment tribunals – is your compensatory award below the cap and will any welfare benefits you’ve received reduce it? </w:t>
      </w:r>
      <w:r w:rsidRPr="000369E4">
        <w:rPr>
          <w:rFonts w:ascii="Arial" w:hAnsi="Arial" w:cs="Arial"/>
          <w:sz w:val="24"/>
          <w:szCs w:val="24"/>
        </w:rPr>
        <w:t xml:space="preserve">Available at: </w:t>
      </w:r>
      <w:hyperlink r:id="rId21" w:history="1">
        <w:r w:rsidRPr="000369E4">
          <w:rPr>
            <w:rStyle w:val="Hyperlink"/>
            <w:rFonts w:ascii="Arial" w:hAnsi="Arial" w:cs="Arial"/>
            <w:sz w:val="24"/>
            <w:szCs w:val="24"/>
          </w:rPr>
          <w:t>Employment tribunals - is your compensatory award below the cap and will any welfare benefits you've received reduce it? - Citizens Advice</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Department for Business Innovation and Skills (2015) </w:t>
      </w:r>
      <w:r w:rsidRPr="000369E4">
        <w:rPr>
          <w:rFonts w:ascii="Arial" w:hAnsi="Arial" w:cs="Arial"/>
          <w:i/>
          <w:sz w:val="24"/>
          <w:szCs w:val="24"/>
        </w:rPr>
        <w:t>Whistleblowing: Guidance for Employers and Code of Practice</w:t>
      </w:r>
      <w:r w:rsidRPr="000369E4">
        <w:rPr>
          <w:rFonts w:ascii="Arial" w:hAnsi="Arial" w:cs="Arial"/>
          <w:sz w:val="24"/>
          <w:szCs w:val="24"/>
        </w:rPr>
        <w:t xml:space="preserve">. Available at: </w:t>
      </w:r>
      <w:hyperlink r:id="rId22" w:history="1">
        <w:r w:rsidRPr="000369E4">
          <w:rPr>
            <w:rStyle w:val="Hyperlink"/>
            <w:rFonts w:ascii="Arial" w:hAnsi="Arial" w:cs="Arial"/>
            <w:sz w:val="24"/>
            <w:szCs w:val="24"/>
          </w:rPr>
          <w:t>Whistleblowing: Guidance for Employers and Code of Practice (publishing.service.gov.uk)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Dentons (2021) </w:t>
      </w:r>
      <w:r w:rsidRPr="000369E4">
        <w:rPr>
          <w:rFonts w:ascii="Arial" w:hAnsi="Arial" w:cs="Arial"/>
          <w:i/>
          <w:sz w:val="24"/>
          <w:szCs w:val="24"/>
        </w:rPr>
        <w:t xml:space="preserve">“Can I have my job back?” – reinstatement and re-engagement in the employment tribunal. </w:t>
      </w:r>
      <w:r w:rsidRPr="000369E4">
        <w:rPr>
          <w:rFonts w:ascii="Arial" w:hAnsi="Arial" w:cs="Arial"/>
          <w:sz w:val="24"/>
          <w:szCs w:val="24"/>
        </w:rPr>
        <w:t>Available at:</w:t>
      </w:r>
      <w:r w:rsidRPr="000369E4">
        <w:rPr>
          <w:rFonts w:ascii="Arial" w:hAnsi="Arial" w:cs="Arial"/>
          <w:i/>
          <w:sz w:val="24"/>
          <w:szCs w:val="24"/>
        </w:rPr>
        <w:t xml:space="preserve"> </w:t>
      </w:r>
      <w:hyperlink r:id="rId23" w:anchor=":~:text=In%20circumstances%20where%20an%20employment,they%20had%20never%20been%20dismissed" w:history="1">
        <w:r w:rsidRPr="000369E4">
          <w:rPr>
            <w:rStyle w:val="Hyperlink"/>
            <w:rFonts w:ascii="Arial" w:hAnsi="Arial" w:cs="Arial"/>
            <w:sz w:val="24"/>
            <w:szCs w:val="24"/>
          </w:rPr>
          <w:t>Dentons - “Can I have my job back?” – reinstatement and re-engagement in the employment tribunal</w:t>
        </w:r>
      </w:hyperlink>
      <w:r w:rsidRPr="000369E4">
        <w:rPr>
          <w:rFonts w:ascii="Arial" w:hAnsi="Arial" w:cs="Arial"/>
          <w:sz w:val="24"/>
          <w:szCs w:val="24"/>
        </w:rPr>
        <w:t xml:space="preserve"> </w:t>
      </w:r>
      <w:r w:rsidRPr="000369E4">
        <w:rPr>
          <w:rStyle w:val="Hyperlink"/>
          <w:rFonts w:ascii="Arial" w:hAnsi="Arial" w:cs="Arial"/>
          <w:sz w:val="24"/>
          <w:szCs w:val="24"/>
        </w:rPr>
        <w:t>(Accessed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Employment Tribunal (2020) </w:t>
      </w:r>
      <w:r w:rsidRPr="000369E4">
        <w:rPr>
          <w:rFonts w:ascii="Arial" w:hAnsi="Arial" w:cs="Arial"/>
          <w:i/>
          <w:sz w:val="24"/>
          <w:szCs w:val="24"/>
        </w:rPr>
        <w:t xml:space="preserve">ET3 – Response form. </w:t>
      </w:r>
      <w:r w:rsidRPr="000369E4">
        <w:rPr>
          <w:rFonts w:ascii="Arial" w:hAnsi="Arial" w:cs="Arial"/>
          <w:sz w:val="24"/>
          <w:szCs w:val="24"/>
        </w:rPr>
        <w:t xml:space="preserve">Available at: </w:t>
      </w:r>
      <w:hyperlink r:id="rId24" w:history="1">
        <w:r w:rsidRPr="000369E4">
          <w:rPr>
            <w:rStyle w:val="Hyperlink"/>
            <w:rFonts w:ascii="Arial" w:hAnsi="Arial" w:cs="Arial"/>
            <w:sz w:val="24"/>
            <w:szCs w:val="24"/>
          </w:rPr>
          <w:t>ET3 - Response form (publishing.service.gov.uk)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i/>
          <w:sz w:val="24"/>
          <w:szCs w:val="24"/>
        </w:rPr>
      </w:pPr>
      <w:r w:rsidRPr="000369E4">
        <w:rPr>
          <w:rStyle w:val="Hyperlink"/>
          <w:rFonts w:ascii="Arial" w:hAnsi="Arial" w:cs="Arial"/>
          <w:i/>
          <w:sz w:val="24"/>
          <w:szCs w:val="24"/>
        </w:rPr>
        <w:t>Employment Rights Act 1996 Section 86</w:t>
      </w:r>
      <w:r w:rsidRPr="000369E4">
        <w:rPr>
          <w:rStyle w:val="Hyperlink"/>
          <w:rFonts w:ascii="Arial" w:hAnsi="Arial" w:cs="Arial"/>
          <w:sz w:val="24"/>
          <w:szCs w:val="24"/>
        </w:rPr>
        <w:t>. Available at:</w:t>
      </w:r>
      <w:r w:rsidRPr="000369E4">
        <w:rPr>
          <w:rStyle w:val="Hyperlink"/>
          <w:rFonts w:ascii="Arial" w:hAnsi="Arial" w:cs="Arial"/>
          <w:i/>
          <w:sz w:val="24"/>
          <w:szCs w:val="24"/>
        </w:rPr>
        <w:t xml:space="preserve"> </w:t>
      </w:r>
      <w:hyperlink r:id="rId25" w:history="1">
        <w:r w:rsidRPr="000369E4">
          <w:rPr>
            <w:rStyle w:val="Hyperlink"/>
            <w:rFonts w:ascii="Arial" w:hAnsi="Arial" w:cs="Arial"/>
            <w:sz w:val="24"/>
            <w:szCs w:val="24"/>
          </w:rPr>
          <w:t>Employment Rights Act 1996 (legislation.gov.uk)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i/>
          <w:sz w:val="24"/>
          <w:szCs w:val="24"/>
        </w:rPr>
      </w:pPr>
      <w:r w:rsidRPr="000369E4">
        <w:rPr>
          <w:rFonts w:ascii="Arial" w:hAnsi="Arial" w:cs="Arial"/>
          <w:i/>
          <w:sz w:val="24"/>
          <w:szCs w:val="24"/>
        </w:rPr>
        <w:t xml:space="preserve">Employment Rights Act 1996 Section 98. </w:t>
      </w:r>
      <w:r w:rsidRPr="000369E4">
        <w:rPr>
          <w:rFonts w:ascii="Arial" w:hAnsi="Arial" w:cs="Arial"/>
          <w:sz w:val="24"/>
          <w:szCs w:val="24"/>
        </w:rPr>
        <w:t xml:space="preserve">Available at: </w:t>
      </w:r>
      <w:hyperlink r:id="rId26" w:anchor="commentary-c21261231" w:history="1">
        <w:r w:rsidRPr="000369E4">
          <w:rPr>
            <w:rStyle w:val="Hyperlink"/>
            <w:rFonts w:ascii="Arial" w:hAnsi="Arial" w:cs="Arial"/>
            <w:sz w:val="24"/>
            <w:szCs w:val="24"/>
          </w:rPr>
          <w:t>Employment Rights Act 1996 (legislation.gov.uk)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i/>
          <w:sz w:val="24"/>
          <w:szCs w:val="24"/>
        </w:rPr>
        <w:t xml:space="preserve">Employment Rights Act 1996 Section 100 Subsection 1 paragraph C. </w:t>
      </w:r>
      <w:r w:rsidRPr="000369E4">
        <w:rPr>
          <w:rFonts w:ascii="Arial" w:hAnsi="Arial" w:cs="Arial"/>
          <w:sz w:val="24"/>
          <w:szCs w:val="24"/>
        </w:rPr>
        <w:t>Available at:</w:t>
      </w:r>
      <w:r w:rsidRPr="000369E4">
        <w:rPr>
          <w:rFonts w:ascii="Arial" w:hAnsi="Arial" w:cs="Arial"/>
          <w:i/>
          <w:sz w:val="24"/>
          <w:szCs w:val="24"/>
        </w:rPr>
        <w:t xml:space="preserve"> </w:t>
      </w:r>
      <w:hyperlink r:id="rId27" w:history="1">
        <w:r w:rsidRPr="000369E4">
          <w:rPr>
            <w:rStyle w:val="Hyperlink"/>
            <w:rFonts w:ascii="Arial" w:hAnsi="Arial" w:cs="Arial"/>
            <w:sz w:val="24"/>
            <w:szCs w:val="24"/>
          </w:rPr>
          <w:t>Employment Rights Act 1996 (legislation.gov.uk)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Style w:val="Hyperlink"/>
          <w:rFonts w:ascii="Arial" w:hAnsi="Arial" w:cs="Arial"/>
          <w:i/>
          <w:sz w:val="24"/>
          <w:szCs w:val="24"/>
        </w:rPr>
        <w:t xml:space="preserve">Employment Rights Act 1996 Section 103a </w:t>
      </w:r>
      <w:r w:rsidRPr="000369E4">
        <w:rPr>
          <w:rStyle w:val="Hyperlink"/>
          <w:rFonts w:ascii="Arial" w:hAnsi="Arial" w:cs="Arial"/>
          <w:sz w:val="24"/>
          <w:szCs w:val="24"/>
        </w:rPr>
        <w:t xml:space="preserve">Available at: </w:t>
      </w:r>
      <w:hyperlink r:id="rId28" w:history="1">
        <w:r w:rsidRPr="000369E4">
          <w:rPr>
            <w:rStyle w:val="Hyperlink"/>
            <w:rFonts w:ascii="Arial" w:hAnsi="Arial" w:cs="Arial"/>
            <w:sz w:val="24"/>
            <w:szCs w:val="24"/>
          </w:rPr>
          <w:t>Employment Rights Act 1996 (legislation.gov.uk)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i/>
          <w:sz w:val="24"/>
          <w:szCs w:val="24"/>
        </w:rPr>
        <w:lastRenderedPageBreak/>
        <w:t xml:space="preserve">Employment Rights Act 1996 Flexible working Part 8A. </w:t>
      </w:r>
      <w:r w:rsidRPr="000369E4">
        <w:rPr>
          <w:rFonts w:ascii="Arial" w:hAnsi="Arial" w:cs="Arial"/>
          <w:sz w:val="24"/>
          <w:szCs w:val="24"/>
        </w:rPr>
        <w:t>Available at:</w:t>
      </w:r>
      <w:r w:rsidRPr="000369E4">
        <w:rPr>
          <w:rFonts w:ascii="Arial" w:hAnsi="Arial" w:cs="Arial"/>
          <w:i/>
          <w:sz w:val="24"/>
          <w:szCs w:val="24"/>
        </w:rPr>
        <w:t xml:space="preserve"> </w:t>
      </w:r>
      <w:hyperlink r:id="rId29" w:history="1">
        <w:r w:rsidRPr="000369E4">
          <w:rPr>
            <w:rStyle w:val="Hyperlink"/>
            <w:rFonts w:ascii="Arial" w:hAnsi="Arial" w:cs="Arial"/>
            <w:sz w:val="24"/>
            <w:szCs w:val="24"/>
          </w:rPr>
          <w:t>Employment Rights Act 1996 (legislation.gov.uk)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Equality and Human Rights Commission (2016) </w:t>
      </w:r>
      <w:r w:rsidRPr="000369E4">
        <w:rPr>
          <w:rFonts w:ascii="Arial" w:hAnsi="Arial" w:cs="Arial"/>
          <w:i/>
          <w:sz w:val="24"/>
          <w:szCs w:val="24"/>
        </w:rPr>
        <w:t>The Coleman case</w:t>
      </w:r>
      <w:r w:rsidRPr="000369E4">
        <w:rPr>
          <w:rFonts w:ascii="Arial" w:hAnsi="Arial" w:cs="Arial"/>
          <w:sz w:val="24"/>
          <w:szCs w:val="24"/>
        </w:rPr>
        <w:t xml:space="preserve">. Available at: </w:t>
      </w:r>
      <w:hyperlink r:id="rId30" w:history="1">
        <w:r w:rsidRPr="000369E4">
          <w:rPr>
            <w:rStyle w:val="Hyperlink"/>
            <w:rFonts w:ascii="Arial" w:hAnsi="Arial" w:cs="Arial"/>
            <w:sz w:val="24"/>
            <w:szCs w:val="24"/>
          </w:rPr>
          <w:t>The Coleman case | Equality and Human Rights Commission (equalityhumanrights.com)</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Employment Law Guide (2021) </w:t>
      </w:r>
      <w:r w:rsidRPr="000369E4">
        <w:rPr>
          <w:rFonts w:ascii="Arial" w:hAnsi="Arial" w:cs="Arial"/>
          <w:i/>
          <w:sz w:val="24"/>
          <w:szCs w:val="24"/>
        </w:rPr>
        <w:t xml:space="preserve">Working Time Regulations. </w:t>
      </w:r>
      <w:r w:rsidRPr="000369E4">
        <w:rPr>
          <w:rFonts w:ascii="Arial" w:hAnsi="Arial" w:cs="Arial"/>
          <w:sz w:val="24"/>
          <w:szCs w:val="24"/>
        </w:rPr>
        <w:t>Available at:</w:t>
      </w:r>
      <w:r w:rsidRPr="000369E4">
        <w:rPr>
          <w:rFonts w:ascii="Arial" w:hAnsi="Arial" w:cs="Arial"/>
          <w:i/>
          <w:sz w:val="24"/>
          <w:szCs w:val="24"/>
        </w:rPr>
        <w:t xml:space="preserve"> </w:t>
      </w:r>
      <w:hyperlink r:id="rId31" w:history="1">
        <w:r w:rsidRPr="000369E4">
          <w:rPr>
            <w:rStyle w:val="Hyperlink"/>
            <w:rFonts w:ascii="Arial" w:hAnsi="Arial" w:cs="Arial"/>
            <w:sz w:val="24"/>
            <w:szCs w:val="24"/>
          </w:rPr>
          <w:t>Working Time Regulations | Employment Law In The UK (employmentlawguide.uk)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Government UK (2014) </w:t>
      </w:r>
      <w:r w:rsidRPr="000369E4">
        <w:rPr>
          <w:rFonts w:ascii="Arial" w:hAnsi="Arial" w:cs="Arial"/>
          <w:i/>
          <w:sz w:val="24"/>
          <w:szCs w:val="24"/>
        </w:rPr>
        <w:t>Right to request flexible working: application form</w:t>
      </w:r>
      <w:r w:rsidRPr="000369E4">
        <w:rPr>
          <w:rFonts w:ascii="Arial" w:hAnsi="Arial" w:cs="Arial"/>
          <w:sz w:val="24"/>
          <w:szCs w:val="24"/>
        </w:rPr>
        <w:t xml:space="preserve">. Available at: </w:t>
      </w:r>
      <w:hyperlink r:id="rId32" w:history="1">
        <w:r w:rsidRPr="000369E4">
          <w:rPr>
            <w:rStyle w:val="Hyperlink"/>
            <w:rFonts w:ascii="Arial" w:hAnsi="Arial" w:cs="Arial"/>
            <w:sz w:val="24"/>
            <w:szCs w:val="24"/>
          </w:rPr>
          <w:t>Right to request flexible working: application form - GOV.UK (www.gov.uk)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Government UK (2020a) </w:t>
      </w:r>
      <w:r w:rsidRPr="000369E4">
        <w:rPr>
          <w:rFonts w:ascii="Arial" w:hAnsi="Arial" w:cs="Arial"/>
          <w:i/>
          <w:sz w:val="24"/>
          <w:szCs w:val="24"/>
        </w:rPr>
        <w:t xml:space="preserve">Being taken to an employment tribunal. </w:t>
      </w:r>
      <w:r w:rsidRPr="000369E4">
        <w:rPr>
          <w:rFonts w:ascii="Arial" w:hAnsi="Arial" w:cs="Arial"/>
          <w:sz w:val="24"/>
          <w:szCs w:val="24"/>
        </w:rPr>
        <w:t xml:space="preserve">Available at: </w:t>
      </w:r>
      <w:hyperlink r:id="rId33" w:history="1">
        <w:r w:rsidRPr="000369E4">
          <w:rPr>
            <w:rStyle w:val="Hyperlink"/>
            <w:rFonts w:ascii="Arial" w:hAnsi="Arial" w:cs="Arial"/>
            <w:sz w:val="24"/>
            <w:szCs w:val="24"/>
          </w:rPr>
          <w:t>Being taken to an employment tribunal - GOV.UK (www.gov.uk)</w:t>
        </w:r>
      </w:hyperlink>
      <w:r w:rsidRPr="000369E4">
        <w:rPr>
          <w:rFonts w:ascii="Arial" w:hAnsi="Arial" w:cs="Arial"/>
          <w:sz w:val="24"/>
          <w:szCs w:val="24"/>
        </w:rPr>
        <w:t xml:space="preserve"> </w:t>
      </w:r>
      <w:r w:rsidRPr="000369E4">
        <w:rPr>
          <w:rStyle w:val="Hyperlink"/>
          <w:rFonts w:ascii="Arial" w:hAnsi="Arial" w:cs="Arial"/>
          <w:sz w:val="24"/>
          <w:szCs w:val="24"/>
        </w:rPr>
        <w:t>(Accessed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Government UK (2020b) </w:t>
      </w:r>
      <w:r w:rsidRPr="000369E4">
        <w:rPr>
          <w:rFonts w:ascii="Arial" w:hAnsi="Arial" w:cs="Arial"/>
          <w:i/>
          <w:sz w:val="24"/>
          <w:szCs w:val="24"/>
        </w:rPr>
        <w:t>Dismissing staff</w:t>
      </w:r>
      <w:r w:rsidRPr="000369E4">
        <w:rPr>
          <w:rFonts w:ascii="Arial" w:hAnsi="Arial" w:cs="Arial"/>
          <w:sz w:val="24"/>
          <w:szCs w:val="24"/>
        </w:rPr>
        <w:t xml:space="preserve">. </w:t>
      </w:r>
      <w:r w:rsidRPr="000369E4">
        <w:rPr>
          <w:rFonts w:ascii="Arial" w:hAnsi="Arial" w:cs="Arial"/>
          <w:i/>
          <w:sz w:val="24"/>
          <w:szCs w:val="24"/>
        </w:rPr>
        <w:t xml:space="preserve"> </w:t>
      </w:r>
      <w:r w:rsidRPr="000369E4">
        <w:rPr>
          <w:rFonts w:ascii="Arial" w:hAnsi="Arial" w:cs="Arial"/>
          <w:sz w:val="24"/>
          <w:szCs w:val="24"/>
        </w:rPr>
        <w:t xml:space="preserve">Available at: </w:t>
      </w:r>
      <w:hyperlink r:id="rId34" w:history="1">
        <w:r w:rsidRPr="000369E4">
          <w:rPr>
            <w:rStyle w:val="Hyperlink"/>
            <w:rFonts w:ascii="Arial" w:hAnsi="Arial" w:cs="Arial"/>
            <w:sz w:val="24"/>
            <w:szCs w:val="24"/>
          </w:rPr>
          <w:t>Dismissing staff - GOV.UK (www.gov.uk)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Government UK (2021a)</w:t>
      </w:r>
      <w:r w:rsidRPr="000369E4">
        <w:rPr>
          <w:rFonts w:ascii="Arial" w:hAnsi="Arial" w:cs="Arial"/>
          <w:i/>
          <w:sz w:val="24"/>
          <w:szCs w:val="24"/>
        </w:rPr>
        <w:t xml:space="preserve"> Flexible working: Types of flexible working. </w:t>
      </w:r>
      <w:r w:rsidRPr="000369E4">
        <w:rPr>
          <w:rFonts w:ascii="Arial" w:hAnsi="Arial" w:cs="Arial"/>
          <w:sz w:val="24"/>
          <w:szCs w:val="24"/>
        </w:rPr>
        <w:t xml:space="preserve">Available at: </w:t>
      </w:r>
      <w:hyperlink r:id="rId35" w:history="1">
        <w:r w:rsidRPr="000369E4">
          <w:rPr>
            <w:rStyle w:val="Hyperlink"/>
            <w:rFonts w:ascii="Arial" w:hAnsi="Arial" w:cs="Arial"/>
            <w:sz w:val="24"/>
            <w:szCs w:val="24"/>
          </w:rPr>
          <w:t>Flexible working: Types of flexible working - GOV.UK (www.gov.uk)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Government UK (2021b) </w:t>
      </w:r>
      <w:r w:rsidRPr="000369E4">
        <w:rPr>
          <w:rFonts w:ascii="Arial" w:hAnsi="Arial" w:cs="Arial"/>
          <w:i/>
          <w:sz w:val="24"/>
          <w:szCs w:val="24"/>
        </w:rPr>
        <w:t xml:space="preserve">Changing an employment contract: Making changes. </w:t>
      </w:r>
      <w:r w:rsidRPr="000369E4">
        <w:rPr>
          <w:rFonts w:ascii="Arial" w:hAnsi="Arial" w:cs="Arial"/>
          <w:sz w:val="24"/>
          <w:szCs w:val="24"/>
        </w:rPr>
        <w:t xml:space="preserve">Available at: </w:t>
      </w:r>
      <w:hyperlink r:id="rId36" w:history="1">
        <w:r w:rsidRPr="000369E4">
          <w:rPr>
            <w:rStyle w:val="Hyperlink"/>
            <w:rFonts w:ascii="Arial" w:hAnsi="Arial" w:cs="Arial"/>
            <w:sz w:val="24"/>
            <w:szCs w:val="24"/>
          </w:rPr>
          <w:t>Changing an employment contract: Making changes - GOV.UK (www.gov.uk)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HM Courts and Tribunals (2021) </w:t>
      </w:r>
      <w:r w:rsidRPr="000369E4">
        <w:rPr>
          <w:rFonts w:ascii="Arial" w:hAnsi="Arial" w:cs="Arial"/>
          <w:i/>
          <w:sz w:val="24"/>
          <w:szCs w:val="24"/>
        </w:rPr>
        <w:t>T423 – Responding to a claim to an Employment Tribunal. Available at:</w:t>
      </w:r>
      <w:r w:rsidRPr="000369E4">
        <w:rPr>
          <w:rFonts w:ascii="Arial" w:hAnsi="Arial" w:cs="Arial"/>
          <w:sz w:val="24"/>
          <w:szCs w:val="24"/>
        </w:rPr>
        <w:t xml:space="preserve"> </w:t>
      </w:r>
      <w:hyperlink r:id="rId37" w:history="1">
        <w:r w:rsidRPr="000369E4">
          <w:rPr>
            <w:rStyle w:val="Hyperlink"/>
            <w:rFonts w:ascii="Arial" w:hAnsi="Arial" w:cs="Arial"/>
            <w:sz w:val="24"/>
            <w:szCs w:val="24"/>
          </w:rPr>
          <w:t>T423 - Responding to a claim to an Employment Tribunal (publishing.service.gov.uk)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Health and Safety Executive (2021a) </w:t>
      </w:r>
      <w:r w:rsidRPr="000369E4">
        <w:rPr>
          <w:rFonts w:ascii="Arial" w:hAnsi="Arial" w:cs="Arial"/>
          <w:i/>
          <w:sz w:val="24"/>
          <w:szCs w:val="24"/>
        </w:rPr>
        <w:t>Criminal and civil law</w:t>
      </w:r>
      <w:r w:rsidRPr="000369E4">
        <w:rPr>
          <w:rFonts w:ascii="Arial" w:hAnsi="Arial" w:cs="Arial"/>
          <w:sz w:val="24"/>
          <w:szCs w:val="24"/>
        </w:rPr>
        <w:t xml:space="preserve">. Available at: </w:t>
      </w:r>
      <w:hyperlink r:id="rId38" w:history="1">
        <w:r w:rsidRPr="000369E4">
          <w:rPr>
            <w:rStyle w:val="Hyperlink"/>
            <w:rFonts w:ascii="Arial" w:hAnsi="Arial" w:cs="Arial"/>
            <w:sz w:val="24"/>
            <w:szCs w:val="24"/>
          </w:rPr>
          <w:t>Health and safety at work: criminal and civil law - Health and safety law (criminal law) - HSE</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lastRenderedPageBreak/>
        <w:t xml:space="preserve">Health and Safety Executive (2021b) </w:t>
      </w:r>
      <w:r w:rsidRPr="000369E4">
        <w:rPr>
          <w:rFonts w:ascii="Arial" w:hAnsi="Arial" w:cs="Arial"/>
          <w:i/>
          <w:sz w:val="24"/>
          <w:szCs w:val="24"/>
        </w:rPr>
        <w:t>Employer’s responsibilities: Workers’ health and safety.</w:t>
      </w:r>
      <w:r w:rsidRPr="000369E4">
        <w:rPr>
          <w:rFonts w:ascii="Arial" w:hAnsi="Arial" w:cs="Arial"/>
          <w:sz w:val="24"/>
          <w:szCs w:val="24"/>
        </w:rPr>
        <w:t xml:space="preserve"> Available at:</w:t>
      </w:r>
      <w:r w:rsidRPr="000369E4">
        <w:rPr>
          <w:rFonts w:ascii="Arial" w:hAnsi="Arial" w:cs="Arial"/>
          <w:i/>
          <w:sz w:val="24"/>
          <w:szCs w:val="24"/>
        </w:rPr>
        <w:t xml:space="preserve"> </w:t>
      </w:r>
      <w:hyperlink r:id="rId39" w:history="1">
        <w:r w:rsidRPr="000369E4">
          <w:rPr>
            <w:rStyle w:val="Hyperlink"/>
            <w:rFonts w:ascii="Arial" w:hAnsi="Arial" w:cs="Arial"/>
            <w:sz w:val="24"/>
            <w:szCs w:val="24"/>
          </w:rPr>
          <w:t>Employer's responsibilities: Workers' health and safety (hse.gov.uk)</w:t>
        </w:r>
      </w:hyperlink>
      <w:r w:rsidRPr="000369E4">
        <w:rPr>
          <w:rStyle w:val="Hyperlink"/>
          <w:rFonts w:ascii="Arial" w:hAnsi="Arial" w:cs="Arial"/>
          <w:sz w:val="24"/>
          <w:szCs w:val="24"/>
        </w:rPr>
        <w:t xml:space="preserve"> (Accessed on: 8</w:t>
      </w:r>
      <w:r w:rsidRPr="000369E4">
        <w:rPr>
          <w:rStyle w:val="Hyperlink"/>
          <w:rFonts w:ascii="Arial" w:hAnsi="Arial" w:cs="Arial"/>
          <w:sz w:val="24"/>
          <w:szCs w:val="24"/>
          <w:vertAlign w:val="superscript"/>
        </w:rPr>
        <w:t xml:space="preserve">th </w:t>
      </w:r>
      <w:r w:rsidRPr="000369E4">
        <w:rPr>
          <w:rStyle w:val="Hyperlink"/>
          <w:rFonts w:ascii="Arial" w:hAnsi="Arial" w:cs="Arial"/>
          <w:sz w:val="24"/>
          <w:szCs w:val="24"/>
        </w:rPr>
        <w:t>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Health and Safety at Work Act 1974. Available at: </w:t>
      </w:r>
      <w:hyperlink r:id="rId40" w:history="1">
        <w:r w:rsidRPr="000369E4">
          <w:rPr>
            <w:rStyle w:val="Hyperlink"/>
            <w:rFonts w:ascii="Arial" w:hAnsi="Arial" w:cs="Arial"/>
            <w:sz w:val="24"/>
            <w:szCs w:val="24"/>
          </w:rPr>
          <w:t>Health and Safety at Work etc. Act 1974 (legislation.gov.uk)</w:t>
        </w:r>
      </w:hyperlink>
      <w:r w:rsidRPr="000369E4">
        <w:rPr>
          <w:rFonts w:ascii="Arial" w:hAnsi="Arial" w:cs="Arial"/>
          <w:sz w:val="24"/>
          <w:szCs w:val="24"/>
        </w:rPr>
        <w:t xml:space="preserve"> (Accessed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Style w:val="Hyperlink"/>
          <w:rFonts w:ascii="Arial" w:hAnsi="Arial" w:cs="Arial"/>
          <w:color w:val="auto"/>
          <w:sz w:val="24"/>
          <w:szCs w:val="24"/>
          <w:u w:val="none"/>
        </w:rPr>
      </w:pPr>
      <w:r w:rsidRPr="000369E4">
        <w:rPr>
          <w:rFonts w:ascii="Arial" w:hAnsi="Arial" w:cs="Arial"/>
          <w:color w:val="000000"/>
          <w:sz w:val="24"/>
          <w:szCs w:val="24"/>
          <w:shd w:val="clear" w:color="auto" w:fill="FFFFFF"/>
        </w:rPr>
        <w:t xml:space="preserve">Hurst, M. (2018) </w:t>
      </w:r>
      <w:r w:rsidRPr="000369E4">
        <w:rPr>
          <w:rFonts w:ascii="Arial" w:hAnsi="Arial" w:cs="Arial"/>
          <w:i/>
          <w:color w:val="000000"/>
          <w:sz w:val="24"/>
          <w:szCs w:val="24"/>
          <w:shd w:val="clear" w:color="auto" w:fill="FFFFFF"/>
        </w:rPr>
        <w:t>Uplift to Awards Under the ACAS Codes</w:t>
      </w:r>
      <w:r w:rsidRPr="000369E4">
        <w:rPr>
          <w:rFonts w:ascii="Arial" w:hAnsi="Arial" w:cs="Arial"/>
          <w:sz w:val="24"/>
          <w:szCs w:val="24"/>
        </w:rPr>
        <w:t xml:space="preserve">. Available at: </w:t>
      </w:r>
      <w:hyperlink r:id="rId41" w:history="1">
        <w:r w:rsidRPr="000369E4">
          <w:rPr>
            <w:rStyle w:val="Hyperlink"/>
            <w:rFonts w:ascii="Arial" w:hAnsi="Arial" w:cs="Arial"/>
            <w:sz w:val="24"/>
            <w:szCs w:val="24"/>
          </w:rPr>
          <w:t>Uplift to Awards Under the ACAS Code (thomasmansfield.com)</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Information Commissioner’s Office (2021a) </w:t>
      </w:r>
      <w:r w:rsidRPr="000369E4">
        <w:rPr>
          <w:rFonts w:ascii="Arial" w:hAnsi="Arial" w:cs="Arial"/>
          <w:i/>
          <w:sz w:val="24"/>
          <w:szCs w:val="24"/>
        </w:rPr>
        <w:t>Personal data breaches.</w:t>
      </w:r>
      <w:r w:rsidRPr="000369E4">
        <w:rPr>
          <w:rFonts w:ascii="Arial" w:hAnsi="Arial" w:cs="Arial"/>
          <w:sz w:val="24"/>
          <w:szCs w:val="24"/>
        </w:rPr>
        <w:t xml:space="preserve"> Available at: </w:t>
      </w:r>
      <w:hyperlink r:id="rId42" w:anchor="whatisa" w:history="1">
        <w:r w:rsidRPr="000369E4">
          <w:rPr>
            <w:rStyle w:val="Hyperlink"/>
            <w:rFonts w:ascii="Arial" w:hAnsi="Arial" w:cs="Arial"/>
            <w:sz w:val="24"/>
            <w:szCs w:val="24"/>
          </w:rPr>
          <w:t>Personal data breaches | ICO</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Information Commissioner’s Office (2021b) </w:t>
      </w:r>
      <w:r w:rsidRPr="000369E4">
        <w:rPr>
          <w:rFonts w:ascii="Arial" w:hAnsi="Arial" w:cs="Arial"/>
          <w:i/>
          <w:sz w:val="24"/>
          <w:szCs w:val="24"/>
        </w:rPr>
        <w:t xml:space="preserve">Maintaining records of staff, customers and visitors for contact tracing purposes. </w:t>
      </w:r>
      <w:r w:rsidRPr="000369E4">
        <w:rPr>
          <w:rFonts w:ascii="Arial" w:hAnsi="Arial" w:cs="Arial"/>
          <w:sz w:val="24"/>
          <w:szCs w:val="24"/>
        </w:rPr>
        <w:t xml:space="preserve">Available at: </w:t>
      </w:r>
      <w:hyperlink r:id="rId43" w:history="1">
        <w:r w:rsidRPr="000369E4">
          <w:rPr>
            <w:rStyle w:val="Hyperlink"/>
            <w:rFonts w:ascii="Arial" w:hAnsi="Arial" w:cs="Arial"/>
            <w:sz w:val="24"/>
            <w:szCs w:val="24"/>
          </w:rPr>
          <w:t>Maintaining records of staff, customers and visitors for contact tracing purposes | ICO</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Information Commissioner’s Office (2021c) </w:t>
      </w:r>
      <w:r w:rsidRPr="000369E4">
        <w:rPr>
          <w:rFonts w:ascii="Arial" w:hAnsi="Arial" w:cs="Arial"/>
          <w:i/>
          <w:sz w:val="24"/>
          <w:szCs w:val="24"/>
        </w:rPr>
        <w:t>Safeguards Policy.</w:t>
      </w:r>
      <w:r w:rsidRPr="000369E4">
        <w:rPr>
          <w:rFonts w:ascii="Arial" w:hAnsi="Arial" w:cs="Arial"/>
          <w:sz w:val="24"/>
          <w:szCs w:val="24"/>
        </w:rPr>
        <w:t xml:space="preserve"> Available at: </w:t>
      </w:r>
      <w:hyperlink r:id="rId44" w:history="1">
        <w:r w:rsidRPr="000369E4">
          <w:rPr>
            <w:rStyle w:val="Hyperlink"/>
            <w:rFonts w:ascii="Arial" w:hAnsi="Arial" w:cs="Arial"/>
            <w:sz w:val="24"/>
            <w:szCs w:val="24"/>
          </w:rPr>
          <w:t>Safeguards Policy | ICO</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Style w:val="Hyperlink"/>
          <w:rFonts w:ascii="Arial" w:hAnsi="Arial" w:cs="Arial"/>
          <w:color w:val="auto"/>
          <w:sz w:val="24"/>
          <w:szCs w:val="24"/>
          <w:u w:val="none"/>
        </w:rPr>
      </w:pPr>
      <w:r w:rsidRPr="000369E4">
        <w:rPr>
          <w:rFonts w:ascii="Arial" w:hAnsi="Arial" w:cs="Arial"/>
          <w:sz w:val="24"/>
          <w:szCs w:val="24"/>
        </w:rPr>
        <w:t xml:space="preserve">Information Commissioner’s Office (2021d) </w:t>
      </w:r>
      <w:r w:rsidRPr="000369E4">
        <w:rPr>
          <w:rFonts w:ascii="Arial" w:hAnsi="Arial" w:cs="Arial"/>
          <w:i/>
          <w:sz w:val="24"/>
          <w:szCs w:val="24"/>
        </w:rPr>
        <w:t>The principles.</w:t>
      </w:r>
      <w:r w:rsidRPr="000369E4">
        <w:rPr>
          <w:rFonts w:ascii="Arial" w:hAnsi="Arial" w:cs="Arial"/>
          <w:sz w:val="24"/>
          <w:szCs w:val="24"/>
        </w:rPr>
        <w:t xml:space="preserve"> Available at: </w:t>
      </w:r>
      <w:hyperlink r:id="rId45" w:history="1">
        <w:r w:rsidRPr="000369E4">
          <w:rPr>
            <w:rStyle w:val="Hyperlink"/>
            <w:rFonts w:ascii="Arial" w:hAnsi="Arial" w:cs="Arial"/>
            <w:sz w:val="24"/>
            <w:szCs w:val="24"/>
          </w:rPr>
          <w:t>The principles | ICO</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i/>
          <w:sz w:val="24"/>
          <w:szCs w:val="24"/>
        </w:rPr>
      </w:pPr>
      <w:r w:rsidRPr="000369E4">
        <w:rPr>
          <w:rFonts w:ascii="Arial" w:hAnsi="Arial" w:cs="Arial"/>
          <w:sz w:val="24"/>
          <w:szCs w:val="24"/>
        </w:rPr>
        <w:t xml:space="preserve">Lewis, D and Sargeant,M (2020) </w:t>
      </w:r>
      <w:r w:rsidRPr="000369E4">
        <w:rPr>
          <w:rFonts w:ascii="Arial" w:hAnsi="Arial" w:cs="Arial"/>
          <w:i/>
          <w:sz w:val="24"/>
          <w:szCs w:val="24"/>
        </w:rPr>
        <w:t xml:space="preserve">Employment Law: The Essentials </w:t>
      </w:r>
      <w:r w:rsidRPr="000369E4">
        <w:rPr>
          <w:rFonts w:ascii="Arial" w:hAnsi="Arial" w:cs="Arial"/>
          <w:sz w:val="24"/>
          <w:szCs w:val="24"/>
        </w:rPr>
        <w:t>London: Kogan Page Limited</w:t>
      </w:r>
    </w:p>
    <w:p w:rsidR="000369E4" w:rsidRPr="000369E4" w:rsidRDefault="000369E4" w:rsidP="000369E4">
      <w:pPr>
        <w:spacing w:line="360" w:lineRule="auto"/>
        <w:rPr>
          <w:rStyle w:val="Hyperlink"/>
          <w:rFonts w:ascii="Arial" w:hAnsi="Arial" w:cs="Arial"/>
          <w:color w:val="auto"/>
          <w:sz w:val="24"/>
          <w:szCs w:val="24"/>
          <w:u w:val="none"/>
        </w:rPr>
      </w:pPr>
      <w:r w:rsidRPr="000369E4">
        <w:rPr>
          <w:rFonts w:ascii="Arial" w:hAnsi="Arial" w:cs="Arial"/>
          <w:sz w:val="24"/>
          <w:szCs w:val="24"/>
        </w:rPr>
        <w:t xml:space="preserve">McBride V Scottish Police Authority [2016] Available at: </w:t>
      </w:r>
      <w:hyperlink r:id="rId46" w:history="1">
        <w:r w:rsidRPr="000369E4">
          <w:rPr>
            <w:rStyle w:val="Hyperlink"/>
            <w:rFonts w:ascii="Arial" w:hAnsi="Arial" w:cs="Arial"/>
            <w:sz w:val="24"/>
            <w:szCs w:val="24"/>
          </w:rPr>
          <w:t>A reminder of the risk of reinstatement orders | Weightmans</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McKie, S. (2006) ‘Dismissal: Polkey’s place in the modern world’ </w:t>
      </w:r>
      <w:r w:rsidRPr="000369E4">
        <w:rPr>
          <w:rFonts w:ascii="Arial" w:hAnsi="Arial" w:cs="Arial"/>
          <w:i/>
          <w:sz w:val="24"/>
          <w:szCs w:val="24"/>
        </w:rPr>
        <w:t>Personnel Today</w:t>
      </w:r>
      <w:r w:rsidRPr="000369E4">
        <w:rPr>
          <w:rFonts w:ascii="Arial" w:hAnsi="Arial" w:cs="Arial"/>
          <w:sz w:val="24"/>
          <w:szCs w:val="24"/>
        </w:rPr>
        <w:t xml:space="preserve">. Available at: </w:t>
      </w:r>
      <w:hyperlink r:id="rId47" w:history="1">
        <w:r w:rsidRPr="000369E4">
          <w:rPr>
            <w:rStyle w:val="Hyperlink"/>
            <w:rFonts w:ascii="Arial" w:hAnsi="Arial" w:cs="Arial"/>
            <w:sz w:val="24"/>
            <w:szCs w:val="24"/>
          </w:rPr>
          <w:t>Dismissal: Polkey's place in the modern world - Personnel Today</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Medhurst, J. (2018) Why the BHS v Burchell decision is still relevany 40 years on’ </w:t>
      </w:r>
      <w:r w:rsidRPr="000369E4">
        <w:rPr>
          <w:rFonts w:ascii="Arial" w:hAnsi="Arial" w:cs="Arial"/>
          <w:i/>
          <w:sz w:val="24"/>
          <w:szCs w:val="24"/>
        </w:rPr>
        <w:t xml:space="preserve">Personnel Today </w:t>
      </w:r>
      <w:r w:rsidRPr="000369E4">
        <w:rPr>
          <w:rFonts w:ascii="Arial" w:hAnsi="Arial" w:cs="Arial"/>
          <w:sz w:val="24"/>
          <w:szCs w:val="24"/>
        </w:rPr>
        <w:t xml:space="preserve">Available at: </w:t>
      </w:r>
      <w:hyperlink r:id="rId48" w:history="1">
        <w:r w:rsidRPr="000369E4">
          <w:rPr>
            <w:rStyle w:val="Hyperlink"/>
            <w:rFonts w:ascii="Arial" w:hAnsi="Arial" w:cs="Arial"/>
            <w:sz w:val="24"/>
            <w:szCs w:val="24"/>
          </w:rPr>
          <w:t>Why the BHS v Burchell decision is still relevant 40 years on - Personnel Today</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Oxford Languages (2010) </w:t>
      </w:r>
      <w:r w:rsidRPr="000369E4">
        <w:rPr>
          <w:rFonts w:ascii="Arial" w:hAnsi="Arial" w:cs="Arial"/>
          <w:i/>
          <w:sz w:val="24"/>
          <w:szCs w:val="24"/>
        </w:rPr>
        <w:t>Oxford dictionary of English.</w:t>
      </w:r>
      <w:r w:rsidRPr="000369E4">
        <w:rPr>
          <w:rFonts w:ascii="Arial" w:hAnsi="Arial" w:cs="Arial"/>
          <w:sz w:val="24"/>
          <w:szCs w:val="24"/>
        </w:rPr>
        <w:t xml:space="preserve"> Oxford: Oxford University of Press</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lastRenderedPageBreak/>
        <w:t xml:space="preserve">Perry, M. (2019) ‘Why employers need to understand associative discrimination’ </w:t>
      </w:r>
      <w:r w:rsidRPr="000369E4">
        <w:rPr>
          <w:rFonts w:ascii="Arial" w:hAnsi="Arial" w:cs="Arial"/>
          <w:i/>
          <w:sz w:val="24"/>
          <w:szCs w:val="24"/>
        </w:rPr>
        <w:t>Personnel Today</w:t>
      </w:r>
      <w:r w:rsidRPr="000369E4">
        <w:rPr>
          <w:rFonts w:ascii="Arial" w:hAnsi="Arial" w:cs="Arial"/>
          <w:sz w:val="24"/>
          <w:szCs w:val="24"/>
        </w:rPr>
        <w:t xml:space="preserve"> 27</w:t>
      </w:r>
      <w:r w:rsidRPr="000369E4">
        <w:rPr>
          <w:rFonts w:ascii="Arial" w:hAnsi="Arial" w:cs="Arial"/>
          <w:sz w:val="24"/>
          <w:szCs w:val="24"/>
          <w:vertAlign w:val="superscript"/>
        </w:rPr>
        <w:t>th</w:t>
      </w:r>
      <w:r w:rsidRPr="000369E4">
        <w:rPr>
          <w:rFonts w:ascii="Arial" w:hAnsi="Arial" w:cs="Arial"/>
          <w:sz w:val="24"/>
          <w:szCs w:val="24"/>
        </w:rPr>
        <w:t xml:space="preserve"> November 2019. Available at: </w:t>
      </w:r>
      <w:hyperlink r:id="rId49" w:history="1">
        <w:r w:rsidRPr="000369E4">
          <w:rPr>
            <w:rStyle w:val="Hyperlink"/>
            <w:rFonts w:ascii="Arial" w:hAnsi="Arial" w:cs="Arial"/>
            <w:sz w:val="24"/>
            <w:szCs w:val="24"/>
          </w:rPr>
          <w:t>Why employers need to understand associative discrimination - Personnel Today</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 xml:space="preserve">Pure Employment Law (2012) </w:t>
      </w:r>
      <w:r w:rsidRPr="000369E4">
        <w:rPr>
          <w:rFonts w:ascii="Arial" w:hAnsi="Arial" w:cs="Arial"/>
          <w:i/>
          <w:sz w:val="24"/>
          <w:szCs w:val="24"/>
        </w:rPr>
        <w:t>Tribunal remedies – reinstatement and re-engagement.</w:t>
      </w:r>
      <w:r w:rsidRPr="000369E4">
        <w:rPr>
          <w:rFonts w:ascii="Arial" w:hAnsi="Arial" w:cs="Arial"/>
          <w:sz w:val="24"/>
          <w:szCs w:val="24"/>
        </w:rPr>
        <w:t xml:space="preserve"> Available at: </w:t>
      </w:r>
      <w:hyperlink r:id="rId50" w:history="1">
        <w:r w:rsidRPr="000369E4">
          <w:rPr>
            <w:rStyle w:val="Hyperlink"/>
            <w:rFonts w:ascii="Arial" w:hAnsi="Arial" w:cs="Arial"/>
            <w:sz w:val="24"/>
            <w:szCs w:val="24"/>
          </w:rPr>
          <w:t>Tribunal remedies - reinstatement and re-engagement - Pure Employment Law</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Style w:val="Hyperlink"/>
          <w:rFonts w:ascii="Arial" w:hAnsi="Arial" w:cs="Arial"/>
          <w:color w:val="auto"/>
          <w:sz w:val="24"/>
          <w:szCs w:val="24"/>
          <w:u w:val="none"/>
        </w:rPr>
      </w:pPr>
      <w:r w:rsidRPr="000369E4">
        <w:rPr>
          <w:rFonts w:ascii="Arial" w:eastAsia="Times New Roman" w:hAnsi="Arial" w:cs="Arial"/>
          <w:bCs/>
          <w:color w:val="3D3D3D"/>
          <w:kern w:val="36"/>
          <w:sz w:val="24"/>
          <w:szCs w:val="24"/>
          <w:lang w:eastAsia="en-GB"/>
        </w:rPr>
        <w:t xml:space="preserve">PLC Employment (2021) British Home Stores Limited v Burchell [1978] IRLR 379 Available at: </w:t>
      </w:r>
      <w:hyperlink r:id="rId51" w:history="1">
        <w:r w:rsidRPr="000369E4">
          <w:rPr>
            <w:rStyle w:val="Hyperlink"/>
            <w:rFonts w:ascii="Arial" w:hAnsi="Arial" w:cs="Arial"/>
            <w:sz w:val="24"/>
            <w:szCs w:val="24"/>
          </w:rPr>
          <w:t>British Home Stores Limited v Burchell [1978] IRLR 379 | Practical Law (thomsonreuters.com)</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Style w:val="Hyperlink"/>
          <w:rFonts w:ascii="Arial" w:hAnsi="Arial" w:cs="Arial"/>
          <w:color w:val="auto"/>
          <w:sz w:val="24"/>
          <w:szCs w:val="24"/>
          <w:u w:val="none"/>
        </w:rPr>
      </w:pPr>
      <w:r w:rsidRPr="000369E4">
        <w:rPr>
          <w:rFonts w:ascii="Arial" w:hAnsi="Arial" w:cs="Arial"/>
          <w:sz w:val="24"/>
          <w:szCs w:val="24"/>
        </w:rPr>
        <w:t xml:space="preserve">Rradar (2018) </w:t>
      </w:r>
      <w:r w:rsidRPr="000369E4">
        <w:rPr>
          <w:rFonts w:ascii="Arial" w:hAnsi="Arial" w:cs="Arial"/>
          <w:i/>
          <w:sz w:val="24"/>
          <w:szCs w:val="24"/>
        </w:rPr>
        <w:t xml:space="preserve">Reinstatement after an Employment Tribunal decision. </w:t>
      </w:r>
      <w:r w:rsidRPr="000369E4">
        <w:rPr>
          <w:rFonts w:ascii="Arial" w:hAnsi="Arial" w:cs="Arial"/>
          <w:sz w:val="24"/>
          <w:szCs w:val="24"/>
        </w:rPr>
        <w:t xml:space="preserve"> Available at: </w:t>
      </w:r>
      <w:hyperlink r:id="rId52" w:history="1">
        <w:r w:rsidRPr="000369E4">
          <w:rPr>
            <w:rStyle w:val="Hyperlink"/>
            <w:rFonts w:ascii="Arial" w:hAnsi="Arial" w:cs="Arial"/>
            <w:sz w:val="24"/>
            <w:szCs w:val="24"/>
          </w:rPr>
          <w:t>Reinstatement after an Employment Tribunal decision (rradar.com)</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hAnsi="Arial" w:cs="Arial"/>
          <w:sz w:val="24"/>
          <w:szCs w:val="24"/>
        </w:rPr>
        <w:t>Street, T (2017) What is Contributory Fault?</w:t>
      </w:r>
      <w:r w:rsidRPr="000369E4">
        <w:rPr>
          <w:rFonts w:ascii="Arial" w:hAnsi="Arial" w:cs="Arial"/>
          <w:i/>
          <w:sz w:val="24"/>
          <w:szCs w:val="24"/>
        </w:rPr>
        <w:t xml:space="preserve"> Tribunal Claim</w:t>
      </w:r>
      <w:r w:rsidRPr="000369E4">
        <w:rPr>
          <w:rFonts w:ascii="Arial" w:hAnsi="Arial" w:cs="Arial"/>
          <w:sz w:val="24"/>
          <w:szCs w:val="24"/>
        </w:rPr>
        <w:t xml:space="preserve"> Available at: </w:t>
      </w:r>
      <w:hyperlink r:id="rId53" w:history="1">
        <w:r w:rsidRPr="000369E4">
          <w:rPr>
            <w:rStyle w:val="Hyperlink"/>
            <w:rFonts w:ascii="Arial" w:hAnsi="Arial" w:cs="Arial"/>
            <w:sz w:val="24"/>
            <w:szCs w:val="24"/>
          </w:rPr>
          <w:t>What is Contributory Fault? - Tribunal Claim | No win no fee Employment</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Fonts w:ascii="Arial" w:eastAsia="Times New Roman" w:hAnsi="Arial" w:cs="Arial"/>
          <w:bCs/>
          <w:color w:val="3D3D3D"/>
          <w:kern w:val="36"/>
          <w:sz w:val="24"/>
          <w:szCs w:val="24"/>
          <w:lang w:eastAsia="en-GB"/>
        </w:rPr>
        <w:t xml:space="preserve">PLC Employment (2021) British Home Stores Limited v Burchell [1978] IRLR 379 Available at: </w:t>
      </w:r>
      <w:hyperlink r:id="rId54" w:history="1">
        <w:r w:rsidRPr="000369E4">
          <w:rPr>
            <w:rStyle w:val="Hyperlink"/>
            <w:rFonts w:ascii="Arial" w:hAnsi="Arial" w:cs="Arial"/>
            <w:sz w:val="24"/>
            <w:szCs w:val="24"/>
          </w:rPr>
          <w:t>British Home Stores Limited v Burchell [1978] IRLR 379 | Practical Law (thomsonreuters.com)</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Style w:val="Hyperlink"/>
          <w:rFonts w:ascii="Arial" w:hAnsi="Arial" w:cs="Arial"/>
          <w:sz w:val="24"/>
          <w:szCs w:val="24"/>
        </w:rPr>
      </w:pPr>
      <w:r w:rsidRPr="000369E4">
        <w:rPr>
          <w:rFonts w:ascii="Arial" w:hAnsi="Arial" w:cs="Arial"/>
          <w:sz w:val="24"/>
          <w:szCs w:val="24"/>
        </w:rPr>
        <w:t xml:space="preserve">The Working Time Regulations 1990. Available at: </w:t>
      </w:r>
      <w:hyperlink r:id="rId55" w:history="1">
        <w:r w:rsidRPr="000369E4">
          <w:rPr>
            <w:rStyle w:val="Hyperlink"/>
            <w:rFonts w:ascii="Arial" w:hAnsi="Arial" w:cs="Arial"/>
            <w:sz w:val="24"/>
            <w:szCs w:val="24"/>
          </w:rPr>
          <w:t>The Working Time Regulations 1998 (legislation.gov.uk)</w:t>
        </w:r>
      </w:hyperlink>
      <w:r w:rsidRPr="000369E4">
        <w:rPr>
          <w:rStyle w:val="Hyperlink"/>
          <w:rFonts w:ascii="Arial" w:hAnsi="Arial" w:cs="Arial"/>
          <w:sz w:val="24"/>
          <w:szCs w:val="24"/>
        </w:rPr>
        <w:t xml:space="preserve"> </w:t>
      </w:r>
      <w:r w:rsidRPr="000369E4">
        <w:rPr>
          <w:rFonts w:ascii="Arial" w:hAnsi="Arial" w:cs="Arial"/>
          <w:sz w:val="24"/>
          <w:szCs w:val="24"/>
        </w:rPr>
        <w:t>(Accessed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Fonts w:ascii="Arial" w:hAnsi="Arial" w:cs="Arial"/>
          <w:sz w:val="24"/>
          <w:szCs w:val="24"/>
        </w:rPr>
      </w:pPr>
      <w:r w:rsidRPr="000369E4">
        <w:rPr>
          <w:rStyle w:val="Hyperlink"/>
          <w:rFonts w:ascii="Arial" w:hAnsi="Arial" w:cs="Arial"/>
          <w:sz w:val="24"/>
          <w:szCs w:val="24"/>
        </w:rPr>
        <w:t xml:space="preserve">Trade Union and Labour Relations (Consolidation) Act 1992, Section 207a. Available at: </w:t>
      </w:r>
      <w:hyperlink r:id="rId56" w:anchor=":~:text=Trade%20Union%20and%20Labour%20Relations%20%28Consolidation%29%20Act%201992%2C,in%20the%20content%20and%20are%20referenced%20with%20annotations." w:history="1">
        <w:r w:rsidRPr="000369E4">
          <w:rPr>
            <w:rStyle w:val="Hyperlink"/>
            <w:rFonts w:ascii="Arial" w:hAnsi="Arial" w:cs="Arial"/>
            <w:sz w:val="24"/>
            <w:szCs w:val="24"/>
          </w:rPr>
          <w:t>Trade Union and Labour Relations (Consolidation) Act 1992 (legislation.gov.uk)</w:t>
        </w:r>
      </w:hyperlink>
      <w:r w:rsidRPr="000369E4">
        <w:rPr>
          <w:rFonts w:ascii="Arial" w:hAnsi="Arial" w:cs="Arial"/>
          <w:sz w:val="24"/>
          <w:szCs w:val="24"/>
        </w:rPr>
        <w:t xml:space="preserve"> (Accessed on: 8</w:t>
      </w:r>
      <w:r w:rsidRPr="000369E4">
        <w:rPr>
          <w:rFonts w:ascii="Arial" w:hAnsi="Arial" w:cs="Arial"/>
          <w:sz w:val="24"/>
          <w:szCs w:val="24"/>
          <w:vertAlign w:val="superscript"/>
        </w:rPr>
        <w:t>th</w:t>
      </w:r>
      <w:r w:rsidRPr="000369E4">
        <w:rPr>
          <w:rFonts w:ascii="Arial" w:hAnsi="Arial" w:cs="Arial"/>
          <w:sz w:val="24"/>
          <w:szCs w:val="24"/>
        </w:rPr>
        <w:t xml:space="preserve"> May 2021)</w:t>
      </w:r>
    </w:p>
    <w:p w:rsidR="000369E4" w:rsidRPr="000369E4" w:rsidRDefault="000369E4" w:rsidP="000369E4">
      <w:pPr>
        <w:spacing w:line="360" w:lineRule="auto"/>
        <w:rPr>
          <w:rStyle w:val="Hyperlink"/>
          <w:rFonts w:ascii="Arial" w:hAnsi="Arial" w:cs="Arial"/>
          <w:sz w:val="24"/>
          <w:szCs w:val="24"/>
        </w:rPr>
      </w:pPr>
    </w:p>
    <w:p w:rsidR="000369E4" w:rsidRPr="000369E4" w:rsidRDefault="000369E4" w:rsidP="000369E4">
      <w:pPr>
        <w:spacing w:line="360" w:lineRule="auto"/>
        <w:rPr>
          <w:rFonts w:ascii="Arial" w:hAnsi="Arial" w:cs="Arial"/>
          <w:sz w:val="24"/>
          <w:szCs w:val="24"/>
        </w:rPr>
      </w:pPr>
    </w:p>
    <w:p w:rsidR="00A15EBC" w:rsidRPr="000369E4" w:rsidRDefault="00A15EBC" w:rsidP="00A15EBC">
      <w:pPr>
        <w:rPr>
          <w:rFonts w:ascii="Arial" w:hAnsi="Arial" w:cs="Arial"/>
          <w:sz w:val="24"/>
          <w:szCs w:val="24"/>
        </w:rPr>
      </w:pPr>
    </w:p>
    <w:sectPr w:rsidR="00A15EBC" w:rsidRPr="000369E4" w:rsidSect="00D54D7B">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7674" w:rsidRDefault="005B7674" w:rsidP="00197171">
      <w:pPr>
        <w:spacing w:after="0" w:line="240" w:lineRule="auto"/>
      </w:pPr>
      <w:r>
        <w:separator/>
      </w:r>
    </w:p>
  </w:endnote>
  <w:endnote w:type="continuationSeparator" w:id="0">
    <w:p w:rsidR="005B7674" w:rsidRDefault="005B7674" w:rsidP="00197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7674" w:rsidRDefault="0058233D" w:rsidP="0058233D">
    <w:pPr>
      <w:pStyle w:val="Footer"/>
      <w:rPr>
        <w:color w:val="000000"/>
        <w:sz w:val="17"/>
      </w:rPr>
    </w:pPr>
    <w:bookmarkStart w:id="19" w:name="TITUS1FooterEvenPages"/>
    <w:r>
      <w:rPr>
        <w:color w:val="000000"/>
        <w:sz w:val="17"/>
      </w:rPr>
      <w:t> </w:t>
    </w:r>
  </w:p>
  <w:bookmarkEnd w:id="19"/>
  <w:p w:rsidR="005B7674" w:rsidRDefault="005B7674" w:rsidP="00B74F14">
    <w:pPr>
      <w:pStyle w:val="Footer"/>
    </w:pPr>
  </w:p>
  <w:p w:rsidR="005B7674" w:rsidRDefault="005B7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0EEF" w:rsidRDefault="0058233D" w:rsidP="0058233D">
    <w:pPr>
      <w:pStyle w:val="Footer"/>
      <w:pBdr>
        <w:top w:val="single" w:sz="4" w:space="1" w:color="D9D9D9" w:themeColor="background1" w:themeShade="D9"/>
      </w:pBdr>
      <w:rPr>
        <w:color w:val="000000"/>
        <w:sz w:val="17"/>
      </w:rPr>
    </w:pPr>
    <w:bookmarkStart w:id="20" w:name="TITUS1FooterPrimary"/>
    <w:r>
      <w:rPr>
        <w:color w:val="000000"/>
        <w:sz w:val="17"/>
      </w:rPr>
      <w:t> </w:t>
    </w:r>
  </w:p>
  <w:bookmarkEnd w:id="20" w:displacedByCustomXml="next"/>
  <w:sdt>
    <w:sdtPr>
      <w:id w:val="2143311593"/>
      <w:docPartObj>
        <w:docPartGallery w:val="Page Numbers (Bottom of Page)"/>
        <w:docPartUnique/>
      </w:docPartObj>
    </w:sdtPr>
    <w:sdtEndPr>
      <w:rPr>
        <w:color w:val="7F7F7F" w:themeColor="background1" w:themeShade="7F"/>
        <w:spacing w:val="60"/>
      </w:rPr>
    </w:sdtEndPr>
    <w:sdtContent>
      <w:p w:rsidR="00AB0EEF" w:rsidRDefault="00AB0EEF">
        <w:pPr>
          <w:pStyle w:val="Footer"/>
          <w:pBdr>
            <w:top w:val="single" w:sz="4" w:space="1" w:color="D9D9D9" w:themeColor="background1" w:themeShade="D9"/>
          </w:pBdr>
          <w:jc w:val="right"/>
        </w:pPr>
        <w:r>
          <w:fldChar w:fldCharType="begin"/>
        </w:r>
        <w:r>
          <w:instrText xml:space="preserve"> PAGE   \* MERGEFORMAT </w:instrText>
        </w:r>
        <w:r>
          <w:fldChar w:fldCharType="separate"/>
        </w:r>
        <w:r w:rsidR="0058233D">
          <w:rPr>
            <w:noProof/>
          </w:rPr>
          <w:t>15</w:t>
        </w:r>
        <w:r>
          <w:rPr>
            <w:noProof/>
          </w:rPr>
          <w:fldChar w:fldCharType="end"/>
        </w:r>
        <w:r>
          <w:t xml:space="preserve"> | </w:t>
        </w:r>
        <w:r>
          <w:rPr>
            <w:color w:val="7F7F7F" w:themeColor="background1" w:themeShade="7F"/>
            <w:spacing w:val="60"/>
          </w:rPr>
          <w:t>Page</w:t>
        </w:r>
      </w:p>
    </w:sdtContent>
  </w:sdt>
  <w:p w:rsidR="005B7674" w:rsidRDefault="005B76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7674" w:rsidRDefault="0058233D" w:rsidP="0058233D">
    <w:pPr>
      <w:pStyle w:val="Footer"/>
      <w:rPr>
        <w:color w:val="000000"/>
        <w:sz w:val="17"/>
      </w:rPr>
    </w:pPr>
    <w:bookmarkStart w:id="22" w:name="TITUS1FooterFirstPage"/>
    <w:r>
      <w:rPr>
        <w:color w:val="000000"/>
        <w:sz w:val="17"/>
      </w:rPr>
      <w:t> </w:t>
    </w:r>
  </w:p>
  <w:bookmarkEnd w:id="22"/>
  <w:p w:rsidR="005B7674" w:rsidRDefault="005B7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7674" w:rsidRDefault="005B7674" w:rsidP="00197171">
      <w:pPr>
        <w:spacing w:after="0" w:line="240" w:lineRule="auto"/>
      </w:pPr>
      <w:r>
        <w:separator/>
      </w:r>
    </w:p>
  </w:footnote>
  <w:footnote w:type="continuationSeparator" w:id="0">
    <w:p w:rsidR="005B7674" w:rsidRDefault="005B7674" w:rsidP="00197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7674" w:rsidRDefault="0058233D" w:rsidP="0058233D">
    <w:pPr>
      <w:pStyle w:val="Header"/>
      <w:rPr>
        <w:color w:val="000000"/>
        <w:sz w:val="17"/>
      </w:rPr>
    </w:pPr>
    <w:bookmarkStart w:id="17" w:name="TITUS1HeaderEvenPages"/>
    <w:r>
      <w:rPr>
        <w:color w:val="000000"/>
        <w:sz w:val="17"/>
      </w:rPr>
      <w:t> </w:t>
    </w:r>
  </w:p>
  <w:bookmarkEnd w:id="17"/>
  <w:p w:rsidR="005B7674" w:rsidRDefault="005B7674" w:rsidP="00B74F14">
    <w:pPr>
      <w:pStyle w:val="Header"/>
    </w:pPr>
  </w:p>
  <w:p w:rsidR="005B7674" w:rsidRDefault="005B76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7674" w:rsidRDefault="0058233D" w:rsidP="0058233D">
    <w:pPr>
      <w:pStyle w:val="Header"/>
      <w:rPr>
        <w:color w:val="000000"/>
        <w:sz w:val="17"/>
      </w:rPr>
    </w:pPr>
    <w:bookmarkStart w:id="18" w:name="TITUS1HeaderPrimary"/>
    <w:r>
      <w:rPr>
        <w:color w:val="000000"/>
        <w:sz w:val="17"/>
      </w:rPr>
      <w:t> </w:t>
    </w:r>
  </w:p>
  <w:bookmarkEnd w:id="18"/>
  <w:p w:rsidR="005B7674" w:rsidRDefault="005B76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7674" w:rsidRDefault="0058233D" w:rsidP="0058233D">
    <w:pPr>
      <w:pStyle w:val="Header"/>
      <w:rPr>
        <w:color w:val="000000"/>
        <w:sz w:val="17"/>
      </w:rPr>
    </w:pPr>
    <w:bookmarkStart w:id="21" w:name="TITUS1HeaderFirstPage"/>
    <w:r>
      <w:rPr>
        <w:color w:val="000000"/>
        <w:sz w:val="17"/>
      </w:rPr>
      <w:t> </w:t>
    </w:r>
  </w:p>
  <w:bookmarkEnd w:id="21"/>
  <w:p w:rsidR="005B7674" w:rsidRDefault="005B7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673B7E"/>
    <w:multiLevelType w:val="hybridMultilevel"/>
    <w:tmpl w:val="2F6EF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023EF"/>
    <w:multiLevelType w:val="hybridMultilevel"/>
    <w:tmpl w:val="7EEEC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957F3"/>
    <w:multiLevelType w:val="hybridMultilevel"/>
    <w:tmpl w:val="A6F22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D6BCE"/>
    <w:multiLevelType w:val="multilevel"/>
    <w:tmpl w:val="0514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304098"/>
    <w:multiLevelType w:val="multilevel"/>
    <w:tmpl w:val="A028B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BB7F03"/>
    <w:multiLevelType w:val="multilevel"/>
    <w:tmpl w:val="BDBC8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BF52EB"/>
    <w:multiLevelType w:val="hybridMultilevel"/>
    <w:tmpl w:val="794CC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AA6FFA"/>
    <w:multiLevelType w:val="multilevel"/>
    <w:tmpl w:val="3048A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C5038F"/>
    <w:multiLevelType w:val="multilevel"/>
    <w:tmpl w:val="757C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6D7B8D"/>
    <w:multiLevelType w:val="multilevel"/>
    <w:tmpl w:val="61D824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0A609E"/>
    <w:multiLevelType w:val="multilevel"/>
    <w:tmpl w:val="C1487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895867"/>
    <w:multiLevelType w:val="hybridMultilevel"/>
    <w:tmpl w:val="5C28D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2B58B7"/>
    <w:multiLevelType w:val="multilevel"/>
    <w:tmpl w:val="7C344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B462B6"/>
    <w:multiLevelType w:val="hybridMultilevel"/>
    <w:tmpl w:val="9C701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7E6ECB"/>
    <w:multiLevelType w:val="multilevel"/>
    <w:tmpl w:val="459856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E1343E"/>
    <w:multiLevelType w:val="hybridMultilevel"/>
    <w:tmpl w:val="C838C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5"/>
  </w:num>
  <w:num w:numId="4">
    <w:abstractNumId w:val="11"/>
  </w:num>
  <w:num w:numId="5">
    <w:abstractNumId w:val="13"/>
  </w:num>
  <w:num w:numId="6">
    <w:abstractNumId w:val="3"/>
  </w:num>
  <w:num w:numId="7">
    <w:abstractNumId w:val="7"/>
  </w:num>
  <w:num w:numId="8">
    <w:abstractNumId w:val="4"/>
  </w:num>
  <w:num w:numId="9">
    <w:abstractNumId w:val="12"/>
  </w:num>
  <w:num w:numId="10">
    <w:abstractNumId w:val="5"/>
  </w:num>
  <w:num w:numId="11">
    <w:abstractNumId w:val="10"/>
  </w:num>
  <w:num w:numId="12">
    <w:abstractNumId w:val="14"/>
  </w:num>
  <w:num w:numId="13">
    <w:abstractNumId w:val="9"/>
  </w:num>
  <w:num w:numId="14">
    <w:abstractNumId w:val="6"/>
  </w:num>
  <w:num w:numId="15">
    <w:abstractNumId w:val="1"/>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DB5"/>
    <w:rsid w:val="000219A3"/>
    <w:rsid w:val="00031843"/>
    <w:rsid w:val="000369E4"/>
    <w:rsid w:val="00077EE3"/>
    <w:rsid w:val="0008199A"/>
    <w:rsid w:val="00083345"/>
    <w:rsid w:val="0009786A"/>
    <w:rsid w:val="000B0C2C"/>
    <w:rsid w:val="000D1A14"/>
    <w:rsid w:val="000E1F9B"/>
    <w:rsid w:val="000E2DD7"/>
    <w:rsid w:val="00106B31"/>
    <w:rsid w:val="00132BF1"/>
    <w:rsid w:val="00170635"/>
    <w:rsid w:val="00181928"/>
    <w:rsid w:val="00184973"/>
    <w:rsid w:val="00195EA7"/>
    <w:rsid w:val="00197171"/>
    <w:rsid w:val="001A45DE"/>
    <w:rsid w:val="001C0CFD"/>
    <w:rsid w:val="001D46CB"/>
    <w:rsid w:val="001E4B3C"/>
    <w:rsid w:val="001F304F"/>
    <w:rsid w:val="001F32C5"/>
    <w:rsid w:val="00251665"/>
    <w:rsid w:val="00262A85"/>
    <w:rsid w:val="00267041"/>
    <w:rsid w:val="00287E92"/>
    <w:rsid w:val="00296E22"/>
    <w:rsid w:val="002A58DB"/>
    <w:rsid w:val="002B0A4F"/>
    <w:rsid w:val="002C1ECD"/>
    <w:rsid w:val="002D2494"/>
    <w:rsid w:val="00307E2D"/>
    <w:rsid w:val="003121A7"/>
    <w:rsid w:val="00313D1E"/>
    <w:rsid w:val="0032052A"/>
    <w:rsid w:val="00326630"/>
    <w:rsid w:val="003379A8"/>
    <w:rsid w:val="00344233"/>
    <w:rsid w:val="003445E5"/>
    <w:rsid w:val="00380F2C"/>
    <w:rsid w:val="003A11C1"/>
    <w:rsid w:val="003A44F7"/>
    <w:rsid w:val="003B1A7F"/>
    <w:rsid w:val="003B21D2"/>
    <w:rsid w:val="003C317A"/>
    <w:rsid w:val="003D6564"/>
    <w:rsid w:val="003F3464"/>
    <w:rsid w:val="004026ED"/>
    <w:rsid w:val="00417EB5"/>
    <w:rsid w:val="0042022F"/>
    <w:rsid w:val="00422827"/>
    <w:rsid w:val="004301D2"/>
    <w:rsid w:val="0045485C"/>
    <w:rsid w:val="00456C3F"/>
    <w:rsid w:val="00475123"/>
    <w:rsid w:val="0048278A"/>
    <w:rsid w:val="004A0E31"/>
    <w:rsid w:val="004A7D5F"/>
    <w:rsid w:val="004C2218"/>
    <w:rsid w:val="004D5FA9"/>
    <w:rsid w:val="00507D7C"/>
    <w:rsid w:val="00532F27"/>
    <w:rsid w:val="00562696"/>
    <w:rsid w:val="0058233D"/>
    <w:rsid w:val="00591D89"/>
    <w:rsid w:val="0059528F"/>
    <w:rsid w:val="005A0289"/>
    <w:rsid w:val="005B7674"/>
    <w:rsid w:val="005C0670"/>
    <w:rsid w:val="005C173F"/>
    <w:rsid w:val="006058D9"/>
    <w:rsid w:val="00644896"/>
    <w:rsid w:val="0065484F"/>
    <w:rsid w:val="00681935"/>
    <w:rsid w:val="006A4599"/>
    <w:rsid w:val="006B2DB2"/>
    <w:rsid w:val="006C4103"/>
    <w:rsid w:val="006F6894"/>
    <w:rsid w:val="007138DC"/>
    <w:rsid w:val="007469E0"/>
    <w:rsid w:val="007477C0"/>
    <w:rsid w:val="00795857"/>
    <w:rsid w:val="007A2432"/>
    <w:rsid w:val="007C0D8B"/>
    <w:rsid w:val="007F6E36"/>
    <w:rsid w:val="00812027"/>
    <w:rsid w:val="00817A56"/>
    <w:rsid w:val="008204C2"/>
    <w:rsid w:val="00871CD4"/>
    <w:rsid w:val="008A28A4"/>
    <w:rsid w:val="008A5242"/>
    <w:rsid w:val="008E79F0"/>
    <w:rsid w:val="0090758A"/>
    <w:rsid w:val="00920A61"/>
    <w:rsid w:val="00956E1E"/>
    <w:rsid w:val="00957E57"/>
    <w:rsid w:val="00960D6B"/>
    <w:rsid w:val="009A5CC3"/>
    <w:rsid w:val="009B3B44"/>
    <w:rsid w:val="009D51D3"/>
    <w:rsid w:val="00A03C53"/>
    <w:rsid w:val="00A15EBC"/>
    <w:rsid w:val="00A31F76"/>
    <w:rsid w:val="00A34D9B"/>
    <w:rsid w:val="00AB0EEF"/>
    <w:rsid w:val="00AC4C42"/>
    <w:rsid w:val="00AD712A"/>
    <w:rsid w:val="00B26EE5"/>
    <w:rsid w:val="00B3017D"/>
    <w:rsid w:val="00B47C56"/>
    <w:rsid w:val="00B643E5"/>
    <w:rsid w:val="00B65128"/>
    <w:rsid w:val="00B74F14"/>
    <w:rsid w:val="00B85DBC"/>
    <w:rsid w:val="00B9340C"/>
    <w:rsid w:val="00BA4274"/>
    <w:rsid w:val="00BA5B56"/>
    <w:rsid w:val="00BC59D2"/>
    <w:rsid w:val="00BD5CD1"/>
    <w:rsid w:val="00BD66BA"/>
    <w:rsid w:val="00C25DB5"/>
    <w:rsid w:val="00C31CA2"/>
    <w:rsid w:val="00C41500"/>
    <w:rsid w:val="00C53CD0"/>
    <w:rsid w:val="00C858B2"/>
    <w:rsid w:val="00C93763"/>
    <w:rsid w:val="00C95F8C"/>
    <w:rsid w:val="00CB7086"/>
    <w:rsid w:val="00D0115C"/>
    <w:rsid w:val="00D05E7A"/>
    <w:rsid w:val="00D22E14"/>
    <w:rsid w:val="00D3165C"/>
    <w:rsid w:val="00D36BDC"/>
    <w:rsid w:val="00D379EC"/>
    <w:rsid w:val="00D42289"/>
    <w:rsid w:val="00D54D7B"/>
    <w:rsid w:val="00D61D5E"/>
    <w:rsid w:val="00D66D83"/>
    <w:rsid w:val="00D94A68"/>
    <w:rsid w:val="00D96253"/>
    <w:rsid w:val="00DA0E44"/>
    <w:rsid w:val="00DA3AE1"/>
    <w:rsid w:val="00DA62A2"/>
    <w:rsid w:val="00E0034C"/>
    <w:rsid w:val="00E3013C"/>
    <w:rsid w:val="00E46743"/>
    <w:rsid w:val="00E93E9A"/>
    <w:rsid w:val="00EC05AE"/>
    <w:rsid w:val="00ED5BBF"/>
    <w:rsid w:val="00EE2FF8"/>
    <w:rsid w:val="00EF1D5A"/>
    <w:rsid w:val="00F13ECD"/>
    <w:rsid w:val="00F17A29"/>
    <w:rsid w:val="00F261A3"/>
    <w:rsid w:val="00F31762"/>
    <w:rsid w:val="00F5023D"/>
    <w:rsid w:val="00F5231D"/>
    <w:rsid w:val="00F60DEE"/>
    <w:rsid w:val="00F6603A"/>
    <w:rsid w:val="00F76656"/>
    <w:rsid w:val="00F84EA3"/>
    <w:rsid w:val="00F856DF"/>
    <w:rsid w:val="00F951D1"/>
    <w:rsid w:val="00FB7702"/>
    <w:rsid w:val="00FD63D2"/>
    <w:rsid w:val="00FD7099"/>
    <w:rsid w:val="00FE28AE"/>
    <w:rsid w:val="00FF2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5:chartTrackingRefBased/>
  <w15:docId w15:val="{CC7C675F-6AC5-4D92-8D11-1FD3225E7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5B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5B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D63D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EE2FF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171"/>
  </w:style>
  <w:style w:type="paragraph" w:styleId="Footer">
    <w:name w:val="footer"/>
    <w:basedOn w:val="Normal"/>
    <w:link w:val="FooterChar"/>
    <w:uiPriority w:val="99"/>
    <w:unhideWhenUsed/>
    <w:rsid w:val="00197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171"/>
  </w:style>
  <w:style w:type="paragraph" w:styleId="ListParagraph">
    <w:name w:val="List Paragraph"/>
    <w:basedOn w:val="Normal"/>
    <w:uiPriority w:val="34"/>
    <w:qFormat/>
    <w:rsid w:val="0045485C"/>
    <w:pPr>
      <w:ind w:left="720"/>
      <w:contextualSpacing/>
    </w:pPr>
  </w:style>
  <w:style w:type="paragraph" w:customStyle="1" w:styleId="legclearfix">
    <w:name w:val="legclearfix"/>
    <w:basedOn w:val="Normal"/>
    <w:rsid w:val="000E1F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addition">
    <w:name w:val="legaddition"/>
    <w:basedOn w:val="DefaultParagraphFont"/>
    <w:rsid w:val="000E1F9B"/>
  </w:style>
  <w:style w:type="character" w:styleId="Hyperlink">
    <w:name w:val="Hyperlink"/>
    <w:basedOn w:val="DefaultParagraphFont"/>
    <w:uiPriority w:val="99"/>
    <w:unhideWhenUsed/>
    <w:rsid w:val="00344233"/>
    <w:rPr>
      <w:color w:val="0000FF"/>
      <w:u w:val="single"/>
    </w:rPr>
  </w:style>
  <w:style w:type="character" w:styleId="CommentReference">
    <w:name w:val="annotation reference"/>
    <w:basedOn w:val="DefaultParagraphFont"/>
    <w:uiPriority w:val="99"/>
    <w:semiHidden/>
    <w:unhideWhenUsed/>
    <w:rsid w:val="00507D7C"/>
    <w:rPr>
      <w:sz w:val="16"/>
      <w:szCs w:val="16"/>
    </w:rPr>
  </w:style>
  <w:style w:type="paragraph" w:styleId="CommentText">
    <w:name w:val="annotation text"/>
    <w:basedOn w:val="Normal"/>
    <w:link w:val="CommentTextChar"/>
    <w:uiPriority w:val="99"/>
    <w:semiHidden/>
    <w:unhideWhenUsed/>
    <w:rsid w:val="00507D7C"/>
    <w:pPr>
      <w:spacing w:line="240" w:lineRule="auto"/>
    </w:pPr>
    <w:rPr>
      <w:sz w:val="20"/>
      <w:szCs w:val="20"/>
    </w:rPr>
  </w:style>
  <w:style w:type="character" w:customStyle="1" w:styleId="CommentTextChar">
    <w:name w:val="Comment Text Char"/>
    <w:basedOn w:val="DefaultParagraphFont"/>
    <w:link w:val="CommentText"/>
    <w:uiPriority w:val="99"/>
    <w:semiHidden/>
    <w:rsid w:val="00507D7C"/>
    <w:rPr>
      <w:sz w:val="20"/>
      <w:szCs w:val="20"/>
    </w:rPr>
  </w:style>
  <w:style w:type="paragraph" w:styleId="CommentSubject">
    <w:name w:val="annotation subject"/>
    <w:basedOn w:val="CommentText"/>
    <w:next w:val="CommentText"/>
    <w:link w:val="CommentSubjectChar"/>
    <w:uiPriority w:val="99"/>
    <w:semiHidden/>
    <w:unhideWhenUsed/>
    <w:rsid w:val="00507D7C"/>
    <w:rPr>
      <w:b/>
      <w:bCs/>
    </w:rPr>
  </w:style>
  <w:style w:type="character" w:customStyle="1" w:styleId="CommentSubjectChar">
    <w:name w:val="Comment Subject Char"/>
    <w:basedOn w:val="CommentTextChar"/>
    <w:link w:val="CommentSubject"/>
    <w:uiPriority w:val="99"/>
    <w:semiHidden/>
    <w:rsid w:val="00507D7C"/>
    <w:rPr>
      <w:b/>
      <w:bCs/>
      <w:sz w:val="20"/>
      <w:szCs w:val="20"/>
    </w:rPr>
  </w:style>
  <w:style w:type="paragraph" w:styleId="BalloonText">
    <w:name w:val="Balloon Text"/>
    <w:basedOn w:val="Normal"/>
    <w:link w:val="BalloonTextChar"/>
    <w:uiPriority w:val="99"/>
    <w:semiHidden/>
    <w:unhideWhenUsed/>
    <w:rsid w:val="00507D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7D7C"/>
    <w:rPr>
      <w:rFonts w:ascii="Segoe UI" w:hAnsi="Segoe UI" w:cs="Segoe UI"/>
      <w:sz w:val="18"/>
      <w:szCs w:val="18"/>
    </w:rPr>
  </w:style>
  <w:style w:type="character" w:customStyle="1" w:styleId="s1">
    <w:name w:val="s1"/>
    <w:basedOn w:val="DefaultParagraphFont"/>
    <w:rsid w:val="003B1A7F"/>
  </w:style>
  <w:style w:type="character" w:customStyle="1" w:styleId="apple-converted-space">
    <w:name w:val="apple-converted-space"/>
    <w:basedOn w:val="DefaultParagraphFont"/>
    <w:rsid w:val="003B1A7F"/>
  </w:style>
  <w:style w:type="character" w:styleId="Emphasis">
    <w:name w:val="Emphasis"/>
    <w:basedOn w:val="DefaultParagraphFont"/>
    <w:uiPriority w:val="20"/>
    <w:qFormat/>
    <w:rsid w:val="00960D6B"/>
    <w:rPr>
      <w:i/>
      <w:iCs/>
    </w:rPr>
  </w:style>
  <w:style w:type="character" w:customStyle="1" w:styleId="Heading3Char">
    <w:name w:val="Heading 3 Char"/>
    <w:basedOn w:val="DefaultParagraphFont"/>
    <w:link w:val="Heading3"/>
    <w:uiPriority w:val="9"/>
    <w:rsid w:val="00FD63D2"/>
    <w:rPr>
      <w:rFonts w:ascii="Times New Roman" w:eastAsia="Times New Roman" w:hAnsi="Times New Roman" w:cs="Times New Roman"/>
      <w:b/>
      <w:bCs/>
      <w:sz w:val="27"/>
      <w:szCs w:val="27"/>
      <w:lang w:eastAsia="en-GB"/>
    </w:rPr>
  </w:style>
  <w:style w:type="paragraph" w:customStyle="1" w:styleId="paragraph">
    <w:name w:val="paragraph"/>
    <w:basedOn w:val="Normal"/>
    <w:rsid w:val="00BA5B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A5B56"/>
  </w:style>
  <w:style w:type="character" w:customStyle="1" w:styleId="eop">
    <w:name w:val="eop"/>
    <w:basedOn w:val="DefaultParagraphFont"/>
    <w:rsid w:val="00BA5B56"/>
  </w:style>
  <w:style w:type="character" w:customStyle="1" w:styleId="Heading1Char">
    <w:name w:val="Heading 1 Char"/>
    <w:basedOn w:val="DefaultParagraphFont"/>
    <w:link w:val="Heading1"/>
    <w:uiPriority w:val="9"/>
    <w:rsid w:val="00BA5B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A5B56"/>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rsid w:val="00EE2FF8"/>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D54D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4D7B"/>
    <w:rPr>
      <w:rFonts w:eastAsiaTheme="minorEastAsia"/>
      <w:lang w:val="en-US"/>
    </w:rPr>
  </w:style>
  <w:style w:type="paragraph" w:styleId="TOCHeading">
    <w:name w:val="TOC Heading"/>
    <w:basedOn w:val="Heading1"/>
    <w:next w:val="Normal"/>
    <w:uiPriority w:val="39"/>
    <w:unhideWhenUsed/>
    <w:qFormat/>
    <w:rsid w:val="00FF2A84"/>
    <w:pPr>
      <w:outlineLvl w:val="9"/>
    </w:pPr>
    <w:rPr>
      <w:lang w:val="en-US"/>
    </w:rPr>
  </w:style>
  <w:style w:type="paragraph" w:styleId="TOC1">
    <w:name w:val="toc 1"/>
    <w:basedOn w:val="Normal"/>
    <w:next w:val="Normal"/>
    <w:autoRedefine/>
    <w:uiPriority w:val="39"/>
    <w:unhideWhenUsed/>
    <w:rsid w:val="00FF2A84"/>
    <w:pPr>
      <w:spacing w:after="100"/>
    </w:pPr>
  </w:style>
  <w:style w:type="paragraph" w:styleId="TOC2">
    <w:name w:val="toc 2"/>
    <w:basedOn w:val="Normal"/>
    <w:next w:val="Normal"/>
    <w:autoRedefine/>
    <w:uiPriority w:val="39"/>
    <w:unhideWhenUsed/>
    <w:rsid w:val="00FF2A84"/>
    <w:pPr>
      <w:spacing w:after="100"/>
      <w:ind w:left="220"/>
    </w:pPr>
  </w:style>
  <w:style w:type="paragraph" w:styleId="TOC3">
    <w:name w:val="toc 3"/>
    <w:basedOn w:val="Normal"/>
    <w:next w:val="Normal"/>
    <w:autoRedefine/>
    <w:uiPriority w:val="39"/>
    <w:unhideWhenUsed/>
    <w:rsid w:val="00FF2A84"/>
    <w:pPr>
      <w:spacing w:after="100"/>
      <w:ind w:left="440"/>
    </w:pPr>
  </w:style>
  <w:style w:type="character" w:styleId="FollowedHyperlink">
    <w:name w:val="FollowedHyperlink"/>
    <w:basedOn w:val="DefaultParagraphFont"/>
    <w:uiPriority w:val="99"/>
    <w:semiHidden/>
    <w:unhideWhenUsed/>
    <w:rsid w:val="000369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05978">
      <w:bodyDiv w:val="1"/>
      <w:marLeft w:val="0"/>
      <w:marRight w:val="0"/>
      <w:marTop w:val="0"/>
      <w:marBottom w:val="0"/>
      <w:divBdr>
        <w:top w:val="none" w:sz="0" w:space="0" w:color="auto"/>
        <w:left w:val="none" w:sz="0" w:space="0" w:color="auto"/>
        <w:bottom w:val="none" w:sz="0" w:space="0" w:color="auto"/>
        <w:right w:val="none" w:sz="0" w:space="0" w:color="auto"/>
      </w:divBdr>
    </w:div>
    <w:div w:id="168108775">
      <w:bodyDiv w:val="1"/>
      <w:marLeft w:val="0"/>
      <w:marRight w:val="0"/>
      <w:marTop w:val="0"/>
      <w:marBottom w:val="0"/>
      <w:divBdr>
        <w:top w:val="none" w:sz="0" w:space="0" w:color="auto"/>
        <w:left w:val="none" w:sz="0" w:space="0" w:color="auto"/>
        <w:bottom w:val="none" w:sz="0" w:space="0" w:color="auto"/>
        <w:right w:val="none" w:sz="0" w:space="0" w:color="auto"/>
      </w:divBdr>
    </w:div>
    <w:div w:id="192693459">
      <w:bodyDiv w:val="1"/>
      <w:marLeft w:val="0"/>
      <w:marRight w:val="0"/>
      <w:marTop w:val="0"/>
      <w:marBottom w:val="0"/>
      <w:divBdr>
        <w:top w:val="none" w:sz="0" w:space="0" w:color="auto"/>
        <w:left w:val="none" w:sz="0" w:space="0" w:color="auto"/>
        <w:bottom w:val="none" w:sz="0" w:space="0" w:color="auto"/>
        <w:right w:val="none" w:sz="0" w:space="0" w:color="auto"/>
      </w:divBdr>
    </w:div>
    <w:div w:id="250545955">
      <w:bodyDiv w:val="1"/>
      <w:marLeft w:val="0"/>
      <w:marRight w:val="0"/>
      <w:marTop w:val="0"/>
      <w:marBottom w:val="0"/>
      <w:divBdr>
        <w:top w:val="none" w:sz="0" w:space="0" w:color="auto"/>
        <w:left w:val="none" w:sz="0" w:space="0" w:color="auto"/>
        <w:bottom w:val="none" w:sz="0" w:space="0" w:color="auto"/>
        <w:right w:val="none" w:sz="0" w:space="0" w:color="auto"/>
      </w:divBdr>
    </w:div>
    <w:div w:id="250967007">
      <w:bodyDiv w:val="1"/>
      <w:marLeft w:val="0"/>
      <w:marRight w:val="0"/>
      <w:marTop w:val="0"/>
      <w:marBottom w:val="0"/>
      <w:divBdr>
        <w:top w:val="none" w:sz="0" w:space="0" w:color="auto"/>
        <w:left w:val="none" w:sz="0" w:space="0" w:color="auto"/>
        <w:bottom w:val="none" w:sz="0" w:space="0" w:color="auto"/>
        <w:right w:val="none" w:sz="0" w:space="0" w:color="auto"/>
      </w:divBdr>
    </w:div>
    <w:div w:id="629483383">
      <w:bodyDiv w:val="1"/>
      <w:marLeft w:val="0"/>
      <w:marRight w:val="0"/>
      <w:marTop w:val="0"/>
      <w:marBottom w:val="0"/>
      <w:divBdr>
        <w:top w:val="none" w:sz="0" w:space="0" w:color="auto"/>
        <w:left w:val="none" w:sz="0" w:space="0" w:color="auto"/>
        <w:bottom w:val="none" w:sz="0" w:space="0" w:color="auto"/>
        <w:right w:val="none" w:sz="0" w:space="0" w:color="auto"/>
      </w:divBdr>
      <w:divsChild>
        <w:div w:id="1907108714">
          <w:marLeft w:val="0"/>
          <w:marRight w:val="0"/>
          <w:marTop w:val="0"/>
          <w:marBottom w:val="0"/>
          <w:divBdr>
            <w:top w:val="none" w:sz="0" w:space="0" w:color="auto"/>
            <w:left w:val="none" w:sz="0" w:space="0" w:color="auto"/>
            <w:bottom w:val="none" w:sz="0" w:space="0" w:color="auto"/>
            <w:right w:val="none" w:sz="0" w:space="0" w:color="auto"/>
          </w:divBdr>
        </w:div>
        <w:div w:id="166796497">
          <w:marLeft w:val="0"/>
          <w:marRight w:val="0"/>
          <w:marTop w:val="0"/>
          <w:marBottom w:val="0"/>
          <w:divBdr>
            <w:top w:val="none" w:sz="0" w:space="0" w:color="auto"/>
            <w:left w:val="none" w:sz="0" w:space="0" w:color="auto"/>
            <w:bottom w:val="none" w:sz="0" w:space="0" w:color="auto"/>
            <w:right w:val="none" w:sz="0" w:space="0" w:color="auto"/>
          </w:divBdr>
        </w:div>
        <w:div w:id="291714810">
          <w:marLeft w:val="0"/>
          <w:marRight w:val="0"/>
          <w:marTop w:val="0"/>
          <w:marBottom w:val="0"/>
          <w:divBdr>
            <w:top w:val="none" w:sz="0" w:space="0" w:color="auto"/>
            <w:left w:val="none" w:sz="0" w:space="0" w:color="auto"/>
            <w:bottom w:val="none" w:sz="0" w:space="0" w:color="auto"/>
            <w:right w:val="none" w:sz="0" w:space="0" w:color="auto"/>
          </w:divBdr>
        </w:div>
        <w:div w:id="1027560116">
          <w:marLeft w:val="0"/>
          <w:marRight w:val="0"/>
          <w:marTop w:val="0"/>
          <w:marBottom w:val="0"/>
          <w:divBdr>
            <w:top w:val="none" w:sz="0" w:space="0" w:color="auto"/>
            <w:left w:val="none" w:sz="0" w:space="0" w:color="auto"/>
            <w:bottom w:val="none" w:sz="0" w:space="0" w:color="auto"/>
            <w:right w:val="none" w:sz="0" w:space="0" w:color="auto"/>
          </w:divBdr>
        </w:div>
        <w:div w:id="1884096719">
          <w:marLeft w:val="0"/>
          <w:marRight w:val="0"/>
          <w:marTop w:val="0"/>
          <w:marBottom w:val="0"/>
          <w:divBdr>
            <w:top w:val="none" w:sz="0" w:space="0" w:color="auto"/>
            <w:left w:val="none" w:sz="0" w:space="0" w:color="auto"/>
            <w:bottom w:val="none" w:sz="0" w:space="0" w:color="auto"/>
            <w:right w:val="none" w:sz="0" w:space="0" w:color="auto"/>
          </w:divBdr>
        </w:div>
        <w:div w:id="2145811539">
          <w:marLeft w:val="0"/>
          <w:marRight w:val="0"/>
          <w:marTop w:val="0"/>
          <w:marBottom w:val="0"/>
          <w:divBdr>
            <w:top w:val="none" w:sz="0" w:space="0" w:color="auto"/>
            <w:left w:val="none" w:sz="0" w:space="0" w:color="auto"/>
            <w:bottom w:val="none" w:sz="0" w:space="0" w:color="auto"/>
            <w:right w:val="none" w:sz="0" w:space="0" w:color="auto"/>
          </w:divBdr>
        </w:div>
        <w:div w:id="459500390">
          <w:marLeft w:val="0"/>
          <w:marRight w:val="0"/>
          <w:marTop w:val="0"/>
          <w:marBottom w:val="0"/>
          <w:divBdr>
            <w:top w:val="none" w:sz="0" w:space="0" w:color="auto"/>
            <w:left w:val="none" w:sz="0" w:space="0" w:color="auto"/>
            <w:bottom w:val="none" w:sz="0" w:space="0" w:color="auto"/>
            <w:right w:val="none" w:sz="0" w:space="0" w:color="auto"/>
          </w:divBdr>
        </w:div>
        <w:div w:id="1203248974">
          <w:marLeft w:val="0"/>
          <w:marRight w:val="0"/>
          <w:marTop w:val="0"/>
          <w:marBottom w:val="0"/>
          <w:divBdr>
            <w:top w:val="none" w:sz="0" w:space="0" w:color="auto"/>
            <w:left w:val="none" w:sz="0" w:space="0" w:color="auto"/>
            <w:bottom w:val="none" w:sz="0" w:space="0" w:color="auto"/>
            <w:right w:val="none" w:sz="0" w:space="0" w:color="auto"/>
          </w:divBdr>
        </w:div>
        <w:div w:id="2137719632">
          <w:marLeft w:val="0"/>
          <w:marRight w:val="0"/>
          <w:marTop w:val="0"/>
          <w:marBottom w:val="0"/>
          <w:divBdr>
            <w:top w:val="none" w:sz="0" w:space="0" w:color="auto"/>
            <w:left w:val="none" w:sz="0" w:space="0" w:color="auto"/>
            <w:bottom w:val="none" w:sz="0" w:space="0" w:color="auto"/>
            <w:right w:val="none" w:sz="0" w:space="0" w:color="auto"/>
          </w:divBdr>
        </w:div>
        <w:div w:id="491138087">
          <w:marLeft w:val="0"/>
          <w:marRight w:val="0"/>
          <w:marTop w:val="0"/>
          <w:marBottom w:val="0"/>
          <w:divBdr>
            <w:top w:val="none" w:sz="0" w:space="0" w:color="auto"/>
            <w:left w:val="none" w:sz="0" w:space="0" w:color="auto"/>
            <w:bottom w:val="none" w:sz="0" w:space="0" w:color="auto"/>
            <w:right w:val="none" w:sz="0" w:space="0" w:color="auto"/>
          </w:divBdr>
        </w:div>
        <w:div w:id="1868057150">
          <w:marLeft w:val="0"/>
          <w:marRight w:val="0"/>
          <w:marTop w:val="0"/>
          <w:marBottom w:val="0"/>
          <w:divBdr>
            <w:top w:val="none" w:sz="0" w:space="0" w:color="auto"/>
            <w:left w:val="none" w:sz="0" w:space="0" w:color="auto"/>
            <w:bottom w:val="none" w:sz="0" w:space="0" w:color="auto"/>
            <w:right w:val="none" w:sz="0" w:space="0" w:color="auto"/>
          </w:divBdr>
        </w:div>
        <w:div w:id="1211308815">
          <w:marLeft w:val="0"/>
          <w:marRight w:val="0"/>
          <w:marTop w:val="0"/>
          <w:marBottom w:val="0"/>
          <w:divBdr>
            <w:top w:val="none" w:sz="0" w:space="0" w:color="auto"/>
            <w:left w:val="none" w:sz="0" w:space="0" w:color="auto"/>
            <w:bottom w:val="none" w:sz="0" w:space="0" w:color="auto"/>
            <w:right w:val="none" w:sz="0" w:space="0" w:color="auto"/>
          </w:divBdr>
        </w:div>
        <w:div w:id="302081139">
          <w:marLeft w:val="0"/>
          <w:marRight w:val="0"/>
          <w:marTop w:val="0"/>
          <w:marBottom w:val="0"/>
          <w:divBdr>
            <w:top w:val="none" w:sz="0" w:space="0" w:color="auto"/>
            <w:left w:val="none" w:sz="0" w:space="0" w:color="auto"/>
            <w:bottom w:val="none" w:sz="0" w:space="0" w:color="auto"/>
            <w:right w:val="none" w:sz="0" w:space="0" w:color="auto"/>
          </w:divBdr>
        </w:div>
        <w:div w:id="1237745413">
          <w:marLeft w:val="0"/>
          <w:marRight w:val="0"/>
          <w:marTop w:val="0"/>
          <w:marBottom w:val="0"/>
          <w:divBdr>
            <w:top w:val="none" w:sz="0" w:space="0" w:color="auto"/>
            <w:left w:val="none" w:sz="0" w:space="0" w:color="auto"/>
            <w:bottom w:val="none" w:sz="0" w:space="0" w:color="auto"/>
            <w:right w:val="none" w:sz="0" w:space="0" w:color="auto"/>
          </w:divBdr>
        </w:div>
        <w:div w:id="462961820">
          <w:marLeft w:val="0"/>
          <w:marRight w:val="0"/>
          <w:marTop w:val="0"/>
          <w:marBottom w:val="0"/>
          <w:divBdr>
            <w:top w:val="none" w:sz="0" w:space="0" w:color="auto"/>
            <w:left w:val="none" w:sz="0" w:space="0" w:color="auto"/>
            <w:bottom w:val="none" w:sz="0" w:space="0" w:color="auto"/>
            <w:right w:val="none" w:sz="0" w:space="0" w:color="auto"/>
          </w:divBdr>
        </w:div>
        <w:div w:id="1382556619">
          <w:marLeft w:val="0"/>
          <w:marRight w:val="0"/>
          <w:marTop w:val="0"/>
          <w:marBottom w:val="0"/>
          <w:divBdr>
            <w:top w:val="none" w:sz="0" w:space="0" w:color="auto"/>
            <w:left w:val="none" w:sz="0" w:space="0" w:color="auto"/>
            <w:bottom w:val="none" w:sz="0" w:space="0" w:color="auto"/>
            <w:right w:val="none" w:sz="0" w:space="0" w:color="auto"/>
          </w:divBdr>
        </w:div>
        <w:div w:id="584916576">
          <w:marLeft w:val="0"/>
          <w:marRight w:val="0"/>
          <w:marTop w:val="0"/>
          <w:marBottom w:val="0"/>
          <w:divBdr>
            <w:top w:val="none" w:sz="0" w:space="0" w:color="auto"/>
            <w:left w:val="none" w:sz="0" w:space="0" w:color="auto"/>
            <w:bottom w:val="none" w:sz="0" w:space="0" w:color="auto"/>
            <w:right w:val="none" w:sz="0" w:space="0" w:color="auto"/>
          </w:divBdr>
        </w:div>
        <w:div w:id="1501969184">
          <w:marLeft w:val="0"/>
          <w:marRight w:val="0"/>
          <w:marTop w:val="0"/>
          <w:marBottom w:val="0"/>
          <w:divBdr>
            <w:top w:val="none" w:sz="0" w:space="0" w:color="auto"/>
            <w:left w:val="none" w:sz="0" w:space="0" w:color="auto"/>
            <w:bottom w:val="none" w:sz="0" w:space="0" w:color="auto"/>
            <w:right w:val="none" w:sz="0" w:space="0" w:color="auto"/>
          </w:divBdr>
        </w:div>
        <w:div w:id="1512069385">
          <w:marLeft w:val="0"/>
          <w:marRight w:val="0"/>
          <w:marTop w:val="0"/>
          <w:marBottom w:val="0"/>
          <w:divBdr>
            <w:top w:val="none" w:sz="0" w:space="0" w:color="auto"/>
            <w:left w:val="none" w:sz="0" w:space="0" w:color="auto"/>
            <w:bottom w:val="none" w:sz="0" w:space="0" w:color="auto"/>
            <w:right w:val="none" w:sz="0" w:space="0" w:color="auto"/>
          </w:divBdr>
        </w:div>
        <w:div w:id="1348216380">
          <w:marLeft w:val="0"/>
          <w:marRight w:val="0"/>
          <w:marTop w:val="0"/>
          <w:marBottom w:val="0"/>
          <w:divBdr>
            <w:top w:val="none" w:sz="0" w:space="0" w:color="auto"/>
            <w:left w:val="none" w:sz="0" w:space="0" w:color="auto"/>
            <w:bottom w:val="none" w:sz="0" w:space="0" w:color="auto"/>
            <w:right w:val="none" w:sz="0" w:space="0" w:color="auto"/>
          </w:divBdr>
        </w:div>
        <w:div w:id="1889872413">
          <w:marLeft w:val="0"/>
          <w:marRight w:val="0"/>
          <w:marTop w:val="0"/>
          <w:marBottom w:val="0"/>
          <w:divBdr>
            <w:top w:val="none" w:sz="0" w:space="0" w:color="auto"/>
            <w:left w:val="none" w:sz="0" w:space="0" w:color="auto"/>
            <w:bottom w:val="none" w:sz="0" w:space="0" w:color="auto"/>
            <w:right w:val="none" w:sz="0" w:space="0" w:color="auto"/>
          </w:divBdr>
        </w:div>
        <w:div w:id="912852525">
          <w:marLeft w:val="0"/>
          <w:marRight w:val="0"/>
          <w:marTop w:val="0"/>
          <w:marBottom w:val="0"/>
          <w:divBdr>
            <w:top w:val="none" w:sz="0" w:space="0" w:color="auto"/>
            <w:left w:val="none" w:sz="0" w:space="0" w:color="auto"/>
            <w:bottom w:val="none" w:sz="0" w:space="0" w:color="auto"/>
            <w:right w:val="none" w:sz="0" w:space="0" w:color="auto"/>
          </w:divBdr>
        </w:div>
        <w:div w:id="1733502790">
          <w:marLeft w:val="0"/>
          <w:marRight w:val="0"/>
          <w:marTop w:val="0"/>
          <w:marBottom w:val="0"/>
          <w:divBdr>
            <w:top w:val="none" w:sz="0" w:space="0" w:color="auto"/>
            <w:left w:val="none" w:sz="0" w:space="0" w:color="auto"/>
            <w:bottom w:val="none" w:sz="0" w:space="0" w:color="auto"/>
            <w:right w:val="none" w:sz="0" w:space="0" w:color="auto"/>
          </w:divBdr>
        </w:div>
        <w:div w:id="1005131333">
          <w:marLeft w:val="0"/>
          <w:marRight w:val="0"/>
          <w:marTop w:val="0"/>
          <w:marBottom w:val="0"/>
          <w:divBdr>
            <w:top w:val="none" w:sz="0" w:space="0" w:color="auto"/>
            <w:left w:val="none" w:sz="0" w:space="0" w:color="auto"/>
            <w:bottom w:val="none" w:sz="0" w:space="0" w:color="auto"/>
            <w:right w:val="none" w:sz="0" w:space="0" w:color="auto"/>
          </w:divBdr>
        </w:div>
        <w:div w:id="1933272649">
          <w:marLeft w:val="0"/>
          <w:marRight w:val="0"/>
          <w:marTop w:val="0"/>
          <w:marBottom w:val="0"/>
          <w:divBdr>
            <w:top w:val="none" w:sz="0" w:space="0" w:color="auto"/>
            <w:left w:val="none" w:sz="0" w:space="0" w:color="auto"/>
            <w:bottom w:val="none" w:sz="0" w:space="0" w:color="auto"/>
            <w:right w:val="none" w:sz="0" w:space="0" w:color="auto"/>
          </w:divBdr>
        </w:div>
        <w:div w:id="898058385">
          <w:marLeft w:val="0"/>
          <w:marRight w:val="0"/>
          <w:marTop w:val="0"/>
          <w:marBottom w:val="0"/>
          <w:divBdr>
            <w:top w:val="none" w:sz="0" w:space="0" w:color="auto"/>
            <w:left w:val="none" w:sz="0" w:space="0" w:color="auto"/>
            <w:bottom w:val="none" w:sz="0" w:space="0" w:color="auto"/>
            <w:right w:val="none" w:sz="0" w:space="0" w:color="auto"/>
          </w:divBdr>
        </w:div>
        <w:div w:id="2069760744">
          <w:marLeft w:val="0"/>
          <w:marRight w:val="0"/>
          <w:marTop w:val="0"/>
          <w:marBottom w:val="0"/>
          <w:divBdr>
            <w:top w:val="none" w:sz="0" w:space="0" w:color="auto"/>
            <w:left w:val="none" w:sz="0" w:space="0" w:color="auto"/>
            <w:bottom w:val="none" w:sz="0" w:space="0" w:color="auto"/>
            <w:right w:val="none" w:sz="0" w:space="0" w:color="auto"/>
          </w:divBdr>
        </w:div>
        <w:div w:id="1811091501">
          <w:marLeft w:val="0"/>
          <w:marRight w:val="0"/>
          <w:marTop w:val="0"/>
          <w:marBottom w:val="0"/>
          <w:divBdr>
            <w:top w:val="none" w:sz="0" w:space="0" w:color="auto"/>
            <w:left w:val="none" w:sz="0" w:space="0" w:color="auto"/>
            <w:bottom w:val="none" w:sz="0" w:space="0" w:color="auto"/>
            <w:right w:val="none" w:sz="0" w:space="0" w:color="auto"/>
          </w:divBdr>
        </w:div>
        <w:div w:id="526254912">
          <w:marLeft w:val="0"/>
          <w:marRight w:val="0"/>
          <w:marTop w:val="0"/>
          <w:marBottom w:val="0"/>
          <w:divBdr>
            <w:top w:val="none" w:sz="0" w:space="0" w:color="auto"/>
            <w:left w:val="none" w:sz="0" w:space="0" w:color="auto"/>
            <w:bottom w:val="none" w:sz="0" w:space="0" w:color="auto"/>
            <w:right w:val="none" w:sz="0" w:space="0" w:color="auto"/>
          </w:divBdr>
        </w:div>
        <w:div w:id="1095708384">
          <w:marLeft w:val="0"/>
          <w:marRight w:val="0"/>
          <w:marTop w:val="0"/>
          <w:marBottom w:val="0"/>
          <w:divBdr>
            <w:top w:val="none" w:sz="0" w:space="0" w:color="auto"/>
            <w:left w:val="none" w:sz="0" w:space="0" w:color="auto"/>
            <w:bottom w:val="none" w:sz="0" w:space="0" w:color="auto"/>
            <w:right w:val="none" w:sz="0" w:space="0" w:color="auto"/>
          </w:divBdr>
        </w:div>
        <w:div w:id="1525095939">
          <w:marLeft w:val="0"/>
          <w:marRight w:val="0"/>
          <w:marTop w:val="0"/>
          <w:marBottom w:val="0"/>
          <w:divBdr>
            <w:top w:val="none" w:sz="0" w:space="0" w:color="auto"/>
            <w:left w:val="none" w:sz="0" w:space="0" w:color="auto"/>
            <w:bottom w:val="none" w:sz="0" w:space="0" w:color="auto"/>
            <w:right w:val="none" w:sz="0" w:space="0" w:color="auto"/>
          </w:divBdr>
        </w:div>
        <w:div w:id="2082557852">
          <w:marLeft w:val="0"/>
          <w:marRight w:val="0"/>
          <w:marTop w:val="0"/>
          <w:marBottom w:val="0"/>
          <w:divBdr>
            <w:top w:val="none" w:sz="0" w:space="0" w:color="auto"/>
            <w:left w:val="none" w:sz="0" w:space="0" w:color="auto"/>
            <w:bottom w:val="none" w:sz="0" w:space="0" w:color="auto"/>
            <w:right w:val="none" w:sz="0" w:space="0" w:color="auto"/>
          </w:divBdr>
        </w:div>
        <w:div w:id="701638034">
          <w:marLeft w:val="0"/>
          <w:marRight w:val="0"/>
          <w:marTop w:val="0"/>
          <w:marBottom w:val="0"/>
          <w:divBdr>
            <w:top w:val="none" w:sz="0" w:space="0" w:color="auto"/>
            <w:left w:val="none" w:sz="0" w:space="0" w:color="auto"/>
            <w:bottom w:val="none" w:sz="0" w:space="0" w:color="auto"/>
            <w:right w:val="none" w:sz="0" w:space="0" w:color="auto"/>
          </w:divBdr>
        </w:div>
        <w:div w:id="1638415564">
          <w:marLeft w:val="0"/>
          <w:marRight w:val="0"/>
          <w:marTop w:val="0"/>
          <w:marBottom w:val="0"/>
          <w:divBdr>
            <w:top w:val="none" w:sz="0" w:space="0" w:color="auto"/>
            <w:left w:val="none" w:sz="0" w:space="0" w:color="auto"/>
            <w:bottom w:val="none" w:sz="0" w:space="0" w:color="auto"/>
            <w:right w:val="none" w:sz="0" w:space="0" w:color="auto"/>
          </w:divBdr>
        </w:div>
        <w:div w:id="1932619516">
          <w:marLeft w:val="0"/>
          <w:marRight w:val="0"/>
          <w:marTop w:val="0"/>
          <w:marBottom w:val="0"/>
          <w:divBdr>
            <w:top w:val="none" w:sz="0" w:space="0" w:color="auto"/>
            <w:left w:val="none" w:sz="0" w:space="0" w:color="auto"/>
            <w:bottom w:val="none" w:sz="0" w:space="0" w:color="auto"/>
            <w:right w:val="none" w:sz="0" w:space="0" w:color="auto"/>
          </w:divBdr>
        </w:div>
        <w:div w:id="1447112853">
          <w:marLeft w:val="0"/>
          <w:marRight w:val="0"/>
          <w:marTop w:val="0"/>
          <w:marBottom w:val="0"/>
          <w:divBdr>
            <w:top w:val="none" w:sz="0" w:space="0" w:color="auto"/>
            <w:left w:val="none" w:sz="0" w:space="0" w:color="auto"/>
            <w:bottom w:val="none" w:sz="0" w:space="0" w:color="auto"/>
            <w:right w:val="none" w:sz="0" w:space="0" w:color="auto"/>
          </w:divBdr>
        </w:div>
        <w:div w:id="1355569950">
          <w:marLeft w:val="0"/>
          <w:marRight w:val="0"/>
          <w:marTop w:val="0"/>
          <w:marBottom w:val="0"/>
          <w:divBdr>
            <w:top w:val="none" w:sz="0" w:space="0" w:color="auto"/>
            <w:left w:val="none" w:sz="0" w:space="0" w:color="auto"/>
            <w:bottom w:val="none" w:sz="0" w:space="0" w:color="auto"/>
            <w:right w:val="none" w:sz="0" w:space="0" w:color="auto"/>
          </w:divBdr>
        </w:div>
        <w:div w:id="1011839209">
          <w:marLeft w:val="0"/>
          <w:marRight w:val="0"/>
          <w:marTop w:val="0"/>
          <w:marBottom w:val="0"/>
          <w:divBdr>
            <w:top w:val="none" w:sz="0" w:space="0" w:color="auto"/>
            <w:left w:val="none" w:sz="0" w:space="0" w:color="auto"/>
            <w:bottom w:val="none" w:sz="0" w:space="0" w:color="auto"/>
            <w:right w:val="none" w:sz="0" w:space="0" w:color="auto"/>
          </w:divBdr>
        </w:div>
        <w:div w:id="999503703">
          <w:marLeft w:val="0"/>
          <w:marRight w:val="0"/>
          <w:marTop w:val="0"/>
          <w:marBottom w:val="0"/>
          <w:divBdr>
            <w:top w:val="none" w:sz="0" w:space="0" w:color="auto"/>
            <w:left w:val="none" w:sz="0" w:space="0" w:color="auto"/>
            <w:bottom w:val="none" w:sz="0" w:space="0" w:color="auto"/>
            <w:right w:val="none" w:sz="0" w:space="0" w:color="auto"/>
          </w:divBdr>
        </w:div>
        <w:div w:id="473762652">
          <w:marLeft w:val="0"/>
          <w:marRight w:val="0"/>
          <w:marTop w:val="0"/>
          <w:marBottom w:val="0"/>
          <w:divBdr>
            <w:top w:val="none" w:sz="0" w:space="0" w:color="auto"/>
            <w:left w:val="none" w:sz="0" w:space="0" w:color="auto"/>
            <w:bottom w:val="none" w:sz="0" w:space="0" w:color="auto"/>
            <w:right w:val="none" w:sz="0" w:space="0" w:color="auto"/>
          </w:divBdr>
        </w:div>
        <w:div w:id="1371145020">
          <w:marLeft w:val="0"/>
          <w:marRight w:val="0"/>
          <w:marTop w:val="0"/>
          <w:marBottom w:val="0"/>
          <w:divBdr>
            <w:top w:val="none" w:sz="0" w:space="0" w:color="auto"/>
            <w:left w:val="none" w:sz="0" w:space="0" w:color="auto"/>
            <w:bottom w:val="none" w:sz="0" w:space="0" w:color="auto"/>
            <w:right w:val="none" w:sz="0" w:space="0" w:color="auto"/>
          </w:divBdr>
        </w:div>
        <w:div w:id="443810542">
          <w:marLeft w:val="0"/>
          <w:marRight w:val="0"/>
          <w:marTop w:val="0"/>
          <w:marBottom w:val="0"/>
          <w:divBdr>
            <w:top w:val="none" w:sz="0" w:space="0" w:color="auto"/>
            <w:left w:val="none" w:sz="0" w:space="0" w:color="auto"/>
            <w:bottom w:val="none" w:sz="0" w:space="0" w:color="auto"/>
            <w:right w:val="none" w:sz="0" w:space="0" w:color="auto"/>
          </w:divBdr>
        </w:div>
        <w:div w:id="1816558322">
          <w:marLeft w:val="0"/>
          <w:marRight w:val="0"/>
          <w:marTop w:val="0"/>
          <w:marBottom w:val="0"/>
          <w:divBdr>
            <w:top w:val="none" w:sz="0" w:space="0" w:color="auto"/>
            <w:left w:val="none" w:sz="0" w:space="0" w:color="auto"/>
            <w:bottom w:val="none" w:sz="0" w:space="0" w:color="auto"/>
            <w:right w:val="none" w:sz="0" w:space="0" w:color="auto"/>
          </w:divBdr>
        </w:div>
        <w:div w:id="827096922">
          <w:marLeft w:val="0"/>
          <w:marRight w:val="0"/>
          <w:marTop w:val="0"/>
          <w:marBottom w:val="0"/>
          <w:divBdr>
            <w:top w:val="none" w:sz="0" w:space="0" w:color="auto"/>
            <w:left w:val="none" w:sz="0" w:space="0" w:color="auto"/>
            <w:bottom w:val="none" w:sz="0" w:space="0" w:color="auto"/>
            <w:right w:val="none" w:sz="0" w:space="0" w:color="auto"/>
          </w:divBdr>
        </w:div>
        <w:div w:id="1928414829">
          <w:marLeft w:val="0"/>
          <w:marRight w:val="0"/>
          <w:marTop w:val="0"/>
          <w:marBottom w:val="0"/>
          <w:divBdr>
            <w:top w:val="none" w:sz="0" w:space="0" w:color="auto"/>
            <w:left w:val="none" w:sz="0" w:space="0" w:color="auto"/>
            <w:bottom w:val="none" w:sz="0" w:space="0" w:color="auto"/>
            <w:right w:val="none" w:sz="0" w:space="0" w:color="auto"/>
          </w:divBdr>
        </w:div>
        <w:div w:id="1886794207">
          <w:marLeft w:val="0"/>
          <w:marRight w:val="0"/>
          <w:marTop w:val="0"/>
          <w:marBottom w:val="0"/>
          <w:divBdr>
            <w:top w:val="none" w:sz="0" w:space="0" w:color="auto"/>
            <w:left w:val="none" w:sz="0" w:space="0" w:color="auto"/>
            <w:bottom w:val="none" w:sz="0" w:space="0" w:color="auto"/>
            <w:right w:val="none" w:sz="0" w:space="0" w:color="auto"/>
          </w:divBdr>
        </w:div>
        <w:div w:id="1269266995">
          <w:marLeft w:val="0"/>
          <w:marRight w:val="0"/>
          <w:marTop w:val="0"/>
          <w:marBottom w:val="0"/>
          <w:divBdr>
            <w:top w:val="none" w:sz="0" w:space="0" w:color="auto"/>
            <w:left w:val="none" w:sz="0" w:space="0" w:color="auto"/>
            <w:bottom w:val="none" w:sz="0" w:space="0" w:color="auto"/>
            <w:right w:val="none" w:sz="0" w:space="0" w:color="auto"/>
          </w:divBdr>
        </w:div>
        <w:div w:id="732234560">
          <w:marLeft w:val="0"/>
          <w:marRight w:val="0"/>
          <w:marTop w:val="0"/>
          <w:marBottom w:val="0"/>
          <w:divBdr>
            <w:top w:val="none" w:sz="0" w:space="0" w:color="auto"/>
            <w:left w:val="none" w:sz="0" w:space="0" w:color="auto"/>
            <w:bottom w:val="none" w:sz="0" w:space="0" w:color="auto"/>
            <w:right w:val="none" w:sz="0" w:space="0" w:color="auto"/>
          </w:divBdr>
        </w:div>
        <w:div w:id="656999503">
          <w:marLeft w:val="0"/>
          <w:marRight w:val="0"/>
          <w:marTop w:val="0"/>
          <w:marBottom w:val="0"/>
          <w:divBdr>
            <w:top w:val="none" w:sz="0" w:space="0" w:color="auto"/>
            <w:left w:val="none" w:sz="0" w:space="0" w:color="auto"/>
            <w:bottom w:val="none" w:sz="0" w:space="0" w:color="auto"/>
            <w:right w:val="none" w:sz="0" w:space="0" w:color="auto"/>
          </w:divBdr>
        </w:div>
        <w:div w:id="1414745227">
          <w:marLeft w:val="0"/>
          <w:marRight w:val="0"/>
          <w:marTop w:val="0"/>
          <w:marBottom w:val="0"/>
          <w:divBdr>
            <w:top w:val="none" w:sz="0" w:space="0" w:color="auto"/>
            <w:left w:val="none" w:sz="0" w:space="0" w:color="auto"/>
            <w:bottom w:val="none" w:sz="0" w:space="0" w:color="auto"/>
            <w:right w:val="none" w:sz="0" w:space="0" w:color="auto"/>
          </w:divBdr>
        </w:div>
        <w:div w:id="44570742">
          <w:marLeft w:val="0"/>
          <w:marRight w:val="0"/>
          <w:marTop w:val="0"/>
          <w:marBottom w:val="0"/>
          <w:divBdr>
            <w:top w:val="none" w:sz="0" w:space="0" w:color="auto"/>
            <w:left w:val="none" w:sz="0" w:space="0" w:color="auto"/>
            <w:bottom w:val="none" w:sz="0" w:space="0" w:color="auto"/>
            <w:right w:val="none" w:sz="0" w:space="0" w:color="auto"/>
          </w:divBdr>
        </w:div>
        <w:div w:id="13768102">
          <w:marLeft w:val="0"/>
          <w:marRight w:val="0"/>
          <w:marTop w:val="0"/>
          <w:marBottom w:val="0"/>
          <w:divBdr>
            <w:top w:val="none" w:sz="0" w:space="0" w:color="auto"/>
            <w:left w:val="none" w:sz="0" w:space="0" w:color="auto"/>
            <w:bottom w:val="none" w:sz="0" w:space="0" w:color="auto"/>
            <w:right w:val="none" w:sz="0" w:space="0" w:color="auto"/>
          </w:divBdr>
        </w:div>
        <w:div w:id="59718021">
          <w:marLeft w:val="0"/>
          <w:marRight w:val="0"/>
          <w:marTop w:val="0"/>
          <w:marBottom w:val="0"/>
          <w:divBdr>
            <w:top w:val="none" w:sz="0" w:space="0" w:color="auto"/>
            <w:left w:val="none" w:sz="0" w:space="0" w:color="auto"/>
            <w:bottom w:val="none" w:sz="0" w:space="0" w:color="auto"/>
            <w:right w:val="none" w:sz="0" w:space="0" w:color="auto"/>
          </w:divBdr>
        </w:div>
        <w:div w:id="887304337">
          <w:marLeft w:val="0"/>
          <w:marRight w:val="0"/>
          <w:marTop w:val="0"/>
          <w:marBottom w:val="0"/>
          <w:divBdr>
            <w:top w:val="none" w:sz="0" w:space="0" w:color="auto"/>
            <w:left w:val="none" w:sz="0" w:space="0" w:color="auto"/>
            <w:bottom w:val="none" w:sz="0" w:space="0" w:color="auto"/>
            <w:right w:val="none" w:sz="0" w:space="0" w:color="auto"/>
          </w:divBdr>
        </w:div>
        <w:div w:id="1178806493">
          <w:marLeft w:val="0"/>
          <w:marRight w:val="0"/>
          <w:marTop w:val="0"/>
          <w:marBottom w:val="0"/>
          <w:divBdr>
            <w:top w:val="none" w:sz="0" w:space="0" w:color="auto"/>
            <w:left w:val="none" w:sz="0" w:space="0" w:color="auto"/>
            <w:bottom w:val="none" w:sz="0" w:space="0" w:color="auto"/>
            <w:right w:val="none" w:sz="0" w:space="0" w:color="auto"/>
          </w:divBdr>
        </w:div>
        <w:div w:id="1215431551">
          <w:marLeft w:val="0"/>
          <w:marRight w:val="0"/>
          <w:marTop w:val="0"/>
          <w:marBottom w:val="0"/>
          <w:divBdr>
            <w:top w:val="none" w:sz="0" w:space="0" w:color="auto"/>
            <w:left w:val="none" w:sz="0" w:space="0" w:color="auto"/>
            <w:bottom w:val="none" w:sz="0" w:space="0" w:color="auto"/>
            <w:right w:val="none" w:sz="0" w:space="0" w:color="auto"/>
          </w:divBdr>
        </w:div>
        <w:div w:id="406926620">
          <w:marLeft w:val="0"/>
          <w:marRight w:val="0"/>
          <w:marTop w:val="0"/>
          <w:marBottom w:val="0"/>
          <w:divBdr>
            <w:top w:val="none" w:sz="0" w:space="0" w:color="auto"/>
            <w:left w:val="none" w:sz="0" w:space="0" w:color="auto"/>
            <w:bottom w:val="none" w:sz="0" w:space="0" w:color="auto"/>
            <w:right w:val="none" w:sz="0" w:space="0" w:color="auto"/>
          </w:divBdr>
        </w:div>
        <w:div w:id="363753595">
          <w:marLeft w:val="0"/>
          <w:marRight w:val="0"/>
          <w:marTop w:val="0"/>
          <w:marBottom w:val="0"/>
          <w:divBdr>
            <w:top w:val="none" w:sz="0" w:space="0" w:color="auto"/>
            <w:left w:val="none" w:sz="0" w:space="0" w:color="auto"/>
            <w:bottom w:val="none" w:sz="0" w:space="0" w:color="auto"/>
            <w:right w:val="none" w:sz="0" w:space="0" w:color="auto"/>
          </w:divBdr>
        </w:div>
        <w:div w:id="1253853771">
          <w:marLeft w:val="0"/>
          <w:marRight w:val="0"/>
          <w:marTop w:val="0"/>
          <w:marBottom w:val="0"/>
          <w:divBdr>
            <w:top w:val="none" w:sz="0" w:space="0" w:color="auto"/>
            <w:left w:val="none" w:sz="0" w:space="0" w:color="auto"/>
            <w:bottom w:val="none" w:sz="0" w:space="0" w:color="auto"/>
            <w:right w:val="none" w:sz="0" w:space="0" w:color="auto"/>
          </w:divBdr>
        </w:div>
        <w:div w:id="720207436">
          <w:marLeft w:val="0"/>
          <w:marRight w:val="0"/>
          <w:marTop w:val="0"/>
          <w:marBottom w:val="0"/>
          <w:divBdr>
            <w:top w:val="none" w:sz="0" w:space="0" w:color="auto"/>
            <w:left w:val="none" w:sz="0" w:space="0" w:color="auto"/>
            <w:bottom w:val="none" w:sz="0" w:space="0" w:color="auto"/>
            <w:right w:val="none" w:sz="0" w:space="0" w:color="auto"/>
          </w:divBdr>
        </w:div>
        <w:div w:id="1292205678">
          <w:marLeft w:val="0"/>
          <w:marRight w:val="0"/>
          <w:marTop w:val="0"/>
          <w:marBottom w:val="0"/>
          <w:divBdr>
            <w:top w:val="none" w:sz="0" w:space="0" w:color="auto"/>
            <w:left w:val="none" w:sz="0" w:space="0" w:color="auto"/>
            <w:bottom w:val="none" w:sz="0" w:space="0" w:color="auto"/>
            <w:right w:val="none" w:sz="0" w:space="0" w:color="auto"/>
          </w:divBdr>
        </w:div>
        <w:div w:id="19820928">
          <w:marLeft w:val="0"/>
          <w:marRight w:val="0"/>
          <w:marTop w:val="0"/>
          <w:marBottom w:val="0"/>
          <w:divBdr>
            <w:top w:val="none" w:sz="0" w:space="0" w:color="auto"/>
            <w:left w:val="none" w:sz="0" w:space="0" w:color="auto"/>
            <w:bottom w:val="none" w:sz="0" w:space="0" w:color="auto"/>
            <w:right w:val="none" w:sz="0" w:space="0" w:color="auto"/>
          </w:divBdr>
        </w:div>
        <w:div w:id="1654602027">
          <w:marLeft w:val="0"/>
          <w:marRight w:val="0"/>
          <w:marTop w:val="0"/>
          <w:marBottom w:val="0"/>
          <w:divBdr>
            <w:top w:val="none" w:sz="0" w:space="0" w:color="auto"/>
            <w:left w:val="none" w:sz="0" w:space="0" w:color="auto"/>
            <w:bottom w:val="none" w:sz="0" w:space="0" w:color="auto"/>
            <w:right w:val="none" w:sz="0" w:space="0" w:color="auto"/>
          </w:divBdr>
        </w:div>
        <w:div w:id="1283149124">
          <w:marLeft w:val="0"/>
          <w:marRight w:val="0"/>
          <w:marTop w:val="0"/>
          <w:marBottom w:val="0"/>
          <w:divBdr>
            <w:top w:val="none" w:sz="0" w:space="0" w:color="auto"/>
            <w:left w:val="none" w:sz="0" w:space="0" w:color="auto"/>
            <w:bottom w:val="none" w:sz="0" w:space="0" w:color="auto"/>
            <w:right w:val="none" w:sz="0" w:space="0" w:color="auto"/>
          </w:divBdr>
        </w:div>
        <w:div w:id="915553715">
          <w:marLeft w:val="0"/>
          <w:marRight w:val="0"/>
          <w:marTop w:val="0"/>
          <w:marBottom w:val="0"/>
          <w:divBdr>
            <w:top w:val="none" w:sz="0" w:space="0" w:color="auto"/>
            <w:left w:val="none" w:sz="0" w:space="0" w:color="auto"/>
            <w:bottom w:val="none" w:sz="0" w:space="0" w:color="auto"/>
            <w:right w:val="none" w:sz="0" w:space="0" w:color="auto"/>
          </w:divBdr>
        </w:div>
        <w:div w:id="692657036">
          <w:marLeft w:val="0"/>
          <w:marRight w:val="0"/>
          <w:marTop w:val="0"/>
          <w:marBottom w:val="0"/>
          <w:divBdr>
            <w:top w:val="none" w:sz="0" w:space="0" w:color="auto"/>
            <w:left w:val="none" w:sz="0" w:space="0" w:color="auto"/>
            <w:bottom w:val="none" w:sz="0" w:space="0" w:color="auto"/>
            <w:right w:val="none" w:sz="0" w:space="0" w:color="auto"/>
          </w:divBdr>
        </w:div>
        <w:div w:id="1654411721">
          <w:marLeft w:val="0"/>
          <w:marRight w:val="0"/>
          <w:marTop w:val="0"/>
          <w:marBottom w:val="0"/>
          <w:divBdr>
            <w:top w:val="none" w:sz="0" w:space="0" w:color="auto"/>
            <w:left w:val="none" w:sz="0" w:space="0" w:color="auto"/>
            <w:bottom w:val="none" w:sz="0" w:space="0" w:color="auto"/>
            <w:right w:val="none" w:sz="0" w:space="0" w:color="auto"/>
          </w:divBdr>
        </w:div>
        <w:div w:id="910849848">
          <w:marLeft w:val="0"/>
          <w:marRight w:val="0"/>
          <w:marTop w:val="0"/>
          <w:marBottom w:val="0"/>
          <w:divBdr>
            <w:top w:val="none" w:sz="0" w:space="0" w:color="auto"/>
            <w:left w:val="none" w:sz="0" w:space="0" w:color="auto"/>
            <w:bottom w:val="none" w:sz="0" w:space="0" w:color="auto"/>
            <w:right w:val="none" w:sz="0" w:space="0" w:color="auto"/>
          </w:divBdr>
        </w:div>
        <w:div w:id="974915366">
          <w:marLeft w:val="0"/>
          <w:marRight w:val="0"/>
          <w:marTop w:val="0"/>
          <w:marBottom w:val="0"/>
          <w:divBdr>
            <w:top w:val="none" w:sz="0" w:space="0" w:color="auto"/>
            <w:left w:val="none" w:sz="0" w:space="0" w:color="auto"/>
            <w:bottom w:val="none" w:sz="0" w:space="0" w:color="auto"/>
            <w:right w:val="none" w:sz="0" w:space="0" w:color="auto"/>
          </w:divBdr>
        </w:div>
        <w:div w:id="952175078">
          <w:marLeft w:val="0"/>
          <w:marRight w:val="0"/>
          <w:marTop w:val="0"/>
          <w:marBottom w:val="0"/>
          <w:divBdr>
            <w:top w:val="none" w:sz="0" w:space="0" w:color="auto"/>
            <w:left w:val="none" w:sz="0" w:space="0" w:color="auto"/>
            <w:bottom w:val="none" w:sz="0" w:space="0" w:color="auto"/>
            <w:right w:val="none" w:sz="0" w:space="0" w:color="auto"/>
          </w:divBdr>
        </w:div>
        <w:div w:id="948467177">
          <w:marLeft w:val="0"/>
          <w:marRight w:val="0"/>
          <w:marTop w:val="0"/>
          <w:marBottom w:val="0"/>
          <w:divBdr>
            <w:top w:val="none" w:sz="0" w:space="0" w:color="auto"/>
            <w:left w:val="none" w:sz="0" w:space="0" w:color="auto"/>
            <w:bottom w:val="none" w:sz="0" w:space="0" w:color="auto"/>
            <w:right w:val="none" w:sz="0" w:space="0" w:color="auto"/>
          </w:divBdr>
        </w:div>
        <w:div w:id="289631683">
          <w:marLeft w:val="0"/>
          <w:marRight w:val="0"/>
          <w:marTop w:val="0"/>
          <w:marBottom w:val="0"/>
          <w:divBdr>
            <w:top w:val="none" w:sz="0" w:space="0" w:color="auto"/>
            <w:left w:val="none" w:sz="0" w:space="0" w:color="auto"/>
            <w:bottom w:val="none" w:sz="0" w:space="0" w:color="auto"/>
            <w:right w:val="none" w:sz="0" w:space="0" w:color="auto"/>
          </w:divBdr>
        </w:div>
        <w:div w:id="1948853903">
          <w:marLeft w:val="0"/>
          <w:marRight w:val="0"/>
          <w:marTop w:val="0"/>
          <w:marBottom w:val="0"/>
          <w:divBdr>
            <w:top w:val="none" w:sz="0" w:space="0" w:color="auto"/>
            <w:left w:val="none" w:sz="0" w:space="0" w:color="auto"/>
            <w:bottom w:val="none" w:sz="0" w:space="0" w:color="auto"/>
            <w:right w:val="none" w:sz="0" w:space="0" w:color="auto"/>
          </w:divBdr>
        </w:div>
        <w:div w:id="1243486830">
          <w:marLeft w:val="0"/>
          <w:marRight w:val="0"/>
          <w:marTop w:val="0"/>
          <w:marBottom w:val="0"/>
          <w:divBdr>
            <w:top w:val="none" w:sz="0" w:space="0" w:color="auto"/>
            <w:left w:val="none" w:sz="0" w:space="0" w:color="auto"/>
            <w:bottom w:val="none" w:sz="0" w:space="0" w:color="auto"/>
            <w:right w:val="none" w:sz="0" w:space="0" w:color="auto"/>
          </w:divBdr>
        </w:div>
        <w:div w:id="198860517">
          <w:marLeft w:val="0"/>
          <w:marRight w:val="0"/>
          <w:marTop w:val="0"/>
          <w:marBottom w:val="0"/>
          <w:divBdr>
            <w:top w:val="none" w:sz="0" w:space="0" w:color="auto"/>
            <w:left w:val="none" w:sz="0" w:space="0" w:color="auto"/>
            <w:bottom w:val="none" w:sz="0" w:space="0" w:color="auto"/>
            <w:right w:val="none" w:sz="0" w:space="0" w:color="auto"/>
          </w:divBdr>
        </w:div>
        <w:div w:id="248317588">
          <w:marLeft w:val="0"/>
          <w:marRight w:val="0"/>
          <w:marTop w:val="0"/>
          <w:marBottom w:val="0"/>
          <w:divBdr>
            <w:top w:val="none" w:sz="0" w:space="0" w:color="auto"/>
            <w:left w:val="none" w:sz="0" w:space="0" w:color="auto"/>
            <w:bottom w:val="none" w:sz="0" w:space="0" w:color="auto"/>
            <w:right w:val="none" w:sz="0" w:space="0" w:color="auto"/>
          </w:divBdr>
        </w:div>
        <w:div w:id="1933855273">
          <w:marLeft w:val="0"/>
          <w:marRight w:val="0"/>
          <w:marTop w:val="0"/>
          <w:marBottom w:val="0"/>
          <w:divBdr>
            <w:top w:val="none" w:sz="0" w:space="0" w:color="auto"/>
            <w:left w:val="none" w:sz="0" w:space="0" w:color="auto"/>
            <w:bottom w:val="none" w:sz="0" w:space="0" w:color="auto"/>
            <w:right w:val="none" w:sz="0" w:space="0" w:color="auto"/>
          </w:divBdr>
        </w:div>
        <w:div w:id="440687884">
          <w:marLeft w:val="0"/>
          <w:marRight w:val="0"/>
          <w:marTop w:val="0"/>
          <w:marBottom w:val="0"/>
          <w:divBdr>
            <w:top w:val="none" w:sz="0" w:space="0" w:color="auto"/>
            <w:left w:val="none" w:sz="0" w:space="0" w:color="auto"/>
            <w:bottom w:val="none" w:sz="0" w:space="0" w:color="auto"/>
            <w:right w:val="none" w:sz="0" w:space="0" w:color="auto"/>
          </w:divBdr>
        </w:div>
        <w:div w:id="819732602">
          <w:marLeft w:val="0"/>
          <w:marRight w:val="0"/>
          <w:marTop w:val="0"/>
          <w:marBottom w:val="0"/>
          <w:divBdr>
            <w:top w:val="none" w:sz="0" w:space="0" w:color="auto"/>
            <w:left w:val="none" w:sz="0" w:space="0" w:color="auto"/>
            <w:bottom w:val="none" w:sz="0" w:space="0" w:color="auto"/>
            <w:right w:val="none" w:sz="0" w:space="0" w:color="auto"/>
          </w:divBdr>
        </w:div>
        <w:div w:id="86124917">
          <w:marLeft w:val="0"/>
          <w:marRight w:val="0"/>
          <w:marTop w:val="0"/>
          <w:marBottom w:val="0"/>
          <w:divBdr>
            <w:top w:val="none" w:sz="0" w:space="0" w:color="auto"/>
            <w:left w:val="none" w:sz="0" w:space="0" w:color="auto"/>
            <w:bottom w:val="none" w:sz="0" w:space="0" w:color="auto"/>
            <w:right w:val="none" w:sz="0" w:space="0" w:color="auto"/>
          </w:divBdr>
        </w:div>
        <w:div w:id="1983267185">
          <w:marLeft w:val="0"/>
          <w:marRight w:val="0"/>
          <w:marTop w:val="0"/>
          <w:marBottom w:val="0"/>
          <w:divBdr>
            <w:top w:val="none" w:sz="0" w:space="0" w:color="auto"/>
            <w:left w:val="none" w:sz="0" w:space="0" w:color="auto"/>
            <w:bottom w:val="none" w:sz="0" w:space="0" w:color="auto"/>
            <w:right w:val="none" w:sz="0" w:space="0" w:color="auto"/>
          </w:divBdr>
        </w:div>
        <w:div w:id="940793111">
          <w:marLeft w:val="0"/>
          <w:marRight w:val="0"/>
          <w:marTop w:val="0"/>
          <w:marBottom w:val="0"/>
          <w:divBdr>
            <w:top w:val="none" w:sz="0" w:space="0" w:color="auto"/>
            <w:left w:val="none" w:sz="0" w:space="0" w:color="auto"/>
            <w:bottom w:val="none" w:sz="0" w:space="0" w:color="auto"/>
            <w:right w:val="none" w:sz="0" w:space="0" w:color="auto"/>
          </w:divBdr>
        </w:div>
        <w:div w:id="1380278734">
          <w:marLeft w:val="0"/>
          <w:marRight w:val="0"/>
          <w:marTop w:val="0"/>
          <w:marBottom w:val="0"/>
          <w:divBdr>
            <w:top w:val="none" w:sz="0" w:space="0" w:color="auto"/>
            <w:left w:val="none" w:sz="0" w:space="0" w:color="auto"/>
            <w:bottom w:val="none" w:sz="0" w:space="0" w:color="auto"/>
            <w:right w:val="none" w:sz="0" w:space="0" w:color="auto"/>
          </w:divBdr>
        </w:div>
        <w:div w:id="918445041">
          <w:marLeft w:val="0"/>
          <w:marRight w:val="0"/>
          <w:marTop w:val="0"/>
          <w:marBottom w:val="0"/>
          <w:divBdr>
            <w:top w:val="none" w:sz="0" w:space="0" w:color="auto"/>
            <w:left w:val="none" w:sz="0" w:space="0" w:color="auto"/>
            <w:bottom w:val="none" w:sz="0" w:space="0" w:color="auto"/>
            <w:right w:val="none" w:sz="0" w:space="0" w:color="auto"/>
          </w:divBdr>
        </w:div>
        <w:div w:id="1581596284">
          <w:marLeft w:val="0"/>
          <w:marRight w:val="0"/>
          <w:marTop w:val="0"/>
          <w:marBottom w:val="0"/>
          <w:divBdr>
            <w:top w:val="none" w:sz="0" w:space="0" w:color="auto"/>
            <w:left w:val="none" w:sz="0" w:space="0" w:color="auto"/>
            <w:bottom w:val="none" w:sz="0" w:space="0" w:color="auto"/>
            <w:right w:val="none" w:sz="0" w:space="0" w:color="auto"/>
          </w:divBdr>
        </w:div>
        <w:div w:id="705448000">
          <w:marLeft w:val="0"/>
          <w:marRight w:val="0"/>
          <w:marTop w:val="0"/>
          <w:marBottom w:val="0"/>
          <w:divBdr>
            <w:top w:val="none" w:sz="0" w:space="0" w:color="auto"/>
            <w:left w:val="none" w:sz="0" w:space="0" w:color="auto"/>
            <w:bottom w:val="none" w:sz="0" w:space="0" w:color="auto"/>
            <w:right w:val="none" w:sz="0" w:space="0" w:color="auto"/>
          </w:divBdr>
        </w:div>
        <w:div w:id="1785806118">
          <w:marLeft w:val="0"/>
          <w:marRight w:val="0"/>
          <w:marTop w:val="0"/>
          <w:marBottom w:val="0"/>
          <w:divBdr>
            <w:top w:val="none" w:sz="0" w:space="0" w:color="auto"/>
            <w:left w:val="none" w:sz="0" w:space="0" w:color="auto"/>
            <w:bottom w:val="none" w:sz="0" w:space="0" w:color="auto"/>
            <w:right w:val="none" w:sz="0" w:space="0" w:color="auto"/>
          </w:divBdr>
        </w:div>
        <w:div w:id="1876575685">
          <w:marLeft w:val="0"/>
          <w:marRight w:val="0"/>
          <w:marTop w:val="0"/>
          <w:marBottom w:val="0"/>
          <w:divBdr>
            <w:top w:val="none" w:sz="0" w:space="0" w:color="auto"/>
            <w:left w:val="none" w:sz="0" w:space="0" w:color="auto"/>
            <w:bottom w:val="none" w:sz="0" w:space="0" w:color="auto"/>
            <w:right w:val="none" w:sz="0" w:space="0" w:color="auto"/>
          </w:divBdr>
        </w:div>
        <w:div w:id="1131358509">
          <w:marLeft w:val="0"/>
          <w:marRight w:val="0"/>
          <w:marTop w:val="0"/>
          <w:marBottom w:val="0"/>
          <w:divBdr>
            <w:top w:val="none" w:sz="0" w:space="0" w:color="auto"/>
            <w:left w:val="none" w:sz="0" w:space="0" w:color="auto"/>
            <w:bottom w:val="none" w:sz="0" w:space="0" w:color="auto"/>
            <w:right w:val="none" w:sz="0" w:space="0" w:color="auto"/>
          </w:divBdr>
        </w:div>
        <w:div w:id="990447694">
          <w:marLeft w:val="0"/>
          <w:marRight w:val="0"/>
          <w:marTop w:val="0"/>
          <w:marBottom w:val="0"/>
          <w:divBdr>
            <w:top w:val="none" w:sz="0" w:space="0" w:color="auto"/>
            <w:left w:val="none" w:sz="0" w:space="0" w:color="auto"/>
            <w:bottom w:val="none" w:sz="0" w:space="0" w:color="auto"/>
            <w:right w:val="none" w:sz="0" w:space="0" w:color="auto"/>
          </w:divBdr>
        </w:div>
        <w:div w:id="399332630">
          <w:marLeft w:val="0"/>
          <w:marRight w:val="0"/>
          <w:marTop w:val="0"/>
          <w:marBottom w:val="0"/>
          <w:divBdr>
            <w:top w:val="none" w:sz="0" w:space="0" w:color="auto"/>
            <w:left w:val="none" w:sz="0" w:space="0" w:color="auto"/>
            <w:bottom w:val="none" w:sz="0" w:space="0" w:color="auto"/>
            <w:right w:val="none" w:sz="0" w:space="0" w:color="auto"/>
          </w:divBdr>
        </w:div>
        <w:div w:id="1116489699">
          <w:marLeft w:val="0"/>
          <w:marRight w:val="0"/>
          <w:marTop w:val="0"/>
          <w:marBottom w:val="0"/>
          <w:divBdr>
            <w:top w:val="none" w:sz="0" w:space="0" w:color="auto"/>
            <w:left w:val="none" w:sz="0" w:space="0" w:color="auto"/>
            <w:bottom w:val="none" w:sz="0" w:space="0" w:color="auto"/>
            <w:right w:val="none" w:sz="0" w:space="0" w:color="auto"/>
          </w:divBdr>
        </w:div>
        <w:div w:id="1992758558">
          <w:marLeft w:val="0"/>
          <w:marRight w:val="0"/>
          <w:marTop w:val="0"/>
          <w:marBottom w:val="0"/>
          <w:divBdr>
            <w:top w:val="none" w:sz="0" w:space="0" w:color="auto"/>
            <w:left w:val="none" w:sz="0" w:space="0" w:color="auto"/>
            <w:bottom w:val="none" w:sz="0" w:space="0" w:color="auto"/>
            <w:right w:val="none" w:sz="0" w:space="0" w:color="auto"/>
          </w:divBdr>
        </w:div>
        <w:div w:id="921062979">
          <w:marLeft w:val="0"/>
          <w:marRight w:val="0"/>
          <w:marTop w:val="0"/>
          <w:marBottom w:val="0"/>
          <w:divBdr>
            <w:top w:val="none" w:sz="0" w:space="0" w:color="auto"/>
            <w:left w:val="none" w:sz="0" w:space="0" w:color="auto"/>
            <w:bottom w:val="none" w:sz="0" w:space="0" w:color="auto"/>
            <w:right w:val="none" w:sz="0" w:space="0" w:color="auto"/>
          </w:divBdr>
        </w:div>
        <w:div w:id="10031646">
          <w:marLeft w:val="0"/>
          <w:marRight w:val="0"/>
          <w:marTop w:val="0"/>
          <w:marBottom w:val="0"/>
          <w:divBdr>
            <w:top w:val="none" w:sz="0" w:space="0" w:color="auto"/>
            <w:left w:val="none" w:sz="0" w:space="0" w:color="auto"/>
            <w:bottom w:val="none" w:sz="0" w:space="0" w:color="auto"/>
            <w:right w:val="none" w:sz="0" w:space="0" w:color="auto"/>
          </w:divBdr>
        </w:div>
        <w:div w:id="78258905">
          <w:marLeft w:val="0"/>
          <w:marRight w:val="0"/>
          <w:marTop w:val="0"/>
          <w:marBottom w:val="0"/>
          <w:divBdr>
            <w:top w:val="none" w:sz="0" w:space="0" w:color="auto"/>
            <w:left w:val="none" w:sz="0" w:space="0" w:color="auto"/>
            <w:bottom w:val="none" w:sz="0" w:space="0" w:color="auto"/>
            <w:right w:val="none" w:sz="0" w:space="0" w:color="auto"/>
          </w:divBdr>
        </w:div>
        <w:div w:id="587081351">
          <w:marLeft w:val="0"/>
          <w:marRight w:val="0"/>
          <w:marTop w:val="0"/>
          <w:marBottom w:val="0"/>
          <w:divBdr>
            <w:top w:val="none" w:sz="0" w:space="0" w:color="auto"/>
            <w:left w:val="none" w:sz="0" w:space="0" w:color="auto"/>
            <w:bottom w:val="none" w:sz="0" w:space="0" w:color="auto"/>
            <w:right w:val="none" w:sz="0" w:space="0" w:color="auto"/>
          </w:divBdr>
        </w:div>
        <w:div w:id="437414380">
          <w:marLeft w:val="0"/>
          <w:marRight w:val="0"/>
          <w:marTop w:val="0"/>
          <w:marBottom w:val="0"/>
          <w:divBdr>
            <w:top w:val="none" w:sz="0" w:space="0" w:color="auto"/>
            <w:left w:val="none" w:sz="0" w:space="0" w:color="auto"/>
            <w:bottom w:val="none" w:sz="0" w:space="0" w:color="auto"/>
            <w:right w:val="none" w:sz="0" w:space="0" w:color="auto"/>
          </w:divBdr>
        </w:div>
        <w:div w:id="652442275">
          <w:marLeft w:val="0"/>
          <w:marRight w:val="0"/>
          <w:marTop w:val="0"/>
          <w:marBottom w:val="0"/>
          <w:divBdr>
            <w:top w:val="none" w:sz="0" w:space="0" w:color="auto"/>
            <w:left w:val="none" w:sz="0" w:space="0" w:color="auto"/>
            <w:bottom w:val="none" w:sz="0" w:space="0" w:color="auto"/>
            <w:right w:val="none" w:sz="0" w:space="0" w:color="auto"/>
          </w:divBdr>
        </w:div>
        <w:div w:id="2047481226">
          <w:marLeft w:val="0"/>
          <w:marRight w:val="0"/>
          <w:marTop w:val="0"/>
          <w:marBottom w:val="0"/>
          <w:divBdr>
            <w:top w:val="none" w:sz="0" w:space="0" w:color="auto"/>
            <w:left w:val="none" w:sz="0" w:space="0" w:color="auto"/>
            <w:bottom w:val="none" w:sz="0" w:space="0" w:color="auto"/>
            <w:right w:val="none" w:sz="0" w:space="0" w:color="auto"/>
          </w:divBdr>
        </w:div>
        <w:div w:id="1559048819">
          <w:marLeft w:val="0"/>
          <w:marRight w:val="0"/>
          <w:marTop w:val="0"/>
          <w:marBottom w:val="0"/>
          <w:divBdr>
            <w:top w:val="none" w:sz="0" w:space="0" w:color="auto"/>
            <w:left w:val="none" w:sz="0" w:space="0" w:color="auto"/>
            <w:bottom w:val="none" w:sz="0" w:space="0" w:color="auto"/>
            <w:right w:val="none" w:sz="0" w:space="0" w:color="auto"/>
          </w:divBdr>
        </w:div>
        <w:div w:id="253786752">
          <w:marLeft w:val="0"/>
          <w:marRight w:val="0"/>
          <w:marTop w:val="0"/>
          <w:marBottom w:val="0"/>
          <w:divBdr>
            <w:top w:val="none" w:sz="0" w:space="0" w:color="auto"/>
            <w:left w:val="none" w:sz="0" w:space="0" w:color="auto"/>
            <w:bottom w:val="none" w:sz="0" w:space="0" w:color="auto"/>
            <w:right w:val="none" w:sz="0" w:space="0" w:color="auto"/>
          </w:divBdr>
        </w:div>
        <w:div w:id="618756890">
          <w:marLeft w:val="0"/>
          <w:marRight w:val="0"/>
          <w:marTop w:val="0"/>
          <w:marBottom w:val="0"/>
          <w:divBdr>
            <w:top w:val="none" w:sz="0" w:space="0" w:color="auto"/>
            <w:left w:val="none" w:sz="0" w:space="0" w:color="auto"/>
            <w:bottom w:val="none" w:sz="0" w:space="0" w:color="auto"/>
            <w:right w:val="none" w:sz="0" w:space="0" w:color="auto"/>
          </w:divBdr>
        </w:div>
        <w:div w:id="811290771">
          <w:marLeft w:val="0"/>
          <w:marRight w:val="0"/>
          <w:marTop w:val="0"/>
          <w:marBottom w:val="0"/>
          <w:divBdr>
            <w:top w:val="none" w:sz="0" w:space="0" w:color="auto"/>
            <w:left w:val="none" w:sz="0" w:space="0" w:color="auto"/>
            <w:bottom w:val="none" w:sz="0" w:space="0" w:color="auto"/>
            <w:right w:val="none" w:sz="0" w:space="0" w:color="auto"/>
          </w:divBdr>
        </w:div>
        <w:div w:id="1148134669">
          <w:marLeft w:val="0"/>
          <w:marRight w:val="0"/>
          <w:marTop w:val="0"/>
          <w:marBottom w:val="0"/>
          <w:divBdr>
            <w:top w:val="none" w:sz="0" w:space="0" w:color="auto"/>
            <w:left w:val="none" w:sz="0" w:space="0" w:color="auto"/>
            <w:bottom w:val="none" w:sz="0" w:space="0" w:color="auto"/>
            <w:right w:val="none" w:sz="0" w:space="0" w:color="auto"/>
          </w:divBdr>
        </w:div>
        <w:div w:id="80108937">
          <w:marLeft w:val="0"/>
          <w:marRight w:val="0"/>
          <w:marTop w:val="0"/>
          <w:marBottom w:val="0"/>
          <w:divBdr>
            <w:top w:val="none" w:sz="0" w:space="0" w:color="auto"/>
            <w:left w:val="none" w:sz="0" w:space="0" w:color="auto"/>
            <w:bottom w:val="none" w:sz="0" w:space="0" w:color="auto"/>
            <w:right w:val="none" w:sz="0" w:space="0" w:color="auto"/>
          </w:divBdr>
        </w:div>
        <w:div w:id="1912156728">
          <w:marLeft w:val="0"/>
          <w:marRight w:val="0"/>
          <w:marTop w:val="0"/>
          <w:marBottom w:val="0"/>
          <w:divBdr>
            <w:top w:val="none" w:sz="0" w:space="0" w:color="auto"/>
            <w:left w:val="none" w:sz="0" w:space="0" w:color="auto"/>
            <w:bottom w:val="none" w:sz="0" w:space="0" w:color="auto"/>
            <w:right w:val="none" w:sz="0" w:space="0" w:color="auto"/>
          </w:divBdr>
        </w:div>
        <w:div w:id="559755977">
          <w:marLeft w:val="0"/>
          <w:marRight w:val="0"/>
          <w:marTop w:val="0"/>
          <w:marBottom w:val="0"/>
          <w:divBdr>
            <w:top w:val="none" w:sz="0" w:space="0" w:color="auto"/>
            <w:left w:val="none" w:sz="0" w:space="0" w:color="auto"/>
            <w:bottom w:val="none" w:sz="0" w:space="0" w:color="auto"/>
            <w:right w:val="none" w:sz="0" w:space="0" w:color="auto"/>
          </w:divBdr>
        </w:div>
        <w:div w:id="269120545">
          <w:marLeft w:val="0"/>
          <w:marRight w:val="0"/>
          <w:marTop w:val="0"/>
          <w:marBottom w:val="0"/>
          <w:divBdr>
            <w:top w:val="none" w:sz="0" w:space="0" w:color="auto"/>
            <w:left w:val="none" w:sz="0" w:space="0" w:color="auto"/>
            <w:bottom w:val="none" w:sz="0" w:space="0" w:color="auto"/>
            <w:right w:val="none" w:sz="0" w:space="0" w:color="auto"/>
          </w:divBdr>
        </w:div>
        <w:div w:id="1266693935">
          <w:marLeft w:val="0"/>
          <w:marRight w:val="0"/>
          <w:marTop w:val="0"/>
          <w:marBottom w:val="0"/>
          <w:divBdr>
            <w:top w:val="none" w:sz="0" w:space="0" w:color="auto"/>
            <w:left w:val="none" w:sz="0" w:space="0" w:color="auto"/>
            <w:bottom w:val="none" w:sz="0" w:space="0" w:color="auto"/>
            <w:right w:val="none" w:sz="0" w:space="0" w:color="auto"/>
          </w:divBdr>
        </w:div>
        <w:div w:id="232395844">
          <w:marLeft w:val="0"/>
          <w:marRight w:val="0"/>
          <w:marTop w:val="0"/>
          <w:marBottom w:val="0"/>
          <w:divBdr>
            <w:top w:val="none" w:sz="0" w:space="0" w:color="auto"/>
            <w:left w:val="none" w:sz="0" w:space="0" w:color="auto"/>
            <w:bottom w:val="none" w:sz="0" w:space="0" w:color="auto"/>
            <w:right w:val="none" w:sz="0" w:space="0" w:color="auto"/>
          </w:divBdr>
        </w:div>
        <w:div w:id="1995379381">
          <w:marLeft w:val="0"/>
          <w:marRight w:val="0"/>
          <w:marTop w:val="0"/>
          <w:marBottom w:val="0"/>
          <w:divBdr>
            <w:top w:val="none" w:sz="0" w:space="0" w:color="auto"/>
            <w:left w:val="none" w:sz="0" w:space="0" w:color="auto"/>
            <w:bottom w:val="none" w:sz="0" w:space="0" w:color="auto"/>
            <w:right w:val="none" w:sz="0" w:space="0" w:color="auto"/>
          </w:divBdr>
        </w:div>
        <w:div w:id="951857539">
          <w:marLeft w:val="0"/>
          <w:marRight w:val="0"/>
          <w:marTop w:val="0"/>
          <w:marBottom w:val="0"/>
          <w:divBdr>
            <w:top w:val="none" w:sz="0" w:space="0" w:color="auto"/>
            <w:left w:val="none" w:sz="0" w:space="0" w:color="auto"/>
            <w:bottom w:val="none" w:sz="0" w:space="0" w:color="auto"/>
            <w:right w:val="none" w:sz="0" w:space="0" w:color="auto"/>
          </w:divBdr>
        </w:div>
        <w:div w:id="239750581">
          <w:marLeft w:val="0"/>
          <w:marRight w:val="0"/>
          <w:marTop w:val="0"/>
          <w:marBottom w:val="0"/>
          <w:divBdr>
            <w:top w:val="none" w:sz="0" w:space="0" w:color="auto"/>
            <w:left w:val="none" w:sz="0" w:space="0" w:color="auto"/>
            <w:bottom w:val="none" w:sz="0" w:space="0" w:color="auto"/>
            <w:right w:val="none" w:sz="0" w:space="0" w:color="auto"/>
          </w:divBdr>
        </w:div>
        <w:div w:id="977683559">
          <w:marLeft w:val="0"/>
          <w:marRight w:val="0"/>
          <w:marTop w:val="0"/>
          <w:marBottom w:val="0"/>
          <w:divBdr>
            <w:top w:val="none" w:sz="0" w:space="0" w:color="auto"/>
            <w:left w:val="none" w:sz="0" w:space="0" w:color="auto"/>
            <w:bottom w:val="none" w:sz="0" w:space="0" w:color="auto"/>
            <w:right w:val="none" w:sz="0" w:space="0" w:color="auto"/>
          </w:divBdr>
        </w:div>
        <w:div w:id="853955030">
          <w:marLeft w:val="0"/>
          <w:marRight w:val="0"/>
          <w:marTop w:val="0"/>
          <w:marBottom w:val="0"/>
          <w:divBdr>
            <w:top w:val="none" w:sz="0" w:space="0" w:color="auto"/>
            <w:left w:val="none" w:sz="0" w:space="0" w:color="auto"/>
            <w:bottom w:val="none" w:sz="0" w:space="0" w:color="auto"/>
            <w:right w:val="none" w:sz="0" w:space="0" w:color="auto"/>
          </w:divBdr>
        </w:div>
      </w:divsChild>
    </w:div>
    <w:div w:id="102389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king-a-flexible-working-request" TargetMode="External"/><Relationship Id="rId18" Type="http://schemas.openxmlformats.org/officeDocument/2006/relationships/hyperlink" Target="https://www.cipd.co.uk/knowledge/fundamentals/emp-law/discipline/questions" TargetMode="External"/><Relationship Id="rId26" Type="http://schemas.openxmlformats.org/officeDocument/2006/relationships/hyperlink" Target="https://www.legislation.gov.uk/ukpga/1996/18/section/98" TargetMode="External"/><Relationship Id="rId39" Type="http://schemas.openxmlformats.org/officeDocument/2006/relationships/hyperlink" Target="https://www.hse.gov.uk/workers/employers.htm" TargetMode="External"/><Relationship Id="rId21" Type="http://schemas.openxmlformats.org/officeDocument/2006/relationships/hyperlink" Target="https://www.citizensadvice.org.uk/work/problems-at-work/employment-tribunals-from-29-july-2013/employment-tribunals-valuing-a-claim/compensatory-award/calculating-the-compensatory-award/employment-tribunals-is-your-compensatory-award-below-the-cap-and-will-any-welfare-benefits-you-ve-received-reduce-it/" TargetMode="External"/><Relationship Id="rId34" Type="http://schemas.openxmlformats.org/officeDocument/2006/relationships/hyperlink" Target="https://www.gov.uk/dismiss-staff" TargetMode="External"/><Relationship Id="rId42" Type="http://schemas.openxmlformats.org/officeDocument/2006/relationships/hyperlink" Target="https://ico.org.uk/for-organisations/guide-to-data-protection/guide-to-the-general-data-protection-regulation-gdpr/personal-data-breaches/" TargetMode="External"/><Relationship Id="rId47" Type="http://schemas.openxmlformats.org/officeDocument/2006/relationships/hyperlink" Target="https://www.personneltoday.com/hr/dismissal-polkeys-place-in-the-modern-world/" TargetMode="External"/><Relationship Id="rId50" Type="http://schemas.openxmlformats.org/officeDocument/2006/relationships/hyperlink" Target="https://www.pureemploymentlaw.co.uk/tribunal-remedies-reinstatement-and-re-engagement/" TargetMode="External"/><Relationship Id="rId55" Type="http://schemas.openxmlformats.org/officeDocument/2006/relationships/hyperlink" Target="https://www.legislation.gov.uk/uksi/1998/1833/regulation/12/made"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semine.com/judgement/uk/5a8ff79060d03e7f57eaf424" TargetMode="External"/><Relationship Id="rId20" Type="http://schemas.openxmlformats.org/officeDocument/2006/relationships/hyperlink" Target="https://www.citizensadvice.org.uk/work/problems-at-work/employment-tribunals-from-29-july-2013/employment-tribunals-valuing-a-claim/compensatory-award/employment-tribunals-how-to-work-out-your-compensatory-award-if-you-are-claiming-unfair-dismissal/" TargetMode="External"/><Relationship Id="rId29" Type="http://schemas.openxmlformats.org/officeDocument/2006/relationships/hyperlink" Target="https://www.legislation.gov.uk/ukpga/1996/18/part/8A" TargetMode="External"/><Relationship Id="rId41" Type="http://schemas.openxmlformats.org/officeDocument/2006/relationships/hyperlink" Target="https://www.thomasmansfield.com/uplift-to-awards-under-the-acas-code/" TargetMode="External"/><Relationship Id="rId54" Type="http://schemas.openxmlformats.org/officeDocument/2006/relationships/hyperlink" Target="https://uk.practicallaw.thomsonreuters.com/0-511-2733?contextData=(sc.Default)&amp;transitionType=Default&amp;firstPage=true"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dismissals/notice-periods-and-pay" TargetMode="External"/><Relationship Id="rId24" Type="http://schemas.openxmlformats.org/officeDocument/2006/relationships/hyperlink" Target="https://assets.publishing.service.gov.uk/government/uploads/system/uploads/attachment_data/file/961374/et3-eng.pdf" TargetMode="External"/><Relationship Id="rId32" Type="http://schemas.openxmlformats.org/officeDocument/2006/relationships/hyperlink" Target="https://www.gov.uk/government/publications/the-right-to-request-flexible-working-form" TargetMode="External"/><Relationship Id="rId37" Type="http://schemas.openxmlformats.org/officeDocument/2006/relationships/hyperlink" Target="https://assets.publishing.service.gov.uk/government/uploads/system/uploads/attachment_data/file/950246/t423-eng.pdf" TargetMode="External"/><Relationship Id="rId40" Type="http://schemas.openxmlformats.org/officeDocument/2006/relationships/hyperlink" Target="https://www.legislation.gov.uk/ukpga/1974/37" TargetMode="External"/><Relationship Id="rId45" Type="http://schemas.openxmlformats.org/officeDocument/2006/relationships/hyperlink" Target="https://ico.org.uk/for-organisations/guide-to-data-protection/guide-to-the-general-data-protection-regulation-gdpr/principles/" TargetMode="External"/><Relationship Id="rId53" Type="http://schemas.openxmlformats.org/officeDocument/2006/relationships/hyperlink" Target="https://www.tribunalclaim.com/contributory-fault/" TargetMode="External"/><Relationship Id="rId58"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acas.org.uk/sites/default/files/2021-03/discipline-and-grievances-at-work-the-acas-guide.pdf" TargetMode="External"/><Relationship Id="rId23" Type="http://schemas.openxmlformats.org/officeDocument/2006/relationships/hyperlink" Target="https://www.dentons.com/en/insights/newsletters/2016/may/31/uk-employment-law-roundup/uk-employment-law-round-up-may-2016/can-i-have-my-job-back" TargetMode="External"/><Relationship Id="rId28" Type="http://schemas.openxmlformats.org/officeDocument/2006/relationships/hyperlink" Target="https://www.legislation.gov.uk/ukpga/1996/18/section/103A" TargetMode="External"/><Relationship Id="rId36" Type="http://schemas.openxmlformats.org/officeDocument/2006/relationships/hyperlink" Target="https://www.gov.uk/your-employment-contract-how-it-can-be-changed/making-changes" TargetMode="External"/><Relationship Id="rId49" Type="http://schemas.openxmlformats.org/officeDocument/2006/relationships/hyperlink" Target="https://www.personneltoday.com/hr/why-employers-need-to-understand-associative-discrimination/" TargetMode="External"/><Relationship Id="rId57" Type="http://schemas.openxmlformats.org/officeDocument/2006/relationships/header" Target="header1.xml"/><Relationship Id="rId61" Type="http://schemas.openxmlformats.org/officeDocument/2006/relationships/header" Target="header3.xml"/><Relationship Id="rId10" Type="http://schemas.openxmlformats.org/officeDocument/2006/relationships/hyperlink" Target="https://www.acas.org.uk/appealing-a-disciplinary-or-grievance-outcome" TargetMode="External"/><Relationship Id="rId19" Type="http://schemas.openxmlformats.org/officeDocument/2006/relationships/hyperlink" Target="https://www.cipd.co.uk/knowledge/fundamentals/emp-law/about/statutory-rates" TargetMode="External"/><Relationship Id="rId31" Type="http://schemas.openxmlformats.org/officeDocument/2006/relationships/hyperlink" Target="https://employmentlawguide.uk/2020/08/24/working-time-regulations/" TargetMode="External"/><Relationship Id="rId44" Type="http://schemas.openxmlformats.org/officeDocument/2006/relationships/hyperlink" Target="https://ico.org.uk/about-the-ico/our-information/safeguards-policy/" TargetMode="External"/><Relationship Id="rId52" Type="http://schemas.openxmlformats.org/officeDocument/2006/relationships/hyperlink" Target="https://www.rradar.com/post/reinstatement-after-an-employment-tribunal-decision"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cas.org.uk/investigations-for-discipline-and-grievance-step-by-step" TargetMode="External"/><Relationship Id="rId14" Type="http://schemas.openxmlformats.org/officeDocument/2006/relationships/hyperlink" Target="https://www.acas.org.uk/acas-code-of-practice-on-flexible-working-requests/html" TargetMode="External"/><Relationship Id="rId22" Type="http://schemas.openxmlformats.org/officeDocument/2006/relationships/hyperlink" Target="https://assets.publishing.service.gov.uk/government/uploads/system/uploads/attachment_data/file/415175/bis-15-200-whistleblowing-guidance-for-employers-and-code-of-practice.pdf" TargetMode="External"/><Relationship Id="rId27" Type="http://schemas.openxmlformats.org/officeDocument/2006/relationships/hyperlink" Target="https://www.legislation.gov.uk/ukpga/1996/18/section/100" TargetMode="External"/><Relationship Id="rId30" Type="http://schemas.openxmlformats.org/officeDocument/2006/relationships/hyperlink" Target="https://www.equalityhumanrights.com/en/legal-casework/coleman-case" TargetMode="External"/><Relationship Id="rId35" Type="http://schemas.openxmlformats.org/officeDocument/2006/relationships/hyperlink" Target="https://www.gov.uk/flexible-working/types-of-flexible-working" TargetMode="External"/><Relationship Id="rId43" Type="http://schemas.openxmlformats.org/officeDocument/2006/relationships/hyperlink" Target="https://ico.org.uk/global/data-protection-and-coronavirus-information-hub/coronavirus-recovery-data-protection-advice-for-organisations/maintaining-records-of-staff-customers-and-visitors-for-contact-tracing-purposes/" TargetMode="External"/><Relationship Id="rId48" Type="http://schemas.openxmlformats.org/officeDocument/2006/relationships/hyperlink" Target="https://www.personneltoday.com/hr/british-home-stores-v-burchell-40-years-on/" TargetMode="External"/><Relationship Id="rId56" Type="http://schemas.openxmlformats.org/officeDocument/2006/relationships/hyperlink" Target="https://www.legislation.gov.uk/ukpga/1992/52/section/207A" TargetMode="External"/><Relationship Id="rId64" Type="http://schemas.openxmlformats.org/officeDocument/2006/relationships/theme" Target="theme/theme1.xml"/><Relationship Id="rId8" Type="http://schemas.openxmlformats.org/officeDocument/2006/relationships/hyperlink" Target="https://www.acas.org.uk/acas-code-of-practice-for-disciplinary-and-grievance-procedures/html" TargetMode="External"/><Relationship Id="rId51" Type="http://schemas.openxmlformats.org/officeDocument/2006/relationships/hyperlink" Target="https://uk.practicallaw.thomsonreuters.com/0-511-2733?contextData=(sc.Default)&amp;transitionType=Default&amp;firstPage=true" TargetMode="External"/><Relationship Id="rId3" Type="http://schemas.openxmlformats.org/officeDocument/2006/relationships/styles" Target="styles.xml"/><Relationship Id="rId12" Type="http://schemas.openxmlformats.org/officeDocument/2006/relationships/hyperlink" Target="https://www.acas.org.uk/grievance-procedure-step-by-step/step-5-deciding-the-outcome" TargetMode="External"/><Relationship Id="rId17" Type="http://schemas.openxmlformats.org/officeDocument/2006/relationships/hyperlink" Target="https://www.cipd.co.uk/knowledge/fundamentals/emp-law/tribunals/factsheet" TargetMode="External"/><Relationship Id="rId25" Type="http://schemas.openxmlformats.org/officeDocument/2006/relationships/hyperlink" Target="https://www.legislation.gov.uk/ukpga/1996/18/section/86" TargetMode="External"/><Relationship Id="rId33" Type="http://schemas.openxmlformats.org/officeDocument/2006/relationships/hyperlink" Target="https://www.gov.uk/being-taken-to-employment-tribunal-by-employee" TargetMode="External"/><Relationship Id="rId38" Type="http://schemas.openxmlformats.org/officeDocument/2006/relationships/hyperlink" Target="https://www.hse.gov.uk/simple-health-safety/law/health-safety-law.htm" TargetMode="External"/><Relationship Id="rId46" Type="http://schemas.openxmlformats.org/officeDocument/2006/relationships/hyperlink" Target="https://www.weightmans.com/insights/supreme-court-judgment-reminds-employers-of-the-risk-of-reinstatement-orders/"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7F7D0F-11B1-4226-9435-066B05336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2295</TotalTime>
  <Pages>23</Pages>
  <Words>6546</Words>
  <Characters>37313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Employment Law</vt:lpstr>
    </vt:vector>
  </TitlesOfParts>
  <Company>South Wales Police</Company>
  <LinksUpToDate>false</LinksUpToDate>
  <CharactersWithSpaces>43772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Law</dc:title>
  <dc:subject>aDVICE FOR BIG BUSES LIMITED</dc:subject>
  <dc:creator>Green,Sonia swp56877</dc:creator>
  <cp:keywords/>
  <dc:description/>
  <cp:lastModifiedBy>Green,Sonia swp56877</cp:lastModifiedBy>
  <cp:revision>43</cp:revision>
  <dcterms:created xsi:type="dcterms:W3CDTF">2021-04-21T19:45:00Z</dcterms:created>
  <dcterms:modified xsi:type="dcterms:W3CDTF">2021-05-10T12:44:00Z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25157abf-4ce6-49f3-88c1-299e5c8ee0e2</vt:lpwstr>
  </property>
  <property fmtid="{D5CDD505-2E9C-101B-9397-08002B2CF9AE}" pid="3" name="Classification">
    <vt:lpwstr>OFFICIAL</vt:lpwstr>
  </property>
  <property fmtid="{D5CDD505-2E9C-101B-9397-08002B2CF9AE}" pid="4" name="Visibility">
    <vt:lpwstr>NOT VISIBLE</vt:lpwstr>
  </property>
</Properties>
</file>