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574E31" w14:textId="77777777" w:rsidR="007A7C58" w:rsidRDefault="003E3BD6">
      <w:r>
        <w:rPr>
          <w:noProof/>
          <w:color w:val="000000"/>
        </w:rPr>
        <w:drawing>
          <wp:inline distT="0" distB="0" distL="0" distR="0" wp14:anchorId="10F2ADE8" wp14:editId="490664D6">
            <wp:extent cx="1813560" cy="723900"/>
            <wp:effectExtent l="0" t="0" r="0" b="0"/>
            <wp:docPr id="206238281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1813560" cy="723900"/>
                    </a:xfrm>
                    <a:prstGeom prst="rect">
                      <a:avLst/>
                    </a:prstGeom>
                    <a:ln/>
                  </pic:spPr>
                </pic:pic>
              </a:graphicData>
            </a:graphic>
          </wp:inline>
        </w:drawing>
      </w:r>
    </w:p>
    <w:p w14:paraId="035FB3C7" w14:textId="77777777" w:rsidR="007A7C58" w:rsidRDefault="007A7C58"/>
    <w:p w14:paraId="09808415" w14:textId="77777777" w:rsidR="007A7C58" w:rsidRDefault="007A7C58"/>
    <w:p w14:paraId="2257C23E" w14:textId="77777777" w:rsidR="007A7C58" w:rsidRDefault="003E3BD6">
      <w:pPr>
        <w:jc w:val="center"/>
        <w:rPr>
          <w:b/>
          <w:sz w:val="28"/>
          <w:szCs w:val="28"/>
        </w:rPr>
      </w:pPr>
      <w:r>
        <w:rPr>
          <w:b/>
          <w:sz w:val="28"/>
          <w:szCs w:val="28"/>
        </w:rPr>
        <w:t>Module: Strategic Management for Business</w:t>
      </w:r>
    </w:p>
    <w:p w14:paraId="1BC3893C" w14:textId="77777777" w:rsidR="007A7C58" w:rsidRDefault="003E3BD6">
      <w:pPr>
        <w:jc w:val="center"/>
        <w:rPr>
          <w:b/>
          <w:sz w:val="28"/>
          <w:szCs w:val="28"/>
        </w:rPr>
      </w:pPr>
      <w:r>
        <w:rPr>
          <w:b/>
          <w:sz w:val="28"/>
          <w:szCs w:val="28"/>
        </w:rPr>
        <w:t>Module Code: LCLM 6001</w:t>
      </w:r>
    </w:p>
    <w:p w14:paraId="37748BEE" w14:textId="77777777" w:rsidR="007A7C58" w:rsidRDefault="007A7C58">
      <w:pPr>
        <w:jc w:val="center"/>
        <w:rPr>
          <w:b/>
        </w:rPr>
      </w:pPr>
    </w:p>
    <w:p w14:paraId="0D28E7BB" w14:textId="77777777" w:rsidR="007A7C58" w:rsidRDefault="003E3BD6">
      <w:pPr>
        <w:rPr>
          <w:b/>
        </w:rPr>
      </w:pPr>
      <w:r>
        <w:rPr>
          <w:noProof/>
        </w:rPr>
        <mc:AlternateContent>
          <mc:Choice Requires="wps">
            <w:drawing>
              <wp:anchor distT="0" distB="0" distL="114300" distR="114300" simplePos="0" relativeHeight="251658240" behindDoc="0" locked="0" layoutInCell="1" hidden="0" allowOverlap="1" wp14:anchorId="1557517E" wp14:editId="51DE09E4">
                <wp:simplePos x="0" y="0"/>
                <wp:positionH relativeFrom="column">
                  <wp:posOffset>107951</wp:posOffset>
                </wp:positionH>
                <wp:positionV relativeFrom="paragraph">
                  <wp:posOffset>0</wp:posOffset>
                </wp:positionV>
                <wp:extent cx="0" cy="12700"/>
                <wp:effectExtent l="0" t="0" r="0" b="0"/>
                <wp:wrapNone/>
                <wp:docPr id="2062382812" name="Straight Arrow Connector 2062382812"/>
                <wp:cNvGraphicFramePr/>
                <a:graphic xmlns:a="http://schemas.openxmlformats.org/drawingml/2006/main">
                  <a:graphicData uri="http://schemas.microsoft.com/office/word/2010/wordprocessingShape">
                    <wps:wsp>
                      <wps:cNvCnPr/>
                      <wps:spPr>
                        <a:xfrm>
                          <a:off x="5353620" y="3841594"/>
                          <a:ext cx="5684520" cy="0"/>
                        </a:xfrm>
                        <a:prstGeom prst="straightConnector1">
                          <a:avLst/>
                        </a:prstGeom>
                        <a:solidFill>
                          <a:srgbClr val="FFFFFF"/>
                        </a:solidFill>
                        <a:ln w="12700" cap="flat" cmpd="sng">
                          <a:solidFill>
                            <a:srgbClr val="4472C4"/>
                          </a:solidFill>
                          <a:prstDash val="solid"/>
                          <a:miter lim="8000"/>
                          <a:headEnd type="none" w="sm" len="sm"/>
                          <a:tailEnd type="none" w="sm" len="sm"/>
                        </a:ln>
                      </wps:spPr>
                      <wps:bodyPr/>
                    </wps:wsp>
                  </a:graphicData>
                </a:graphic>
              </wp:anchor>
            </w:drawing>
          </mc:Choice>
          <mc:Fallback>
            <w:pict>
              <v:shapetype w14:anchorId="659E62FC" id="_x0000_t32" coordsize="21600,21600" o:spt="32" o:oned="t" path="m,l21600,21600e" filled="f">
                <v:path arrowok="t" fillok="f" o:connecttype="none"/>
                <o:lock v:ext="edit" shapetype="t"/>
              </v:shapetype>
              <v:shape id="Straight Arrow Connector 2062382812" o:spid="_x0000_s1026" type="#_x0000_t32" style="position:absolute;margin-left:8.5pt;margin-top:0;width:0;height:1pt;z-index:2516582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" filled="t" strokecolor="#4472c4" strokeweight="1pt">
                <v:stroke startarrowwidth="narrow" startarrowlength="short" endarrowwidth="narrow" endarrowlength="short" miterlimit="5243f" joinstyle="miter"/>
              </v:shape>
            </w:pict>
          </mc:Fallback>
        </mc:AlternateContent>
      </w:r>
    </w:p>
    <w:p w14:paraId="754EA23C" w14:textId="77777777" w:rsidR="007A7C58" w:rsidRDefault="003E3BD6">
      <w:pPr>
        <w:spacing w:before="240"/>
        <w:jc w:val="center"/>
        <w:rPr>
          <w:b/>
          <w:sz w:val="28"/>
          <w:szCs w:val="28"/>
        </w:rPr>
      </w:pPr>
      <w:r>
        <w:rPr>
          <w:b/>
          <w:sz w:val="28"/>
          <w:szCs w:val="28"/>
        </w:rPr>
        <w:t>Title: Strategic Analysis and Growth Strategy for Kit Keeper UK</w:t>
      </w:r>
    </w:p>
    <w:p w14:paraId="64B2C591" w14:textId="77777777" w:rsidR="007A7C58" w:rsidRDefault="007A7C58">
      <w:pPr>
        <w:jc w:val="center"/>
        <w:rPr>
          <w:b/>
        </w:rPr>
      </w:pPr>
    </w:p>
    <w:p w14:paraId="39522990" w14:textId="77777777" w:rsidR="007A7C58" w:rsidRDefault="003E3BD6">
      <w:pPr>
        <w:jc w:val="center"/>
        <w:rPr>
          <w:b/>
        </w:rPr>
      </w:pPr>
      <w:r>
        <w:rPr>
          <w:noProof/>
        </w:rPr>
        <mc:AlternateContent>
          <mc:Choice Requires="wps">
            <w:drawing>
              <wp:anchor distT="0" distB="0" distL="114300" distR="114300" simplePos="0" relativeHeight="251659264" behindDoc="0" locked="0" layoutInCell="1" hidden="0" allowOverlap="1" wp14:anchorId="4E2E55BB" wp14:editId="629BC1F8">
                <wp:simplePos x="0" y="0"/>
                <wp:positionH relativeFrom="column">
                  <wp:posOffset>107951</wp:posOffset>
                </wp:positionH>
                <wp:positionV relativeFrom="paragraph">
                  <wp:posOffset>0</wp:posOffset>
                </wp:positionV>
                <wp:extent cx="0" cy="12700"/>
                <wp:effectExtent l="0" t="0" r="0" b="0"/>
                <wp:wrapNone/>
                <wp:docPr id="2062382813" name="Straight Arrow Connector 2062382813"/>
                <wp:cNvGraphicFramePr/>
                <a:graphic xmlns:a="http://schemas.openxmlformats.org/drawingml/2006/main">
                  <a:graphicData uri="http://schemas.microsoft.com/office/word/2010/wordprocessingShape">
                    <wps:wsp>
                      <wps:cNvCnPr/>
                      <wps:spPr>
                        <a:xfrm>
                          <a:off x="5346000" y="3780000"/>
                          <a:ext cx="5684520" cy="0"/>
                        </a:xfrm>
                        <a:prstGeom prst="straightConnector1">
                          <a:avLst/>
                        </a:prstGeom>
                        <a:solidFill>
                          <a:srgbClr val="FFFFFF"/>
                        </a:solidFill>
                        <a:ln w="12700" cap="flat" cmpd="sng">
                          <a:solidFill>
                            <a:srgbClr val="4472C4"/>
                          </a:solidFill>
                          <a:prstDash val="solid"/>
                          <a:miter lim="8000"/>
                          <a:headEnd type="none" w="sm" len="sm"/>
                          <a:tailEnd type="none" w="sm" len="sm"/>
                        </a:ln>
                      </wps:spPr>
                      <wps:bodyPr/>
                    </wps:wsp>
                  </a:graphicData>
                </a:graphic>
              </wp:anchor>
            </w:drawing>
          </mc:Choice>
          <mc:Fallback>
            <w:pict>
              <v:shape w14:anchorId="4D4C5EAB" id="Straight Arrow Connector 2062382813" o:spid="_x0000_s1026" type="#_x0000_t32" style="position:absolute;margin-left:8.5pt;margin-top:0;width:0;height:1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" filled="t" strokecolor="#4472c4" strokeweight="1pt">
                <v:stroke startarrowwidth="narrow" startarrowlength="short" endarrowwidth="narrow" endarrowlength="short" miterlimit="5243f" joinstyle="miter"/>
              </v:shape>
            </w:pict>
          </mc:Fallback>
        </mc:AlternateContent>
      </w:r>
    </w:p>
    <w:p w14:paraId="201143A5" w14:textId="77777777" w:rsidR="007A7C58" w:rsidRDefault="007A7C58">
      <w:pPr>
        <w:jc w:val="center"/>
        <w:rPr>
          <w:b/>
        </w:rPr>
      </w:pPr>
    </w:p>
    <w:p w14:paraId="515CCB9C" w14:textId="633D62AA" w:rsidR="007A7C58" w:rsidRDefault="003E3BD6">
      <w:pPr>
        <w:jc w:val="center"/>
        <w:rPr>
          <w:b/>
          <w:sz w:val="26"/>
          <w:szCs w:val="26"/>
        </w:rPr>
      </w:pPr>
      <w:r>
        <w:rPr>
          <w:b/>
          <w:sz w:val="26"/>
          <w:szCs w:val="26"/>
        </w:rPr>
        <w:t>Student’s Name:</w:t>
      </w:r>
      <w:r w:rsidR="00647B1C">
        <w:rPr>
          <w:b/>
          <w:sz w:val="26"/>
          <w:szCs w:val="26"/>
        </w:rPr>
        <w:t xml:space="preserve"> MADALINA ALIU</w:t>
      </w:r>
    </w:p>
    <w:p w14:paraId="6FFC0220" w14:textId="2B1AFCE8" w:rsidR="007A7C58" w:rsidRDefault="003E3BD6">
      <w:pPr>
        <w:jc w:val="center"/>
        <w:rPr>
          <w:b/>
          <w:sz w:val="26"/>
          <w:szCs w:val="26"/>
        </w:rPr>
      </w:pPr>
      <w:r>
        <w:rPr>
          <w:b/>
          <w:sz w:val="26"/>
          <w:szCs w:val="26"/>
        </w:rPr>
        <w:t>Student ID:</w:t>
      </w:r>
      <w:r w:rsidR="00647B1C">
        <w:rPr>
          <w:b/>
          <w:sz w:val="26"/>
          <w:szCs w:val="26"/>
        </w:rPr>
        <w:t xml:space="preserve"> </w:t>
      </w:r>
      <w:r w:rsidR="00DD6582">
        <w:rPr>
          <w:b/>
          <w:sz w:val="26"/>
          <w:szCs w:val="26"/>
        </w:rPr>
        <w:t>2310477</w:t>
      </w:r>
    </w:p>
    <w:p w14:paraId="31EA7964" w14:textId="77777777" w:rsidR="007A7C58" w:rsidRDefault="003E3BD6">
      <w:pPr>
        <w:tabs>
          <w:tab w:val="center" w:pos="4513"/>
          <w:tab w:val="left" w:pos="6348"/>
        </w:tabs>
        <w:rPr>
          <w:b/>
          <w:sz w:val="26"/>
          <w:szCs w:val="26"/>
        </w:rPr>
      </w:pPr>
      <w:r>
        <w:rPr>
          <w:b/>
          <w:sz w:val="26"/>
          <w:szCs w:val="26"/>
        </w:rPr>
        <w:tab/>
        <w:t>Word Count: 3000 Words</w:t>
      </w:r>
    </w:p>
    <w:p w14:paraId="0B3FBD3C" w14:textId="1B2AB8C7" w:rsidR="007A7C58" w:rsidRDefault="003E3BD6">
      <w:pPr>
        <w:jc w:val="center"/>
        <w:rPr>
          <w:b/>
          <w:sz w:val="26"/>
          <w:szCs w:val="26"/>
        </w:rPr>
      </w:pPr>
      <w:r>
        <w:rPr>
          <w:b/>
          <w:sz w:val="26"/>
          <w:szCs w:val="26"/>
        </w:rPr>
        <w:t>Submission Date:</w:t>
      </w:r>
      <w:r w:rsidR="00DD6582">
        <w:rPr>
          <w:b/>
          <w:sz w:val="26"/>
          <w:szCs w:val="26"/>
        </w:rPr>
        <w:t xml:space="preserve"> 10</w:t>
      </w:r>
      <w:r w:rsidR="00EC1502">
        <w:rPr>
          <w:b/>
          <w:sz w:val="26"/>
          <w:szCs w:val="26"/>
        </w:rPr>
        <w:t>/11/2025</w:t>
      </w:r>
    </w:p>
    <w:p w14:paraId="274B5A59" w14:textId="77777777" w:rsidR="007A7C58" w:rsidRDefault="007A7C58">
      <w:pPr>
        <w:jc w:val="center"/>
        <w:rPr>
          <w:b/>
          <w:sz w:val="26"/>
          <w:szCs w:val="26"/>
        </w:rPr>
      </w:pPr>
    </w:p>
    <w:p w14:paraId="10D5E0FA" w14:textId="77777777" w:rsidR="007A7C58" w:rsidRDefault="003E3BD6">
      <w:r>
        <w:br w:type="page"/>
      </w:r>
      <w:r>
        <w:rPr>
          <w:noProof/>
        </w:rPr>
        <mc:AlternateContent>
          <mc:Choice Requires="wps">
            <w:drawing>
              <wp:anchor distT="0" distB="0" distL="114300" distR="114300" simplePos="0" relativeHeight="251660288" behindDoc="0" locked="0" layoutInCell="1" hidden="0" allowOverlap="1" wp14:anchorId="0C6D3B89" wp14:editId="5591B496">
                <wp:simplePos x="0" y="0"/>
                <wp:positionH relativeFrom="column">
                  <wp:posOffset>107951</wp:posOffset>
                </wp:positionH>
                <wp:positionV relativeFrom="paragraph">
                  <wp:posOffset>0</wp:posOffset>
                </wp:positionV>
                <wp:extent cx="0" cy="12700"/>
                <wp:effectExtent l="0" t="0" r="0" b="0"/>
                <wp:wrapNone/>
                <wp:docPr id="2062382814" name="Straight Arrow Connector 2062382814"/>
                <wp:cNvGraphicFramePr/>
                <a:graphic xmlns:a="http://schemas.openxmlformats.org/drawingml/2006/main">
                  <a:graphicData uri="http://schemas.microsoft.com/office/word/2010/wordprocessingShape">
                    <wps:wsp>
                      <wps:cNvCnPr/>
                      <wps:spPr>
                        <a:xfrm>
                          <a:off x="5346000" y="3780000"/>
                          <a:ext cx="5684520" cy="0"/>
                        </a:xfrm>
                        <a:prstGeom prst="straightConnector1">
                          <a:avLst/>
                        </a:prstGeom>
                        <a:solidFill>
                          <a:srgbClr val="FFFFFF"/>
                        </a:solidFill>
                        <a:ln w="12700" cap="flat" cmpd="sng">
                          <a:solidFill>
                            <a:srgbClr val="4472C4"/>
                          </a:solidFill>
                          <a:prstDash val="solid"/>
                          <a:miter lim="8000"/>
                          <a:headEnd type="none" w="sm" len="sm"/>
                          <a:tailEnd type="none" w="sm" len="sm"/>
                        </a:ln>
                      </wps:spPr>
                      <wps:bodyPr/>
                    </wps:wsp>
                  </a:graphicData>
                </a:graphic>
              </wp:anchor>
            </w:drawing>
          </mc:Choice>
          <mc:Fallback>
            <w:pict>
              <v:shape w14:anchorId="2DF9E4AA" id="Straight Arrow Connector 2062382814" o:spid="_x0000_s1026" type="#_x0000_t32" style="position:absolute;margin-left:8.5pt;margin-top:0;width:0;height:1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" filled="t" strokecolor="#4472c4" strokeweight="1pt">
                <v:stroke startarrowwidth="narrow" startarrowlength="short" endarrowwidth="narrow" endarrowlength="short" miterlimit="5243f" joinstyle="miter"/>
              </v:shape>
            </w:pict>
          </mc:Fallback>
        </mc:AlternateContent>
      </w:r>
    </w:p>
    <w:p w14:paraId="782485B9" w14:textId="77777777" w:rsidR="007A7C58" w:rsidRDefault="003E3BD6">
      <w:pPr>
        <w:spacing w:before="240"/>
        <w:rPr>
          <w:b/>
          <w:sz w:val="26"/>
          <w:szCs w:val="26"/>
        </w:rPr>
      </w:pPr>
      <w:r>
        <w:rPr>
          <w:b/>
          <w:sz w:val="26"/>
          <w:szCs w:val="26"/>
        </w:rPr>
        <w:lastRenderedPageBreak/>
        <w:t>Executive Summary</w:t>
      </w:r>
    </w:p>
    <w:p w14:paraId="2C2AFF2C" w14:textId="77777777" w:rsidR="007A7C58" w:rsidRDefault="003E3BD6">
      <w:r>
        <w:t xml:space="preserve">An outline of Kit Keeper UK's history, present strategic position and potential for future expansion is provided in the executive summary of the company's strategic study. Established by Michael McCreadie, Kit Keeper UK has emerged as a prominent student-focused logistics and storage company, providing customised services such shipping solutions, specialised equipment storage and box-by-box storage. The company’s dedication to sustainability, strong academic relationships and digital platform are important </w:t>
      </w:r>
      <w:r>
        <w:t>foundations of its business strategy.</w:t>
      </w:r>
    </w:p>
    <w:p w14:paraId="088C034B" w14:textId="77777777" w:rsidR="007A7C58" w:rsidRDefault="003E3BD6">
      <w:r>
        <w:t>Kit Keeper's strengths in technology innovation, brand reputation and customer-centric approach are highlighted in the report but its weaknesses such as a small workforce and a lack of funding are also balanced. Using the PESTEL, SWOT and value chain frameworks, the environmental scan identifies risks from new rivals and logistics issues associated with Brexit as well as chances for technical advancements and worldwide development.</w:t>
      </w:r>
    </w:p>
    <w:p w14:paraId="7E671295" w14:textId="77777777" w:rsidR="007A7C58" w:rsidRDefault="003E3BD6">
      <w:r>
        <w:t>The ideas for strategic development centre on a hybrid plan that combines regional growth and digital service diversification bolstered by Ansoff’s matrix and Porter's focus strategy. In light of its scalability, adaptability and capacity to strengthen Kit Keeper's reputation and market dominance in the student storage industry, this approach is sustainable. Alignment with company goals and SME operational realities is ensured by stakeholder analysis and implementing considerations, setting Kit Keeper UK up</w:t>
      </w:r>
      <w:r>
        <w:t xml:space="preserve"> for long-term success in a changing market.  </w:t>
      </w:r>
      <w:r>
        <w:br w:type="page"/>
      </w:r>
    </w:p>
    <w:p w14:paraId="5340E320" w14:textId="77777777" w:rsidR="007A7C58" w:rsidRDefault="003E3BD6">
      <w:pPr>
        <w:keepNext/>
        <w:keepLines/>
        <w:pBdr>
          <w:top w:val="nil"/>
          <w:left w:val="nil"/>
          <w:bottom w:val="nil"/>
          <w:right w:val="nil"/>
          <w:between w:val="nil"/>
        </w:pBdr>
        <w:spacing w:before="240" w:after="0" w:line="259" w:lineRule="auto"/>
        <w:jc w:val="center"/>
        <w:rPr>
          <w:b/>
          <w:color w:val="2F5496"/>
          <w:sz w:val="24"/>
          <w:szCs w:val="24"/>
        </w:rPr>
      </w:pPr>
      <w:r>
        <w:rPr>
          <w:b/>
          <w:color w:val="2F5496"/>
          <w:sz w:val="24"/>
          <w:szCs w:val="24"/>
        </w:rPr>
        <w:lastRenderedPageBreak/>
        <w:t>Table of Contents</w:t>
      </w:r>
    </w:p>
    <w:sdt>
      <w:sdtPr>
        <w:id w:val="336841494"/>
        <w:docPartObj>
          <w:docPartGallery w:val="Table of Contents"/>
          <w:docPartUnique/>
        </w:docPartObj>
      </w:sdtPr>
      <w:sdtEndPr/>
      <w:sdtContent>
        <w:p w14:paraId="7B562C58" w14:textId="77777777" w:rsidR="007A7C58" w:rsidRDefault="003E3BD6">
          <w:pPr>
            <w:pBdr>
              <w:top w:val="nil"/>
              <w:left w:val="nil"/>
              <w:bottom w:val="nil"/>
              <w:right w:val="nil"/>
              <w:between w:val="nil"/>
            </w:pBdr>
            <w:tabs>
              <w:tab w:val="right" w:leader="dot" w:pos="9016"/>
            </w:tabs>
            <w:spacing w:after="100"/>
            <w:rPr>
              <w:rFonts w:ascii="Calibri" w:eastAsia="Calibri" w:hAnsi="Calibri" w:cs="Calibri"/>
              <w:color w:val="000000"/>
            </w:rPr>
          </w:pPr>
          <w:r>
            <w:fldChar w:fldCharType="begin"/>
          </w:r>
          <w:r>
            <w:instrText xml:space="preserve"> TOC \h \u \z \t "Heading 1,1,Heading 2,2,Heading 3,3,"</w:instrText>
          </w:r>
          <w:r>
            <w:fldChar w:fldCharType="separate"/>
          </w:r>
          <w:hyperlink w:anchor="_heading=h.lj4lu5sph3bm">
            <w:r w:rsidR="007A7C58">
              <w:rPr>
                <w:color w:val="000000"/>
              </w:rPr>
              <w:t>1.0. Introduction and Company Overview</w:t>
            </w:r>
            <w:r w:rsidR="007A7C58">
              <w:rPr>
                <w:color w:val="000000"/>
              </w:rPr>
              <w:tab/>
              <w:t>5</w:t>
            </w:r>
          </w:hyperlink>
        </w:p>
        <w:p w14:paraId="33F0377C" w14:textId="77777777" w:rsidR="007A7C58" w:rsidRDefault="007A7C58">
          <w:pPr>
            <w:pBdr>
              <w:top w:val="nil"/>
              <w:left w:val="nil"/>
              <w:bottom w:val="nil"/>
              <w:right w:val="nil"/>
              <w:between w:val="nil"/>
            </w:pBdr>
            <w:tabs>
              <w:tab w:val="right" w:leader="dot" w:pos="9016"/>
            </w:tabs>
            <w:spacing w:after="100"/>
            <w:rPr>
              <w:rFonts w:ascii="Calibri" w:eastAsia="Calibri" w:hAnsi="Calibri" w:cs="Calibri"/>
              <w:color w:val="000000"/>
            </w:rPr>
          </w:pPr>
          <w:hyperlink w:anchor="_heading=h.ndx6m1ofiyqn">
            <w:r>
              <w:rPr>
                <w:color w:val="000000"/>
              </w:rPr>
              <w:t>2.0 Strategic Direction and Goals</w:t>
            </w:r>
            <w:r>
              <w:rPr>
                <w:color w:val="000000"/>
              </w:rPr>
              <w:tab/>
              <w:t>6</w:t>
            </w:r>
          </w:hyperlink>
        </w:p>
        <w:p w14:paraId="218D7248" w14:textId="77777777" w:rsidR="007A7C58" w:rsidRDefault="007A7C58">
          <w:pPr>
            <w:pBdr>
              <w:top w:val="nil"/>
              <w:left w:val="nil"/>
              <w:bottom w:val="nil"/>
              <w:right w:val="nil"/>
              <w:between w:val="nil"/>
            </w:pBdr>
            <w:tabs>
              <w:tab w:val="right" w:leader="dot" w:pos="9016"/>
            </w:tabs>
            <w:spacing w:after="100"/>
            <w:ind w:left="220"/>
            <w:rPr>
              <w:rFonts w:ascii="Calibri" w:eastAsia="Calibri" w:hAnsi="Calibri" w:cs="Calibri"/>
              <w:color w:val="000000"/>
            </w:rPr>
          </w:pPr>
          <w:hyperlink w:anchor="_heading=h.13jc7um5zpib">
            <w:r>
              <w:rPr>
                <w:color w:val="000000"/>
              </w:rPr>
              <w:t>2.1 Vision and Mission</w:t>
            </w:r>
            <w:r>
              <w:rPr>
                <w:color w:val="000000"/>
              </w:rPr>
              <w:tab/>
              <w:t>6</w:t>
            </w:r>
          </w:hyperlink>
        </w:p>
        <w:p w14:paraId="4A65ECA7" w14:textId="77777777" w:rsidR="007A7C58" w:rsidRDefault="007A7C58">
          <w:pPr>
            <w:pBdr>
              <w:top w:val="nil"/>
              <w:left w:val="nil"/>
              <w:bottom w:val="nil"/>
              <w:right w:val="nil"/>
              <w:between w:val="nil"/>
            </w:pBdr>
            <w:tabs>
              <w:tab w:val="right" w:leader="dot" w:pos="9016"/>
            </w:tabs>
            <w:spacing w:after="100"/>
            <w:ind w:left="220"/>
            <w:rPr>
              <w:rFonts w:ascii="Calibri" w:eastAsia="Calibri" w:hAnsi="Calibri" w:cs="Calibri"/>
              <w:color w:val="000000"/>
            </w:rPr>
          </w:pPr>
          <w:hyperlink w:anchor="_heading=h.1gefackcmqdr">
            <w:r>
              <w:rPr>
                <w:color w:val="000000"/>
              </w:rPr>
              <w:t>2.2 Core Objectives</w:t>
            </w:r>
            <w:r>
              <w:rPr>
                <w:color w:val="000000"/>
              </w:rPr>
              <w:tab/>
              <w:t>6</w:t>
            </w:r>
          </w:hyperlink>
        </w:p>
        <w:p w14:paraId="43349ADC" w14:textId="77777777" w:rsidR="007A7C58" w:rsidRDefault="007A7C58">
          <w:pPr>
            <w:pBdr>
              <w:top w:val="nil"/>
              <w:left w:val="nil"/>
              <w:bottom w:val="nil"/>
              <w:right w:val="nil"/>
              <w:between w:val="nil"/>
            </w:pBdr>
            <w:tabs>
              <w:tab w:val="right" w:leader="dot" w:pos="9016"/>
            </w:tabs>
            <w:spacing w:after="100"/>
            <w:ind w:left="220"/>
            <w:rPr>
              <w:rFonts w:ascii="Calibri" w:eastAsia="Calibri" w:hAnsi="Calibri" w:cs="Calibri"/>
              <w:color w:val="000000"/>
            </w:rPr>
          </w:pPr>
          <w:hyperlink w:anchor="_heading=h.ajvrejd5sthq">
            <w:r>
              <w:rPr>
                <w:color w:val="000000"/>
              </w:rPr>
              <w:t>2.3 Strategic Aims and SME Characteristics</w:t>
            </w:r>
            <w:r>
              <w:rPr>
                <w:color w:val="000000"/>
              </w:rPr>
              <w:tab/>
              <w:t>7</w:t>
            </w:r>
          </w:hyperlink>
        </w:p>
        <w:p w14:paraId="5425BBBE" w14:textId="77777777" w:rsidR="007A7C58" w:rsidRDefault="007A7C58">
          <w:pPr>
            <w:pBdr>
              <w:top w:val="nil"/>
              <w:left w:val="nil"/>
              <w:bottom w:val="nil"/>
              <w:right w:val="nil"/>
              <w:between w:val="nil"/>
            </w:pBdr>
            <w:tabs>
              <w:tab w:val="right" w:leader="dot" w:pos="9016"/>
            </w:tabs>
            <w:spacing w:after="100"/>
            <w:rPr>
              <w:rFonts w:ascii="Calibri" w:eastAsia="Calibri" w:hAnsi="Calibri" w:cs="Calibri"/>
              <w:color w:val="000000"/>
            </w:rPr>
          </w:pPr>
          <w:hyperlink w:anchor="_heading=h.23zo2i72i71l">
            <w:r>
              <w:rPr>
                <w:color w:val="000000"/>
              </w:rPr>
              <w:t>3.0 Environmental Scan and Competitive Positioning</w:t>
            </w:r>
            <w:r>
              <w:rPr>
                <w:color w:val="000000"/>
              </w:rPr>
              <w:tab/>
              <w:t>7</w:t>
            </w:r>
          </w:hyperlink>
        </w:p>
        <w:p w14:paraId="46A04F59" w14:textId="77777777" w:rsidR="007A7C58" w:rsidRDefault="007A7C58">
          <w:pPr>
            <w:pBdr>
              <w:top w:val="nil"/>
              <w:left w:val="nil"/>
              <w:bottom w:val="nil"/>
              <w:right w:val="nil"/>
              <w:between w:val="nil"/>
            </w:pBdr>
            <w:tabs>
              <w:tab w:val="right" w:leader="dot" w:pos="9016"/>
            </w:tabs>
            <w:spacing w:after="100"/>
            <w:ind w:left="220"/>
            <w:rPr>
              <w:rFonts w:ascii="Calibri" w:eastAsia="Calibri" w:hAnsi="Calibri" w:cs="Calibri"/>
              <w:color w:val="000000"/>
            </w:rPr>
          </w:pPr>
          <w:hyperlink w:anchor="_heading=h.1n49ezsrz5l6">
            <w:r>
              <w:rPr>
                <w:color w:val="000000"/>
              </w:rPr>
              <w:t>3.1 Internal Analysis</w:t>
            </w:r>
            <w:r>
              <w:rPr>
                <w:color w:val="000000"/>
              </w:rPr>
              <w:tab/>
              <w:t>8</w:t>
            </w:r>
          </w:hyperlink>
        </w:p>
        <w:p w14:paraId="0F10F5AF" w14:textId="77777777" w:rsidR="007A7C58" w:rsidRDefault="007A7C58">
          <w:pPr>
            <w:pBdr>
              <w:top w:val="nil"/>
              <w:left w:val="nil"/>
              <w:bottom w:val="nil"/>
              <w:right w:val="nil"/>
              <w:between w:val="nil"/>
            </w:pBdr>
            <w:tabs>
              <w:tab w:val="right" w:leader="dot" w:pos="9016"/>
            </w:tabs>
            <w:spacing w:after="100"/>
            <w:ind w:left="440"/>
            <w:rPr>
              <w:rFonts w:ascii="Calibri" w:eastAsia="Calibri" w:hAnsi="Calibri" w:cs="Calibri"/>
              <w:color w:val="000000"/>
            </w:rPr>
          </w:pPr>
          <w:hyperlink w:anchor="_heading=h.1x0fr897t1lh">
            <w:r>
              <w:rPr>
                <w:color w:val="000000"/>
              </w:rPr>
              <w:t>3.1.1 SWOT</w:t>
            </w:r>
            <w:r>
              <w:rPr>
                <w:color w:val="000000"/>
              </w:rPr>
              <w:tab/>
              <w:t>8</w:t>
            </w:r>
          </w:hyperlink>
        </w:p>
        <w:p w14:paraId="18ADE0B7" w14:textId="77777777" w:rsidR="007A7C58" w:rsidRDefault="007A7C58">
          <w:pPr>
            <w:pBdr>
              <w:top w:val="nil"/>
              <w:left w:val="nil"/>
              <w:bottom w:val="nil"/>
              <w:right w:val="nil"/>
              <w:between w:val="nil"/>
            </w:pBdr>
            <w:tabs>
              <w:tab w:val="right" w:leader="dot" w:pos="9016"/>
            </w:tabs>
            <w:spacing w:after="100"/>
            <w:ind w:left="440"/>
            <w:rPr>
              <w:rFonts w:ascii="Calibri" w:eastAsia="Calibri" w:hAnsi="Calibri" w:cs="Calibri"/>
              <w:color w:val="000000"/>
            </w:rPr>
          </w:pPr>
          <w:hyperlink w:anchor="_heading=h.5jwnqcj4l73e">
            <w:r>
              <w:rPr>
                <w:color w:val="000000"/>
              </w:rPr>
              <w:t>3.1.2 Value Chain Analysis</w:t>
            </w:r>
            <w:r>
              <w:rPr>
                <w:color w:val="000000"/>
              </w:rPr>
              <w:tab/>
              <w:t>9</w:t>
            </w:r>
          </w:hyperlink>
        </w:p>
        <w:p w14:paraId="6192916A" w14:textId="77777777" w:rsidR="007A7C58" w:rsidRDefault="007A7C58">
          <w:pPr>
            <w:pBdr>
              <w:top w:val="nil"/>
              <w:left w:val="nil"/>
              <w:bottom w:val="nil"/>
              <w:right w:val="nil"/>
              <w:between w:val="nil"/>
            </w:pBdr>
            <w:tabs>
              <w:tab w:val="right" w:leader="dot" w:pos="9016"/>
            </w:tabs>
            <w:spacing w:after="100"/>
            <w:ind w:left="220"/>
            <w:rPr>
              <w:rFonts w:ascii="Calibri" w:eastAsia="Calibri" w:hAnsi="Calibri" w:cs="Calibri"/>
              <w:color w:val="000000"/>
            </w:rPr>
          </w:pPr>
          <w:hyperlink w:anchor="_heading=h.fa44sl5urxgu">
            <w:r>
              <w:rPr>
                <w:color w:val="000000"/>
              </w:rPr>
              <w:t>3.2 External Analysis</w:t>
            </w:r>
            <w:r>
              <w:rPr>
                <w:color w:val="000000"/>
              </w:rPr>
              <w:tab/>
              <w:t>10</w:t>
            </w:r>
          </w:hyperlink>
        </w:p>
        <w:p w14:paraId="4EE16D8B" w14:textId="77777777" w:rsidR="007A7C58" w:rsidRDefault="007A7C58">
          <w:pPr>
            <w:pBdr>
              <w:top w:val="nil"/>
              <w:left w:val="nil"/>
              <w:bottom w:val="nil"/>
              <w:right w:val="nil"/>
              <w:between w:val="nil"/>
            </w:pBdr>
            <w:tabs>
              <w:tab w:val="right" w:leader="dot" w:pos="9016"/>
            </w:tabs>
            <w:spacing w:after="100"/>
            <w:ind w:left="440"/>
            <w:rPr>
              <w:rFonts w:ascii="Calibri" w:eastAsia="Calibri" w:hAnsi="Calibri" w:cs="Calibri"/>
              <w:color w:val="000000"/>
            </w:rPr>
          </w:pPr>
          <w:hyperlink w:anchor="_heading=h.iihc9an6qyhw">
            <w:r>
              <w:rPr>
                <w:color w:val="000000"/>
              </w:rPr>
              <w:t>3.2 1 PESTEL Analysis</w:t>
            </w:r>
            <w:r>
              <w:rPr>
                <w:color w:val="000000"/>
              </w:rPr>
              <w:tab/>
              <w:t>10</w:t>
            </w:r>
          </w:hyperlink>
        </w:p>
        <w:p w14:paraId="393445C3" w14:textId="77777777" w:rsidR="007A7C58" w:rsidRDefault="007A7C58">
          <w:pPr>
            <w:pBdr>
              <w:top w:val="nil"/>
              <w:left w:val="nil"/>
              <w:bottom w:val="nil"/>
              <w:right w:val="nil"/>
              <w:between w:val="nil"/>
            </w:pBdr>
            <w:tabs>
              <w:tab w:val="right" w:leader="dot" w:pos="9016"/>
            </w:tabs>
            <w:spacing w:after="100"/>
            <w:rPr>
              <w:rFonts w:ascii="Calibri" w:eastAsia="Calibri" w:hAnsi="Calibri" w:cs="Calibri"/>
              <w:color w:val="000000"/>
            </w:rPr>
          </w:pPr>
          <w:hyperlink w:anchor="_heading=h.fz0qa153u5g">
            <w:r>
              <w:rPr>
                <w:color w:val="000000"/>
              </w:rPr>
              <w:t>4.0 Strategic Growth Choices and Sustainable Strategy</w:t>
            </w:r>
            <w:r>
              <w:rPr>
                <w:color w:val="000000"/>
              </w:rPr>
              <w:tab/>
              <w:t>11</w:t>
            </w:r>
          </w:hyperlink>
        </w:p>
        <w:p w14:paraId="256522A2" w14:textId="77777777" w:rsidR="007A7C58" w:rsidRDefault="007A7C58">
          <w:pPr>
            <w:pBdr>
              <w:top w:val="nil"/>
              <w:left w:val="nil"/>
              <w:bottom w:val="nil"/>
              <w:right w:val="nil"/>
              <w:between w:val="nil"/>
            </w:pBdr>
            <w:tabs>
              <w:tab w:val="right" w:leader="dot" w:pos="9016"/>
            </w:tabs>
            <w:spacing w:after="100"/>
            <w:ind w:left="220"/>
            <w:rPr>
              <w:rFonts w:ascii="Calibri" w:eastAsia="Calibri" w:hAnsi="Calibri" w:cs="Calibri"/>
              <w:color w:val="000000"/>
            </w:rPr>
          </w:pPr>
          <w:hyperlink w:anchor="_heading=h.sfoh0bqhxhgl">
            <w:r>
              <w:rPr>
                <w:color w:val="000000"/>
              </w:rPr>
              <w:t>4.1 Accessible SME Growth Strategies</w:t>
            </w:r>
            <w:r>
              <w:rPr>
                <w:color w:val="000000"/>
              </w:rPr>
              <w:tab/>
              <w:t>11</w:t>
            </w:r>
          </w:hyperlink>
        </w:p>
        <w:p w14:paraId="33EE5DB2" w14:textId="77777777" w:rsidR="007A7C58" w:rsidRDefault="007A7C58">
          <w:pPr>
            <w:pBdr>
              <w:top w:val="nil"/>
              <w:left w:val="nil"/>
              <w:bottom w:val="nil"/>
              <w:right w:val="nil"/>
              <w:between w:val="nil"/>
            </w:pBdr>
            <w:tabs>
              <w:tab w:val="right" w:leader="dot" w:pos="9016"/>
            </w:tabs>
            <w:spacing w:after="100"/>
            <w:ind w:left="220"/>
            <w:rPr>
              <w:rFonts w:ascii="Calibri" w:eastAsia="Calibri" w:hAnsi="Calibri" w:cs="Calibri"/>
              <w:color w:val="000000"/>
            </w:rPr>
          </w:pPr>
          <w:hyperlink w:anchor="_heading=h.ehfyu69q3f0y">
            <w:r>
              <w:rPr>
                <w:color w:val="000000"/>
              </w:rPr>
              <w:t>4.2 Strategic Growth Models</w:t>
            </w:r>
            <w:r>
              <w:rPr>
                <w:color w:val="000000"/>
              </w:rPr>
              <w:tab/>
              <w:t>11</w:t>
            </w:r>
          </w:hyperlink>
        </w:p>
        <w:p w14:paraId="5A8D3C05" w14:textId="77777777" w:rsidR="007A7C58" w:rsidRDefault="007A7C58">
          <w:pPr>
            <w:pBdr>
              <w:top w:val="nil"/>
              <w:left w:val="nil"/>
              <w:bottom w:val="nil"/>
              <w:right w:val="nil"/>
              <w:between w:val="nil"/>
            </w:pBdr>
            <w:tabs>
              <w:tab w:val="right" w:leader="dot" w:pos="9016"/>
            </w:tabs>
            <w:spacing w:after="100"/>
            <w:ind w:left="440"/>
            <w:rPr>
              <w:rFonts w:ascii="Calibri" w:eastAsia="Calibri" w:hAnsi="Calibri" w:cs="Calibri"/>
              <w:color w:val="000000"/>
            </w:rPr>
          </w:pPr>
          <w:hyperlink w:anchor="_heading=h.ak6fsk28ir2o">
            <w:r>
              <w:rPr>
                <w:color w:val="000000"/>
              </w:rPr>
              <w:t>4.2.1 Porter’s Generic Strategies</w:t>
            </w:r>
            <w:r>
              <w:rPr>
                <w:color w:val="000000"/>
              </w:rPr>
              <w:tab/>
              <w:t>12</w:t>
            </w:r>
          </w:hyperlink>
        </w:p>
        <w:p w14:paraId="77447B28" w14:textId="77777777" w:rsidR="007A7C58" w:rsidRDefault="007A7C58">
          <w:pPr>
            <w:pBdr>
              <w:top w:val="nil"/>
              <w:left w:val="nil"/>
              <w:bottom w:val="nil"/>
              <w:right w:val="nil"/>
              <w:between w:val="nil"/>
            </w:pBdr>
            <w:tabs>
              <w:tab w:val="right" w:leader="dot" w:pos="9016"/>
            </w:tabs>
            <w:spacing w:after="100"/>
            <w:ind w:left="440"/>
            <w:rPr>
              <w:rFonts w:ascii="Calibri" w:eastAsia="Calibri" w:hAnsi="Calibri" w:cs="Calibri"/>
              <w:color w:val="000000"/>
            </w:rPr>
          </w:pPr>
          <w:hyperlink w:anchor="_heading=h.l9tyz04kvyu">
            <w:r>
              <w:rPr>
                <w:color w:val="000000"/>
              </w:rPr>
              <w:t>4.2.2 Ansoff Matrix Application</w:t>
            </w:r>
            <w:r>
              <w:rPr>
                <w:color w:val="000000"/>
              </w:rPr>
              <w:tab/>
              <w:t>12</w:t>
            </w:r>
          </w:hyperlink>
        </w:p>
        <w:p w14:paraId="1935AA97" w14:textId="77777777" w:rsidR="007A7C58" w:rsidRDefault="007A7C58">
          <w:pPr>
            <w:pBdr>
              <w:top w:val="nil"/>
              <w:left w:val="nil"/>
              <w:bottom w:val="nil"/>
              <w:right w:val="nil"/>
              <w:between w:val="nil"/>
            </w:pBdr>
            <w:tabs>
              <w:tab w:val="right" w:leader="dot" w:pos="9016"/>
            </w:tabs>
            <w:spacing w:after="100"/>
            <w:ind w:left="220"/>
            <w:rPr>
              <w:rFonts w:ascii="Calibri" w:eastAsia="Calibri" w:hAnsi="Calibri" w:cs="Calibri"/>
              <w:color w:val="000000"/>
            </w:rPr>
          </w:pPr>
          <w:hyperlink w:anchor="_heading=h.cub819kit80s">
            <w:r>
              <w:rPr>
                <w:color w:val="000000"/>
              </w:rPr>
              <w:t>4.3 Proposed New Growth Strategy</w:t>
            </w:r>
            <w:r>
              <w:rPr>
                <w:color w:val="000000"/>
              </w:rPr>
              <w:tab/>
              <w:t>13</w:t>
            </w:r>
          </w:hyperlink>
        </w:p>
        <w:p w14:paraId="3ADE1C7A" w14:textId="77777777" w:rsidR="007A7C58" w:rsidRDefault="007A7C58">
          <w:pPr>
            <w:pBdr>
              <w:top w:val="nil"/>
              <w:left w:val="nil"/>
              <w:bottom w:val="nil"/>
              <w:right w:val="nil"/>
              <w:between w:val="nil"/>
            </w:pBdr>
            <w:tabs>
              <w:tab w:val="right" w:leader="dot" w:pos="9016"/>
            </w:tabs>
            <w:spacing w:after="100"/>
            <w:ind w:left="220"/>
            <w:rPr>
              <w:rFonts w:ascii="Calibri" w:eastAsia="Calibri" w:hAnsi="Calibri" w:cs="Calibri"/>
              <w:color w:val="000000"/>
            </w:rPr>
          </w:pPr>
          <w:hyperlink w:anchor="_heading=h.ch3m1p3kqsj0">
            <w:r>
              <w:rPr>
                <w:color w:val="000000"/>
              </w:rPr>
              <w:t>4.4 Sustainability of the Strategy</w:t>
            </w:r>
            <w:r>
              <w:rPr>
                <w:color w:val="000000"/>
              </w:rPr>
              <w:tab/>
              <w:t>13</w:t>
            </w:r>
          </w:hyperlink>
        </w:p>
        <w:p w14:paraId="75F741F1" w14:textId="77777777" w:rsidR="007A7C58" w:rsidRDefault="007A7C58">
          <w:pPr>
            <w:pBdr>
              <w:top w:val="nil"/>
              <w:left w:val="nil"/>
              <w:bottom w:val="nil"/>
              <w:right w:val="nil"/>
              <w:between w:val="nil"/>
            </w:pBdr>
            <w:tabs>
              <w:tab w:val="right" w:leader="dot" w:pos="9016"/>
            </w:tabs>
            <w:spacing w:after="100"/>
            <w:rPr>
              <w:rFonts w:ascii="Calibri" w:eastAsia="Calibri" w:hAnsi="Calibri" w:cs="Calibri"/>
              <w:color w:val="000000"/>
            </w:rPr>
          </w:pPr>
          <w:hyperlink w:anchor="_heading=h.hlqv8zajd5ie">
            <w:r>
              <w:rPr>
                <w:color w:val="000000"/>
              </w:rPr>
              <w:t>5.0 Stakeholder analysis and Critical Evaluation (Mendelow’s Matrix and RACI)</w:t>
            </w:r>
            <w:r>
              <w:rPr>
                <w:color w:val="000000"/>
              </w:rPr>
              <w:tab/>
              <w:t>14</w:t>
            </w:r>
          </w:hyperlink>
        </w:p>
        <w:p w14:paraId="29A9C1A6" w14:textId="77777777" w:rsidR="007A7C58" w:rsidRDefault="007A7C58">
          <w:pPr>
            <w:pBdr>
              <w:top w:val="nil"/>
              <w:left w:val="nil"/>
              <w:bottom w:val="nil"/>
              <w:right w:val="nil"/>
              <w:between w:val="nil"/>
            </w:pBdr>
            <w:tabs>
              <w:tab w:val="right" w:leader="dot" w:pos="9016"/>
            </w:tabs>
            <w:spacing w:after="100"/>
            <w:ind w:left="220"/>
            <w:rPr>
              <w:rFonts w:ascii="Calibri" w:eastAsia="Calibri" w:hAnsi="Calibri" w:cs="Calibri"/>
              <w:color w:val="000000"/>
            </w:rPr>
          </w:pPr>
          <w:hyperlink w:anchor="_heading=h.bnwalco3rqjr">
            <w:r>
              <w:rPr>
                <w:color w:val="000000"/>
              </w:rPr>
              <w:t>5.1 Mendelow’s Matrix Analysis</w:t>
            </w:r>
            <w:r>
              <w:rPr>
                <w:color w:val="000000"/>
              </w:rPr>
              <w:tab/>
              <w:t>14</w:t>
            </w:r>
          </w:hyperlink>
        </w:p>
        <w:p w14:paraId="7076C3F6" w14:textId="77777777" w:rsidR="007A7C58" w:rsidRDefault="007A7C58">
          <w:pPr>
            <w:pBdr>
              <w:top w:val="nil"/>
              <w:left w:val="nil"/>
              <w:bottom w:val="nil"/>
              <w:right w:val="nil"/>
              <w:between w:val="nil"/>
            </w:pBdr>
            <w:tabs>
              <w:tab w:val="right" w:leader="dot" w:pos="9016"/>
            </w:tabs>
            <w:spacing w:after="100"/>
            <w:ind w:left="220"/>
            <w:rPr>
              <w:rFonts w:ascii="Calibri" w:eastAsia="Calibri" w:hAnsi="Calibri" w:cs="Calibri"/>
              <w:color w:val="000000"/>
            </w:rPr>
          </w:pPr>
          <w:hyperlink w:anchor="_heading=h.mostbpy9r687">
            <w:r>
              <w:rPr>
                <w:color w:val="000000"/>
              </w:rPr>
              <w:t>5.2 Critical Evaluation</w:t>
            </w:r>
            <w:r>
              <w:rPr>
                <w:color w:val="000000"/>
              </w:rPr>
              <w:tab/>
              <w:t>16</w:t>
            </w:r>
          </w:hyperlink>
        </w:p>
        <w:p w14:paraId="17489939" w14:textId="77777777" w:rsidR="007A7C58" w:rsidRDefault="007A7C58">
          <w:pPr>
            <w:pBdr>
              <w:top w:val="nil"/>
              <w:left w:val="nil"/>
              <w:bottom w:val="nil"/>
              <w:right w:val="nil"/>
              <w:between w:val="nil"/>
            </w:pBdr>
            <w:tabs>
              <w:tab w:val="right" w:leader="dot" w:pos="9016"/>
            </w:tabs>
            <w:spacing w:after="100"/>
            <w:ind w:left="220"/>
            <w:rPr>
              <w:rFonts w:ascii="Calibri" w:eastAsia="Calibri" w:hAnsi="Calibri" w:cs="Calibri"/>
              <w:color w:val="000000"/>
            </w:rPr>
          </w:pPr>
          <w:hyperlink w:anchor="_heading=h.8n6ee24rg60h">
            <w:r>
              <w:rPr>
                <w:color w:val="000000"/>
              </w:rPr>
              <w:t>5.3 RACI Analysis</w:t>
            </w:r>
            <w:r>
              <w:rPr>
                <w:color w:val="000000"/>
              </w:rPr>
              <w:tab/>
              <w:t>16</w:t>
            </w:r>
          </w:hyperlink>
        </w:p>
        <w:p w14:paraId="572AE610" w14:textId="77777777" w:rsidR="007A7C58" w:rsidRDefault="007A7C58">
          <w:pPr>
            <w:pBdr>
              <w:top w:val="nil"/>
              <w:left w:val="nil"/>
              <w:bottom w:val="nil"/>
              <w:right w:val="nil"/>
              <w:between w:val="nil"/>
            </w:pBdr>
            <w:tabs>
              <w:tab w:val="right" w:leader="dot" w:pos="9016"/>
            </w:tabs>
            <w:spacing w:after="100"/>
            <w:rPr>
              <w:rFonts w:ascii="Calibri" w:eastAsia="Calibri" w:hAnsi="Calibri" w:cs="Calibri"/>
              <w:color w:val="000000"/>
            </w:rPr>
          </w:pPr>
          <w:hyperlink w:anchor="_heading=h.xoyujh19zvta">
            <w:r>
              <w:rPr>
                <w:color w:val="000000"/>
              </w:rPr>
              <w:t>6.0 Strategic Recommendations and Implementation</w:t>
            </w:r>
            <w:r>
              <w:rPr>
                <w:color w:val="000000"/>
              </w:rPr>
              <w:tab/>
              <w:t>18</w:t>
            </w:r>
          </w:hyperlink>
        </w:p>
        <w:p w14:paraId="23C8E328" w14:textId="77777777" w:rsidR="007A7C58" w:rsidRDefault="007A7C58">
          <w:pPr>
            <w:pBdr>
              <w:top w:val="nil"/>
              <w:left w:val="nil"/>
              <w:bottom w:val="nil"/>
              <w:right w:val="nil"/>
              <w:between w:val="nil"/>
            </w:pBdr>
            <w:tabs>
              <w:tab w:val="right" w:leader="dot" w:pos="9016"/>
            </w:tabs>
            <w:spacing w:after="100"/>
            <w:ind w:left="220"/>
            <w:rPr>
              <w:rFonts w:ascii="Calibri" w:eastAsia="Calibri" w:hAnsi="Calibri" w:cs="Calibri"/>
              <w:color w:val="000000"/>
            </w:rPr>
          </w:pPr>
          <w:hyperlink w:anchor="_heading=h.3q05q0mu9oep">
            <w:r>
              <w:rPr>
                <w:color w:val="000000"/>
              </w:rPr>
              <w:t>6.1 Digital Transformation and Innovation</w:t>
            </w:r>
            <w:r>
              <w:rPr>
                <w:color w:val="000000"/>
              </w:rPr>
              <w:tab/>
              <w:t>18</w:t>
            </w:r>
          </w:hyperlink>
        </w:p>
        <w:p w14:paraId="6CBF4C39" w14:textId="77777777" w:rsidR="007A7C58" w:rsidRDefault="007A7C58">
          <w:pPr>
            <w:pBdr>
              <w:top w:val="nil"/>
              <w:left w:val="nil"/>
              <w:bottom w:val="nil"/>
              <w:right w:val="nil"/>
              <w:between w:val="nil"/>
            </w:pBdr>
            <w:tabs>
              <w:tab w:val="right" w:leader="dot" w:pos="9016"/>
            </w:tabs>
            <w:spacing w:after="100"/>
            <w:ind w:left="220"/>
            <w:rPr>
              <w:rFonts w:ascii="Calibri" w:eastAsia="Calibri" w:hAnsi="Calibri" w:cs="Calibri"/>
              <w:color w:val="000000"/>
            </w:rPr>
          </w:pPr>
          <w:hyperlink w:anchor="_heading=h.r4ihnyocndmg">
            <w:r>
              <w:rPr>
                <w:color w:val="000000"/>
              </w:rPr>
              <w:t>6.2 Strategic Partnerships and Market Expansion</w:t>
            </w:r>
            <w:r>
              <w:rPr>
                <w:color w:val="000000"/>
              </w:rPr>
              <w:tab/>
              <w:t>18</w:t>
            </w:r>
          </w:hyperlink>
        </w:p>
        <w:p w14:paraId="01DC069F" w14:textId="77777777" w:rsidR="007A7C58" w:rsidRDefault="007A7C58">
          <w:pPr>
            <w:pBdr>
              <w:top w:val="nil"/>
              <w:left w:val="nil"/>
              <w:bottom w:val="nil"/>
              <w:right w:val="nil"/>
              <w:between w:val="nil"/>
            </w:pBdr>
            <w:tabs>
              <w:tab w:val="right" w:leader="dot" w:pos="9016"/>
            </w:tabs>
            <w:spacing w:after="100"/>
            <w:ind w:left="220"/>
            <w:rPr>
              <w:rFonts w:ascii="Calibri" w:eastAsia="Calibri" w:hAnsi="Calibri" w:cs="Calibri"/>
              <w:color w:val="000000"/>
            </w:rPr>
          </w:pPr>
          <w:hyperlink w:anchor="_heading=h.4iiyzm1zba2e">
            <w:r>
              <w:rPr>
                <w:color w:val="000000"/>
              </w:rPr>
              <w:t>6.3 Workforce Development and Organisational Capacity</w:t>
            </w:r>
            <w:r>
              <w:rPr>
                <w:color w:val="000000"/>
              </w:rPr>
              <w:tab/>
              <w:t>18</w:t>
            </w:r>
          </w:hyperlink>
        </w:p>
        <w:p w14:paraId="70F6A20E" w14:textId="77777777" w:rsidR="007A7C58" w:rsidRDefault="007A7C58">
          <w:pPr>
            <w:pBdr>
              <w:top w:val="nil"/>
              <w:left w:val="nil"/>
              <w:bottom w:val="nil"/>
              <w:right w:val="nil"/>
              <w:between w:val="nil"/>
            </w:pBdr>
            <w:tabs>
              <w:tab w:val="right" w:leader="dot" w:pos="9016"/>
            </w:tabs>
            <w:spacing w:after="100"/>
            <w:ind w:left="220"/>
            <w:rPr>
              <w:rFonts w:ascii="Calibri" w:eastAsia="Calibri" w:hAnsi="Calibri" w:cs="Calibri"/>
              <w:color w:val="000000"/>
            </w:rPr>
          </w:pPr>
          <w:hyperlink w:anchor="_heading=h.brhzh1fo6zin">
            <w:r>
              <w:rPr>
                <w:color w:val="000000"/>
              </w:rPr>
              <w:t>6.4 Sustainability Integration</w:t>
            </w:r>
            <w:r>
              <w:rPr>
                <w:color w:val="000000"/>
              </w:rPr>
              <w:tab/>
              <w:t>18</w:t>
            </w:r>
          </w:hyperlink>
        </w:p>
        <w:p w14:paraId="40B3D7F1" w14:textId="77777777" w:rsidR="007A7C58" w:rsidRDefault="007A7C58">
          <w:pPr>
            <w:pBdr>
              <w:top w:val="nil"/>
              <w:left w:val="nil"/>
              <w:bottom w:val="nil"/>
              <w:right w:val="nil"/>
              <w:between w:val="nil"/>
            </w:pBdr>
            <w:tabs>
              <w:tab w:val="right" w:leader="dot" w:pos="9016"/>
            </w:tabs>
            <w:spacing w:after="100"/>
            <w:ind w:left="220"/>
            <w:rPr>
              <w:rFonts w:ascii="Calibri" w:eastAsia="Calibri" w:hAnsi="Calibri" w:cs="Calibri"/>
              <w:color w:val="000000"/>
            </w:rPr>
          </w:pPr>
          <w:hyperlink w:anchor="_heading=h.gum8giuewv4n">
            <w:r>
              <w:rPr>
                <w:color w:val="000000"/>
              </w:rPr>
              <w:t>6.5 Implementation Plan</w:t>
            </w:r>
            <w:r>
              <w:rPr>
                <w:color w:val="000000"/>
              </w:rPr>
              <w:tab/>
              <w:t>19</w:t>
            </w:r>
          </w:hyperlink>
        </w:p>
        <w:p w14:paraId="4E7015D6" w14:textId="77777777" w:rsidR="007A7C58" w:rsidRDefault="007A7C58">
          <w:pPr>
            <w:pBdr>
              <w:top w:val="nil"/>
              <w:left w:val="nil"/>
              <w:bottom w:val="nil"/>
              <w:right w:val="nil"/>
              <w:between w:val="nil"/>
            </w:pBdr>
            <w:tabs>
              <w:tab w:val="right" w:leader="dot" w:pos="9016"/>
            </w:tabs>
            <w:spacing w:after="100"/>
            <w:rPr>
              <w:rFonts w:ascii="Calibri" w:eastAsia="Calibri" w:hAnsi="Calibri" w:cs="Calibri"/>
              <w:color w:val="000000"/>
            </w:rPr>
          </w:pPr>
          <w:hyperlink w:anchor="_heading=h.b68dhztx52j8">
            <w:r>
              <w:rPr>
                <w:color w:val="000000"/>
              </w:rPr>
              <w:t>7.0 Conclusion</w:t>
            </w:r>
            <w:r>
              <w:rPr>
                <w:color w:val="000000"/>
              </w:rPr>
              <w:tab/>
              <w:t>19</w:t>
            </w:r>
          </w:hyperlink>
        </w:p>
        <w:p w14:paraId="3D02920D" w14:textId="77777777" w:rsidR="007A7C58" w:rsidRDefault="007A7C58">
          <w:pPr>
            <w:pBdr>
              <w:top w:val="nil"/>
              <w:left w:val="nil"/>
              <w:bottom w:val="nil"/>
              <w:right w:val="nil"/>
              <w:between w:val="nil"/>
            </w:pBdr>
            <w:tabs>
              <w:tab w:val="right" w:leader="dot" w:pos="9016"/>
            </w:tabs>
            <w:spacing w:after="100"/>
            <w:rPr>
              <w:rFonts w:ascii="Calibri" w:eastAsia="Calibri" w:hAnsi="Calibri" w:cs="Calibri"/>
              <w:color w:val="000000"/>
            </w:rPr>
          </w:pPr>
          <w:hyperlink w:anchor="_heading=h.2unznfy25afh">
            <w:r>
              <w:rPr>
                <w:color w:val="000000"/>
              </w:rPr>
              <w:t>References</w:t>
            </w:r>
            <w:r>
              <w:rPr>
                <w:color w:val="000000"/>
              </w:rPr>
              <w:tab/>
              <w:t>21</w:t>
            </w:r>
          </w:hyperlink>
        </w:p>
        <w:p w14:paraId="26A9D85D" w14:textId="77777777" w:rsidR="007A7C58" w:rsidRDefault="003E3BD6">
          <w:pPr>
            <w:jc w:val="center"/>
          </w:pPr>
          <w:r>
            <w:fldChar w:fldCharType="end"/>
          </w:r>
        </w:p>
      </w:sdtContent>
    </w:sdt>
    <w:p w14:paraId="5CDE20E1" w14:textId="77777777" w:rsidR="007A7C58" w:rsidRDefault="003E3BD6">
      <w:pPr>
        <w:rPr>
          <w:b/>
        </w:rPr>
      </w:pPr>
      <w:r>
        <w:br w:type="page"/>
      </w:r>
    </w:p>
    <w:p w14:paraId="50A04150" w14:textId="77777777" w:rsidR="007A7C58" w:rsidRDefault="003E3BD6">
      <w:pPr>
        <w:pStyle w:val="Heading1"/>
      </w:pPr>
      <w:bookmarkStart w:id="0" w:name="_heading=h.lj4lu5sph3bm" w:colFirst="0" w:colLast="0"/>
      <w:bookmarkEnd w:id="0"/>
      <w:r>
        <w:lastRenderedPageBreak/>
        <w:t>1.0. Introduction and Company Overview</w:t>
      </w:r>
    </w:p>
    <w:p w14:paraId="2EF67148" w14:textId="77777777" w:rsidR="007A7C58" w:rsidRDefault="003E3BD6">
      <w:r>
        <w:t>Kit Keeper UK was founded by Michael McCreadie in 2017 during his university years at the University of York. Initially inspired by his struggle to transport stuff affordably and conveniently during university breaks, Michael invested his student loans in a van and cardboard boxes to start a box-by-box storage service tailored specifically for students, as per Crunchbase Inc (2025). Starting by helping friends pack and store their belongings over the summer, Kit Keeper quickly grew as customer demand grew a</w:t>
      </w:r>
      <w:r>
        <w:t xml:space="preserve">s well as through awards and university support. Today, it operates nationwide with a team of less than 10 employees and has become one of the leading student storage providers in the United Kingdom (UK) (Kit Keeper, 2025).  </w:t>
      </w:r>
    </w:p>
    <w:p w14:paraId="3F649B1E" w14:textId="77777777" w:rsidR="007A7C58" w:rsidRDefault="003E3BD6">
      <w:pPr>
        <w:jc w:val="center"/>
      </w:pPr>
      <w:r>
        <w:rPr>
          <w:noProof/>
        </w:rPr>
        <w:drawing>
          <wp:inline distT="0" distB="0" distL="0" distR="0" wp14:anchorId="51C9B2B6" wp14:editId="41D9D040">
            <wp:extent cx="5731510" cy="2202815"/>
            <wp:effectExtent l="0" t="0" r="0" b="0"/>
            <wp:docPr id="206238281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31510" cy="2202815"/>
                    </a:xfrm>
                    <a:prstGeom prst="rect">
                      <a:avLst/>
                    </a:prstGeom>
                    <a:ln/>
                  </pic:spPr>
                </pic:pic>
              </a:graphicData>
            </a:graphic>
          </wp:inline>
        </w:drawing>
      </w:r>
    </w:p>
    <w:p w14:paraId="119F9E13" w14:textId="77777777" w:rsidR="007A7C58" w:rsidRDefault="003E3BD6">
      <w:pPr>
        <w:jc w:val="center"/>
        <w:rPr>
          <w:b/>
        </w:rPr>
      </w:pPr>
      <w:r>
        <w:rPr>
          <w:b/>
        </w:rPr>
        <w:t>Figure 1: Growth Metrics of Kit Keeper</w:t>
      </w:r>
    </w:p>
    <w:p w14:paraId="33800004" w14:textId="77777777" w:rsidR="007A7C58" w:rsidRDefault="003E3BD6">
      <w:pPr>
        <w:jc w:val="center"/>
      </w:pPr>
      <w:r>
        <w:t>(Source: Crunchbase Inc, 2025)</w:t>
      </w:r>
    </w:p>
    <w:p w14:paraId="508D6D5F" w14:textId="77777777" w:rsidR="007A7C58" w:rsidRDefault="003E3BD6">
      <w:r>
        <w:t>The company’s core products and services cater specifically to the student market providing box-by-box storage solutions for short and long periods of time including specialised storage for bicycles, musical instruments, golf equipment and other personal belongings. Kit Keeper also offers shipping services including student removals and luggage transportation making life easier for students who frequently move between university locations or return home. Kit Keeper’s business model is built around a custome</w:t>
      </w:r>
      <w:r>
        <w:t>r centric approach with a completely digital platform that enables booking, scheduling and tracking. To expedite the pickup and delivery of services in more than 50 UK locations, it works closely with academic institutions and logistical partners (University of York, n.d.).</w:t>
      </w:r>
    </w:p>
    <w:p w14:paraId="5CA9C022" w14:textId="77777777" w:rsidR="007A7C58" w:rsidRDefault="003E3BD6">
      <w:pPr>
        <w:jc w:val="center"/>
      </w:pPr>
      <w:r>
        <w:rPr>
          <w:noProof/>
        </w:rPr>
        <w:lastRenderedPageBreak/>
        <w:drawing>
          <wp:inline distT="0" distB="0" distL="0" distR="0" wp14:anchorId="5C1702D0" wp14:editId="79D3BE0D">
            <wp:extent cx="5731510" cy="1617345"/>
            <wp:effectExtent l="9525" t="9525" r="9525" b="9525"/>
            <wp:docPr id="206238281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t="2526" b="-1"/>
                    <a:stretch>
                      <a:fillRect/>
                    </a:stretch>
                  </pic:blipFill>
                  <pic:spPr>
                    <a:xfrm>
                      <a:off x="0" y="0"/>
                      <a:ext cx="5731510" cy="1617345"/>
                    </a:xfrm>
                    <a:prstGeom prst="rect">
                      <a:avLst/>
                    </a:prstGeom>
                    <a:ln w="9525">
                      <a:solidFill>
                        <a:srgbClr val="4472C4"/>
                      </a:solidFill>
                      <a:prstDash val="solid"/>
                    </a:ln>
                  </pic:spPr>
                </pic:pic>
              </a:graphicData>
            </a:graphic>
          </wp:inline>
        </w:drawing>
      </w:r>
    </w:p>
    <w:p w14:paraId="773CC465" w14:textId="77777777" w:rsidR="007A7C58" w:rsidRDefault="003E3BD6">
      <w:pPr>
        <w:jc w:val="center"/>
        <w:rPr>
          <w:b/>
        </w:rPr>
      </w:pPr>
      <w:r>
        <w:rPr>
          <w:b/>
        </w:rPr>
        <w:t>Figure 2: Key Metrics of Kit Keeper</w:t>
      </w:r>
    </w:p>
    <w:p w14:paraId="7147540B" w14:textId="77777777" w:rsidR="007A7C58" w:rsidRDefault="003E3BD6">
      <w:pPr>
        <w:jc w:val="center"/>
      </w:pPr>
      <w:r>
        <w:t xml:space="preserve">(Source: </w:t>
      </w:r>
      <w:proofErr w:type="spellStart"/>
      <w:r>
        <w:t>Tracxn</w:t>
      </w:r>
      <w:proofErr w:type="spellEnd"/>
      <w:r>
        <w:t xml:space="preserve"> Technologies Limited, 2025)</w:t>
      </w:r>
    </w:p>
    <w:p w14:paraId="587025DA" w14:textId="77777777" w:rsidR="007A7C58" w:rsidRDefault="003E3BD6">
      <w:r>
        <w:t xml:space="preserve">The integration of scientific innovation with environmentally conscious practices such as eco-friendly packaging and green logistics, is one of Kit Keeper's unique selling points (USPs). According to </w:t>
      </w:r>
      <w:proofErr w:type="spellStart"/>
      <w:r>
        <w:t>Tracxn</w:t>
      </w:r>
      <w:proofErr w:type="spellEnd"/>
      <w:r>
        <w:t xml:space="preserve"> Technologies Limited (2025), the firm stands apart in a historically fragmented field due to its award-winning reputation, countrywide coverage, worldwide shipping capabilities and emphasis on the customer experience.</w:t>
      </w:r>
    </w:p>
    <w:p w14:paraId="6168FFC6" w14:textId="77777777" w:rsidR="007A7C58" w:rsidRDefault="003E3BD6">
      <w:pPr>
        <w:pStyle w:val="Heading1"/>
      </w:pPr>
      <w:bookmarkStart w:id="1" w:name="_heading=h.ndx6m1ofiyqn" w:colFirst="0" w:colLast="0"/>
      <w:bookmarkEnd w:id="1"/>
      <w:r>
        <w:t>2.0 Strategic Direction and Goals</w:t>
      </w:r>
    </w:p>
    <w:p w14:paraId="14293822" w14:textId="77777777" w:rsidR="007A7C58" w:rsidRDefault="003E3BD6">
      <w:pPr>
        <w:pStyle w:val="Heading2"/>
      </w:pPr>
      <w:bookmarkStart w:id="2" w:name="_heading=h.13jc7um5zpib" w:colFirst="0" w:colLast="0"/>
      <w:bookmarkEnd w:id="2"/>
      <w:r>
        <w:t>2.1 Vision and Mission</w:t>
      </w:r>
    </w:p>
    <w:p w14:paraId="0C5B24BB" w14:textId="77777777" w:rsidR="007A7C58" w:rsidRDefault="003E3BD6">
      <w:r>
        <w:t>The strategic goal of Kit Keeper is to establish itself as the preferred shipping and storage option for UK college students. Its overarching goal is to transform student storage by offering a quick, low-cost and technologically advanced experience that makes transferring and storing personal goods easier. Aside from that, the goal is to give students contemporary storage alternatives that are customised to meet their own needs with an emphasis on simplicity, transparency and consistency.</w:t>
      </w:r>
    </w:p>
    <w:p w14:paraId="1F9CCC23" w14:textId="77777777" w:rsidR="007A7C58" w:rsidRDefault="003E3BD6">
      <w:pPr>
        <w:jc w:val="center"/>
      </w:pPr>
      <w:r>
        <w:rPr>
          <w:noProof/>
        </w:rPr>
        <w:drawing>
          <wp:inline distT="0" distB="0" distL="0" distR="0" wp14:anchorId="4B2EE66B" wp14:editId="614A6DB6">
            <wp:extent cx="5811583" cy="852253"/>
            <wp:effectExtent l="0" t="0" r="0" b="0"/>
            <wp:docPr id="206238281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811583" cy="852253"/>
                    </a:xfrm>
                    <a:prstGeom prst="rect">
                      <a:avLst/>
                    </a:prstGeom>
                    <a:ln/>
                  </pic:spPr>
                </pic:pic>
              </a:graphicData>
            </a:graphic>
          </wp:inline>
        </w:drawing>
      </w:r>
    </w:p>
    <w:p w14:paraId="5D502903" w14:textId="77777777" w:rsidR="007A7C58" w:rsidRDefault="003E3BD6">
      <w:pPr>
        <w:jc w:val="center"/>
        <w:rPr>
          <w:b/>
        </w:rPr>
      </w:pPr>
      <w:r>
        <w:rPr>
          <w:b/>
        </w:rPr>
        <w:t>Figure 3: Awards of Kit Keeper</w:t>
      </w:r>
    </w:p>
    <w:p w14:paraId="6742512C" w14:textId="77777777" w:rsidR="007A7C58" w:rsidRDefault="003E3BD6">
      <w:pPr>
        <w:jc w:val="center"/>
      </w:pPr>
      <w:r>
        <w:t>(Source: Kit Keeper Ltd, 2023)</w:t>
      </w:r>
    </w:p>
    <w:p w14:paraId="7630F333" w14:textId="77777777" w:rsidR="007A7C58" w:rsidRDefault="003E3BD6">
      <w:pPr>
        <w:pStyle w:val="Heading2"/>
      </w:pPr>
      <w:bookmarkStart w:id="3" w:name="_heading=h.1gefackcmqdr" w:colFirst="0" w:colLast="0"/>
      <w:bookmarkEnd w:id="3"/>
      <w:r>
        <w:t>2.2 Core Objectives</w:t>
      </w:r>
    </w:p>
    <w:p w14:paraId="4EEEF326" w14:textId="77777777" w:rsidR="007A7C58" w:rsidRDefault="003E3BD6">
      <w:r>
        <w:t xml:space="preserve">Kit Keeper's basic strategic goals are closely matched with its vision and mission. The primary goals are to become the market leader in the UK student storage sector, maintain higher </w:t>
      </w:r>
      <w:r>
        <w:lastRenderedPageBreak/>
        <w:t>service dependability through skilled logistics and digital platforms and consistently innovate to use technology to enhance the client experience along with sustainability. Growth is a primary objective with efforts to expand national reach and international shipping services.</w:t>
      </w:r>
    </w:p>
    <w:p w14:paraId="3FF2C9F4" w14:textId="77777777" w:rsidR="007A7C58" w:rsidRDefault="003E3BD6">
      <w:pPr>
        <w:pStyle w:val="Heading2"/>
      </w:pPr>
      <w:bookmarkStart w:id="4" w:name="_heading=h.ajvrejd5sthq" w:colFirst="0" w:colLast="0"/>
      <w:bookmarkEnd w:id="4"/>
      <w:r>
        <w:t>2.3 Strategic Aims and SME Characteristics</w:t>
      </w:r>
    </w:p>
    <w:p w14:paraId="603A649D" w14:textId="77777777" w:rsidR="007A7C58" w:rsidRDefault="003E3BD6">
      <w:r>
        <w:t xml:space="preserve">The company's strategic goals reflect Kit Keeper's unmatched agility, a characteristic of SME (small and medium sized organisations) that allows it to swiftly adapt to changing the economy and student expectations. Its unique focus on students creates a customised value offer that cultivates long-term customer loyalty. According to </w:t>
      </w:r>
      <w:proofErr w:type="spellStart"/>
      <w:r>
        <w:t>Tracxn</w:t>
      </w:r>
      <w:proofErr w:type="spellEnd"/>
      <w:r>
        <w:t xml:space="preserve"> Technologies Limited (2025), these characteristics enable Kit Keeper to offer customised solutions that are not comprehensible from bigger, less specialised rivals.</w:t>
      </w:r>
    </w:p>
    <w:p w14:paraId="3B32C61C" w14:textId="77777777" w:rsidR="007A7C58" w:rsidRDefault="003E3BD6">
      <w:pPr>
        <w:jc w:val="center"/>
      </w:pPr>
      <w:r>
        <w:rPr>
          <w:noProof/>
        </w:rPr>
        <w:drawing>
          <wp:inline distT="0" distB="0" distL="0" distR="0" wp14:anchorId="7F5FCCF5" wp14:editId="1946DE26">
            <wp:extent cx="3545496" cy="4534937"/>
            <wp:effectExtent l="0" t="0" r="0" b="0"/>
            <wp:docPr id="206238281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3545496" cy="4534937"/>
                    </a:xfrm>
                    <a:prstGeom prst="rect">
                      <a:avLst/>
                    </a:prstGeom>
                    <a:ln/>
                  </pic:spPr>
                </pic:pic>
              </a:graphicData>
            </a:graphic>
          </wp:inline>
        </w:drawing>
      </w:r>
    </w:p>
    <w:p w14:paraId="25E6E94E" w14:textId="77777777" w:rsidR="007A7C58" w:rsidRDefault="003E3BD6">
      <w:pPr>
        <w:jc w:val="center"/>
        <w:rPr>
          <w:b/>
        </w:rPr>
      </w:pPr>
      <w:r>
        <w:rPr>
          <w:b/>
        </w:rPr>
        <w:t>Figure 4: Competitors of Kit Keeper</w:t>
      </w:r>
    </w:p>
    <w:p w14:paraId="2691139A" w14:textId="77777777" w:rsidR="007A7C58" w:rsidRDefault="003E3BD6">
      <w:pPr>
        <w:jc w:val="center"/>
      </w:pPr>
      <w:r>
        <w:t xml:space="preserve">(Source: </w:t>
      </w:r>
      <w:proofErr w:type="spellStart"/>
      <w:r>
        <w:t>Tracxn</w:t>
      </w:r>
      <w:proofErr w:type="spellEnd"/>
      <w:r>
        <w:t xml:space="preserve"> Technologies Limited, 2025)</w:t>
      </w:r>
    </w:p>
    <w:p w14:paraId="26A9D29D" w14:textId="77777777" w:rsidR="007A7C58" w:rsidRDefault="003E3BD6">
      <w:pPr>
        <w:pStyle w:val="Heading1"/>
      </w:pPr>
      <w:bookmarkStart w:id="5" w:name="_heading=h.23zo2i72i71l" w:colFirst="0" w:colLast="0"/>
      <w:bookmarkEnd w:id="5"/>
      <w:r>
        <w:t>3.0 Environmental Scan and Competitive Positioning</w:t>
      </w:r>
    </w:p>
    <w:p w14:paraId="5C019871" w14:textId="77777777" w:rsidR="007A7C58" w:rsidRDefault="003E3BD6">
      <w:pPr>
        <w:pStyle w:val="Heading2"/>
      </w:pPr>
      <w:bookmarkStart w:id="6" w:name="_heading=h.1n49ezsrz5l6" w:colFirst="0" w:colLast="0"/>
      <w:bookmarkEnd w:id="6"/>
      <w:r>
        <w:t>3.1 Internal Analysis</w:t>
      </w:r>
    </w:p>
    <w:p w14:paraId="444204DC" w14:textId="77777777" w:rsidR="007A7C58" w:rsidRDefault="003E3BD6">
      <w:pPr>
        <w:pStyle w:val="Heading3"/>
      </w:pPr>
      <w:bookmarkStart w:id="7" w:name="_heading=h.1x0fr897t1lh" w:colFirst="0" w:colLast="0"/>
      <w:bookmarkEnd w:id="7"/>
      <w:r>
        <w:lastRenderedPageBreak/>
        <w:t>3.1.1 SWOT</w:t>
      </w:r>
    </w:p>
    <w:p w14:paraId="33C155A6" w14:textId="77777777" w:rsidR="007A7C58" w:rsidRDefault="003E3BD6">
      <w:r>
        <w:t>Kit Keeper’s internal strengths and weaknesses as well as the external opportunities and challenges it encounters as a small but dynamic SME may be systematically understood using the SWOT (Strengths, Weaknesses, Opportunities and challenges) framework.</w:t>
      </w:r>
    </w:p>
    <w:tbl>
      <w:tblPr>
        <w:tblStyle w:val="a"/>
        <w:tblW w:w="9070" w:type="dxa"/>
        <w:jc w:val="center"/>
        <w:tblBorders>
          <w:top w:val="single" w:sz="6" w:space="0" w:color="000000"/>
          <w:left w:val="single" w:sz="6" w:space="0" w:color="000000"/>
          <w:bottom w:val="single" w:sz="4" w:space="0" w:color="000000"/>
          <w:right w:val="single" w:sz="4" w:space="0" w:color="000000"/>
        </w:tblBorders>
        <w:tblLayout w:type="fixed"/>
        <w:tblLook w:val="0400" w:firstRow="0" w:lastRow="0" w:firstColumn="0" w:lastColumn="0" w:noHBand="0" w:noVBand="1"/>
      </w:tblPr>
      <w:tblGrid>
        <w:gridCol w:w="4533"/>
        <w:gridCol w:w="4537"/>
      </w:tblGrid>
      <w:tr w:rsidR="007A7C58" w14:paraId="365F5B65" w14:textId="77777777">
        <w:trPr>
          <w:trHeight w:val="534"/>
          <w:tblHeader/>
          <w:jc w:val="center"/>
        </w:trPr>
        <w:tc>
          <w:tcPr>
            <w:tcW w:w="4533" w:type="dxa"/>
            <w:tcBorders>
              <w:top w:val="single" w:sz="4" w:space="0" w:color="000000"/>
              <w:left w:val="single" w:sz="4" w:space="0" w:color="000000"/>
              <w:bottom w:val="single" w:sz="6" w:space="0" w:color="000000"/>
              <w:right w:val="single" w:sz="6" w:space="0" w:color="000000"/>
            </w:tcBorders>
            <w:shd w:val="clear" w:color="auto" w:fill="44546A"/>
            <w:tcMar>
              <w:top w:w="120" w:type="dxa"/>
              <w:left w:w="120" w:type="dxa"/>
              <w:bottom w:w="120" w:type="dxa"/>
              <w:right w:w="120" w:type="dxa"/>
            </w:tcMar>
            <w:vAlign w:val="center"/>
          </w:tcPr>
          <w:p w14:paraId="1AFF8019" w14:textId="77777777" w:rsidR="007A7C58" w:rsidRDefault="003E3BD6">
            <w:pPr>
              <w:spacing w:before="240"/>
              <w:jc w:val="center"/>
              <w:rPr>
                <w:b/>
                <w:color w:val="FFFFFF"/>
              </w:rPr>
            </w:pPr>
            <w:r>
              <w:rPr>
                <w:b/>
                <w:color w:val="FFFFFF"/>
              </w:rPr>
              <w:t>Strengths</w:t>
            </w:r>
          </w:p>
        </w:tc>
        <w:tc>
          <w:tcPr>
            <w:tcW w:w="4537" w:type="dxa"/>
            <w:tcBorders>
              <w:top w:val="single" w:sz="4" w:space="0" w:color="000000"/>
              <w:left w:val="single" w:sz="4" w:space="0" w:color="000000"/>
              <w:bottom w:val="single" w:sz="6" w:space="0" w:color="000000"/>
              <w:right w:val="single" w:sz="6" w:space="0" w:color="000000"/>
            </w:tcBorders>
            <w:shd w:val="clear" w:color="auto" w:fill="44546A"/>
            <w:tcMar>
              <w:top w:w="120" w:type="dxa"/>
              <w:left w:w="120" w:type="dxa"/>
              <w:bottom w:w="120" w:type="dxa"/>
              <w:right w:w="120" w:type="dxa"/>
            </w:tcMar>
            <w:vAlign w:val="center"/>
          </w:tcPr>
          <w:p w14:paraId="56E1FACC" w14:textId="77777777" w:rsidR="007A7C58" w:rsidRDefault="003E3BD6">
            <w:pPr>
              <w:spacing w:before="240"/>
              <w:jc w:val="center"/>
              <w:rPr>
                <w:b/>
                <w:color w:val="FFFFFF"/>
              </w:rPr>
            </w:pPr>
            <w:r>
              <w:rPr>
                <w:b/>
                <w:color w:val="FFFFFF"/>
              </w:rPr>
              <w:t>Weaknesses</w:t>
            </w:r>
          </w:p>
        </w:tc>
      </w:tr>
      <w:tr w:rsidR="007A7C58" w14:paraId="51DF6909" w14:textId="77777777">
        <w:trPr>
          <w:trHeight w:val="534"/>
          <w:jc w:val="center"/>
        </w:trPr>
        <w:tc>
          <w:tcPr>
            <w:tcW w:w="4533" w:type="dxa"/>
            <w:tcBorders>
              <w:top w:val="single" w:sz="4" w:space="0" w:color="000000"/>
              <w:left w:val="single" w:sz="4" w:space="0" w:color="000000"/>
              <w:bottom w:val="single" w:sz="6" w:space="0" w:color="000000"/>
              <w:right w:val="single" w:sz="6" w:space="0" w:color="000000"/>
            </w:tcBorders>
            <w:shd w:val="clear" w:color="auto" w:fill="FFC000"/>
            <w:tcMar>
              <w:top w:w="137" w:type="dxa"/>
              <w:left w:w="120" w:type="dxa"/>
              <w:bottom w:w="137" w:type="dxa"/>
              <w:right w:w="120" w:type="dxa"/>
            </w:tcMar>
            <w:vAlign w:val="center"/>
          </w:tcPr>
          <w:p w14:paraId="03421221" w14:textId="77777777" w:rsidR="007A7C58" w:rsidRDefault="003E3BD6">
            <w:pPr>
              <w:spacing w:before="240"/>
              <w:jc w:val="center"/>
            </w:pPr>
            <w:r>
              <w:t>Strong brand reputation within student market</w:t>
            </w:r>
          </w:p>
        </w:tc>
        <w:tc>
          <w:tcPr>
            <w:tcW w:w="4537" w:type="dxa"/>
            <w:tcBorders>
              <w:top w:val="single" w:sz="4" w:space="0" w:color="000000"/>
              <w:left w:val="single" w:sz="4" w:space="0" w:color="000000"/>
              <w:bottom w:val="single" w:sz="6" w:space="0" w:color="000000"/>
              <w:right w:val="single" w:sz="6" w:space="0" w:color="000000"/>
            </w:tcBorders>
            <w:shd w:val="clear" w:color="auto" w:fill="5B9BD5"/>
            <w:tcMar>
              <w:top w:w="137" w:type="dxa"/>
              <w:left w:w="120" w:type="dxa"/>
              <w:bottom w:w="137" w:type="dxa"/>
              <w:right w:w="120" w:type="dxa"/>
            </w:tcMar>
            <w:vAlign w:val="center"/>
          </w:tcPr>
          <w:p w14:paraId="18BE26B3" w14:textId="77777777" w:rsidR="007A7C58" w:rsidRDefault="003E3BD6">
            <w:pPr>
              <w:spacing w:before="240"/>
              <w:jc w:val="center"/>
            </w:pPr>
            <w:r>
              <w:t>Limited workforce (under 10 employees)</w:t>
            </w:r>
          </w:p>
        </w:tc>
      </w:tr>
      <w:tr w:rsidR="007A7C58" w14:paraId="62007E1D" w14:textId="77777777">
        <w:trPr>
          <w:trHeight w:val="916"/>
          <w:jc w:val="center"/>
        </w:trPr>
        <w:tc>
          <w:tcPr>
            <w:tcW w:w="4533" w:type="dxa"/>
            <w:tcBorders>
              <w:top w:val="single" w:sz="4" w:space="0" w:color="000000"/>
              <w:left w:val="single" w:sz="4" w:space="0" w:color="000000"/>
              <w:bottom w:val="single" w:sz="6" w:space="0" w:color="000000"/>
              <w:right w:val="single" w:sz="6" w:space="0" w:color="000000"/>
            </w:tcBorders>
            <w:shd w:val="clear" w:color="auto" w:fill="FFC000"/>
            <w:tcMar>
              <w:top w:w="137" w:type="dxa"/>
              <w:left w:w="120" w:type="dxa"/>
              <w:bottom w:w="137" w:type="dxa"/>
              <w:right w:w="120" w:type="dxa"/>
            </w:tcMar>
            <w:vAlign w:val="center"/>
          </w:tcPr>
          <w:p w14:paraId="02CD5E1B" w14:textId="77777777" w:rsidR="007A7C58" w:rsidRDefault="003E3BD6">
            <w:pPr>
              <w:spacing w:before="240"/>
              <w:jc w:val="center"/>
            </w:pPr>
            <w:r>
              <w:t>Advanced technological integration (online platform, inventory systems)</w:t>
            </w:r>
          </w:p>
        </w:tc>
        <w:tc>
          <w:tcPr>
            <w:tcW w:w="4537" w:type="dxa"/>
            <w:tcBorders>
              <w:top w:val="single" w:sz="4" w:space="0" w:color="000000"/>
              <w:left w:val="single" w:sz="4" w:space="0" w:color="000000"/>
              <w:bottom w:val="single" w:sz="6" w:space="0" w:color="000000"/>
              <w:right w:val="single" w:sz="6" w:space="0" w:color="000000"/>
            </w:tcBorders>
            <w:shd w:val="clear" w:color="auto" w:fill="5B9BD5"/>
            <w:tcMar>
              <w:top w:w="137" w:type="dxa"/>
              <w:left w:w="120" w:type="dxa"/>
              <w:bottom w:w="137" w:type="dxa"/>
              <w:right w:w="120" w:type="dxa"/>
            </w:tcMar>
            <w:vAlign w:val="center"/>
          </w:tcPr>
          <w:p w14:paraId="1B9FF180" w14:textId="77777777" w:rsidR="007A7C58" w:rsidRDefault="003E3BD6">
            <w:pPr>
              <w:spacing w:before="240"/>
              <w:jc w:val="center"/>
            </w:pPr>
            <w:r>
              <w:t>Funding limitations restricting rapid expansion</w:t>
            </w:r>
          </w:p>
        </w:tc>
      </w:tr>
      <w:tr w:rsidR="007A7C58" w14:paraId="1F98FBE1" w14:textId="77777777">
        <w:trPr>
          <w:trHeight w:val="916"/>
          <w:jc w:val="center"/>
        </w:trPr>
        <w:tc>
          <w:tcPr>
            <w:tcW w:w="4533" w:type="dxa"/>
            <w:tcBorders>
              <w:top w:val="single" w:sz="4" w:space="0" w:color="000000"/>
              <w:left w:val="single" w:sz="4" w:space="0" w:color="000000"/>
              <w:bottom w:val="single" w:sz="6" w:space="0" w:color="000000"/>
              <w:right w:val="single" w:sz="6" w:space="0" w:color="000000"/>
            </w:tcBorders>
            <w:shd w:val="clear" w:color="auto" w:fill="FFC000"/>
            <w:tcMar>
              <w:top w:w="137" w:type="dxa"/>
              <w:left w:w="120" w:type="dxa"/>
              <w:bottom w:w="137" w:type="dxa"/>
              <w:right w:w="120" w:type="dxa"/>
            </w:tcMar>
            <w:vAlign w:val="center"/>
          </w:tcPr>
          <w:p w14:paraId="47F2FB5F" w14:textId="77777777" w:rsidR="007A7C58" w:rsidRDefault="003E3BD6">
            <w:pPr>
              <w:spacing w:before="240"/>
              <w:jc w:val="center"/>
            </w:pPr>
            <w:r>
              <w:t>Established partnerships with universities and logistics providers</w:t>
            </w:r>
          </w:p>
        </w:tc>
        <w:tc>
          <w:tcPr>
            <w:tcW w:w="4537" w:type="dxa"/>
            <w:tcBorders>
              <w:top w:val="single" w:sz="4" w:space="0" w:color="000000"/>
              <w:left w:val="single" w:sz="4" w:space="0" w:color="000000"/>
              <w:bottom w:val="single" w:sz="6" w:space="0" w:color="000000"/>
              <w:right w:val="single" w:sz="6" w:space="0" w:color="000000"/>
            </w:tcBorders>
            <w:shd w:val="clear" w:color="auto" w:fill="5B9BD5"/>
            <w:tcMar>
              <w:top w:w="137" w:type="dxa"/>
              <w:left w:w="120" w:type="dxa"/>
              <w:bottom w:w="137" w:type="dxa"/>
              <w:right w:w="120" w:type="dxa"/>
            </w:tcMar>
            <w:vAlign w:val="center"/>
          </w:tcPr>
          <w:p w14:paraId="4FA24760" w14:textId="77777777" w:rsidR="007A7C58" w:rsidRDefault="003E3BD6">
            <w:pPr>
              <w:spacing w:before="240"/>
              <w:jc w:val="center"/>
            </w:pPr>
            <w:r>
              <w:t>Limited physical infrastructure compared to larger competitors</w:t>
            </w:r>
          </w:p>
        </w:tc>
      </w:tr>
      <w:tr w:rsidR="007A7C58" w14:paraId="68ECDA23" w14:textId="77777777">
        <w:trPr>
          <w:trHeight w:val="904"/>
          <w:jc w:val="center"/>
        </w:trPr>
        <w:tc>
          <w:tcPr>
            <w:tcW w:w="4533" w:type="dxa"/>
            <w:tcBorders>
              <w:top w:val="single" w:sz="4" w:space="0" w:color="000000"/>
              <w:left w:val="single" w:sz="4" w:space="0" w:color="000000"/>
              <w:bottom w:val="single" w:sz="6" w:space="0" w:color="000000"/>
              <w:right w:val="single" w:sz="6" w:space="0" w:color="000000"/>
            </w:tcBorders>
            <w:shd w:val="clear" w:color="auto" w:fill="FFC000"/>
            <w:tcMar>
              <w:top w:w="137" w:type="dxa"/>
              <w:left w:w="120" w:type="dxa"/>
              <w:bottom w:w="137" w:type="dxa"/>
              <w:right w:w="120" w:type="dxa"/>
            </w:tcMar>
            <w:vAlign w:val="center"/>
          </w:tcPr>
          <w:p w14:paraId="4B039D96" w14:textId="77777777" w:rsidR="007A7C58" w:rsidRDefault="003E3BD6">
            <w:pPr>
              <w:spacing w:before="240"/>
              <w:jc w:val="center"/>
            </w:pPr>
            <w:r>
              <w:t>Customer-centric service model with transparent pricing</w:t>
            </w:r>
          </w:p>
        </w:tc>
        <w:tc>
          <w:tcPr>
            <w:tcW w:w="4537" w:type="dxa"/>
            <w:tcBorders>
              <w:top w:val="single" w:sz="4" w:space="0" w:color="000000"/>
              <w:left w:val="single" w:sz="4" w:space="0" w:color="000000"/>
              <w:bottom w:val="single" w:sz="6" w:space="0" w:color="000000"/>
              <w:right w:val="single" w:sz="6" w:space="0" w:color="000000"/>
            </w:tcBorders>
            <w:shd w:val="clear" w:color="auto" w:fill="5B9BD5"/>
            <w:tcMar>
              <w:top w:w="137" w:type="dxa"/>
              <w:left w:w="120" w:type="dxa"/>
              <w:bottom w:w="137" w:type="dxa"/>
              <w:right w:w="120" w:type="dxa"/>
            </w:tcMar>
            <w:vAlign w:val="center"/>
          </w:tcPr>
          <w:p w14:paraId="64C15BD5" w14:textId="77777777" w:rsidR="007A7C58" w:rsidRDefault="003E3BD6">
            <w:pPr>
              <w:spacing w:before="240"/>
              <w:jc w:val="center"/>
            </w:pPr>
            <w:r>
              <w:t>Dependence on academic calendar with seasonal demand</w:t>
            </w:r>
          </w:p>
        </w:tc>
      </w:tr>
    </w:tbl>
    <w:p w14:paraId="61794FCC" w14:textId="77777777" w:rsidR="007A7C58" w:rsidRDefault="007A7C58">
      <w:pPr>
        <w:widowControl w:val="0"/>
        <w:pBdr>
          <w:top w:val="nil"/>
          <w:left w:val="nil"/>
          <w:bottom w:val="nil"/>
          <w:right w:val="nil"/>
          <w:between w:val="nil"/>
        </w:pBdr>
        <w:spacing w:after="0" w:line="276" w:lineRule="auto"/>
        <w:jc w:val="left"/>
      </w:pPr>
    </w:p>
    <w:tbl>
      <w:tblPr>
        <w:tblStyle w:val="a0"/>
        <w:tblW w:w="9084" w:type="dxa"/>
        <w:jc w:val="center"/>
        <w:tblBorders>
          <w:top w:val="single" w:sz="6" w:space="0" w:color="000000"/>
          <w:left w:val="single" w:sz="6" w:space="0" w:color="000000"/>
          <w:bottom w:val="single" w:sz="4" w:space="0" w:color="000000"/>
          <w:right w:val="single" w:sz="4" w:space="0" w:color="000000"/>
        </w:tblBorders>
        <w:tblLayout w:type="fixed"/>
        <w:tblLook w:val="0400" w:firstRow="0" w:lastRow="0" w:firstColumn="0" w:lastColumn="0" w:noHBand="0" w:noVBand="1"/>
      </w:tblPr>
      <w:tblGrid>
        <w:gridCol w:w="4533"/>
        <w:gridCol w:w="4551"/>
      </w:tblGrid>
      <w:tr w:rsidR="007A7C58" w14:paraId="01B28E92" w14:textId="77777777">
        <w:trPr>
          <w:trHeight w:val="549"/>
          <w:tblHeader/>
          <w:jc w:val="center"/>
        </w:trPr>
        <w:tc>
          <w:tcPr>
            <w:tcW w:w="4533" w:type="dxa"/>
            <w:tcBorders>
              <w:top w:val="single" w:sz="4" w:space="0" w:color="000000"/>
              <w:left w:val="single" w:sz="4" w:space="0" w:color="000000"/>
              <w:bottom w:val="single" w:sz="6" w:space="0" w:color="000000"/>
              <w:right w:val="single" w:sz="6" w:space="0" w:color="000000"/>
            </w:tcBorders>
            <w:shd w:val="clear" w:color="auto" w:fill="44546A"/>
            <w:tcMar>
              <w:top w:w="120" w:type="dxa"/>
              <w:left w:w="120" w:type="dxa"/>
              <w:bottom w:w="120" w:type="dxa"/>
              <w:right w:w="120" w:type="dxa"/>
            </w:tcMar>
            <w:vAlign w:val="center"/>
          </w:tcPr>
          <w:p w14:paraId="05F73235" w14:textId="77777777" w:rsidR="007A7C58" w:rsidRDefault="003E3BD6">
            <w:pPr>
              <w:spacing w:before="240"/>
              <w:jc w:val="center"/>
              <w:rPr>
                <w:b/>
                <w:color w:val="FFFFFF"/>
              </w:rPr>
            </w:pPr>
            <w:r>
              <w:rPr>
                <w:b/>
                <w:color w:val="FFFFFF"/>
              </w:rPr>
              <w:t>Opportunities</w:t>
            </w:r>
          </w:p>
        </w:tc>
        <w:tc>
          <w:tcPr>
            <w:tcW w:w="4551" w:type="dxa"/>
            <w:tcBorders>
              <w:top w:val="single" w:sz="4" w:space="0" w:color="000000"/>
              <w:left w:val="single" w:sz="4" w:space="0" w:color="000000"/>
              <w:bottom w:val="single" w:sz="6" w:space="0" w:color="000000"/>
              <w:right w:val="single" w:sz="6" w:space="0" w:color="000000"/>
            </w:tcBorders>
            <w:shd w:val="clear" w:color="auto" w:fill="44546A"/>
            <w:tcMar>
              <w:top w:w="120" w:type="dxa"/>
              <w:left w:w="120" w:type="dxa"/>
              <w:bottom w:w="120" w:type="dxa"/>
              <w:right w:w="120" w:type="dxa"/>
            </w:tcMar>
            <w:vAlign w:val="center"/>
          </w:tcPr>
          <w:p w14:paraId="774DE0B6" w14:textId="77777777" w:rsidR="007A7C58" w:rsidRDefault="003E3BD6">
            <w:pPr>
              <w:spacing w:before="240"/>
              <w:jc w:val="center"/>
              <w:rPr>
                <w:b/>
                <w:color w:val="FFFFFF"/>
              </w:rPr>
            </w:pPr>
            <w:r>
              <w:rPr>
                <w:b/>
                <w:color w:val="FFFFFF"/>
              </w:rPr>
              <w:t>Threats</w:t>
            </w:r>
          </w:p>
        </w:tc>
      </w:tr>
      <w:tr w:rsidR="007A7C58" w14:paraId="253E25B6" w14:textId="77777777">
        <w:trPr>
          <w:trHeight w:val="549"/>
          <w:jc w:val="center"/>
        </w:trPr>
        <w:tc>
          <w:tcPr>
            <w:tcW w:w="4533" w:type="dxa"/>
            <w:tcBorders>
              <w:top w:val="single" w:sz="4" w:space="0" w:color="000000"/>
              <w:left w:val="single" w:sz="4" w:space="0" w:color="000000"/>
              <w:bottom w:val="single" w:sz="6" w:space="0" w:color="000000"/>
              <w:right w:val="single" w:sz="6" w:space="0" w:color="000000"/>
            </w:tcBorders>
            <w:shd w:val="clear" w:color="auto" w:fill="70AD47"/>
            <w:tcMar>
              <w:top w:w="137" w:type="dxa"/>
              <w:left w:w="120" w:type="dxa"/>
              <w:bottom w:w="137" w:type="dxa"/>
              <w:right w:w="120" w:type="dxa"/>
            </w:tcMar>
            <w:vAlign w:val="center"/>
          </w:tcPr>
          <w:p w14:paraId="3A14329C" w14:textId="77777777" w:rsidR="007A7C58" w:rsidRDefault="003E3BD6">
            <w:pPr>
              <w:spacing w:before="240"/>
              <w:jc w:val="center"/>
            </w:pPr>
            <w:r>
              <w:t>Expansion into international student markets</w:t>
            </w:r>
          </w:p>
        </w:tc>
        <w:tc>
          <w:tcPr>
            <w:tcW w:w="4551" w:type="dxa"/>
            <w:tcBorders>
              <w:top w:val="single" w:sz="4" w:space="0" w:color="000000"/>
              <w:left w:val="single" w:sz="4" w:space="0" w:color="000000"/>
              <w:bottom w:val="single" w:sz="6" w:space="0" w:color="000000"/>
              <w:right w:val="single" w:sz="6" w:space="0" w:color="000000"/>
            </w:tcBorders>
            <w:shd w:val="clear" w:color="auto" w:fill="ED7D31"/>
            <w:tcMar>
              <w:top w:w="137" w:type="dxa"/>
              <w:left w:w="120" w:type="dxa"/>
              <w:bottom w:w="137" w:type="dxa"/>
              <w:right w:w="120" w:type="dxa"/>
            </w:tcMar>
            <w:vAlign w:val="center"/>
          </w:tcPr>
          <w:p w14:paraId="33E64DA9" w14:textId="77777777" w:rsidR="007A7C58" w:rsidRDefault="003E3BD6">
            <w:pPr>
              <w:spacing w:before="240"/>
              <w:jc w:val="center"/>
            </w:pPr>
            <w:r>
              <w:t>Increasing digital disruption and competitors</w:t>
            </w:r>
          </w:p>
        </w:tc>
      </w:tr>
      <w:tr w:rsidR="007A7C58" w14:paraId="5AA0A95A" w14:textId="77777777">
        <w:trPr>
          <w:trHeight w:val="549"/>
          <w:jc w:val="center"/>
        </w:trPr>
        <w:tc>
          <w:tcPr>
            <w:tcW w:w="4533" w:type="dxa"/>
            <w:tcBorders>
              <w:top w:val="single" w:sz="4" w:space="0" w:color="000000"/>
              <w:left w:val="single" w:sz="4" w:space="0" w:color="000000"/>
              <w:bottom w:val="single" w:sz="6" w:space="0" w:color="000000"/>
              <w:right w:val="single" w:sz="6" w:space="0" w:color="000000"/>
            </w:tcBorders>
            <w:shd w:val="clear" w:color="auto" w:fill="70AD47"/>
            <w:tcMar>
              <w:top w:w="137" w:type="dxa"/>
              <w:left w:w="120" w:type="dxa"/>
              <w:bottom w:w="137" w:type="dxa"/>
              <w:right w:w="120" w:type="dxa"/>
            </w:tcMar>
            <w:vAlign w:val="center"/>
          </w:tcPr>
          <w:p w14:paraId="5C397E5F" w14:textId="77777777" w:rsidR="007A7C58" w:rsidRDefault="003E3BD6">
            <w:pPr>
              <w:spacing w:before="240"/>
              <w:jc w:val="center"/>
            </w:pPr>
            <w:r>
              <w:t>Technological enhancements and automation</w:t>
            </w:r>
          </w:p>
        </w:tc>
        <w:tc>
          <w:tcPr>
            <w:tcW w:w="4551" w:type="dxa"/>
            <w:tcBorders>
              <w:top w:val="single" w:sz="4" w:space="0" w:color="000000"/>
              <w:left w:val="single" w:sz="4" w:space="0" w:color="000000"/>
              <w:bottom w:val="single" w:sz="6" w:space="0" w:color="000000"/>
              <w:right w:val="single" w:sz="6" w:space="0" w:color="000000"/>
            </w:tcBorders>
            <w:shd w:val="clear" w:color="auto" w:fill="ED7D31"/>
            <w:tcMar>
              <w:top w:w="137" w:type="dxa"/>
              <w:left w:w="120" w:type="dxa"/>
              <w:bottom w:w="137" w:type="dxa"/>
              <w:right w:w="120" w:type="dxa"/>
            </w:tcMar>
            <w:vAlign w:val="center"/>
          </w:tcPr>
          <w:p w14:paraId="24B1F8C0" w14:textId="77777777" w:rsidR="007A7C58" w:rsidRDefault="003E3BD6">
            <w:pPr>
              <w:spacing w:before="240"/>
              <w:jc w:val="center"/>
            </w:pPr>
            <w:r>
              <w:t>Entry of new competitors with lower prices</w:t>
            </w:r>
          </w:p>
        </w:tc>
      </w:tr>
      <w:tr w:rsidR="007A7C58" w14:paraId="1D904307" w14:textId="77777777">
        <w:trPr>
          <w:trHeight w:val="537"/>
          <w:jc w:val="center"/>
        </w:trPr>
        <w:tc>
          <w:tcPr>
            <w:tcW w:w="4533" w:type="dxa"/>
            <w:tcBorders>
              <w:top w:val="single" w:sz="4" w:space="0" w:color="000000"/>
              <w:left w:val="single" w:sz="4" w:space="0" w:color="000000"/>
              <w:bottom w:val="single" w:sz="6" w:space="0" w:color="000000"/>
              <w:right w:val="single" w:sz="6" w:space="0" w:color="000000"/>
            </w:tcBorders>
            <w:shd w:val="clear" w:color="auto" w:fill="70AD47"/>
            <w:tcMar>
              <w:top w:w="137" w:type="dxa"/>
              <w:left w:w="120" w:type="dxa"/>
              <w:bottom w:w="137" w:type="dxa"/>
              <w:right w:w="120" w:type="dxa"/>
            </w:tcMar>
            <w:vAlign w:val="center"/>
          </w:tcPr>
          <w:p w14:paraId="608DC619" w14:textId="77777777" w:rsidR="007A7C58" w:rsidRDefault="003E3BD6">
            <w:pPr>
              <w:spacing w:before="240"/>
              <w:jc w:val="center"/>
            </w:pPr>
            <w:r>
              <w:lastRenderedPageBreak/>
              <w:t>Rising demand for sustainable, eco-friendly services</w:t>
            </w:r>
          </w:p>
        </w:tc>
        <w:tc>
          <w:tcPr>
            <w:tcW w:w="4551" w:type="dxa"/>
            <w:tcBorders>
              <w:top w:val="single" w:sz="4" w:space="0" w:color="000000"/>
              <w:left w:val="single" w:sz="4" w:space="0" w:color="000000"/>
              <w:bottom w:val="single" w:sz="6" w:space="0" w:color="000000"/>
              <w:right w:val="single" w:sz="6" w:space="0" w:color="000000"/>
            </w:tcBorders>
            <w:shd w:val="clear" w:color="auto" w:fill="ED7D31"/>
            <w:tcMar>
              <w:top w:w="137" w:type="dxa"/>
              <w:left w:w="120" w:type="dxa"/>
              <w:bottom w:w="137" w:type="dxa"/>
              <w:right w:w="120" w:type="dxa"/>
            </w:tcMar>
            <w:vAlign w:val="center"/>
          </w:tcPr>
          <w:p w14:paraId="39F59635" w14:textId="77777777" w:rsidR="007A7C58" w:rsidRDefault="003E3BD6">
            <w:pPr>
              <w:spacing w:before="240"/>
              <w:jc w:val="center"/>
            </w:pPr>
            <w:r>
              <w:t>Potential Brexit-induced logistics and tariff challenges</w:t>
            </w:r>
          </w:p>
        </w:tc>
      </w:tr>
    </w:tbl>
    <w:p w14:paraId="426819DE" w14:textId="77777777" w:rsidR="007A7C58" w:rsidRDefault="003E3BD6">
      <w:pPr>
        <w:spacing w:before="240"/>
        <w:jc w:val="center"/>
      </w:pPr>
      <w:r>
        <w:t>(Sources: Created by Author)</w:t>
      </w:r>
    </w:p>
    <w:p w14:paraId="2EB52793" w14:textId="77777777" w:rsidR="007A7C58" w:rsidRDefault="003E3BD6">
      <w:r>
        <w:t>Kit Keeper's strong stakeholder relationships and technologically advanced platform are its main advantages as they facilitate the customer experience, logistics and service delivery. However, scalability and market entrance are hampered by a lack of capital and personnel.</w:t>
      </w:r>
    </w:p>
    <w:p w14:paraId="76BC08A4" w14:textId="77777777" w:rsidR="007A7C58" w:rsidRDefault="003E3BD6">
      <w:pPr>
        <w:pStyle w:val="Heading3"/>
      </w:pPr>
      <w:bookmarkStart w:id="8" w:name="_heading=h.5jwnqcj4l73e" w:colFirst="0" w:colLast="0"/>
      <w:bookmarkEnd w:id="8"/>
      <w:r>
        <w:t>3.1.2 Value Chain Analysis</w:t>
      </w:r>
    </w:p>
    <w:p w14:paraId="26A47E68" w14:textId="77777777" w:rsidR="007A7C58" w:rsidRDefault="003E3BD6">
      <w:r>
        <w:t>Kit Keeper’s value chain places a strong focus on technological advancements and service differentiation at every level with a particular emphasis on operational proficiency and customer expediency:</w:t>
      </w:r>
    </w:p>
    <w:p w14:paraId="0F9214F4" w14:textId="77777777" w:rsidR="007A7C58" w:rsidRDefault="003E3BD6">
      <w:pPr>
        <w:numPr>
          <w:ilvl w:val="0"/>
          <w:numId w:val="1"/>
        </w:numPr>
        <w:pBdr>
          <w:top w:val="nil"/>
          <w:left w:val="nil"/>
          <w:bottom w:val="nil"/>
          <w:right w:val="nil"/>
          <w:between w:val="nil"/>
        </w:pBdr>
        <w:rPr>
          <w:b/>
          <w:color w:val="000000"/>
        </w:rPr>
      </w:pPr>
      <w:r>
        <w:rPr>
          <w:b/>
          <w:color w:val="000000"/>
        </w:rPr>
        <w:t>Inbound Logistics</w:t>
      </w:r>
    </w:p>
    <w:p w14:paraId="723A9ED1" w14:textId="77777777" w:rsidR="007A7C58" w:rsidRDefault="003E3BD6">
      <w:pPr>
        <w:ind w:left="720"/>
      </w:pPr>
      <w:r>
        <w:t>Strategic partnerships with packaging suppliers and sustainable material providers confirm eco-friendly inputs.</w:t>
      </w:r>
    </w:p>
    <w:p w14:paraId="4DEBB162" w14:textId="77777777" w:rsidR="007A7C58" w:rsidRDefault="003E3BD6">
      <w:pPr>
        <w:numPr>
          <w:ilvl w:val="0"/>
          <w:numId w:val="1"/>
        </w:numPr>
        <w:pBdr>
          <w:top w:val="nil"/>
          <w:left w:val="nil"/>
          <w:bottom w:val="nil"/>
          <w:right w:val="nil"/>
          <w:between w:val="nil"/>
        </w:pBdr>
        <w:rPr>
          <w:b/>
          <w:color w:val="000000"/>
        </w:rPr>
      </w:pPr>
      <w:r>
        <w:rPr>
          <w:b/>
          <w:color w:val="000000"/>
        </w:rPr>
        <w:t>Operations</w:t>
      </w:r>
    </w:p>
    <w:p w14:paraId="6600E75F" w14:textId="77777777" w:rsidR="007A7C58" w:rsidRDefault="003E3BD6">
      <w:pPr>
        <w:ind w:left="720"/>
      </w:pPr>
      <w:r>
        <w:t>Technology-driven storage management and booking systems indorse precision in inventory and scheduling.</w:t>
      </w:r>
    </w:p>
    <w:p w14:paraId="4BB9217F" w14:textId="77777777" w:rsidR="007A7C58" w:rsidRDefault="003E3BD6">
      <w:pPr>
        <w:numPr>
          <w:ilvl w:val="0"/>
          <w:numId w:val="1"/>
        </w:numPr>
        <w:pBdr>
          <w:top w:val="nil"/>
          <w:left w:val="nil"/>
          <w:bottom w:val="nil"/>
          <w:right w:val="nil"/>
          <w:between w:val="nil"/>
        </w:pBdr>
        <w:rPr>
          <w:b/>
          <w:color w:val="000000"/>
        </w:rPr>
      </w:pPr>
      <w:r>
        <w:rPr>
          <w:b/>
          <w:color w:val="000000"/>
        </w:rPr>
        <w:t>Outbound Logistics</w:t>
      </w:r>
    </w:p>
    <w:p w14:paraId="1846D3E4" w14:textId="77777777" w:rsidR="007A7C58" w:rsidRDefault="003E3BD6">
      <w:pPr>
        <w:ind w:left="720"/>
      </w:pPr>
      <w:r>
        <w:t>Alliance with trusted logistics organisations safeguards reliable and timely collection and delivery across the nation.</w:t>
      </w:r>
    </w:p>
    <w:p w14:paraId="703B81A1" w14:textId="77777777" w:rsidR="007A7C58" w:rsidRDefault="003E3BD6">
      <w:pPr>
        <w:numPr>
          <w:ilvl w:val="0"/>
          <w:numId w:val="1"/>
        </w:numPr>
        <w:pBdr>
          <w:top w:val="nil"/>
          <w:left w:val="nil"/>
          <w:bottom w:val="nil"/>
          <w:right w:val="nil"/>
          <w:between w:val="nil"/>
        </w:pBdr>
        <w:rPr>
          <w:b/>
          <w:color w:val="000000"/>
        </w:rPr>
      </w:pPr>
      <w:r>
        <w:rPr>
          <w:b/>
          <w:color w:val="000000"/>
        </w:rPr>
        <w:t>Marketing and Sales</w:t>
      </w:r>
    </w:p>
    <w:p w14:paraId="35E8F958" w14:textId="77777777" w:rsidR="007A7C58" w:rsidRDefault="003E3BD6">
      <w:pPr>
        <w:ind w:left="720"/>
      </w:pPr>
      <w:r>
        <w:t>Targeted digital marketing on university campuses with referral programmes creates strong customer procurement.</w:t>
      </w:r>
    </w:p>
    <w:p w14:paraId="45B2888C" w14:textId="77777777" w:rsidR="007A7C58" w:rsidRDefault="003E3BD6">
      <w:pPr>
        <w:numPr>
          <w:ilvl w:val="0"/>
          <w:numId w:val="1"/>
        </w:numPr>
        <w:pBdr>
          <w:top w:val="nil"/>
          <w:left w:val="nil"/>
          <w:bottom w:val="nil"/>
          <w:right w:val="nil"/>
          <w:between w:val="nil"/>
        </w:pBdr>
        <w:rPr>
          <w:b/>
          <w:color w:val="000000"/>
        </w:rPr>
      </w:pPr>
      <w:r>
        <w:rPr>
          <w:b/>
          <w:color w:val="000000"/>
        </w:rPr>
        <w:t>Service</w:t>
      </w:r>
    </w:p>
    <w:p w14:paraId="6D2D4C0E" w14:textId="77777777" w:rsidR="007A7C58" w:rsidRDefault="003E3BD6">
      <w:pPr>
        <w:ind w:left="720"/>
      </w:pPr>
      <w:r>
        <w:t>Customer support centres and real-time tracking applications increase user satisfaction and retention.</w:t>
      </w:r>
    </w:p>
    <w:p w14:paraId="7DCBB62F" w14:textId="77777777" w:rsidR="007A7C58" w:rsidRDefault="003E3BD6">
      <w:r>
        <w:lastRenderedPageBreak/>
        <w:t>This combined value chain makes the most of customer value while upholding low operating costs, which proves seamless for SME agility and resource optimisation.</w:t>
      </w:r>
    </w:p>
    <w:p w14:paraId="0B192815" w14:textId="77777777" w:rsidR="007A7C58" w:rsidRDefault="003E3BD6">
      <w:pPr>
        <w:pStyle w:val="Heading2"/>
      </w:pPr>
      <w:bookmarkStart w:id="9" w:name="_heading=h.fa44sl5urxgu" w:colFirst="0" w:colLast="0"/>
      <w:bookmarkEnd w:id="9"/>
      <w:r>
        <w:t>3.2 External Analysis</w:t>
      </w:r>
    </w:p>
    <w:p w14:paraId="5F235C9B" w14:textId="77777777" w:rsidR="007A7C58" w:rsidRDefault="003E3BD6">
      <w:pPr>
        <w:pStyle w:val="Heading3"/>
      </w:pPr>
      <w:bookmarkStart w:id="10" w:name="_heading=h.iihc9an6qyhw" w:colFirst="0" w:colLast="0"/>
      <w:bookmarkEnd w:id="10"/>
      <w:r>
        <w:t>3.2 1 PESTEL Analysis</w:t>
      </w:r>
    </w:p>
    <w:tbl>
      <w:tblPr>
        <w:tblStyle w:val="a1"/>
        <w:tblW w:w="8843" w:type="dxa"/>
        <w:jc w:val="center"/>
        <w:tblBorders>
          <w:top w:val="single" w:sz="6" w:space="0" w:color="000000"/>
          <w:left w:val="single" w:sz="6" w:space="0" w:color="000000"/>
          <w:bottom w:val="single" w:sz="4" w:space="0" w:color="000000"/>
          <w:right w:val="single" w:sz="4" w:space="0" w:color="000000"/>
        </w:tblBorders>
        <w:tblLayout w:type="fixed"/>
        <w:tblLook w:val="0400" w:firstRow="0" w:lastRow="0" w:firstColumn="0" w:lastColumn="0" w:noHBand="0" w:noVBand="1"/>
      </w:tblPr>
      <w:tblGrid>
        <w:gridCol w:w="1834"/>
        <w:gridCol w:w="7009"/>
      </w:tblGrid>
      <w:tr w:rsidR="007A7C58" w14:paraId="5D196CF6" w14:textId="77777777">
        <w:trPr>
          <w:trHeight w:val="541"/>
          <w:tblHeader/>
          <w:jc w:val="center"/>
        </w:trPr>
        <w:tc>
          <w:tcPr>
            <w:tcW w:w="1834" w:type="dxa"/>
            <w:tcBorders>
              <w:top w:val="single" w:sz="4" w:space="0" w:color="000000"/>
              <w:left w:val="single" w:sz="4" w:space="0" w:color="000000"/>
              <w:bottom w:val="single" w:sz="6" w:space="0" w:color="000000"/>
              <w:right w:val="single" w:sz="6" w:space="0" w:color="000000"/>
            </w:tcBorders>
            <w:shd w:val="clear" w:color="auto" w:fill="7F7F7F"/>
            <w:tcMar>
              <w:top w:w="120" w:type="dxa"/>
              <w:left w:w="120" w:type="dxa"/>
              <w:bottom w:w="120" w:type="dxa"/>
              <w:right w:w="120" w:type="dxa"/>
            </w:tcMar>
            <w:vAlign w:val="center"/>
          </w:tcPr>
          <w:p w14:paraId="6AA4A23D" w14:textId="77777777" w:rsidR="007A7C58" w:rsidRDefault="003E3BD6">
            <w:pPr>
              <w:spacing w:before="240"/>
              <w:jc w:val="center"/>
              <w:rPr>
                <w:b/>
                <w:color w:val="FFFFFF"/>
              </w:rPr>
            </w:pPr>
            <w:r>
              <w:rPr>
                <w:b/>
                <w:color w:val="FFFFFF"/>
              </w:rPr>
              <w:t>Factor</w:t>
            </w:r>
          </w:p>
        </w:tc>
        <w:tc>
          <w:tcPr>
            <w:tcW w:w="7009" w:type="dxa"/>
            <w:tcBorders>
              <w:top w:val="single" w:sz="4" w:space="0" w:color="000000"/>
              <w:left w:val="single" w:sz="4" w:space="0" w:color="000000"/>
              <w:bottom w:val="single" w:sz="6" w:space="0" w:color="000000"/>
              <w:right w:val="single" w:sz="6" w:space="0" w:color="000000"/>
            </w:tcBorders>
            <w:shd w:val="clear" w:color="auto" w:fill="7F7F7F"/>
            <w:tcMar>
              <w:top w:w="120" w:type="dxa"/>
              <w:left w:w="120" w:type="dxa"/>
              <w:bottom w:w="120" w:type="dxa"/>
              <w:right w:w="120" w:type="dxa"/>
            </w:tcMar>
            <w:vAlign w:val="center"/>
          </w:tcPr>
          <w:p w14:paraId="48F0E8A2" w14:textId="77777777" w:rsidR="007A7C58" w:rsidRDefault="003E3BD6">
            <w:pPr>
              <w:spacing w:before="240"/>
              <w:jc w:val="center"/>
              <w:rPr>
                <w:b/>
                <w:color w:val="FFFFFF"/>
              </w:rPr>
            </w:pPr>
            <w:r>
              <w:rPr>
                <w:b/>
                <w:color w:val="FFFFFF"/>
              </w:rPr>
              <w:t>Impact on Kit Keeper UK</w:t>
            </w:r>
          </w:p>
        </w:tc>
      </w:tr>
      <w:tr w:rsidR="007A7C58" w14:paraId="53576A9D" w14:textId="77777777">
        <w:trPr>
          <w:trHeight w:val="914"/>
          <w:jc w:val="center"/>
        </w:trPr>
        <w:tc>
          <w:tcPr>
            <w:tcW w:w="1834" w:type="dxa"/>
            <w:tcBorders>
              <w:top w:val="single" w:sz="4" w:space="0" w:color="000000"/>
              <w:left w:val="single" w:sz="4" w:space="0" w:color="000000"/>
              <w:bottom w:val="single" w:sz="6" w:space="0" w:color="000000"/>
              <w:right w:val="single" w:sz="6" w:space="0" w:color="000000"/>
            </w:tcBorders>
            <w:shd w:val="clear" w:color="auto" w:fill="8960E6"/>
            <w:tcMar>
              <w:top w:w="137" w:type="dxa"/>
              <w:left w:w="120" w:type="dxa"/>
              <w:bottom w:w="137" w:type="dxa"/>
              <w:right w:w="120" w:type="dxa"/>
            </w:tcMar>
            <w:vAlign w:val="center"/>
          </w:tcPr>
          <w:p w14:paraId="3375F89A" w14:textId="77777777" w:rsidR="007A7C58" w:rsidRDefault="003E3BD6">
            <w:pPr>
              <w:spacing w:before="240"/>
              <w:jc w:val="center"/>
            </w:pPr>
            <w:r>
              <w:rPr>
                <w:b/>
                <w:color w:val="FFFFFF"/>
              </w:rPr>
              <w:t>Political</w:t>
            </w:r>
          </w:p>
        </w:tc>
        <w:tc>
          <w:tcPr>
            <w:tcW w:w="7009" w:type="dxa"/>
            <w:tcBorders>
              <w:top w:val="single" w:sz="4" w:space="0" w:color="000000"/>
              <w:left w:val="single" w:sz="4" w:space="0" w:color="000000"/>
              <w:bottom w:val="single" w:sz="6" w:space="0" w:color="000000"/>
              <w:right w:val="single" w:sz="6" w:space="0" w:color="000000"/>
            </w:tcBorders>
            <w:shd w:val="clear" w:color="auto" w:fill="AE92EE"/>
            <w:tcMar>
              <w:top w:w="137" w:type="dxa"/>
              <w:left w:w="120" w:type="dxa"/>
              <w:bottom w:w="137" w:type="dxa"/>
              <w:right w:w="120" w:type="dxa"/>
            </w:tcMar>
            <w:vAlign w:val="center"/>
          </w:tcPr>
          <w:p w14:paraId="4FCF009D" w14:textId="77777777" w:rsidR="007A7C58" w:rsidRDefault="003E3BD6">
            <w:pPr>
              <w:spacing w:before="240"/>
            </w:pPr>
            <w:r>
              <w:t>Brexit has introduced complexities to logistics and cross-border shipping, increasing costs and necessitating adaptive supply chain strategies.</w:t>
            </w:r>
          </w:p>
        </w:tc>
      </w:tr>
      <w:tr w:rsidR="007A7C58" w14:paraId="3FF1DA56" w14:textId="77777777">
        <w:trPr>
          <w:trHeight w:val="1311"/>
          <w:jc w:val="center"/>
        </w:trPr>
        <w:tc>
          <w:tcPr>
            <w:tcW w:w="1834" w:type="dxa"/>
            <w:tcBorders>
              <w:top w:val="single" w:sz="4" w:space="0" w:color="000000"/>
              <w:left w:val="single" w:sz="4" w:space="0" w:color="000000"/>
              <w:bottom w:val="single" w:sz="6" w:space="0" w:color="000000"/>
              <w:right w:val="single" w:sz="6" w:space="0" w:color="000000"/>
            </w:tcBorders>
            <w:shd w:val="clear" w:color="auto" w:fill="ED7D31"/>
            <w:tcMar>
              <w:top w:w="137" w:type="dxa"/>
              <w:left w:w="120" w:type="dxa"/>
              <w:bottom w:w="137" w:type="dxa"/>
              <w:right w:w="120" w:type="dxa"/>
            </w:tcMar>
            <w:vAlign w:val="center"/>
          </w:tcPr>
          <w:p w14:paraId="5BA1F23C" w14:textId="77777777" w:rsidR="007A7C58" w:rsidRDefault="003E3BD6">
            <w:pPr>
              <w:spacing w:before="240"/>
              <w:jc w:val="center"/>
              <w:rPr>
                <w:color w:val="FFFFFF"/>
              </w:rPr>
            </w:pPr>
            <w:r>
              <w:rPr>
                <w:b/>
                <w:color w:val="FFFFFF"/>
              </w:rPr>
              <w:t>Economic</w:t>
            </w:r>
          </w:p>
        </w:tc>
        <w:tc>
          <w:tcPr>
            <w:tcW w:w="7009" w:type="dxa"/>
            <w:tcBorders>
              <w:top w:val="single" w:sz="4" w:space="0" w:color="000000"/>
              <w:left w:val="single" w:sz="4" w:space="0" w:color="000000"/>
              <w:bottom w:val="single" w:sz="6" w:space="0" w:color="000000"/>
              <w:right w:val="single" w:sz="6" w:space="0" w:color="000000"/>
            </w:tcBorders>
            <w:shd w:val="clear" w:color="auto" w:fill="F4B083"/>
            <w:tcMar>
              <w:top w:w="137" w:type="dxa"/>
              <w:left w:w="120" w:type="dxa"/>
              <w:bottom w:w="137" w:type="dxa"/>
              <w:right w:w="120" w:type="dxa"/>
            </w:tcMar>
            <w:vAlign w:val="center"/>
          </w:tcPr>
          <w:p w14:paraId="6ED6C288" w14:textId="77777777" w:rsidR="007A7C58" w:rsidRDefault="003E3BD6">
            <w:pPr>
              <w:spacing w:before="240"/>
            </w:pPr>
            <w:r>
              <w:t>Increased student spending power and growth of the SME sector support demand for specialised storage services; yet economic fluctuations can affect affordability for price-sensitive students.</w:t>
            </w:r>
          </w:p>
        </w:tc>
      </w:tr>
      <w:tr w:rsidR="007A7C58" w14:paraId="7F87E5FA" w14:textId="77777777">
        <w:trPr>
          <w:trHeight w:val="926"/>
          <w:jc w:val="center"/>
        </w:trPr>
        <w:tc>
          <w:tcPr>
            <w:tcW w:w="1834" w:type="dxa"/>
            <w:tcBorders>
              <w:top w:val="single" w:sz="4" w:space="0" w:color="000000"/>
              <w:left w:val="single" w:sz="4" w:space="0" w:color="000000"/>
              <w:bottom w:val="single" w:sz="6" w:space="0" w:color="000000"/>
              <w:right w:val="single" w:sz="6" w:space="0" w:color="000000"/>
            </w:tcBorders>
            <w:shd w:val="clear" w:color="auto" w:fill="5B9BD5"/>
            <w:tcMar>
              <w:top w:w="137" w:type="dxa"/>
              <w:left w:w="120" w:type="dxa"/>
              <w:bottom w:w="137" w:type="dxa"/>
              <w:right w:w="120" w:type="dxa"/>
            </w:tcMar>
            <w:vAlign w:val="center"/>
          </w:tcPr>
          <w:p w14:paraId="3C51E3B1" w14:textId="77777777" w:rsidR="007A7C58" w:rsidRDefault="003E3BD6">
            <w:pPr>
              <w:spacing w:before="240"/>
              <w:jc w:val="center"/>
              <w:rPr>
                <w:color w:val="FFFFFF"/>
              </w:rPr>
            </w:pPr>
            <w:r>
              <w:rPr>
                <w:b/>
                <w:color w:val="FFFFFF"/>
              </w:rPr>
              <w:t>Social</w:t>
            </w:r>
          </w:p>
        </w:tc>
        <w:tc>
          <w:tcPr>
            <w:tcW w:w="7009" w:type="dxa"/>
            <w:tcBorders>
              <w:top w:val="single" w:sz="4" w:space="0" w:color="000000"/>
              <w:left w:val="single" w:sz="4" w:space="0" w:color="000000"/>
              <w:bottom w:val="single" w:sz="6" w:space="0" w:color="000000"/>
              <w:right w:val="single" w:sz="6" w:space="0" w:color="000000"/>
            </w:tcBorders>
            <w:shd w:val="clear" w:color="auto" w:fill="9CC3E5"/>
            <w:tcMar>
              <w:top w:w="137" w:type="dxa"/>
              <w:left w:w="120" w:type="dxa"/>
              <w:bottom w:w="137" w:type="dxa"/>
              <w:right w:w="120" w:type="dxa"/>
            </w:tcMar>
            <w:vAlign w:val="center"/>
          </w:tcPr>
          <w:p w14:paraId="2C98DDF6" w14:textId="77777777" w:rsidR="007A7C58" w:rsidRDefault="003E3BD6">
            <w:pPr>
              <w:spacing w:before="240"/>
            </w:pPr>
            <w:r>
              <w:t>Rising student mobility and international enrolments widen the target market while sustainability concerns shape consumer preferences toward green services.</w:t>
            </w:r>
          </w:p>
        </w:tc>
      </w:tr>
      <w:tr w:rsidR="007A7C58" w14:paraId="3957FDAB" w14:textId="77777777">
        <w:trPr>
          <w:trHeight w:val="914"/>
          <w:jc w:val="center"/>
        </w:trPr>
        <w:tc>
          <w:tcPr>
            <w:tcW w:w="1834" w:type="dxa"/>
            <w:tcBorders>
              <w:top w:val="single" w:sz="4" w:space="0" w:color="000000"/>
              <w:left w:val="single" w:sz="4" w:space="0" w:color="000000"/>
              <w:bottom w:val="single" w:sz="6" w:space="0" w:color="000000"/>
              <w:right w:val="single" w:sz="6" w:space="0" w:color="000000"/>
            </w:tcBorders>
            <w:shd w:val="clear" w:color="auto" w:fill="AEAAAA"/>
            <w:tcMar>
              <w:top w:w="137" w:type="dxa"/>
              <w:left w:w="120" w:type="dxa"/>
              <w:bottom w:w="137" w:type="dxa"/>
              <w:right w:w="120" w:type="dxa"/>
            </w:tcMar>
            <w:vAlign w:val="center"/>
          </w:tcPr>
          <w:p w14:paraId="1B8EB031" w14:textId="77777777" w:rsidR="007A7C58" w:rsidRDefault="003E3BD6">
            <w:pPr>
              <w:spacing w:before="240"/>
              <w:jc w:val="center"/>
              <w:rPr>
                <w:color w:val="FFFFFF"/>
              </w:rPr>
            </w:pPr>
            <w:r>
              <w:rPr>
                <w:b/>
                <w:color w:val="FFFFFF"/>
              </w:rPr>
              <w:t>Technological</w:t>
            </w:r>
          </w:p>
        </w:tc>
        <w:tc>
          <w:tcPr>
            <w:tcW w:w="7009" w:type="dxa"/>
            <w:tcBorders>
              <w:top w:val="single" w:sz="4" w:space="0" w:color="000000"/>
              <w:left w:val="single" w:sz="4" w:space="0" w:color="000000"/>
              <w:bottom w:val="single" w:sz="6" w:space="0" w:color="000000"/>
              <w:right w:val="single" w:sz="6" w:space="0" w:color="000000"/>
            </w:tcBorders>
            <w:shd w:val="clear" w:color="auto" w:fill="D0CECE"/>
            <w:tcMar>
              <w:top w:w="137" w:type="dxa"/>
              <w:left w:w="120" w:type="dxa"/>
              <w:bottom w:w="137" w:type="dxa"/>
              <w:right w:w="120" w:type="dxa"/>
            </w:tcMar>
            <w:vAlign w:val="center"/>
          </w:tcPr>
          <w:p w14:paraId="4C0A11C1" w14:textId="77777777" w:rsidR="007A7C58" w:rsidRDefault="003E3BD6">
            <w:pPr>
              <w:spacing w:before="240"/>
            </w:pPr>
            <w:r>
              <w:t>Advances in platform technology and automation offer opportunities for service innovation and operational efficiency. Continuous upgrades are necessary to stay competitive.</w:t>
            </w:r>
          </w:p>
        </w:tc>
      </w:tr>
      <w:tr w:rsidR="007A7C58" w14:paraId="3170675D" w14:textId="77777777">
        <w:trPr>
          <w:trHeight w:val="1299"/>
          <w:jc w:val="center"/>
        </w:trPr>
        <w:tc>
          <w:tcPr>
            <w:tcW w:w="1834" w:type="dxa"/>
            <w:tcBorders>
              <w:top w:val="single" w:sz="4" w:space="0" w:color="000000"/>
              <w:left w:val="single" w:sz="4" w:space="0" w:color="000000"/>
              <w:bottom w:val="single" w:sz="6" w:space="0" w:color="000000"/>
              <w:right w:val="single" w:sz="6" w:space="0" w:color="000000"/>
            </w:tcBorders>
            <w:shd w:val="clear" w:color="auto" w:fill="70AD47"/>
            <w:tcMar>
              <w:top w:w="137" w:type="dxa"/>
              <w:left w:w="120" w:type="dxa"/>
              <w:bottom w:w="137" w:type="dxa"/>
              <w:right w:w="120" w:type="dxa"/>
            </w:tcMar>
            <w:vAlign w:val="center"/>
          </w:tcPr>
          <w:p w14:paraId="7FAB59D1" w14:textId="77777777" w:rsidR="007A7C58" w:rsidRDefault="003E3BD6">
            <w:pPr>
              <w:spacing w:before="240"/>
              <w:jc w:val="center"/>
              <w:rPr>
                <w:color w:val="FFFFFF"/>
              </w:rPr>
            </w:pPr>
            <w:r>
              <w:rPr>
                <w:b/>
                <w:color w:val="FFFFFF"/>
              </w:rPr>
              <w:t>Environmental</w:t>
            </w:r>
          </w:p>
        </w:tc>
        <w:tc>
          <w:tcPr>
            <w:tcW w:w="7009" w:type="dxa"/>
            <w:tcBorders>
              <w:top w:val="single" w:sz="4" w:space="0" w:color="000000"/>
              <w:left w:val="single" w:sz="4" w:space="0" w:color="000000"/>
              <w:bottom w:val="single" w:sz="6" w:space="0" w:color="000000"/>
              <w:right w:val="single" w:sz="6" w:space="0" w:color="000000"/>
            </w:tcBorders>
            <w:shd w:val="clear" w:color="auto" w:fill="A8D08D"/>
            <w:tcMar>
              <w:top w:w="137" w:type="dxa"/>
              <w:left w:w="120" w:type="dxa"/>
              <w:bottom w:w="137" w:type="dxa"/>
              <w:right w:w="120" w:type="dxa"/>
            </w:tcMar>
            <w:vAlign w:val="center"/>
          </w:tcPr>
          <w:p w14:paraId="6BA198D0" w14:textId="77777777" w:rsidR="007A7C58" w:rsidRDefault="003E3BD6">
            <w:pPr>
              <w:spacing w:before="240"/>
            </w:pPr>
            <w:r>
              <w:t>Consumer demand for sustainable packaging and eco-friendly transportation compels Kit Keeper to embed green logistics into its operations to meet regulatory and ethical standards.</w:t>
            </w:r>
          </w:p>
        </w:tc>
      </w:tr>
      <w:tr w:rsidR="007A7C58" w14:paraId="1271C20E" w14:textId="77777777">
        <w:trPr>
          <w:trHeight w:val="926"/>
          <w:jc w:val="center"/>
        </w:trPr>
        <w:tc>
          <w:tcPr>
            <w:tcW w:w="1834" w:type="dxa"/>
            <w:tcBorders>
              <w:top w:val="single" w:sz="4" w:space="0" w:color="000000"/>
              <w:left w:val="single" w:sz="4" w:space="0" w:color="000000"/>
              <w:bottom w:val="single" w:sz="6" w:space="0" w:color="000000"/>
              <w:right w:val="single" w:sz="6" w:space="0" w:color="000000"/>
            </w:tcBorders>
            <w:shd w:val="clear" w:color="auto" w:fill="FFC000"/>
            <w:tcMar>
              <w:top w:w="137" w:type="dxa"/>
              <w:left w:w="120" w:type="dxa"/>
              <w:bottom w:w="137" w:type="dxa"/>
              <w:right w:w="120" w:type="dxa"/>
            </w:tcMar>
            <w:vAlign w:val="center"/>
          </w:tcPr>
          <w:p w14:paraId="403A21BE" w14:textId="77777777" w:rsidR="007A7C58" w:rsidRDefault="003E3BD6">
            <w:pPr>
              <w:spacing w:before="240"/>
              <w:jc w:val="center"/>
              <w:rPr>
                <w:color w:val="FFFFFF"/>
              </w:rPr>
            </w:pPr>
            <w:r>
              <w:rPr>
                <w:b/>
                <w:color w:val="FFFFFF"/>
              </w:rPr>
              <w:t>Legal</w:t>
            </w:r>
          </w:p>
        </w:tc>
        <w:tc>
          <w:tcPr>
            <w:tcW w:w="7009" w:type="dxa"/>
            <w:tcBorders>
              <w:top w:val="single" w:sz="4" w:space="0" w:color="000000"/>
              <w:left w:val="single" w:sz="4" w:space="0" w:color="000000"/>
              <w:bottom w:val="single" w:sz="6" w:space="0" w:color="000000"/>
              <w:right w:val="single" w:sz="6" w:space="0" w:color="000000"/>
            </w:tcBorders>
            <w:shd w:val="clear" w:color="auto" w:fill="FFD965"/>
            <w:tcMar>
              <w:top w:w="137" w:type="dxa"/>
              <w:left w:w="120" w:type="dxa"/>
              <w:bottom w:w="137" w:type="dxa"/>
              <w:right w:w="120" w:type="dxa"/>
            </w:tcMar>
            <w:vAlign w:val="center"/>
          </w:tcPr>
          <w:p w14:paraId="112D5064" w14:textId="77777777" w:rsidR="007A7C58" w:rsidRDefault="003E3BD6">
            <w:pPr>
              <w:spacing w:before="240"/>
            </w:pPr>
            <w:r>
              <w:t>Compliance with data protection laws (such as GDPR) and SME-specific regulations is vital to maintain trust and avoid legal penalties.</w:t>
            </w:r>
          </w:p>
        </w:tc>
      </w:tr>
    </w:tbl>
    <w:p w14:paraId="312E4FA1" w14:textId="77777777" w:rsidR="007A7C58" w:rsidRDefault="003E3BD6">
      <w:pPr>
        <w:spacing w:before="240"/>
        <w:jc w:val="center"/>
      </w:pPr>
      <w:r>
        <w:lastRenderedPageBreak/>
        <w:t>(Sources: Created by Author)</w:t>
      </w:r>
    </w:p>
    <w:p w14:paraId="58B1A456" w14:textId="77777777" w:rsidR="007A7C58" w:rsidRDefault="003E3BD6">
      <w:r>
        <w:t>Kit Keeper functions in a progressively multifaceted environment where agility and active adaptation to these external factors are indispensable for continued advancement and competitiveness. This environmental scan highlights that Kit Keeper’s competitive place is based on its technological authority, customer-oriented service and sustainable practices while its strategic planning emphasises the significance of taking lead of political-economic shifts and social and technological drifts.</w:t>
      </w:r>
    </w:p>
    <w:p w14:paraId="31FA50B5" w14:textId="77777777" w:rsidR="007A7C58" w:rsidRDefault="003E3BD6">
      <w:pPr>
        <w:pStyle w:val="Heading1"/>
      </w:pPr>
      <w:bookmarkStart w:id="11" w:name="_heading=h.fz0qa153u5g" w:colFirst="0" w:colLast="0"/>
      <w:bookmarkEnd w:id="11"/>
      <w:r>
        <w:t>4.0 Strategic Growth Choices and Sustainable Strategy</w:t>
      </w:r>
    </w:p>
    <w:p w14:paraId="6AF704F2" w14:textId="77777777" w:rsidR="007A7C58" w:rsidRDefault="003E3BD6">
      <w:pPr>
        <w:pStyle w:val="Heading2"/>
      </w:pPr>
      <w:bookmarkStart w:id="12" w:name="_heading=h.sfoh0bqhxhgl" w:colFirst="0" w:colLast="0"/>
      <w:bookmarkEnd w:id="12"/>
      <w:r>
        <w:t>4.1 Accessible SME Growth Strategies</w:t>
      </w:r>
    </w:p>
    <w:p w14:paraId="2185A5E9" w14:textId="77777777" w:rsidR="007A7C58" w:rsidRDefault="003E3BD6">
      <w:r>
        <w:t>Kit Keeper can implement four primary growth strategies relevant to UK SMEs:</w:t>
      </w:r>
    </w:p>
    <w:p w14:paraId="1F3AA800" w14:textId="77777777" w:rsidR="007A7C58" w:rsidRDefault="003E3BD6">
      <w:pPr>
        <w:numPr>
          <w:ilvl w:val="0"/>
          <w:numId w:val="1"/>
        </w:numPr>
        <w:pBdr>
          <w:top w:val="nil"/>
          <w:left w:val="nil"/>
          <w:bottom w:val="nil"/>
          <w:right w:val="nil"/>
          <w:between w:val="nil"/>
        </w:pBdr>
        <w:rPr>
          <w:b/>
          <w:color w:val="000000"/>
        </w:rPr>
      </w:pPr>
      <w:r>
        <w:rPr>
          <w:b/>
          <w:color w:val="000000"/>
        </w:rPr>
        <w:t>Market Penetration</w:t>
      </w:r>
    </w:p>
    <w:p w14:paraId="284BBF00" w14:textId="77777777" w:rsidR="007A7C58" w:rsidRDefault="003E3BD6">
      <w:pPr>
        <w:ind w:left="720"/>
      </w:pPr>
      <w:r>
        <w:t>Growing market share in prevailing student storage markets by developing marketing exertions and refining customer retention.</w:t>
      </w:r>
    </w:p>
    <w:p w14:paraId="7CEB22E9" w14:textId="77777777" w:rsidR="007A7C58" w:rsidRDefault="003E3BD6">
      <w:pPr>
        <w:numPr>
          <w:ilvl w:val="0"/>
          <w:numId w:val="1"/>
        </w:numPr>
        <w:pBdr>
          <w:top w:val="nil"/>
          <w:left w:val="nil"/>
          <w:bottom w:val="nil"/>
          <w:right w:val="nil"/>
          <w:between w:val="nil"/>
        </w:pBdr>
        <w:rPr>
          <w:b/>
          <w:color w:val="000000"/>
        </w:rPr>
      </w:pPr>
      <w:r>
        <w:rPr>
          <w:b/>
          <w:color w:val="000000"/>
        </w:rPr>
        <w:t>Market Development</w:t>
      </w:r>
    </w:p>
    <w:p w14:paraId="63A74286" w14:textId="77777777" w:rsidR="007A7C58" w:rsidRDefault="003E3BD6">
      <w:pPr>
        <w:ind w:left="720"/>
      </w:pPr>
      <w:r>
        <w:t>Intensifying geographically into unexploited UK cities and possibly targeting the international student population.</w:t>
      </w:r>
    </w:p>
    <w:p w14:paraId="22AFEE84" w14:textId="77777777" w:rsidR="007A7C58" w:rsidRDefault="003E3BD6">
      <w:pPr>
        <w:numPr>
          <w:ilvl w:val="0"/>
          <w:numId w:val="1"/>
        </w:numPr>
        <w:pBdr>
          <w:top w:val="nil"/>
          <w:left w:val="nil"/>
          <w:bottom w:val="nil"/>
          <w:right w:val="nil"/>
          <w:between w:val="nil"/>
        </w:pBdr>
        <w:rPr>
          <w:b/>
          <w:color w:val="000000"/>
        </w:rPr>
      </w:pPr>
      <w:r>
        <w:rPr>
          <w:b/>
          <w:color w:val="000000"/>
        </w:rPr>
        <w:t>Service Diversification</w:t>
      </w:r>
    </w:p>
    <w:p w14:paraId="525DFDA4" w14:textId="77777777" w:rsidR="007A7C58" w:rsidRDefault="003E3BD6">
      <w:pPr>
        <w:ind w:left="720"/>
      </w:pPr>
      <w:r>
        <w:t>Introduction of new logistics-oriented services like digital inventory management tools or distinct shipping options.</w:t>
      </w:r>
    </w:p>
    <w:p w14:paraId="7AD8658D" w14:textId="77777777" w:rsidR="007A7C58" w:rsidRDefault="003E3BD6">
      <w:pPr>
        <w:numPr>
          <w:ilvl w:val="0"/>
          <w:numId w:val="1"/>
        </w:numPr>
        <w:pBdr>
          <w:top w:val="nil"/>
          <w:left w:val="nil"/>
          <w:bottom w:val="nil"/>
          <w:right w:val="nil"/>
          <w:between w:val="nil"/>
        </w:pBdr>
        <w:rPr>
          <w:b/>
          <w:color w:val="000000"/>
        </w:rPr>
      </w:pPr>
      <w:r>
        <w:rPr>
          <w:b/>
          <w:color w:val="000000"/>
        </w:rPr>
        <w:t>Geographic Expansion</w:t>
      </w:r>
    </w:p>
    <w:p w14:paraId="5ABCBE6B" w14:textId="77777777" w:rsidR="007A7C58" w:rsidRDefault="003E3BD6">
      <w:pPr>
        <w:ind w:left="720"/>
      </w:pPr>
      <w:r>
        <w:t>Leveraging partnerships to enlarge services beyond the UK taking benefit of international student movement inclinations.</w:t>
      </w:r>
    </w:p>
    <w:p w14:paraId="15E1F3CD" w14:textId="77777777" w:rsidR="007A7C58" w:rsidRDefault="003E3BD6">
      <w:pPr>
        <w:pStyle w:val="Heading2"/>
      </w:pPr>
      <w:bookmarkStart w:id="13" w:name="_heading=h.ehfyu69q3f0y" w:colFirst="0" w:colLast="0"/>
      <w:bookmarkEnd w:id="13"/>
      <w:r>
        <w:t>4.2 Strategic Growth Models</w:t>
      </w:r>
    </w:p>
    <w:p w14:paraId="1852CCA7" w14:textId="77777777" w:rsidR="007A7C58" w:rsidRDefault="003E3BD6">
      <w:pPr>
        <w:pStyle w:val="Heading3"/>
      </w:pPr>
      <w:bookmarkStart w:id="14" w:name="_heading=h.ak6fsk28ir2o" w:colFirst="0" w:colLast="0"/>
      <w:bookmarkEnd w:id="14"/>
      <w:r>
        <w:t>4.2.1 Porter’s Generic Strategies</w:t>
      </w:r>
    </w:p>
    <w:p w14:paraId="3B81D997" w14:textId="77777777" w:rsidR="007A7C58" w:rsidRDefault="003E3BD6">
      <w:r>
        <w:t>Generic Strategy Model of Porter, Kit Keeper’s current advantage lies in its focus strategy, which targets an explicit segment, the student market, with differentiation through technology-driven, customer-centric service. Continuous differentiation by improving constancy and pioneering service offerings supports leading market position, as evident from Figure 5.</w:t>
      </w:r>
    </w:p>
    <w:p w14:paraId="7F855529" w14:textId="77777777" w:rsidR="007A7C58" w:rsidRDefault="003E3BD6">
      <w:pPr>
        <w:jc w:val="center"/>
      </w:pPr>
      <w:r>
        <w:rPr>
          <w:noProof/>
        </w:rPr>
        <w:lastRenderedPageBreak/>
        <w:drawing>
          <wp:inline distT="0" distB="0" distL="0" distR="0" wp14:anchorId="4EC5171E" wp14:editId="7A14C664">
            <wp:extent cx="5731510" cy="5988050"/>
            <wp:effectExtent l="0" t="0" r="0" b="0"/>
            <wp:docPr id="206238282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5731510" cy="5988050"/>
                    </a:xfrm>
                    <a:prstGeom prst="rect">
                      <a:avLst/>
                    </a:prstGeom>
                    <a:ln/>
                  </pic:spPr>
                </pic:pic>
              </a:graphicData>
            </a:graphic>
          </wp:inline>
        </w:drawing>
      </w:r>
    </w:p>
    <w:p w14:paraId="392107E5" w14:textId="77777777" w:rsidR="007A7C58" w:rsidRDefault="003E3BD6">
      <w:pPr>
        <w:jc w:val="center"/>
        <w:rPr>
          <w:b/>
        </w:rPr>
      </w:pPr>
      <w:r>
        <w:rPr>
          <w:b/>
        </w:rPr>
        <w:t>Figure 5: Porter's Generic Strategy Model</w:t>
      </w:r>
    </w:p>
    <w:p w14:paraId="4338BBBA" w14:textId="77777777" w:rsidR="007A7C58" w:rsidRDefault="003E3BD6">
      <w:pPr>
        <w:jc w:val="center"/>
      </w:pPr>
      <w:r>
        <w:t>(Source: Created by Author)</w:t>
      </w:r>
    </w:p>
    <w:p w14:paraId="728698BF" w14:textId="77777777" w:rsidR="007A7C58" w:rsidRDefault="003E3BD6">
      <w:pPr>
        <w:pStyle w:val="Heading3"/>
      </w:pPr>
      <w:bookmarkStart w:id="15" w:name="_heading=h.l9tyz04kvyu" w:colFirst="0" w:colLast="0"/>
      <w:bookmarkEnd w:id="15"/>
      <w:r>
        <w:t>4.2.2 Ansoff Matrix Application</w:t>
      </w:r>
    </w:p>
    <w:tbl>
      <w:tblPr>
        <w:tblStyle w:val="a2"/>
        <w:tblW w:w="8877" w:type="dxa"/>
        <w:jc w:val="center"/>
        <w:tblBorders>
          <w:top w:val="single" w:sz="6" w:space="0" w:color="000000"/>
          <w:left w:val="single" w:sz="6" w:space="0" w:color="000000"/>
          <w:bottom w:val="single" w:sz="4" w:space="0" w:color="000000"/>
          <w:right w:val="single" w:sz="4" w:space="0" w:color="000000"/>
        </w:tblBorders>
        <w:tblLayout w:type="fixed"/>
        <w:tblLook w:val="0400" w:firstRow="0" w:lastRow="0" w:firstColumn="0" w:lastColumn="0" w:noHBand="0" w:noVBand="1"/>
      </w:tblPr>
      <w:tblGrid>
        <w:gridCol w:w="2321"/>
        <w:gridCol w:w="2841"/>
        <w:gridCol w:w="3715"/>
      </w:tblGrid>
      <w:tr w:rsidR="007A7C58" w14:paraId="6C9CA130" w14:textId="77777777">
        <w:trPr>
          <w:trHeight w:val="556"/>
          <w:tblHeader/>
          <w:jc w:val="center"/>
        </w:trPr>
        <w:tc>
          <w:tcPr>
            <w:tcW w:w="2321" w:type="dxa"/>
            <w:tcBorders>
              <w:top w:val="single" w:sz="4" w:space="0" w:color="000000"/>
              <w:left w:val="single" w:sz="4" w:space="0" w:color="000000"/>
              <w:bottom w:val="single" w:sz="6" w:space="0" w:color="000000"/>
              <w:right w:val="single" w:sz="6" w:space="0" w:color="000000"/>
            </w:tcBorders>
            <w:shd w:val="clear" w:color="auto" w:fill="4472C4"/>
            <w:tcMar>
              <w:top w:w="120" w:type="dxa"/>
              <w:left w:w="120" w:type="dxa"/>
              <w:bottom w:w="120" w:type="dxa"/>
              <w:right w:w="120" w:type="dxa"/>
            </w:tcMar>
            <w:vAlign w:val="center"/>
          </w:tcPr>
          <w:p w14:paraId="309ED0D9" w14:textId="77777777" w:rsidR="007A7C58" w:rsidRDefault="003E3BD6">
            <w:pPr>
              <w:spacing w:before="240"/>
              <w:jc w:val="center"/>
              <w:rPr>
                <w:b/>
                <w:color w:val="FFFFFF"/>
              </w:rPr>
            </w:pPr>
            <w:r>
              <w:rPr>
                <w:b/>
                <w:color w:val="FFFFFF"/>
              </w:rPr>
              <w:lastRenderedPageBreak/>
              <w:t>Strategy</w:t>
            </w:r>
          </w:p>
        </w:tc>
        <w:tc>
          <w:tcPr>
            <w:tcW w:w="2841" w:type="dxa"/>
            <w:tcBorders>
              <w:top w:val="single" w:sz="4" w:space="0" w:color="000000"/>
              <w:left w:val="single" w:sz="4" w:space="0" w:color="000000"/>
              <w:bottom w:val="single" w:sz="6" w:space="0" w:color="000000"/>
              <w:right w:val="single" w:sz="6" w:space="0" w:color="000000"/>
            </w:tcBorders>
            <w:shd w:val="clear" w:color="auto" w:fill="4472C4"/>
            <w:tcMar>
              <w:top w:w="120" w:type="dxa"/>
              <w:left w:w="120" w:type="dxa"/>
              <w:bottom w:w="120" w:type="dxa"/>
              <w:right w:w="120" w:type="dxa"/>
            </w:tcMar>
            <w:vAlign w:val="center"/>
          </w:tcPr>
          <w:p w14:paraId="57BED93E" w14:textId="77777777" w:rsidR="007A7C58" w:rsidRDefault="003E3BD6">
            <w:pPr>
              <w:spacing w:before="240"/>
              <w:jc w:val="center"/>
              <w:rPr>
                <w:b/>
                <w:color w:val="FFFFFF"/>
              </w:rPr>
            </w:pPr>
            <w:r>
              <w:rPr>
                <w:b/>
                <w:color w:val="FFFFFF"/>
              </w:rPr>
              <w:t>Description</w:t>
            </w:r>
          </w:p>
        </w:tc>
        <w:tc>
          <w:tcPr>
            <w:tcW w:w="3715" w:type="dxa"/>
            <w:tcBorders>
              <w:top w:val="single" w:sz="4" w:space="0" w:color="000000"/>
              <w:left w:val="single" w:sz="4" w:space="0" w:color="000000"/>
              <w:bottom w:val="single" w:sz="6" w:space="0" w:color="000000"/>
              <w:right w:val="single" w:sz="6" w:space="0" w:color="000000"/>
            </w:tcBorders>
            <w:shd w:val="clear" w:color="auto" w:fill="4472C4"/>
            <w:tcMar>
              <w:top w:w="120" w:type="dxa"/>
              <w:left w:w="120" w:type="dxa"/>
              <w:bottom w:w="120" w:type="dxa"/>
              <w:right w:w="120" w:type="dxa"/>
            </w:tcMar>
            <w:vAlign w:val="center"/>
          </w:tcPr>
          <w:p w14:paraId="4FA0F325" w14:textId="77777777" w:rsidR="007A7C58" w:rsidRDefault="003E3BD6">
            <w:pPr>
              <w:spacing w:before="240"/>
              <w:jc w:val="center"/>
              <w:rPr>
                <w:b/>
                <w:color w:val="FFFFFF"/>
              </w:rPr>
            </w:pPr>
            <w:r>
              <w:rPr>
                <w:b/>
                <w:color w:val="FFFFFF"/>
              </w:rPr>
              <w:t>Fit for Kit Keeper UK</w:t>
            </w:r>
          </w:p>
        </w:tc>
      </w:tr>
      <w:tr w:rsidR="007A7C58" w14:paraId="4A1E3ECC" w14:textId="77777777">
        <w:trPr>
          <w:trHeight w:val="952"/>
          <w:jc w:val="center"/>
        </w:trPr>
        <w:tc>
          <w:tcPr>
            <w:tcW w:w="2321" w:type="dxa"/>
            <w:tcBorders>
              <w:top w:val="single" w:sz="4" w:space="0" w:color="000000"/>
              <w:left w:val="single" w:sz="4" w:space="0" w:color="000000"/>
              <w:bottom w:val="single" w:sz="6" w:space="0" w:color="000000"/>
              <w:right w:val="single" w:sz="6" w:space="0" w:color="000000"/>
            </w:tcBorders>
            <w:shd w:val="clear" w:color="auto" w:fill="ED7D31"/>
            <w:tcMar>
              <w:top w:w="137" w:type="dxa"/>
              <w:left w:w="120" w:type="dxa"/>
              <w:bottom w:w="137" w:type="dxa"/>
              <w:right w:w="120" w:type="dxa"/>
            </w:tcMar>
            <w:vAlign w:val="center"/>
          </w:tcPr>
          <w:p w14:paraId="4FE0AAF8" w14:textId="77777777" w:rsidR="007A7C58" w:rsidRDefault="003E3BD6">
            <w:pPr>
              <w:spacing w:before="240"/>
              <w:jc w:val="center"/>
              <w:rPr>
                <w:b/>
                <w:color w:val="FFFFFF"/>
              </w:rPr>
            </w:pPr>
            <w:r>
              <w:rPr>
                <w:b/>
                <w:color w:val="FFFFFF"/>
              </w:rPr>
              <w:t>Market Penetration</w:t>
            </w:r>
          </w:p>
        </w:tc>
        <w:tc>
          <w:tcPr>
            <w:tcW w:w="2841" w:type="dxa"/>
            <w:tcBorders>
              <w:top w:val="single" w:sz="4" w:space="0" w:color="000000"/>
              <w:left w:val="single" w:sz="4" w:space="0" w:color="000000"/>
              <w:bottom w:val="single" w:sz="6" w:space="0" w:color="000000"/>
              <w:right w:val="single" w:sz="6" w:space="0" w:color="000000"/>
            </w:tcBorders>
            <w:shd w:val="clear" w:color="auto" w:fill="A8D08D"/>
            <w:tcMar>
              <w:top w:w="137" w:type="dxa"/>
              <w:left w:w="120" w:type="dxa"/>
              <w:bottom w:w="137" w:type="dxa"/>
              <w:right w:w="120" w:type="dxa"/>
            </w:tcMar>
            <w:vAlign w:val="center"/>
          </w:tcPr>
          <w:p w14:paraId="790BC1BC" w14:textId="77777777" w:rsidR="007A7C58" w:rsidRDefault="003E3BD6">
            <w:pPr>
              <w:spacing w:before="240"/>
            </w:pPr>
            <w:r>
              <w:t>Increasing share in existing markets</w:t>
            </w:r>
          </w:p>
        </w:tc>
        <w:tc>
          <w:tcPr>
            <w:tcW w:w="3715" w:type="dxa"/>
            <w:tcBorders>
              <w:top w:val="single" w:sz="4" w:space="0" w:color="000000"/>
              <w:left w:val="single" w:sz="4" w:space="0" w:color="000000"/>
              <w:bottom w:val="single" w:sz="6" w:space="0" w:color="000000"/>
              <w:right w:val="single" w:sz="6" w:space="0" w:color="000000"/>
            </w:tcBorders>
            <w:shd w:val="clear" w:color="auto" w:fill="FFD965"/>
            <w:tcMar>
              <w:top w:w="137" w:type="dxa"/>
              <w:left w:w="120" w:type="dxa"/>
              <w:bottom w:w="137" w:type="dxa"/>
              <w:right w:w="120" w:type="dxa"/>
            </w:tcMar>
            <w:vAlign w:val="center"/>
          </w:tcPr>
          <w:p w14:paraId="53143ABD" w14:textId="77777777" w:rsidR="007A7C58" w:rsidRDefault="003E3BD6">
            <w:pPr>
              <w:spacing w:before="240"/>
            </w:pPr>
            <w:r>
              <w:t>Strengthening brand loyalty and marketing campaigns in current student markets</w:t>
            </w:r>
          </w:p>
        </w:tc>
      </w:tr>
      <w:tr w:rsidR="007A7C58" w14:paraId="78AE32AC" w14:textId="77777777">
        <w:trPr>
          <w:trHeight w:val="952"/>
          <w:jc w:val="center"/>
        </w:trPr>
        <w:tc>
          <w:tcPr>
            <w:tcW w:w="2321" w:type="dxa"/>
            <w:tcBorders>
              <w:top w:val="single" w:sz="4" w:space="0" w:color="000000"/>
              <w:left w:val="single" w:sz="4" w:space="0" w:color="000000"/>
              <w:bottom w:val="single" w:sz="6" w:space="0" w:color="000000"/>
              <w:right w:val="single" w:sz="6" w:space="0" w:color="000000"/>
            </w:tcBorders>
            <w:shd w:val="clear" w:color="auto" w:fill="ED7D31"/>
            <w:tcMar>
              <w:top w:w="137" w:type="dxa"/>
              <w:left w:w="120" w:type="dxa"/>
              <w:bottom w:w="137" w:type="dxa"/>
              <w:right w:w="120" w:type="dxa"/>
            </w:tcMar>
            <w:vAlign w:val="center"/>
          </w:tcPr>
          <w:p w14:paraId="055C05A9" w14:textId="77777777" w:rsidR="007A7C58" w:rsidRDefault="003E3BD6">
            <w:pPr>
              <w:spacing w:before="240"/>
              <w:jc w:val="center"/>
              <w:rPr>
                <w:b/>
                <w:color w:val="FFFFFF"/>
              </w:rPr>
            </w:pPr>
            <w:r>
              <w:rPr>
                <w:b/>
                <w:color w:val="FFFFFF"/>
              </w:rPr>
              <w:t>Market Development</w:t>
            </w:r>
          </w:p>
        </w:tc>
        <w:tc>
          <w:tcPr>
            <w:tcW w:w="2841" w:type="dxa"/>
            <w:tcBorders>
              <w:top w:val="single" w:sz="4" w:space="0" w:color="000000"/>
              <w:left w:val="single" w:sz="4" w:space="0" w:color="000000"/>
              <w:bottom w:val="single" w:sz="6" w:space="0" w:color="000000"/>
              <w:right w:val="single" w:sz="6" w:space="0" w:color="000000"/>
            </w:tcBorders>
            <w:shd w:val="clear" w:color="auto" w:fill="A8D08D"/>
            <w:tcMar>
              <w:top w:w="137" w:type="dxa"/>
              <w:left w:w="120" w:type="dxa"/>
              <w:bottom w:w="137" w:type="dxa"/>
              <w:right w:w="120" w:type="dxa"/>
            </w:tcMar>
            <w:vAlign w:val="center"/>
          </w:tcPr>
          <w:p w14:paraId="3651C6F0" w14:textId="77777777" w:rsidR="007A7C58" w:rsidRDefault="003E3BD6">
            <w:pPr>
              <w:spacing w:before="240"/>
            </w:pPr>
            <w:r>
              <w:t>Moving into new geographical or demographic markets</w:t>
            </w:r>
          </w:p>
        </w:tc>
        <w:tc>
          <w:tcPr>
            <w:tcW w:w="3715" w:type="dxa"/>
            <w:tcBorders>
              <w:top w:val="single" w:sz="4" w:space="0" w:color="000000"/>
              <w:left w:val="single" w:sz="4" w:space="0" w:color="000000"/>
              <w:bottom w:val="single" w:sz="6" w:space="0" w:color="000000"/>
              <w:right w:val="single" w:sz="6" w:space="0" w:color="000000"/>
            </w:tcBorders>
            <w:shd w:val="clear" w:color="auto" w:fill="FFD965"/>
            <w:tcMar>
              <w:top w:w="137" w:type="dxa"/>
              <w:left w:w="120" w:type="dxa"/>
              <w:bottom w:w="137" w:type="dxa"/>
              <w:right w:w="120" w:type="dxa"/>
            </w:tcMar>
            <w:vAlign w:val="center"/>
          </w:tcPr>
          <w:p w14:paraId="7A49B4E8" w14:textId="77777777" w:rsidR="007A7C58" w:rsidRDefault="003E3BD6">
            <w:pPr>
              <w:spacing w:before="240"/>
            </w:pPr>
            <w:r>
              <w:t>Expansion to new UK cities and international student segments</w:t>
            </w:r>
          </w:p>
        </w:tc>
      </w:tr>
      <w:tr w:rsidR="007A7C58" w14:paraId="1D526436" w14:textId="77777777">
        <w:trPr>
          <w:trHeight w:val="939"/>
          <w:jc w:val="center"/>
        </w:trPr>
        <w:tc>
          <w:tcPr>
            <w:tcW w:w="2321" w:type="dxa"/>
            <w:tcBorders>
              <w:top w:val="single" w:sz="4" w:space="0" w:color="000000"/>
              <w:left w:val="single" w:sz="4" w:space="0" w:color="000000"/>
              <w:bottom w:val="single" w:sz="6" w:space="0" w:color="000000"/>
              <w:right w:val="single" w:sz="6" w:space="0" w:color="000000"/>
            </w:tcBorders>
            <w:shd w:val="clear" w:color="auto" w:fill="ED7D31"/>
            <w:tcMar>
              <w:top w:w="137" w:type="dxa"/>
              <w:left w:w="120" w:type="dxa"/>
              <w:bottom w:w="137" w:type="dxa"/>
              <w:right w:w="120" w:type="dxa"/>
            </w:tcMar>
            <w:vAlign w:val="center"/>
          </w:tcPr>
          <w:p w14:paraId="4DDADD34" w14:textId="77777777" w:rsidR="007A7C58" w:rsidRDefault="003E3BD6">
            <w:pPr>
              <w:spacing w:before="240"/>
              <w:jc w:val="center"/>
              <w:rPr>
                <w:b/>
                <w:color w:val="FFFFFF"/>
              </w:rPr>
            </w:pPr>
            <w:r>
              <w:rPr>
                <w:b/>
                <w:color w:val="FFFFFF"/>
              </w:rPr>
              <w:t>Product or Service Development</w:t>
            </w:r>
          </w:p>
        </w:tc>
        <w:tc>
          <w:tcPr>
            <w:tcW w:w="2841" w:type="dxa"/>
            <w:tcBorders>
              <w:top w:val="single" w:sz="4" w:space="0" w:color="000000"/>
              <w:left w:val="single" w:sz="4" w:space="0" w:color="000000"/>
              <w:bottom w:val="single" w:sz="6" w:space="0" w:color="000000"/>
              <w:right w:val="single" w:sz="6" w:space="0" w:color="000000"/>
            </w:tcBorders>
            <w:shd w:val="clear" w:color="auto" w:fill="A8D08D"/>
            <w:tcMar>
              <w:top w:w="137" w:type="dxa"/>
              <w:left w:w="120" w:type="dxa"/>
              <w:bottom w:w="137" w:type="dxa"/>
              <w:right w:w="120" w:type="dxa"/>
            </w:tcMar>
            <w:vAlign w:val="center"/>
          </w:tcPr>
          <w:p w14:paraId="6065034F" w14:textId="77777777" w:rsidR="007A7C58" w:rsidRDefault="003E3BD6">
            <w:pPr>
              <w:spacing w:before="240"/>
            </w:pPr>
            <w:r>
              <w:t>Introducing new or improved services</w:t>
            </w:r>
          </w:p>
        </w:tc>
        <w:tc>
          <w:tcPr>
            <w:tcW w:w="3715" w:type="dxa"/>
            <w:tcBorders>
              <w:top w:val="single" w:sz="4" w:space="0" w:color="000000"/>
              <w:left w:val="single" w:sz="4" w:space="0" w:color="000000"/>
              <w:bottom w:val="single" w:sz="6" w:space="0" w:color="000000"/>
              <w:right w:val="single" w:sz="6" w:space="0" w:color="000000"/>
            </w:tcBorders>
            <w:shd w:val="clear" w:color="auto" w:fill="FFD965"/>
            <w:tcMar>
              <w:top w:w="137" w:type="dxa"/>
              <w:left w:w="120" w:type="dxa"/>
              <w:bottom w:w="137" w:type="dxa"/>
              <w:right w:w="120" w:type="dxa"/>
            </w:tcMar>
            <w:vAlign w:val="center"/>
          </w:tcPr>
          <w:p w14:paraId="1E3CCB5D" w14:textId="77777777" w:rsidR="007A7C58" w:rsidRDefault="003E3BD6">
            <w:pPr>
              <w:spacing w:before="240"/>
            </w:pPr>
            <w:r>
              <w:t>Launching digital tools, green logistics partnerships to enhance value proposition</w:t>
            </w:r>
          </w:p>
        </w:tc>
      </w:tr>
    </w:tbl>
    <w:p w14:paraId="7CDB32A5" w14:textId="77777777" w:rsidR="007A7C58" w:rsidRDefault="003E3BD6">
      <w:pPr>
        <w:spacing w:before="240"/>
        <w:jc w:val="center"/>
      </w:pPr>
      <w:r>
        <w:t>(Source: Created by Author)</w:t>
      </w:r>
    </w:p>
    <w:p w14:paraId="0032EBA4" w14:textId="77777777" w:rsidR="007A7C58" w:rsidRDefault="003E3BD6">
      <w:pPr>
        <w:pStyle w:val="Heading2"/>
      </w:pPr>
      <w:bookmarkStart w:id="16" w:name="_heading=h.cub819kit80s" w:colFirst="0" w:colLast="0"/>
      <w:bookmarkEnd w:id="16"/>
      <w:r>
        <w:t>4.3 Proposed New Growth Strategy</w:t>
      </w:r>
    </w:p>
    <w:p w14:paraId="3C86A442" w14:textId="77777777" w:rsidR="007A7C58" w:rsidRDefault="003E3BD6">
      <w:r>
        <w:t>Digital service diversification along with geographic extension is endorsed. As recommended by Budějovice (n.d.), Kit Keeper may provide an updated digital platform with integrated shipping alternatives, augmented reality packing help and real time inventory tracking. This innovation enhances customer satisfaction while accelerating shipping and storage. Additionally, Kit Keeper could discover that it can grow globally by concentrating on university markets with high student exchange rates in the USA and Eu</w:t>
      </w:r>
      <w:r>
        <w:t>rope. Agreements with territorial logistics businesses make it possible to enter the market operationally while upholding environmental goals.</w:t>
      </w:r>
    </w:p>
    <w:p w14:paraId="14583BDE" w14:textId="77777777" w:rsidR="007A7C58" w:rsidRDefault="003E3BD6">
      <w:pPr>
        <w:pStyle w:val="Heading2"/>
      </w:pPr>
      <w:bookmarkStart w:id="17" w:name="_heading=h.ch3m1p3kqsj0" w:colFirst="0" w:colLast="0"/>
      <w:bookmarkEnd w:id="17"/>
      <w:r>
        <w:t>4.4 Sustainability of the Strategy</w:t>
      </w:r>
    </w:p>
    <w:p w14:paraId="17FD64E1" w14:textId="77777777" w:rsidR="007A7C58" w:rsidRDefault="003E3BD6">
      <w:r>
        <w:t>This growth strategy supports long-term sustainability by guaranteeing:</w:t>
      </w:r>
    </w:p>
    <w:p w14:paraId="6F13CC2D" w14:textId="77777777" w:rsidR="007A7C58" w:rsidRDefault="003E3BD6">
      <w:pPr>
        <w:numPr>
          <w:ilvl w:val="0"/>
          <w:numId w:val="2"/>
        </w:numPr>
        <w:pBdr>
          <w:top w:val="nil"/>
          <w:left w:val="nil"/>
          <w:bottom w:val="nil"/>
          <w:right w:val="nil"/>
          <w:between w:val="nil"/>
        </w:pBdr>
        <w:rPr>
          <w:b/>
          <w:color w:val="000000"/>
        </w:rPr>
      </w:pPr>
      <w:r>
        <w:rPr>
          <w:b/>
          <w:color w:val="000000"/>
        </w:rPr>
        <w:t>Scalability</w:t>
      </w:r>
    </w:p>
    <w:p w14:paraId="658CBC47" w14:textId="77777777" w:rsidR="007A7C58" w:rsidRDefault="003E3BD6">
      <w:pPr>
        <w:ind w:left="720"/>
      </w:pPr>
      <w:r>
        <w:t>Digital platforms are inherently scalable and have very minimal additional costs for user advancement.</w:t>
      </w:r>
    </w:p>
    <w:p w14:paraId="631FD937" w14:textId="77777777" w:rsidR="007A7C58" w:rsidRDefault="003E3BD6">
      <w:pPr>
        <w:numPr>
          <w:ilvl w:val="0"/>
          <w:numId w:val="2"/>
        </w:numPr>
        <w:pBdr>
          <w:top w:val="nil"/>
          <w:left w:val="nil"/>
          <w:bottom w:val="nil"/>
          <w:right w:val="nil"/>
          <w:between w:val="nil"/>
        </w:pBdr>
        <w:rPr>
          <w:b/>
          <w:color w:val="000000"/>
        </w:rPr>
      </w:pPr>
      <w:r>
        <w:rPr>
          <w:b/>
          <w:color w:val="000000"/>
        </w:rPr>
        <w:lastRenderedPageBreak/>
        <w:t>Flexibility</w:t>
      </w:r>
    </w:p>
    <w:p w14:paraId="57DD029F" w14:textId="77777777" w:rsidR="007A7C58" w:rsidRDefault="003E3BD6">
      <w:pPr>
        <w:ind w:left="720"/>
      </w:pPr>
      <w:r>
        <w:t>Geographic diversification reduces the hazards associated with academic cycles or single markets.</w:t>
      </w:r>
    </w:p>
    <w:p w14:paraId="54BA8053" w14:textId="77777777" w:rsidR="007A7C58" w:rsidRDefault="003E3BD6">
      <w:pPr>
        <w:numPr>
          <w:ilvl w:val="0"/>
          <w:numId w:val="2"/>
        </w:numPr>
        <w:pBdr>
          <w:top w:val="nil"/>
          <w:left w:val="nil"/>
          <w:bottom w:val="nil"/>
          <w:right w:val="nil"/>
          <w:between w:val="nil"/>
        </w:pBdr>
        <w:rPr>
          <w:b/>
          <w:color w:val="000000"/>
        </w:rPr>
      </w:pPr>
      <w:r>
        <w:rPr>
          <w:b/>
          <w:color w:val="000000"/>
        </w:rPr>
        <w:t>Brand Extension</w:t>
      </w:r>
    </w:p>
    <w:p w14:paraId="11D9E5F1" w14:textId="77777777" w:rsidR="007A7C58" w:rsidRDefault="003E3BD6">
      <w:pPr>
        <w:ind w:left="720"/>
      </w:pPr>
      <w:r>
        <w:t>Providing advanced digital services and international reach raises the Kit Keeper brand as a global, innovative leader in student storage and logistics.</w:t>
      </w:r>
    </w:p>
    <w:p w14:paraId="6F5716B4" w14:textId="77777777" w:rsidR="007A7C58" w:rsidRDefault="003E3BD6">
      <w:r>
        <w:t>Thus, Kit Keeper can continue its competitiveness, satisfy the expanding demands of students and maximise operational efficiency while fortifying its commitment to sustainability by combining targeted distinctiveness with market expansion.</w:t>
      </w:r>
    </w:p>
    <w:p w14:paraId="7B0EF485" w14:textId="77777777" w:rsidR="007A7C58" w:rsidRDefault="003E3BD6">
      <w:pPr>
        <w:pStyle w:val="Heading1"/>
      </w:pPr>
      <w:bookmarkStart w:id="18" w:name="_heading=h.hlqv8zajd5ie" w:colFirst="0" w:colLast="0"/>
      <w:bookmarkEnd w:id="18"/>
      <w:r>
        <w:t xml:space="preserve">5.0 Stakeholder analysis and Critical Evaluation (Mendelow’s Matrix and RACI)  </w:t>
      </w:r>
    </w:p>
    <w:p w14:paraId="07C77959" w14:textId="77777777" w:rsidR="007A7C58" w:rsidRDefault="003E3BD6">
      <w:pPr>
        <w:pStyle w:val="Heading2"/>
      </w:pPr>
      <w:bookmarkStart w:id="19" w:name="_heading=h.bnwalco3rqjr" w:colFirst="0" w:colLast="0"/>
      <w:bookmarkEnd w:id="19"/>
      <w:r>
        <w:t>5.1 Mendelow’s Matrix Analysis</w:t>
      </w:r>
    </w:p>
    <w:p w14:paraId="0A86F585" w14:textId="77777777" w:rsidR="007A7C58" w:rsidRDefault="003E3BD6">
      <w:r>
        <w:t xml:space="preserve">Mendelow’s Matrix is an extremely valuable instrument in understanding the influence of different stakeholder groups on an organization's decisions as well as their level of interest in what the company does (Fedorenko, Kuzmynchuk, and Kutsenko, 2025). The framework through which the Kit Keeper is working gives them the opportunity to decide the best ways to approach and cooperate with each group, basing on the expectations and the power of these groups.  </w:t>
      </w:r>
    </w:p>
    <w:tbl>
      <w:tblPr>
        <w:tblStyle w:val="a3"/>
        <w:tblW w:w="9242" w:type="dxa"/>
        <w:tblInd w:w="-108" w:type="dxa"/>
        <w:tblBorders>
          <w:top w:val="single" w:sz="8" w:space="0" w:color="FFC000"/>
          <w:left w:val="single" w:sz="8" w:space="0" w:color="FFC000"/>
          <w:bottom w:val="single" w:sz="8" w:space="0" w:color="FFC000"/>
          <w:right w:val="single" w:sz="8" w:space="0" w:color="FFC000"/>
          <w:insideH w:val="single" w:sz="8" w:space="0" w:color="FFC000"/>
          <w:insideV w:val="single" w:sz="8" w:space="0" w:color="FFC000"/>
        </w:tblBorders>
        <w:tblLayout w:type="fixed"/>
        <w:tblLook w:val="04A0" w:firstRow="1" w:lastRow="0" w:firstColumn="1" w:lastColumn="0" w:noHBand="0" w:noVBand="1"/>
      </w:tblPr>
      <w:tblGrid>
        <w:gridCol w:w="2126"/>
        <w:gridCol w:w="999"/>
        <w:gridCol w:w="1011"/>
        <w:gridCol w:w="5106"/>
      </w:tblGrid>
      <w:tr w:rsidR="007A7C58" w14:paraId="5BE5EBA2" w14:textId="77777777" w:rsidTr="007A7C5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6" w:type="dxa"/>
          </w:tcPr>
          <w:p w14:paraId="7685ACE8" w14:textId="77777777" w:rsidR="007A7C58" w:rsidRDefault="003E3BD6">
            <w:r>
              <w:t>Stakeholder Group</w:t>
            </w:r>
          </w:p>
        </w:tc>
        <w:tc>
          <w:tcPr>
            <w:tcW w:w="999" w:type="dxa"/>
          </w:tcPr>
          <w:p w14:paraId="014725F7" w14:textId="77777777" w:rsidR="007A7C58" w:rsidRDefault="003E3BD6">
            <w:pPr>
              <w:cnfStyle w:val="100000000000" w:firstRow="1" w:lastRow="0" w:firstColumn="0" w:lastColumn="0" w:oddVBand="0" w:evenVBand="0" w:oddHBand="0" w:evenHBand="0" w:firstRowFirstColumn="0" w:firstRowLastColumn="0" w:lastRowFirstColumn="0" w:lastRowLastColumn="0"/>
            </w:pPr>
            <w:r>
              <w:t>Power</w:t>
            </w:r>
          </w:p>
        </w:tc>
        <w:tc>
          <w:tcPr>
            <w:tcW w:w="1011" w:type="dxa"/>
          </w:tcPr>
          <w:p w14:paraId="21881494" w14:textId="77777777" w:rsidR="007A7C58" w:rsidRDefault="003E3BD6">
            <w:pPr>
              <w:cnfStyle w:val="100000000000" w:firstRow="1" w:lastRow="0" w:firstColumn="0" w:lastColumn="0" w:oddVBand="0" w:evenVBand="0" w:oddHBand="0" w:evenHBand="0" w:firstRowFirstColumn="0" w:firstRowLastColumn="0" w:lastRowFirstColumn="0" w:lastRowLastColumn="0"/>
            </w:pPr>
            <w:r>
              <w:t>Interest</w:t>
            </w:r>
          </w:p>
        </w:tc>
        <w:tc>
          <w:tcPr>
            <w:tcW w:w="5106" w:type="dxa"/>
          </w:tcPr>
          <w:p w14:paraId="7C8A2CCF" w14:textId="77777777" w:rsidR="007A7C58" w:rsidRDefault="003E3BD6">
            <w:pPr>
              <w:cnfStyle w:val="100000000000" w:firstRow="1" w:lastRow="0" w:firstColumn="0" w:lastColumn="0" w:oddVBand="0" w:evenVBand="0" w:oddHBand="0" w:evenHBand="0" w:firstRowFirstColumn="0" w:firstRowLastColumn="0" w:lastRowFirstColumn="0" w:lastRowLastColumn="0"/>
            </w:pPr>
            <w:r>
              <w:t>Strategic Implication (Quadrant)</w:t>
            </w:r>
          </w:p>
        </w:tc>
      </w:tr>
      <w:tr w:rsidR="007A7C58" w14:paraId="573B3C17" w14:textId="77777777" w:rsidTr="007A7C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6" w:type="dxa"/>
          </w:tcPr>
          <w:p w14:paraId="1E8D93C6" w14:textId="77777777" w:rsidR="007A7C58" w:rsidRDefault="003E3BD6">
            <w:r>
              <w:t>Founder &amp; Management Team</w:t>
            </w:r>
          </w:p>
        </w:tc>
        <w:tc>
          <w:tcPr>
            <w:tcW w:w="999" w:type="dxa"/>
          </w:tcPr>
          <w:p w14:paraId="386AD850" w14:textId="77777777" w:rsidR="007A7C58" w:rsidRDefault="003E3BD6">
            <w:pPr>
              <w:cnfStyle w:val="000000100000" w:firstRow="0" w:lastRow="0" w:firstColumn="0" w:lastColumn="0" w:oddVBand="0" w:evenVBand="0" w:oddHBand="1" w:evenHBand="0" w:firstRowFirstColumn="0" w:firstRowLastColumn="0" w:lastRowFirstColumn="0" w:lastRowLastColumn="0"/>
            </w:pPr>
            <w:r>
              <w:t>High</w:t>
            </w:r>
          </w:p>
        </w:tc>
        <w:tc>
          <w:tcPr>
            <w:tcW w:w="1011" w:type="dxa"/>
          </w:tcPr>
          <w:p w14:paraId="75F9568B" w14:textId="77777777" w:rsidR="007A7C58" w:rsidRDefault="003E3BD6">
            <w:pPr>
              <w:cnfStyle w:val="000000100000" w:firstRow="0" w:lastRow="0" w:firstColumn="0" w:lastColumn="0" w:oddVBand="0" w:evenVBand="0" w:oddHBand="1" w:evenHBand="0" w:firstRowFirstColumn="0" w:firstRowLastColumn="0" w:lastRowFirstColumn="0" w:lastRowLastColumn="0"/>
            </w:pPr>
            <w:r>
              <w:t>High</w:t>
            </w:r>
          </w:p>
        </w:tc>
        <w:tc>
          <w:tcPr>
            <w:tcW w:w="5106" w:type="dxa"/>
          </w:tcPr>
          <w:p w14:paraId="7979F865" w14:textId="77777777" w:rsidR="007A7C58" w:rsidRDefault="003E3BD6">
            <w:pPr>
              <w:cnfStyle w:val="000000100000" w:firstRow="0" w:lastRow="0" w:firstColumn="0" w:lastColumn="0" w:oddVBand="0" w:evenVBand="0" w:oddHBand="1" w:evenHBand="0" w:firstRowFirstColumn="0" w:firstRowLastColumn="0" w:lastRowFirstColumn="0" w:lastRowLastColumn="0"/>
            </w:pPr>
            <w:r>
              <w:t xml:space="preserve">Key Players – This team is in charge of conceptualizing the strategy, making the major decisions, and managing the daily operations. It is really necessary for them to be actively engaged and keep each other informed on a regular basis.   </w:t>
            </w:r>
          </w:p>
        </w:tc>
      </w:tr>
      <w:tr w:rsidR="007A7C58" w14:paraId="581CACE1" w14:textId="77777777" w:rsidTr="007A7C58">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6" w:type="dxa"/>
          </w:tcPr>
          <w:p w14:paraId="167D32DF" w14:textId="77777777" w:rsidR="007A7C58" w:rsidRDefault="003E3BD6">
            <w:r>
              <w:t>Employees (Small Workforce)</w:t>
            </w:r>
          </w:p>
        </w:tc>
        <w:tc>
          <w:tcPr>
            <w:tcW w:w="999" w:type="dxa"/>
          </w:tcPr>
          <w:p w14:paraId="5C1559CB" w14:textId="77777777" w:rsidR="007A7C58" w:rsidRDefault="003E3BD6">
            <w:pPr>
              <w:cnfStyle w:val="000000010000" w:firstRow="0" w:lastRow="0" w:firstColumn="0" w:lastColumn="0" w:oddVBand="0" w:evenVBand="0" w:oddHBand="0" w:evenHBand="1" w:firstRowFirstColumn="0" w:firstRowLastColumn="0" w:lastRowFirstColumn="0" w:lastRowLastColumn="0"/>
            </w:pPr>
            <w:r>
              <w:t>Low</w:t>
            </w:r>
          </w:p>
        </w:tc>
        <w:tc>
          <w:tcPr>
            <w:tcW w:w="1011" w:type="dxa"/>
          </w:tcPr>
          <w:p w14:paraId="3A22B735" w14:textId="77777777" w:rsidR="007A7C58" w:rsidRDefault="003E3BD6">
            <w:pPr>
              <w:cnfStyle w:val="000000010000" w:firstRow="0" w:lastRow="0" w:firstColumn="0" w:lastColumn="0" w:oddVBand="0" w:evenVBand="0" w:oddHBand="0" w:evenHBand="1" w:firstRowFirstColumn="0" w:firstRowLastColumn="0" w:lastRowFirstColumn="0" w:lastRowLastColumn="0"/>
            </w:pPr>
            <w:r>
              <w:t>High</w:t>
            </w:r>
          </w:p>
        </w:tc>
        <w:tc>
          <w:tcPr>
            <w:tcW w:w="5106" w:type="dxa"/>
          </w:tcPr>
          <w:p w14:paraId="60DB4CC3" w14:textId="77777777" w:rsidR="007A7C58" w:rsidRDefault="003E3BD6">
            <w:pPr>
              <w:cnfStyle w:val="000000010000" w:firstRow="0" w:lastRow="0" w:firstColumn="0" w:lastColumn="0" w:oddVBand="0" w:evenVBand="0" w:oddHBand="0" w:evenHBand="1" w:firstRowFirstColumn="0" w:firstRowLastColumn="0" w:lastRowFirstColumn="0" w:lastRowLastColumn="0"/>
            </w:pPr>
            <w:r>
              <w:t xml:space="preserve">Keep Informed – The motivation of employees, their proficiency, and the quality of service, which are provided, have a direct influence on the satisfaction of customers. This is the reason why continuous communication and constant training are extremely important. </w:t>
            </w:r>
          </w:p>
        </w:tc>
      </w:tr>
      <w:tr w:rsidR="007A7C58" w14:paraId="1EDF2E57" w14:textId="77777777" w:rsidTr="007A7C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6" w:type="dxa"/>
          </w:tcPr>
          <w:p w14:paraId="5F211DFC" w14:textId="77777777" w:rsidR="007A7C58" w:rsidRDefault="003E3BD6">
            <w:r>
              <w:t>Customers (Students)</w:t>
            </w:r>
          </w:p>
        </w:tc>
        <w:tc>
          <w:tcPr>
            <w:tcW w:w="999" w:type="dxa"/>
          </w:tcPr>
          <w:p w14:paraId="14883C1E" w14:textId="77777777" w:rsidR="007A7C58" w:rsidRDefault="003E3BD6">
            <w:pPr>
              <w:cnfStyle w:val="000000100000" w:firstRow="0" w:lastRow="0" w:firstColumn="0" w:lastColumn="0" w:oddVBand="0" w:evenVBand="0" w:oddHBand="1" w:evenHBand="0" w:firstRowFirstColumn="0" w:firstRowLastColumn="0" w:lastRowFirstColumn="0" w:lastRowLastColumn="0"/>
            </w:pPr>
            <w:r>
              <w:t>High</w:t>
            </w:r>
          </w:p>
        </w:tc>
        <w:tc>
          <w:tcPr>
            <w:tcW w:w="1011" w:type="dxa"/>
          </w:tcPr>
          <w:p w14:paraId="49771022" w14:textId="77777777" w:rsidR="007A7C58" w:rsidRDefault="003E3BD6">
            <w:pPr>
              <w:cnfStyle w:val="000000100000" w:firstRow="0" w:lastRow="0" w:firstColumn="0" w:lastColumn="0" w:oddVBand="0" w:evenVBand="0" w:oddHBand="1" w:evenHBand="0" w:firstRowFirstColumn="0" w:firstRowLastColumn="0" w:lastRowFirstColumn="0" w:lastRowLastColumn="0"/>
            </w:pPr>
            <w:r>
              <w:t>High</w:t>
            </w:r>
          </w:p>
        </w:tc>
        <w:tc>
          <w:tcPr>
            <w:tcW w:w="5106" w:type="dxa"/>
          </w:tcPr>
          <w:p w14:paraId="77B2BBE5" w14:textId="77777777" w:rsidR="007A7C58" w:rsidRDefault="003E3BD6">
            <w:pPr>
              <w:cnfStyle w:val="000000100000" w:firstRow="0" w:lastRow="0" w:firstColumn="0" w:lastColumn="0" w:oddVBand="0" w:evenVBand="0" w:oddHBand="1" w:evenHBand="0" w:firstRowFirstColumn="0" w:firstRowLastColumn="0" w:lastRowFirstColumn="0" w:lastRowLastColumn="0"/>
            </w:pPr>
            <w:r>
              <w:t>Key Players – Since customers are the primary source of income, it is very necessary to keep them engaged, collect their feedback and continuously innovate in technology to enhance the quality of the service.</w:t>
            </w:r>
          </w:p>
        </w:tc>
      </w:tr>
      <w:tr w:rsidR="007A7C58" w14:paraId="108444BB" w14:textId="77777777" w:rsidTr="007A7C58">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6" w:type="dxa"/>
          </w:tcPr>
          <w:p w14:paraId="730173AE" w14:textId="77777777" w:rsidR="007A7C58" w:rsidRDefault="003E3BD6">
            <w:r>
              <w:t>University Partners</w:t>
            </w:r>
          </w:p>
        </w:tc>
        <w:tc>
          <w:tcPr>
            <w:tcW w:w="999" w:type="dxa"/>
          </w:tcPr>
          <w:p w14:paraId="19BFBD45" w14:textId="77777777" w:rsidR="007A7C58" w:rsidRDefault="003E3BD6">
            <w:pPr>
              <w:cnfStyle w:val="000000010000" w:firstRow="0" w:lastRow="0" w:firstColumn="0" w:lastColumn="0" w:oddVBand="0" w:evenVBand="0" w:oddHBand="0" w:evenHBand="1" w:firstRowFirstColumn="0" w:firstRowLastColumn="0" w:lastRowFirstColumn="0" w:lastRowLastColumn="0"/>
            </w:pPr>
            <w:r>
              <w:t>High</w:t>
            </w:r>
          </w:p>
        </w:tc>
        <w:tc>
          <w:tcPr>
            <w:tcW w:w="1011" w:type="dxa"/>
          </w:tcPr>
          <w:p w14:paraId="6BCCB8A3" w14:textId="77777777" w:rsidR="007A7C58" w:rsidRDefault="003E3BD6">
            <w:pPr>
              <w:cnfStyle w:val="000000010000" w:firstRow="0" w:lastRow="0" w:firstColumn="0" w:lastColumn="0" w:oddVBand="0" w:evenVBand="0" w:oddHBand="0" w:evenHBand="1" w:firstRowFirstColumn="0" w:firstRowLastColumn="0" w:lastRowFirstColumn="0" w:lastRowLastColumn="0"/>
            </w:pPr>
            <w:r>
              <w:t>High</w:t>
            </w:r>
          </w:p>
        </w:tc>
        <w:tc>
          <w:tcPr>
            <w:tcW w:w="5106" w:type="dxa"/>
          </w:tcPr>
          <w:p w14:paraId="27D42460" w14:textId="77777777" w:rsidR="007A7C58" w:rsidRDefault="003E3BD6">
            <w:pPr>
              <w:cnfStyle w:val="000000010000" w:firstRow="0" w:lastRow="0" w:firstColumn="0" w:lastColumn="0" w:oddVBand="0" w:evenVBand="0" w:oddHBand="0" w:evenHBand="1" w:firstRowFirstColumn="0" w:firstRowLastColumn="0" w:lastRowFirstColumn="0" w:lastRowLastColumn="0"/>
            </w:pPr>
            <w:r>
              <w:t xml:space="preserve">Key Players – These institutions are extremely important in creating a positive image and attracting students. It is required to always manage </w:t>
            </w:r>
            <w:r>
              <w:lastRenderedPageBreak/>
              <w:t>the relationships and ensure that they are in line with the university's objectives.</w:t>
            </w:r>
          </w:p>
        </w:tc>
      </w:tr>
      <w:tr w:rsidR="007A7C58" w14:paraId="66994164" w14:textId="77777777" w:rsidTr="007A7C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6" w:type="dxa"/>
          </w:tcPr>
          <w:p w14:paraId="3D4D62D8" w14:textId="77777777" w:rsidR="007A7C58" w:rsidRDefault="003E3BD6">
            <w:r>
              <w:lastRenderedPageBreak/>
              <w:t>Logistics and Packaging Suppliers</w:t>
            </w:r>
          </w:p>
        </w:tc>
        <w:tc>
          <w:tcPr>
            <w:tcW w:w="999" w:type="dxa"/>
          </w:tcPr>
          <w:p w14:paraId="5CD5D90D" w14:textId="77777777" w:rsidR="007A7C58" w:rsidRDefault="003E3BD6">
            <w:pPr>
              <w:cnfStyle w:val="000000100000" w:firstRow="0" w:lastRow="0" w:firstColumn="0" w:lastColumn="0" w:oddVBand="0" w:evenVBand="0" w:oddHBand="1" w:evenHBand="0" w:firstRowFirstColumn="0" w:firstRowLastColumn="0" w:lastRowFirstColumn="0" w:lastRowLastColumn="0"/>
            </w:pPr>
            <w:r>
              <w:t>Medium</w:t>
            </w:r>
          </w:p>
        </w:tc>
        <w:tc>
          <w:tcPr>
            <w:tcW w:w="1011" w:type="dxa"/>
          </w:tcPr>
          <w:p w14:paraId="12F4A6BC" w14:textId="77777777" w:rsidR="007A7C58" w:rsidRDefault="003E3BD6">
            <w:pPr>
              <w:cnfStyle w:val="000000100000" w:firstRow="0" w:lastRow="0" w:firstColumn="0" w:lastColumn="0" w:oddVBand="0" w:evenVBand="0" w:oddHBand="1" w:evenHBand="0" w:firstRowFirstColumn="0" w:firstRowLastColumn="0" w:lastRowFirstColumn="0" w:lastRowLastColumn="0"/>
            </w:pPr>
            <w:r>
              <w:t>Medium</w:t>
            </w:r>
          </w:p>
        </w:tc>
        <w:tc>
          <w:tcPr>
            <w:tcW w:w="5106" w:type="dxa"/>
          </w:tcPr>
          <w:p w14:paraId="4EAD3A0F" w14:textId="77777777" w:rsidR="007A7C58" w:rsidRDefault="003E3BD6">
            <w:pPr>
              <w:cnfStyle w:val="000000100000" w:firstRow="0" w:lastRow="0" w:firstColumn="0" w:lastColumn="0" w:oddVBand="0" w:evenVBand="0" w:oddHBand="1" w:evenHBand="0" w:firstRowFirstColumn="0" w:firstRowLastColumn="0" w:lastRowFirstColumn="0" w:lastRowLastColumn="0"/>
            </w:pPr>
            <w:r>
              <w:t xml:space="preserve">Keep Satisfied – Reliable and trustworthy suppliers are the main factor in keeping things running smoothly and making sure that we are able to get our materials regularly in the long run. It definitely takes close monitoring and the development of partnerships based on mutual respect.  </w:t>
            </w:r>
          </w:p>
        </w:tc>
      </w:tr>
      <w:tr w:rsidR="007A7C58" w14:paraId="79167A0F" w14:textId="77777777" w:rsidTr="007A7C58">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6" w:type="dxa"/>
          </w:tcPr>
          <w:p w14:paraId="206E8168" w14:textId="77777777" w:rsidR="007A7C58" w:rsidRDefault="003E3BD6">
            <w:r>
              <w:t>Investors and Financial Partners</w:t>
            </w:r>
          </w:p>
        </w:tc>
        <w:tc>
          <w:tcPr>
            <w:tcW w:w="999" w:type="dxa"/>
          </w:tcPr>
          <w:p w14:paraId="4A6731B9" w14:textId="77777777" w:rsidR="007A7C58" w:rsidRDefault="003E3BD6">
            <w:pPr>
              <w:cnfStyle w:val="000000010000" w:firstRow="0" w:lastRow="0" w:firstColumn="0" w:lastColumn="0" w:oddVBand="0" w:evenVBand="0" w:oddHBand="0" w:evenHBand="1" w:firstRowFirstColumn="0" w:firstRowLastColumn="0" w:lastRowFirstColumn="0" w:lastRowLastColumn="0"/>
            </w:pPr>
            <w:r>
              <w:t>High</w:t>
            </w:r>
          </w:p>
        </w:tc>
        <w:tc>
          <w:tcPr>
            <w:tcW w:w="1011" w:type="dxa"/>
          </w:tcPr>
          <w:p w14:paraId="73EB4FDC" w14:textId="77777777" w:rsidR="007A7C58" w:rsidRDefault="003E3BD6">
            <w:pPr>
              <w:cnfStyle w:val="000000010000" w:firstRow="0" w:lastRow="0" w:firstColumn="0" w:lastColumn="0" w:oddVBand="0" w:evenVBand="0" w:oddHBand="0" w:evenHBand="1" w:firstRowFirstColumn="0" w:firstRowLastColumn="0" w:lastRowFirstColumn="0" w:lastRowLastColumn="0"/>
            </w:pPr>
            <w:r>
              <w:t>Medium</w:t>
            </w:r>
          </w:p>
        </w:tc>
        <w:tc>
          <w:tcPr>
            <w:tcW w:w="5106" w:type="dxa"/>
          </w:tcPr>
          <w:p w14:paraId="256399F8" w14:textId="77777777" w:rsidR="007A7C58" w:rsidRDefault="003E3BD6">
            <w:pPr>
              <w:cnfStyle w:val="000000010000" w:firstRow="0" w:lastRow="0" w:firstColumn="0" w:lastColumn="0" w:oddVBand="0" w:evenVBand="0" w:oddHBand="0" w:evenHBand="1" w:firstRowFirstColumn="0" w:firstRowLastColumn="0" w:lastRowFirstColumn="0" w:lastRowLastColumn="0"/>
            </w:pPr>
            <w:r>
              <w:t>Keep Satisfied – Financial partners are the ones who inject the needed funds to be able to carry out daily operations. It is very important to keep them informed through regular reports and visits, which are also a good opportunity to discuss how the company is performing and if it is in line with the partners’ expectations and strategy.</w:t>
            </w:r>
          </w:p>
        </w:tc>
      </w:tr>
      <w:tr w:rsidR="007A7C58" w14:paraId="21546B1C" w14:textId="77777777" w:rsidTr="007A7C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6" w:type="dxa"/>
          </w:tcPr>
          <w:p w14:paraId="6E558FC7" w14:textId="77777777" w:rsidR="007A7C58" w:rsidRDefault="003E3BD6">
            <w:r>
              <w:t>Government and Regulatory Bodies</w:t>
            </w:r>
          </w:p>
        </w:tc>
        <w:tc>
          <w:tcPr>
            <w:tcW w:w="999" w:type="dxa"/>
          </w:tcPr>
          <w:p w14:paraId="6379A8B9" w14:textId="77777777" w:rsidR="007A7C58" w:rsidRDefault="003E3BD6">
            <w:pPr>
              <w:cnfStyle w:val="000000100000" w:firstRow="0" w:lastRow="0" w:firstColumn="0" w:lastColumn="0" w:oddVBand="0" w:evenVBand="0" w:oddHBand="1" w:evenHBand="0" w:firstRowFirstColumn="0" w:firstRowLastColumn="0" w:lastRowFirstColumn="0" w:lastRowLastColumn="0"/>
            </w:pPr>
            <w:r>
              <w:t>High</w:t>
            </w:r>
          </w:p>
        </w:tc>
        <w:tc>
          <w:tcPr>
            <w:tcW w:w="1011" w:type="dxa"/>
          </w:tcPr>
          <w:p w14:paraId="4D4A9C8B" w14:textId="77777777" w:rsidR="007A7C58" w:rsidRDefault="003E3BD6">
            <w:pPr>
              <w:cnfStyle w:val="000000100000" w:firstRow="0" w:lastRow="0" w:firstColumn="0" w:lastColumn="0" w:oddVBand="0" w:evenVBand="0" w:oddHBand="1" w:evenHBand="0" w:firstRowFirstColumn="0" w:firstRowLastColumn="0" w:lastRowFirstColumn="0" w:lastRowLastColumn="0"/>
            </w:pPr>
            <w:r>
              <w:t>Low</w:t>
            </w:r>
          </w:p>
        </w:tc>
        <w:tc>
          <w:tcPr>
            <w:tcW w:w="5106" w:type="dxa"/>
          </w:tcPr>
          <w:p w14:paraId="42646A72" w14:textId="77777777" w:rsidR="007A7C58" w:rsidRDefault="003E3BD6">
            <w:pPr>
              <w:cnfStyle w:val="000000100000" w:firstRow="0" w:lastRow="0" w:firstColumn="0" w:lastColumn="0" w:oddVBand="0" w:evenVBand="0" w:oddHBand="1" w:evenHBand="0" w:firstRowFirstColumn="0" w:firstRowLastColumn="0" w:lastRowFirstColumn="0" w:lastRowLastColumn="0"/>
            </w:pPr>
            <w:r>
              <w:t>Minimal Effort – This job mainly concentrates on compliance with rules, correct tax handling, and reporting on sustainability for meeting legal requirements.</w:t>
            </w:r>
          </w:p>
        </w:tc>
      </w:tr>
      <w:tr w:rsidR="007A7C58" w14:paraId="06211BDB" w14:textId="77777777" w:rsidTr="007A7C58">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6" w:type="dxa"/>
          </w:tcPr>
          <w:p w14:paraId="3E9DE6E4" w14:textId="77777777" w:rsidR="007A7C58" w:rsidRDefault="003E3BD6">
            <w:r>
              <w:t>Local Communities and Environmental Groups</w:t>
            </w:r>
          </w:p>
        </w:tc>
        <w:tc>
          <w:tcPr>
            <w:tcW w:w="999" w:type="dxa"/>
          </w:tcPr>
          <w:p w14:paraId="4AAF8AE0" w14:textId="77777777" w:rsidR="007A7C58" w:rsidRDefault="003E3BD6">
            <w:pPr>
              <w:cnfStyle w:val="000000010000" w:firstRow="0" w:lastRow="0" w:firstColumn="0" w:lastColumn="0" w:oddVBand="0" w:evenVBand="0" w:oddHBand="0" w:evenHBand="1" w:firstRowFirstColumn="0" w:firstRowLastColumn="0" w:lastRowFirstColumn="0" w:lastRowLastColumn="0"/>
            </w:pPr>
            <w:r>
              <w:t>Low</w:t>
            </w:r>
          </w:p>
        </w:tc>
        <w:tc>
          <w:tcPr>
            <w:tcW w:w="1011" w:type="dxa"/>
          </w:tcPr>
          <w:p w14:paraId="4B6F893E" w14:textId="77777777" w:rsidR="007A7C58" w:rsidRDefault="003E3BD6">
            <w:pPr>
              <w:cnfStyle w:val="000000010000" w:firstRow="0" w:lastRow="0" w:firstColumn="0" w:lastColumn="0" w:oddVBand="0" w:evenVBand="0" w:oddHBand="0" w:evenHBand="1" w:firstRowFirstColumn="0" w:firstRowLastColumn="0" w:lastRowFirstColumn="0" w:lastRowLastColumn="0"/>
            </w:pPr>
            <w:r>
              <w:t>Medium</w:t>
            </w:r>
          </w:p>
        </w:tc>
        <w:tc>
          <w:tcPr>
            <w:tcW w:w="5106" w:type="dxa"/>
          </w:tcPr>
          <w:p w14:paraId="10F0EF83" w14:textId="77777777" w:rsidR="007A7C58" w:rsidRDefault="003E3BD6">
            <w:pPr>
              <w:cnfStyle w:val="000000010000" w:firstRow="0" w:lastRow="0" w:firstColumn="0" w:lastColumn="0" w:oddVBand="0" w:evenVBand="0" w:oddHBand="0" w:evenHBand="1" w:firstRowFirstColumn="0" w:firstRowLastColumn="0" w:lastRowFirstColumn="0" w:lastRowLastColumn="0"/>
            </w:pPr>
            <w:r>
              <w:t>Keep Informed – The way local communities and environmental groups perceive the company, in fact, greatly influences its reputation. Being active and involved in CSR and sustainability activities paves the way for getting closer to these groups.</w:t>
            </w:r>
          </w:p>
        </w:tc>
      </w:tr>
    </w:tbl>
    <w:p w14:paraId="3F365AEE" w14:textId="77777777" w:rsidR="007A7C58" w:rsidRDefault="003E3BD6">
      <w:r>
        <w:t xml:space="preserve">Kit Keeper's success is largely dependent on the quality of its relationships with the key groups, namely the founder, the management team, customers, and university partners. The founder is the one who comes up with new ideas and leads the way for the company, while universities are important for brand promotion and referring new clients (Rahma, </w:t>
      </w:r>
      <w:r>
        <w:rPr>
          <w:i/>
        </w:rPr>
        <w:t>et al.,</w:t>
      </w:r>
      <w:r>
        <w:t xml:space="preserve"> 2021). In order to make sure that our services are running smoothly, it is very important to have a good working relationship with the companies that take care of our logistics. Even though our employees and the communities we serve may not have a great influence on the official decision-making, their participation in the delivery of high-quality service and the maintenance of our company's good reputation is definitely the most important.     </w:t>
      </w:r>
    </w:p>
    <w:p w14:paraId="234B230C" w14:textId="77777777" w:rsidR="007A7C58" w:rsidRDefault="003E3BD6">
      <w:pPr>
        <w:pStyle w:val="Heading2"/>
      </w:pPr>
      <w:bookmarkStart w:id="20" w:name="_heading=h.mostbpy9r687" w:colFirst="0" w:colLast="0"/>
      <w:bookmarkEnd w:id="20"/>
      <w:r>
        <w:t>5.2 Critical Evaluation</w:t>
      </w:r>
    </w:p>
    <w:p w14:paraId="148C3AE2" w14:textId="77777777" w:rsidR="007A7C58" w:rsidRDefault="003E3BD6">
      <w:r>
        <w:t>The Kit Keeper stakeholder network is basically what you would anticipate from a typical small or medium-sized business. These sorts of companies typically have limited budgets and employ fewer individuals on their staff, so it is extremely important that everyone is moving in the same direction if they are to thrive. Such as, Kit Keeper can be said to have a small staff and works in close collaboration with stakeholders that are considered as outside partners. Such an arrangement requires a management styl</w:t>
      </w:r>
      <w:r>
        <w:t xml:space="preserve">e that can balance giving the team members the freedom to carry out their activities but having a communication line that is open, but at the same time have some form of control so that everything is going on schedule.  </w:t>
      </w:r>
    </w:p>
    <w:p w14:paraId="62BBBA6E" w14:textId="77777777" w:rsidR="007A7C58" w:rsidRDefault="003E3BD6">
      <w:r>
        <w:lastRenderedPageBreak/>
        <w:t xml:space="preserve">Though the business is closely connected with university partners and investor communities, the staff and local organisations are definitely called to be drawn further into the fold. This single action could make our corporate culture substantially better and increase the brand image (Farshid, </w:t>
      </w:r>
      <w:proofErr w:type="spellStart"/>
      <w:r>
        <w:t>Goharrostami</w:t>
      </w:r>
      <w:proofErr w:type="spellEnd"/>
      <w:r>
        <w:t xml:space="preserve"> and Ramezani Nejad, 2022). The lack of resources might mean that the engagement of stakeholders should not be done in the proper way, but the delegation that is properly thought through and the utilization of the relevant digital technologies can indeed enhance efficiency and engagement in a way that would be truly effective. </w:t>
      </w:r>
    </w:p>
    <w:p w14:paraId="56EBEEFE" w14:textId="77777777" w:rsidR="007A7C58" w:rsidRDefault="003E3BD6">
      <w:r>
        <w:t>CRM systems and automated feedback tools are some examples of such items that can actually be of usefulness to the process. By signing Memoranda of Understanding (MOUs), creating partnerships with universities and logistics companies, everyone will feel more accountable, and at the same time ensure that the company is doing business in the long-term. Sustainability as a part of the stakeholder management, as per SDGs 12 and 13, will aid in building trust, improving our image, and stand the test of time, com</w:t>
      </w:r>
      <w:r>
        <w:t xml:space="preserve">petitiveness..     </w:t>
      </w:r>
    </w:p>
    <w:p w14:paraId="343C68BB" w14:textId="77777777" w:rsidR="007A7C58" w:rsidRDefault="003E3BD6">
      <w:pPr>
        <w:pStyle w:val="Heading2"/>
      </w:pPr>
      <w:bookmarkStart w:id="21" w:name="_heading=h.8n6ee24rg60h" w:colFirst="0" w:colLast="0"/>
      <w:bookmarkEnd w:id="21"/>
      <w:r>
        <w:t>5.3 RACI Analysis</w:t>
      </w:r>
    </w:p>
    <w:p w14:paraId="0C8A9B57" w14:textId="77777777" w:rsidR="007A7C58" w:rsidRDefault="003E3BD6">
      <w:r>
        <w:t>The RACI model, which stands for Responsible, Accountable, Consulted, and Informed, is great for clarifying each person's exact role. This in turn enhances governance and makes decision-making much clearer (Lee </w:t>
      </w:r>
      <w:r>
        <w:rPr>
          <w:i/>
        </w:rPr>
        <w:t>et al.,</w:t>
      </w:r>
      <w:r>
        <w:t xml:space="preserve"> 2021). When it is used in Kit Keeper’s business plan, it is ensuring clear task delegation and efficient use of resources.   </w:t>
      </w:r>
    </w:p>
    <w:tbl>
      <w:tblPr>
        <w:tblStyle w:val="a4"/>
        <w:tblW w:w="9242" w:type="dxa"/>
        <w:tblInd w:w="-108" w:type="dxa"/>
        <w:tblBorders>
          <w:top w:val="single" w:sz="8" w:space="0" w:color="70AD47"/>
          <w:left w:val="single" w:sz="8" w:space="0" w:color="70AD47"/>
          <w:bottom w:val="single" w:sz="8" w:space="0" w:color="70AD47"/>
          <w:right w:val="single" w:sz="8" w:space="0" w:color="70AD47"/>
          <w:insideH w:val="single" w:sz="8" w:space="0" w:color="70AD47"/>
          <w:insideV w:val="single" w:sz="8" w:space="0" w:color="70AD47"/>
        </w:tblBorders>
        <w:tblLayout w:type="fixed"/>
        <w:tblLook w:val="04A0" w:firstRow="1" w:lastRow="0" w:firstColumn="1" w:lastColumn="0" w:noHBand="0" w:noVBand="1"/>
      </w:tblPr>
      <w:tblGrid>
        <w:gridCol w:w="2155"/>
        <w:gridCol w:w="2064"/>
        <w:gridCol w:w="1627"/>
        <w:gridCol w:w="1772"/>
        <w:gridCol w:w="1624"/>
      </w:tblGrid>
      <w:tr w:rsidR="007A7C58" w14:paraId="3017B0F1" w14:textId="77777777" w:rsidTr="007A7C5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55" w:type="dxa"/>
          </w:tcPr>
          <w:p w14:paraId="3C75FE12" w14:textId="77777777" w:rsidR="007A7C58" w:rsidRDefault="003E3BD6">
            <w:r>
              <w:t>Activity</w:t>
            </w:r>
          </w:p>
        </w:tc>
        <w:tc>
          <w:tcPr>
            <w:tcW w:w="2064" w:type="dxa"/>
          </w:tcPr>
          <w:p w14:paraId="15A0CB7D" w14:textId="77777777" w:rsidR="007A7C58" w:rsidRDefault="003E3BD6">
            <w:pPr>
              <w:cnfStyle w:val="100000000000" w:firstRow="1" w:lastRow="0" w:firstColumn="0" w:lastColumn="0" w:oddVBand="0" w:evenVBand="0" w:oddHBand="0" w:evenHBand="0" w:firstRowFirstColumn="0" w:firstRowLastColumn="0" w:lastRowFirstColumn="0" w:lastRowLastColumn="0"/>
            </w:pPr>
            <w:r>
              <w:t>Responsible (R)</w:t>
            </w:r>
          </w:p>
        </w:tc>
        <w:tc>
          <w:tcPr>
            <w:tcW w:w="1627" w:type="dxa"/>
          </w:tcPr>
          <w:p w14:paraId="54AB30CF" w14:textId="77777777" w:rsidR="007A7C58" w:rsidRDefault="003E3BD6">
            <w:pPr>
              <w:cnfStyle w:val="100000000000" w:firstRow="1" w:lastRow="0" w:firstColumn="0" w:lastColumn="0" w:oddVBand="0" w:evenVBand="0" w:oddHBand="0" w:evenHBand="0" w:firstRowFirstColumn="0" w:firstRowLastColumn="0" w:lastRowFirstColumn="0" w:lastRowLastColumn="0"/>
            </w:pPr>
            <w:r>
              <w:t>Accountable (A)</w:t>
            </w:r>
          </w:p>
        </w:tc>
        <w:tc>
          <w:tcPr>
            <w:tcW w:w="1772" w:type="dxa"/>
          </w:tcPr>
          <w:p w14:paraId="467C4A18" w14:textId="77777777" w:rsidR="007A7C58" w:rsidRDefault="003E3BD6">
            <w:pPr>
              <w:cnfStyle w:val="100000000000" w:firstRow="1" w:lastRow="0" w:firstColumn="0" w:lastColumn="0" w:oddVBand="0" w:evenVBand="0" w:oddHBand="0" w:evenHBand="0" w:firstRowFirstColumn="0" w:firstRowLastColumn="0" w:lastRowFirstColumn="0" w:lastRowLastColumn="0"/>
            </w:pPr>
            <w:r>
              <w:t>Consulted (C)</w:t>
            </w:r>
          </w:p>
        </w:tc>
        <w:tc>
          <w:tcPr>
            <w:tcW w:w="1624" w:type="dxa"/>
          </w:tcPr>
          <w:p w14:paraId="29334CD8" w14:textId="77777777" w:rsidR="007A7C58" w:rsidRDefault="003E3BD6">
            <w:pPr>
              <w:cnfStyle w:val="100000000000" w:firstRow="1" w:lastRow="0" w:firstColumn="0" w:lastColumn="0" w:oddVBand="0" w:evenVBand="0" w:oddHBand="0" w:evenHBand="0" w:firstRowFirstColumn="0" w:firstRowLastColumn="0" w:lastRowFirstColumn="0" w:lastRowLastColumn="0"/>
            </w:pPr>
            <w:r>
              <w:t>Informed (I)</w:t>
            </w:r>
          </w:p>
        </w:tc>
      </w:tr>
      <w:tr w:rsidR="007A7C58" w14:paraId="0D6FB686" w14:textId="77777777" w:rsidTr="007A7C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55" w:type="dxa"/>
          </w:tcPr>
          <w:p w14:paraId="17EBE96A" w14:textId="77777777" w:rsidR="007A7C58" w:rsidRDefault="003E3BD6">
            <w:r>
              <w:t>Strategy Formulation</w:t>
            </w:r>
          </w:p>
        </w:tc>
        <w:tc>
          <w:tcPr>
            <w:tcW w:w="2064" w:type="dxa"/>
          </w:tcPr>
          <w:p w14:paraId="50665582" w14:textId="77777777" w:rsidR="007A7C58" w:rsidRDefault="003E3BD6">
            <w:pPr>
              <w:cnfStyle w:val="000000100000" w:firstRow="0" w:lastRow="0" w:firstColumn="0" w:lastColumn="0" w:oddVBand="0" w:evenVBand="0" w:oddHBand="1" w:evenHBand="0" w:firstRowFirstColumn="0" w:firstRowLastColumn="0" w:lastRowFirstColumn="0" w:lastRowLastColumn="0"/>
            </w:pPr>
            <w:r>
              <w:t>Management Team</w:t>
            </w:r>
          </w:p>
        </w:tc>
        <w:tc>
          <w:tcPr>
            <w:tcW w:w="1627" w:type="dxa"/>
          </w:tcPr>
          <w:p w14:paraId="00EB3971" w14:textId="77777777" w:rsidR="007A7C58" w:rsidRDefault="003E3BD6">
            <w:pPr>
              <w:cnfStyle w:val="000000100000" w:firstRow="0" w:lastRow="0" w:firstColumn="0" w:lastColumn="0" w:oddVBand="0" w:evenVBand="0" w:oddHBand="1" w:evenHBand="0" w:firstRowFirstColumn="0" w:firstRowLastColumn="0" w:lastRowFirstColumn="0" w:lastRowLastColumn="0"/>
            </w:pPr>
            <w:r>
              <w:t>Founder/CEO</w:t>
            </w:r>
          </w:p>
        </w:tc>
        <w:tc>
          <w:tcPr>
            <w:tcW w:w="1772" w:type="dxa"/>
          </w:tcPr>
          <w:p w14:paraId="5B075607" w14:textId="77777777" w:rsidR="007A7C58" w:rsidRDefault="003E3BD6">
            <w:pPr>
              <w:cnfStyle w:val="000000100000" w:firstRow="0" w:lastRow="0" w:firstColumn="0" w:lastColumn="0" w:oddVBand="0" w:evenVBand="0" w:oddHBand="1" w:evenHBand="0" w:firstRowFirstColumn="0" w:firstRowLastColumn="0" w:lastRowFirstColumn="0" w:lastRowLastColumn="0"/>
            </w:pPr>
            <w:r>
              <w:t>Investors, University Partners</w:t>
            </w:r>
          </w:p>
        </w:tc>
        <w:tc>
          <w:tcPr>
            <w:tcW w:w="1624" w:type="dxa"/>
          </w:tcPr>
          <w:p w14:paraId="437C2A4D" w14:textId="77777777" w:rsidR="007A7C58" w:rsidRDefault="003E3BD6">
            <w:pPr>
              <w:cnfStyle w:val="000000100000" w:firstRow="0" w:lastRow="0" w:firstColumn="0" w:lastColumn="0" w:oddVBand="0" w:evenVBand="0" w:oddHBand="1" w:evenHBand="0" w:firstRowFirstColumn="0" w:firstRowLastColumn="0" w:lastRowFirstColumn="0" w:lastRowLastColumn="0"/>
            </w:pPr>
            <w:r>
              <w:t>Employees</w:t>
            </w:r>
          </w:p>
        </w:tc>
      </w:tr>
      <w:tr w:rsidR="007A7C58" w14:paraId="4E969C14" w14:textId="77777777" w:rsidTr="007A7C58">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55" w:type="dxa"/>
          </w:tcPr>
          <w:p w14:paraId="11B9F166" w14:textId="77777777" w:rsidR="007A7C58" w:rsidRDefault="003E3BD6">
            <w:r>
              <w:t>Technology Development and Digital Platform Enhancement</w:t>
            </w:r>
          </w:p>
        </w:tc>
        <w:tc>
          <w:tcPr>
            <w:tcW w:w="2064" w:type="dxa"/>
          </w:tcPr>
          <w:p w14:paraId="256E8ACE" w14:textId="77777777" w:rsidR="007A7C58" w:rsidRDefault="003E3BD6">
            <w:pPr>
              <w:cnfStyle w:val="000000010000" w:firstRow="0" w:lastRow="0" w:firstColumn="0" w:lastColumn="0" w:oddVBand="0" w:evenVBand="0" w:oddHBand="0" w:evenHBand="1" w:firstRowFirstColumn="0" w:firstRowLastColumn="0" w:lastRowFirstColumn="0" w:lastRowLastColumn="0"/>
            </w:pPr>
            <w:r>
              <w:t>IT Lead/Developers</w:t>
            </w:r>
          </w:p>
        </w:tc>
        <w:tc>
          <w:tcPr>
            <w:tcW w:w="1627" w:type="dxa"/>
          </w:tcPr>
          <w:p w14:paraId="1CCFD5E2" w14:textId="77777777" w:rsidR="007A7C58" w:rsidRDefault="003E3BD6">
            <w:pPr>
              <w:cnfStyle w:val="000000010000" w:firstRow="0" w:lastRow="0" w:firstColumn="0" w:lastColumn="0" w:oddVBand="0" w:evenVBand="0" w:oddHBand="0" w:evenHBand="1" w:firstRowFirstColumn="0" w:firstRowLastColumn="0" w:lastRowFirstColumn="0" w:lastRowLastColumn="0"/>
            </w:pPr>
            <w:r>
              <w:t>Founder/CEO</w:t>
            </w:r>
          </w:p>
        </w:tc>
        <w:tc>
          <w:tcPr>
            <w:tcW w:w="1772" w:type="dxa"/>
          </w:tcPr>
          <w:p w14:paraId="6C4CF8CB" w14:textId="77777777" w:rsidR="007A7C58" w:rsidRDefault="003E3BD6">
            <w:pPr>
              <w:cnfStyle w:val="000000010000" w:firstRow="0" w:lastRow="0" w:firstColumn="0" w:lastColumn="0" w:oddVBand="0" w:evenVBand="0" w:oddHBand="0" w:evenHBand="1" w:firstRowFirstColumn="0" w:firstRowLastColumn="0" w:lastRowFirstColumn="0" w:lastRowLastColumn="0"/>
            </w:pPr>
            <w:r>
              <w:t>Customers, Suppliers</w:t>
            </w:r>
          </w:p>
        </w:tc>
        <w:tc>
          <w:tcPr>
            <w:tcW w:w="1624" w:type="dxa"/>
          </w:tcPr>
          <w:p w14:paraId="5FF17EB4" w14:textId="77777777" w:rsidR="007A7C58" w:rsidRDefault="003E3BD6">
            <w:pPr>
              <w:cnfStyle w:val="000000010000" w:firstRow="0" w:lastRow="0" w:firstColumn="0" w:lastColumn="0" w:oddVBand="0" w:evenVBand="0" w:oddHBand="0" w:evenHBand="1" w:firstRowFirstColumn="0" w:firstRowLastColumn="0" w:lastRowFirstColumn="0" w:lastRowLastColumn="0"/>
            </w:pPr>
            <w:r>
              <w:t>University Partners</w:t>
            </w:r>
          </w:p>
        </w:tc>
      </w:tr>
      <w:tr w:rsidR="007A7C58" w14:paraId="5834714F" w14:textId="77777777" w:rsidTr="007A7C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55" w:type="dxa"/>
          </w:tcPr>
          <w:p w14:paraId="02EE7932" w14:textId="77777777" w:rsidR="007A7C58" w:rsidRDefault="003E3BD6">
            <w:r>
              <w:t>Marketing and Branding</w:t>
            </w:r>
          </w:p>
        </w:tc>
        <w:tc>
          <w:tcPr>
            <w:tcW w:w="2064" w:type="dxa"/>
          </w:tcPr>
          <w:p w14:paraId="11AC230C" w14:textId="77777777" w:rsidR="007A7C58" w:rsidRDefault="003E3BD6">
            <w:pPr>
              <w:cnfStyle w:val="000000100000" w:firstRow="0" w:lastRow="0" w:firstColumn="0" w:lastColumn="0" w:oddVBand="0" w:evenVBand="0" w:oddHBand="1" w:evenHBand="0" w:firstRowFirstColumn="0" w:firstRowLastColumn="0" w:lastRowFirstColumn="0" w:lastRowLastColumn="0"/>
            </w:pPr>
            <w:r>
              <w:t>Marketing Manager</w:t>
            </w:r>
          </w:p>
        </w:tc>
        <w:tc>
          <w:tcPr>
            <w:tcW w:w="1627" w:type="dxa"/>
          </w:tcPr>
          <w:p w14:paraId="13C93977" w14:textId="77777777" w:rsidR="007A7C58" w:rsidRDefault="003E3BD6">
            <w:pPr>
              <w:cnfStyle w:val="000000100000" w:firstRow="0" w:lastRow="0" w:firstColumn="0" w:lastColumn="0" w:oddVBand="0" w:evenVBand="0" w:oddHBand="1" w:evenHBand="0" w:firstRowFirstColumn="0" w:firstRowLastColumn="0" w:lastRowFirstColumn="0" w:lastRowLastColumn="0"/>
            </w:pPr>
            <w:r>
              <w:t>Founder/CEO</w:t>
            </w:r>
          </w:p>
        </w:tc>
        <w:tc>
          <w:tcPr>
            <w:tcW w:w="1772" w:type="dxa"/>
          </w:tcPr>
          <w:p w14:paraId="29AE33E4" w14:textId="77777777" w:rsidR="007A7C58" w:rsidRDefault="003E3BD6">
            <w:pPr>
              <w:cnfStyle w:val="000000100000" w:firstRow="0" w:lastRow="0" w:firstColumn="0" w:lastColumn="0" w:oddVBand="0" w:evenVBand="0" w:oddHBand="1" w:evenHBand="0" w:firstRowFirstColumn="0" w:firstRowLastColumn="0" w:lastRowFirstColumn="0" w:lastRowLastColumn="0"/>
            </w:pPr>
            <w:r>
              <w:t>University Partners</w:t>
            </w:r>
          </w:p>
        </w:tc>
        <w:tc>
          <w:tcPr>
            <w:tcW w:w="1624" w:type="dxa"/>
          </w:tcPr>
          <w:p w14:paraId="1B098B5F" w14:textId="77777777" w:rsidR="007A7C58" w:rsidRDefault="003E3BD6">
            <w:pPr>
              <w:cnfStyle w:val="000000100000" w:firstRow="0" w:lastRow="0" w:firstColumn="0" w:lastColumn="0" w:oddVBand="0" w:evenVBand="0" w:oddHBand="1" w:evenHBand="0" w:firstRowFirstColumn="0" w:firstRowLastColumn="0" w:lastRowFirstColumn="0" w:lastRowLastColumn="0"/>
            </w:pPr>
            <w:r>
              <w:t>Customers, Employees</w:t>
            </w:r>
          </w:p>
        </w:tc>
      </w:tr>
      <w:tr w:rsidR="007A7C58" w14:paraId="1013B3BE" w14:textId="77777777" w:rsidTr="007A7C58">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55" w:type="dxa"/>
          </w:tcPr>
          <w:p w14:paraId="6EEBCD92" w14:textId="77777777" w:rsidR="007A7C58" w:rsidRDefault="003E3BD6">
            <w:r>
              <w:t>Logistics and Operations Management</w:t>
            </w:r>
          </w:p>
        </w:tc>
        <w:tc>
          <w:tcPr>
            <w:tcW w:w="2064" w:type="dxa"/>
          </w:tcPr>
          <w:p w14:paraId="673A4D20" w14:textId="77777777" w:rsidR="007A7C58" w:rsidRDefault="003E3BD6">
            <w:pPr>
              <w:cnfStyle w:val="000000010000" w:firstRow="0" w:lastRow="0" w:firstColumn="0" w:lastColumn="0" w:oddVBand="0" w:evenVBand="0" w:oddHBand="0" w:evenHBand="1" w:firstRowFirstColumn="0" w:firstRowLastColumn="0" w:lastRowFirstColumn="0" w:lastRowLastColumn="0"/>
            </w:pPr>
            <w:r>
              <w:t>Operations Team</w:t>
            </w:r>
          </w:p>
        </w:tc>
        <w:tc>
          <w:tcPr>
            <w:tcW w:w="1627" w:type="dxa"/>
          </w:tcPr>
          <w:p w14:paraId="42ADC4D4" w14:textId="77777777" w:rsidR="007A7C58" w:rsidRDefault="003E3BD6">
            <w:pPr>
              <w:cnfStyle w:val="000000010000" w:firstRow="0" w:lastRow="0" w:firstColumn="0" w:lastColumn="0" w:oddVBand="0" w:evenVBand="0" w:oddHBand="0" w:evenHBand="1" w:firstRowFirstColumn="0" w:firstRowLastColumn="0" w:lastRowFirstColumn="0" w:lastRowLastColumn="0"/>
            </w:pPr>
            <w:r>
              <w:t>Management Team</w:t>
            </w:r>
          </w:p>
        </w:tc>
        <w:tc>
          <w:tcPr>
            <w:tcW w:w="1772" w:type="dxa"/>
          </w:tcPr>
          <w:p w14:paraId="1F64CAB1" w14:textId="77777777" w:rsidR="007A7C58" w:rsidRDefault="003E3BD6">
            <w:pPr>
              <w:cnfStyle w:val="000000010000" w:firstRow="0" w:lastRow="0" w:firstColumn="0" w:lastColumn="0" w:oddVBand="0" w:evenVBand="0" w:oddHBand="0" w:evenHBand="1" w:firstRowFirstColumn="0" w:firstRowLastColumn="0" w:lastRowFirstColumn="0" w:lastRowLastColumn="0"/>
            </w:pPr>
            <w:r>
              <w:t>Suppliers</w:t>
            </w:r>
          </w:p>
        </w:tc>
        <w:tc>
          <w:tcPr>
            <w:tcW w:w="1624" w:type="dxa"/>
          </w:tcPr>
          <w:p w14:paraId="78C09B53" w14:textId="77777777" w:rsidR="007A7C58" w:rsidRDefault="003E3BD6">
            <w:pPr>
              <w:cnfStyle w:val="000000010000" w:firstRow="0" w:lastRow="0" w:firstColumn="0" w:lastColumn="0" w:oddVBand="0" w:evenVBand="0" w:oddHBand="0" w:evenHBand="1" w:firstRowFirstColumn="0" w:firstRowLastColumn="0" w:lastRowFirstColumn="0" w:lastRowLastColumn="0"/>
            </w:pPr>
            <w:r>
              <w:t>Customers</w:t>
            </w:r>
          </w:p>
        </w:tc>
      </w:tr>
      <w:tr w:rsidR="007A7C58" w14:paraId="31F15031" w14:textId="77777777" w:rsidTr="007A7C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55" w:type="dxa"/>
          </w:tcPr>
          <w:p w14:paraId="5EE34BC6" w14:textId="77777777" w:rsidR="007A7C58" w:rsidRDefault="003E3BD6">
            <w:r>
              <w:t>Sustainability Initiatives</w:t>
            </w:r>
          </w:p>
        </w:tc>
        <w:tc>
          <w:tcPr>
            <w:tcW w:w="2064" w:type="dxa"/>
          </w:tcPr>
          <w:p w14:paraId="50DEDD45" w14:textId="77777777" w:rsidR="007A7C58" w:rsidRDefault="003E3BD6">
            <w:pPr>
              <w:cnfStyle w:val="000000100000" w:firstRow="0" w:lastRow="0" w:firstColumn="0" w:lastColumn="0" w:oddVBand="0" w:evenVBand="0" w:oddHBand="1" w:evenHBand="0" w:firstRowFirstColumn="0" w:firstRowLastColumn="0" w:lastRowFirstColumn="0" w:lastRowLastColumn="0"/>
            </w:pPr>
            <w:r>
              <w:t>Sustainability Officer / Management</w:t>
            </w:r>
          </w:p>
        </w:tc>
        <w:tc>
          <w:tcPr>
            <w:tcW w:w="1627" w:type="dxa"/>
          </w:tcPr>
          <w:p w14:paraId="10DB80F4" w14:textId="77777777" w:rsidR="007A7C58" w:rsidRDefault="003E3BD6">
            <w:pPr>
              <w:cnfStyle w:val="000000100000" w:firstRow="0" w:lastRow="0" w:firstColumn="0" w:lastColumn="0" w:oddVBand="0" w:evenVBand="0" w:oddHBand="1" w:evenHBand="0" w:firstRowFirstColumn="0" w:firstRowLastColumn="0" w:lastRowFirstColumn="0" w:lastRowLastColumn="0"/>
            </w:pPr>
            <w:r>
              <w:t>Founder/CEO</w:t>
            </w:r>
          </w:p>
        </w:tc>
        <w:tc>
          <w:tcPr>
            <w:tcW w:w="1772" w:type="dxa"/>
          </w:tcPr>
          <w:p w14:paraId="4FEEBECC" w14:textId="77777777" w:rsidR="007A7C58" w:rsidRDefault="003E3BD6">
            <w:pPr>
              <w:cnfStyle w:val="000000100000" w:firstRow="0" w:lastRow="0" w:firstColumn="0" w:lastColumn="0" w:oddVBand="0" w:evenVBand="0" w:oddHBand="1" w:evenHBand="0" w:firstRowFirstColumn="0" w:firstRowLastColumn="0" w:lastRowFirstColumn="0" w:lastRowLastColumn="0"/>
            </w:pPr>
            <w:r>
              <w:t>Environmental Groups</w:t>
            </w:r>
          </w:p>
        </w:tc>
        <w:tc>
          <w:tcPr>
            <w:tcW w:w="1624" w:type="dxa"/>
          </w:tcPr>
          <w:p w14:paraId="151A6DC1" w14:textId="77777777" w:rsidR="007A7C58" w:rsidRDefault="003E3BD6">
            <w:pPr>
              <w:cnfStyle w:val="000000100000" w:firstRow="0" w:lastRow="0" w:firstColumn="0" w:lastColumn="0" w:oddVBand="0" w:evenVBand="0" w:oddHBand="1" w:evenHBand="0" w:firstRowFirstColumn="0" w:firstRowLastColumn="0" w:lastRowFirstColumn="0" w:lastRowLastColumn="0"/>
            </w:pPr>
            <w:r>
              <w:t>Employees, Communities</w:t>
            </w:r>
          </w:p>
        </w:tc>
      </w:tr>
      <w:tr w:rsidR="007A7C58" w14:paraId="259E198A" w14:textId="77777777" w:rsidTr="007A7C58">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55" w:type="dxa"/>
          </w:tcPr>
          <w:p w14:paraId="119E41CB" w14:textId="77777777" w:rsidR="007A7C58" w:rsidRDefault="003E3BD6">
            <w:r>
              <w:t>Financial Planning and Reporting</w:t>
            </w:r>
          </w:p>
        </w:tc>
        <w:tc>
          <w:tcPr>
            <w:tcW w:w="2064" w:type="dxa"/>
          </w:tcPr>
          <w:p w14:paraId="7F4EC1FD" w14:textId="77777777" w:rsidR="007A7C58" w:rsidRDefault="003E3BD6">
            <w:pPr>
              <w:cnfStyle w:val="000000010000" w:firstRow="0" w:lastRow="0" w:firstColumn="0" w:lastColumn="0" w:oddVBand="0" w:evenVBand="0" w:oddHBand="0" w:evenHBand="1" w:firstRowFirstColumn="0" w:firstRowLastColumn="0" w:lastRowFirstColumn="0" w:lastRowLastColumn="0"/>
            </w:pPr>
            <w:r>
              <w:t>Finance Officer</w:t>
            </w:r>
          </w:p>
        </w:tc>
        <w:tc>
          <w:tcPr>
            <w:tcW w:w="1627" w:type="dxa"/>
          </w:tcPr>
          <w:p w14:paraId="0B74FE6D" w14:textId="77777777" w:rsidR="007A7C58" w:rsidRDefault="003E3BD6">
            <w:pPr>
              <w:cnfStyle w:val="000000010000" w:firstRow="0" w:lastRow="0" w:firstColumn="0" w:lastColumn="0" w:oddVBand="0" w:evenVBand="0" w:oddHBand="0" w:evenHBand="1" w:firstRowFirstColumn="0" w:firstRowLastColumn="0" w:lastRowFirstColumn="0" w:lastRowLastColumn="0"/>
            </w:pPr>
            <w:r>
              <w:t>Founder/CEO</w:t>
            </w:r>
          </w:p>
        </w:tc>
        <w:tc>
          <w:tcPr>
            <w:tcW w:w="1772" w:type="dxa"/>
          </w:tcPr>
          <w:p w14:paraId="22514449" w14:textId="77777777" w:rsidR="007A7C58" w:rsidRDefault="003E3BD6">
            <w:pPr>
              <w:cnfStyle w:val="000000010000" w:firstRow="0" w:lastRow="0" w:firstColumn="0" w:lastColumn="0" w:oddVBand="0" w:evenVBand="0" w:oddHBand="0" w:evenHBand="1" w:firstRowFirstColumn="0" w:firstRowLastColumn="0" w:lastRowFirstColumn="0" w:lastRowLastColumn="0"/>
            </w:pPr>
            <w:r>
              <w:t>Investors</w:t>
            </w:r>
          </w:p>
        </w:tc>
        <w:tc>
          <w:tcPr>
            <w:tcW w:w="1624" w:type="dxa"/>
          </w:tcPr>
          <w:p w14:paraId="22B57033" w14:textId="77777777" w:rsidR="007A7C58" w:rsidRDefault="003E3BD6">
            <w:pPr>
              <w:cnfStyle w:val="000000010000" w:firstRow="0" w:lastRow="0" w:firstColumn="0" w:lastColumn="0" w:oddVBand="0" w:evenVBand="0" w:oddHBand="0" w:evenHBand="1" w:firstRowFirstColumn="0" w:firstRowLastColumn="0" w:lastRowFirstColumn="0" w:lastRowLastColumn="0"/>
            </w:pPr>
            <w:r>
              <w:t>Management Team</w:t>
            </w:r>
          </w:p>
        </w:tc>
      </w:tr>
      <w:tr w:rsidR="007A7C58" w14:paraId="343F447D" w14:textId="77777777" w:rsidTr="007A7C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55" w:type="dxa"/>
          </w:tcPr>
          <w:p w14:paraId="3D4681C6" w14:textId="77777777" w:rsidR="007A7C58" w:rsidRDefault="003E3BD6">
            <w:r>
              <w:t>Customer Relationship Management</w:t>
            </w:r>
          </w:p>
        </w:tc>
        <w:tc>
          <w:tcPr>
            <w:tcW w:w="2064" w:type="dxa"/>
          </w:tcPr>
          <w:p w14:paraId="54ED5D13" w14:textId="77777777" w:rsidR="007A7C58" w:rsidRDefault="003E3BD6">
            <w:pPr>
              <w:cnfStyle w:val="000000100000" w:firstRow="0" w:lastRow="0" w:firstColumn="0" w:lastColumn="0" w:oddVBand="0" w:evenVBand="0" w:oddHBand="1" w:evenHBand="0" w:firstRowFirstColumn="0" w:firstRowLastColumn="0" w:lastRowFirstColumn="0" w:lastRowLastColumn="0"/>
            </w:pPr>
            <w:r>
              <w:t>Customer Service Team</w:t>
            </w:r>
          </w:p>
        </w:tc>
        <w:tc>
          <w:tcPr>
            <w:tcW w:w="1627" w:type="dxa"/>
          </w:tcPr>
          <w:p w14:paraId="31187B11" w14:textId="77777777" w:rsidR="007A7C58" w:rsidRDefault="003E3BD6">
            <w:pPr>
              <w:cnfStyle w:val="000000100000" w:firstRow="0" w:lastRow="0" w:firstColumn="0" w:lastColumn="0" w:oddVBand="0" w:evenVBand="0" w:oddHBand="1" w:evenHBand="0" w:firstRowFirstColumn="0" w:firstRowLastColumn="0" w:lastRowFirstColumn="0" w:lastRowLastColumn="0"/>
            </w:pPr>
            <w:r>
              <w:t>Management Team</w:t>
            </w:r>
          </w:p>
        </w:tc>
        <w:tc>
          <w:tcPr>
            <w:tcW w:w="1772" w:type="dxa"/>
          </w:tcPr>
          <w:p w14:paraId="13361ADD" w14:textId="77777777" w:rsidR="007A7C58" w:rsidRDefault="003E3BD6">
            <w:pPr>
              <w:cnfStyle w:val="000000100000" w:firstRow="0" w:lastRow="0" w:firstColumn="0" w:lastColumn="0" w:oddVBand="0" w:evenVBand="0" w:oddHBand="1" w:evenHBand="0" w:firstRowFirstColumn="0" w:firstRowLastColumn="0" w:lastRowFirstColumn="0" w:lastRowLastColumn="0"/>
            </w:pPr>
            <w:r>
              <w:t>Customers</w:t>
            </w:r>
          </w:p>
        </w:tc>
        <w:tc>
          <w:tcPr>
            <w:tcW w:w="1624" w:type="dxa"/>
          </w:tcPr>
          <w:p w14:paraId="1DB1420A" w14:textId="77777777" w:rsidR="007A7C58" w:rsidRDefault="003E3BD6">
            <w:pPr>
              <w:cnfStyle w:val="000000100000" w:firstRow="0" w:lastRow="0" w:firstColumn="0" w:lastColumn="0" w:oddVBand="0" w:evenVBand="0" w:oddHBand="1" w:evenHBand="0" w:firstRowFirstColumn="0" w:firstRowLastColumn="0" w:lastRowFirstColumn="0" w:lastRowLastColumn="0"/>
            </w:pPr>
            <w:r>
              <w:t>Universities</w:t>
            </w:r>
          </w:p>
        </w:tc>
      </w:tr>
      <w:tr w:rsidR="007A7C58" w14:paraId="5EC7B05F" w14:textId="77777777" w:rsidTr="007A7C58">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55" w:type="dxa"/>
          </w:tcPr>
          <w:p w14:paraId="7A33347E" w14:textId="77777777" w:rsidR="007A7C58" w:rsidRDefault="003E3BD6">
            <w:r>
              <w:lastRenderedPageBreak/>
              <w:t>Compliance and Regulatory Adherence</w:t>
            </w:r>
          </w:p>
        </w:tc>
        <w:tc>
          <w:tcPr>
            <w:tcW w:w="2064" w:type="dxa"/>
          </w:tcPr>
          <w:p w14:paraId="1971B1BF" w14:textId="77777777" w:rsidR="007A7C58" w:rsidRDefault="003E3BD6">
            <w:pPr>
              <w:cnfStyle w:val="000000010000" w:firstRow="0" w:lastRow="0" w:firstColumn="0" w:lastColumn="0" w:oddVBand="0" w:evenVBand="0" w:oddHBand="0" w:evenHBand="1" w:firstRowFirstColumn="0" w:firstRowLastColumn="0" w:lastRowFirstColumn="0" w:lastRowLastColumn="0"/>
            </w:pPr>
            <w:r>
              <w:t>Compliance Officer</w:t>
            </w:r>
          </w:p>
        </w:tc>
        <w:tc>
          <w:tcPr>
            <w:tcW w:w="1627" w:type="dxa"/>
          </w:tcPr>
          <w:p w14:paraId="39BCBC7C" w14:textId="77777777" w:rsidR="007A7C58" w:rsidRDefault="003E3BD6">
            <w:pPr>
              <w:cnfStyle w:val="000000010000" w:firstRow="0" w:lastRow="0" w:firstColumn="0" w:lastColumn="0" w:oddVBand="0" w:evenVBand="0" w:oddHBand="0" w:evenHBand="1" w:firstRowFirstColumn="0" w:firstRowLastColumn="0" w:lastRowFirstColumn="0" w:lastRowLastColumn="0"/>
            </w:pPr>
            <w:r>
              <w:t>Founder/CEO</w:t>
            </w:r>
          </w:p>
        </w:tc>
        <w:tc>
          <w:tcPr>
            <w:tcW w:w="1772" w:type="dxa"/>
          </w:tcPr>
          <w:p w14:paraId="1897C18F" w14:textId="77777777" w:rsidR="007A7C58" w:rsidRDefault="003E3BD6">
            <w:pPr>
              <w:cnfStyle w:val="000000010000" w:firstRow="0" w:lastRow="0" w:firstColumn="0" w:lastColumn="0" w:oddVBand="0" w:evenVBand="0" w:oddHBand="0" w:evenHBand="1" w:firstRowFirstColumn="0" w:firstRowLastColumn="0" w:lastRowFirstColumn="0" w:lastRowLastColumn="0"/>
            </w:pPr>
            <w:r>
              <w:t>Regulators</w:t>
            </w:r>
          </w:p>
        </w:tc>
        <w:tc>
          <w:tcPr>
            <w:tcW w:w="1624" w:type="dxa"/>
          </w:tcPr>
          <w:p w14:paraId="10E93CA1" w14:textId="77777777" w:rsidR="007A7C58" w:rsidRDefault="003E3BD6">
            <w:pPr>
              <w:cnfStyle w:val="000000010000" w:firstRow="0" w:lastRow="0" w:firstColumn="0" w:lastColumn="0" w:oddVBand="0" w:evenVBand="0" w:oddHBand="0" w:evenHBand="1" w:firstRowFirstColumn="0" w:firstRowLastColumn="0" w:lastRowFirstColumn="0" w:lastRowLastColumn="0"/>
            </w:pPr>
            <w:r>
              <w:t>Management Team</w:t>
            </w:r>
          </w:p>
        </w:tc>
      </w:tr>
    </w:tbl>
    <w:p w14:paraId="2DC61C15" w14:textId="77777777" w:rsidR="007A7C58" w:rsidRDefault="007A7C58"/>
    <w:p w14:paraId="243016DD" w14:textId="77777777" w:rsidR="007A7C58" w:rsidRDefault="003E3BD6">
      <w:r>
        <w:t xml:space="preserve">The RACI analysis reveals that the founder and the management team are the ones who bear the most responsibility - which is quite typical for small and medium-sized enterprises where decision-making is usually concentrated. However, according to the growth of the company, it will be very necessary to start gradually transferring the power of decision to the division heads. This will prevent situations in which decisions are delayed, and it will make the company more agile and able to react quickly. It will </w:t>
      </w:r>
      <w:r>
        <w:t xml:space="preserve">not only be more efficient to give the authority to the middle-level managers, but they also will become more involved, motivating the company to handle the challenges in an effective way.    </w:t>
      </w:r>
    </w:p>
    <w:p w14:paraId="63E9EFD4" w14:textId="77777777" w:rsidR="007A7C58" w:rsidRDefault="003E3BD6">
      <w:pPr>
        <w:pStyle w:val="Heading1"/>
      </w:pPr>
      <w:bookmarkStart w:id="22" w:name="_heading=h.xoyujh19zvta" w:colFirst="0" w:colLast="0"/>
      <w:bookmarkEnd w:id="22"/>
      <w:r>
        <w:t xml:space="preserve">6.0 Strategic Recommendations and Implementation </w:t>
      </w:r>
    </w:p>
    <w:p w14:paraId="20A2862A" w14:textId="77777777" w:rsidR="007A7C58" w:rsidRDefault="003E3BD6">
      <w:pPr>
        <w:pStyle w:val="Heading2"/>
      </w:pPr>
      <w:bookmarkStart w:id="23" w:name="_heading=h.3q05q0mu9oep" w:colFirst="0" w:colLast="0"/>
      <w:bookmarkEnd w:id="23"/>
      <w:r>
        <w:t>6.1 Digital Transformation and Innovation</w:t>
      </w:r>
    </w:p>
    <w:p w14:paraId="1601AD30" w14:textId="77777777" w:rsidR="007A7C58" w:rsidRDefault="003E3BD6">
      <w:r>
        <w:t xml:space="preserve">Kit Keeper, which is already employing technology in its operations, needs to invest substantially more in its digital infrastructure if it plans to be a leader in the market. Upgrading the online booking system by adding features such as real-time tracking, AI for stock management, and automated customer assistance will not only make things easier for customers but also reduce operational headaches.  </w:t>
      </w:r>
    </w:p>
    <w:p w14:paraId="595DB931" w14:textId="77777777" w:rsidR="007A7C58" w:rsidRDefault="003E3BD6">
      <w:pPr>
        <w:pStyle w:val="Heading2"/>
      </w:pPr>
      <w:bookmarkStart w:id="24" w:name="_heading=h.r4ihnyocndmg" w:colFirst="0" w:colLast="0"/>
      <w:bookmarkEnd w:id="24"/>
      <w:r>
        <w:t>6.2 Strategic Partnerships and Market Expansion</w:t>
      </w:r>
    </w:p>
    <w:p w14:paraId="7B9673D3" w14:textId="77777777" w:rsidR="007A7C58" w:rsidRDefault="003E3BD6">
      <w:r>
        <w:t>Extending one's skills depends mostly on building strong alliances. Working with colleges, student unions, and transportation firms will be the best approach to get long-term contracts and stabilize the need for services. Moreover, collaborating with international logistics companies can facilitate market entry in Europe and North America (Ahmed and Ahmed, 2024). This move perfectly aligns with the Ansoff Matrix by allowing market development with minimized risks. Engagement with universities enhances brand</w:t>
      </w:r>
      <w:r>
        <w:t xml:space="preserve"> trust, and partnership with logistics players simply paves the way for the easy scale-up of operations and flow of work.  </w:t>
      </w:r>
    </w:p>
    <w:p w14:paraId="55E65C7D" w14:textId="77777777" w:rsidR="007A7C58" w:rsidRDefault="003E3BD6">
      <w:pPr>
        <w:pStyle w:val="Heading2"/>
      </w:pPr>
      <w:bookmarkStart w:id="25" w:name="_heading=h.4iiyzm1zba2e" w:colFirst="0" w:colLast="0"/>
      <w:bookmarkEnd w:id="25"/>
      <w:r>
        <w:t>6.3 Workforce Development and Organisational Capacity</w:t>
      </w:r>
    </w:p>
    <w:p w14:paraId="0177048D" w14:textId="77777777" w:rsidR="007A7C58" w:rsidRDefault="003E3BD6">
      <w:r>
        <w:t xml:space="preserve">Kit Keeper, being a small business with less than ten employees, is a staff-dependent business where the staff's proficiency determines the growth of the company. The company investing in employee training and development especially in areas such as digital skills, customer service, and efficient management of operations is of great importance (Ncube, Dube and Ward, 2022). Recruiting more people in marketing, IT, and logistics will be good for </w:t>
      </w:r>
      <w:r>
        <w:lastRenderedPageBreak/>
        <w:t>meeting the increasing demand. Distributed leadership, supported by the RACI framework, will clarify responsibilities, accelerate decision-making, and ensure accountability if used by the company.</w:t>
      </w:r>
    </w:p>
    <w:p w14:paraId="4DF6403B" w14:textId="77777777" w:rsidR="007A7C58" w:rsidRDefault="003E3BD6">
      <w:pPr>
        <w:pStyle w:val="Heading2"/>
      </w:pPr>
      <w:bookmarkStart w:id="26" w:name="_heading=h.brhzh1fo6zin" w:colFirst="0" w:colLast="0"/>
      <w:bookmarkEnd w:id="26"/>
      <w:r>
        <w:t>6.4 Sustainability Integration</w:t>
      </w:r>
    </w:p>
    <w:p w14:paraId="7B0AFB50" w14:textId="77777777" w:rsidR="007A7C58" w:rsidRDefault="003E3BD6">
      <w:r>
        <w:t>Kit Keeper has sustainability as a major pillar of its future. The company is concentrating on more environmentally friendly packaging, committing to carbon-neutral shipping, and starting initiatives that aim at reducing the waste. Thus by following this process it helps the UN to meet its climate targets for responsible consumption and action (Purnell, 2022). Using green logistics and switching to hybrid or electric vehicles will help the firm to not only lessen its environmental effects but also boost its</w:t>
      </w:r>
      <w:r>
        <w:t xml:space="preserve"> brand reputation. </w:t>
      </w:r>
    </w:p>
    <w:p w14:paraId="6F58163C" w14:textId="77777777" w:rsidR="007A7C58" w:rsidRDefault="003E3BD6">
      <w:pPr>
        <w:pStyle w:val="Heading2"/>
      </w:pPr>
      <w:bookmarkStart w:id="27" w:name="_heading=h.gum8giuewv4n" w:colFirst="0" w:colLast="0"/>
      <w:bookmarkEnd w:id="27"/>
      <w:r>
        <w:t>6.5 Implementation Plan</w:t>
      </w:r>
    </w:p>
    <w:tbl>
      <w:tblPr>
        <w:tblStyle w:val="a5"/>
        <w:tblW w:w="9242" w:type="dxa"/>
        <w:tblInd w:w="-108" w:type="dxa"/>
        <w:tblBorders>
          <w:top w:val="single" w:sz="8" w:space="0" w:color="A5A5A5"/>
          <w:left w:val="single" w:sz="8" w:space="0" w:color="A5A5A5"/>
          <w:bottom w:val="single" w:sz="8" w:space="0" w:color="A5A5A5"/>
          <w:right w:val="single" w:sz="8" w:space="0" w:color="A5A5A5"/>
          <w:insideH w:val="single" w:sz="8" w:space="0" w:color="A5A5A5"/>
          <w:insideV w:val="single" w:sz="8" w:space="0" w:color="A5A5A5"/>
        </w:tblBorders>
        <w:tblLayout w:type="fixed"/>
        <w:tblLook w:val="04A0" w:firstRow="1" w:lastRow="0" w:firstColumn="1" w:lastColumn="0" w:noHBand="0" w:noVBand="1"/>
      </w:tblPr>
      <w:tblGrid>
        <w:gridCol w:w="924"/>
        <w:gridCol w:w="1269"/>
        <w:gridCol w:w="3368"/>
        <w:gridCol w:w="3681"/>
      </w:tblGrid>
      <w:tr w:rsidR="007A7C58" w14:paraId="71333109" w14:textId="77777777" w:rsidTr="007A7C5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24" w:type="dxa"/>
          </w:tcPr>
          <w:p w14:paraId="2159E479" w14:textId="77777777" w:rsidR="007A7C58" w:rsidRDefault="003E3BD6">
            <w:pPr>
              <w:spacing w:after="160"/>
            </w:pPr>
            <w:r>
              <w:t>Phase</w:t>
            </w:r>
          </w:p>
        </w:tc>
        <w:tc>
          <w:tcPr>
            <w:tcW w:w="1269" w:type="dxa"/>
          </w:tcPr>
          <w:p w14:paraId="109EC65C" w14:textId="77777777" w:rsidR="007A7C58" w:rsidRDefault="003E3BD6">
            <w:pPr>
              <w:spacing w:after="160"/>
              <w:cnfStyle w:val="100000000000" w:firstRow="1" w:lastRow="0" w:firstColumn="0" w:lastColumn="0" w:oddVBand="0" w:evenVBand="0" w:oddHBand="0" w:evenHBand="0" w:firstRowFirstColumn="0" w:firstRowLastColumn="0" w:lastRowFirstColumn="0" w:lastRowLastColumn="0"/>
            </w:pPr>
            <w:r>
              <w:t>Timeline</w:t>
            </w:r>
          </w:p>
        </w:tc>
        <w:tc>
          <w:tcPr>
            <w:tcW w:w="3368" w:type="dxa"/>
          </w:tcPr>
          <w:p w14:paraId="362C6714" w14:textId="77777777" w:rsidR="007A7C58" w:rsidRDefault="003E3BD6">
            <w:pPr>
              <w:spacing w:after="160"/>
              <w:cnfStyle w:val="100000000000" w:firstRow="1" w:lastRow="0" w:firstColumn="0" w:lastColumn="0" w:oddVBand="0" w:evenVBand="0" w:oddHBand="0" w:evenHBand="0" w:firstRowFirstColumn="0" w:firstRowLastColumn="0" w:lastRowFirstColumn="0" w:lastRowLastColumn="0"/>
            </w:pPr>
            <w:r>
              <w:t>Main actions</w:t>
            </w:r>
          </w:p>
        </w:tc>
        <w:tc>
          <w:tcPr>
            <w:tcW w:w="3681" w:type="dxa"/>
          </w:tcPr>
          <w:p w14:paraId="607B31D2" w14:textId="77777777" w:rsidR="007A7C58" w:rsidRDefault="003E3BD6">
            <w:pPr>
              <w:spacing w:after="160"/>
              <w:cnfStyle w:val="100000000000" w:firstRow="1" w:lastRow="0" w:firstColumn="0" w:lastColumn="0" w:oddVBand="0" w:evenVBand="0" w:oddHBand="0" w:evenHBand="0" w:firstRowFirstColumn="0" w:firstRowLastColumn="0" w:lastRowFirstColumn="0" w:lastRowLastColumn="0"/>
            </w:pPr>
            <w:r>
              <w:t>Key outcomes / notes</w:t>
            </w:r>
          </w:p>
        </w:tc>
      </w:tr>
      <w:tr w:rsidR="007A7C58" w14:paraId="58BEC965" w14:textId="77777777" w:rsidTr="007A7C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24" w:type="dxa"/>
          </w:tcPr>
          <w:p w14:paraId="53ED07C0" w14:textId="77777777" w:rsidR="007A7C58" w:rsidRDefault="003E3BD6">
            <w:pPr>
              <w:spacing w:after="160"/>
            </w:pPr>
            <w:r>
              <w:t>Phase 1</w:t>
            </w:r>
          </w:p>
        </w:tc>
        <w:tc>
          <w:tcPr>
            <w:tcW w:w="1269" w:type="dxa"/>
          </w:tcPr>
          <w:p w14:paraId="474F36BA" w14:textId="77777777" w:rsidR="007A7C58" w:rsidRDefault="003E3BD6">
            <w:pPr>
              <w:spacing w:after="160"/>
              <w:cnfStyle w:val="000000100000" w:firstRow="0" w:lastRow="0" w:firstColumn="0" w:lastColumn="0" w:oddVBand="0" w:evenVBand="0" w:oddHBand="1" w:evenHBand="0" w:firstRowFirstColumn="0" w:firstRowLastColumn="0" w:lastRowFirstColumn="0" w:lastRowLastColumn="0"/>
            </w:pPr>
            <w:r>
              <w:t>0–6 months</w:t>
            </w:r>
          </w:p>
        </w:tc>
        <w:tc>
          <w:tcPr>
            <w:tcW w:w="3368" w:type="dxa"/>
          </w:tcPr>
          <w:p w14:paraId="44F35F94" w14:textId="77777777" w:rsidR="007A7C58" w:rsidRDefault="003E3BD6">
            <w:pPr>
              <w:spacing w:after="160"/>
              <w:cnfStyle w:val="000000100000" w:firstRow="0" w:lastRow="0" w:firstColumn="0" w:lastColumn="0" w:oddVBand="0" w:evenVBand="0" w:oddHBand="1" w:evenHBand="0" w:firstRowFirstColumn="0" w:firstRowLastColumn="0" w:lastRowFirstColumn="0" w:lastRowLastColumn="0"/>
            </w:pPr>
            <w:r>
              <w:t>- Upgrade digital systems</w:t>
            </w:r>
            <w:r>
              <w:br/>
              <w:t>- Roll out a CRM</w:t>
            </w:r>
            <w:r>
              <w:br/>
            </w:r>
            <w:r>
              <w:t>- Recruitment and training for team readiness</w:t>
            </w:r>
          </w:p>
        </w:tc>
        <w:tc>
          <w:tcPr>
            <w:tcW w:w="3681" w:type="dxa"/>
          </w:tcPr>
          <w:p w14:paraId="47A67AB8" w14:textId="77777777" w:rsidR="007A7C58" w:rsidRDefault="003E3BD6">
            <w:pPr>
              <w:spacing w:after="160"/>
              <w:cnfStyle w:val="000000100000" w:firstRow="0" w:lastRow="0" w:firstColumn="0" w:lastColumn="0" w:oddVBand="0" w:evenVBand="0" w:oddHBand="1" w:evenHBand="0" w:firstRowFirstColumn="0" w:firstRowLastColumn="0" w:lastRowFirstColumn="0" w:lastRowLastColumn="0"/>
            </w:pPr>
            <w:r>
              <w:t>Modernised operations, centralised customer data, skilled staff prepared for scale</w:t>
            </w:r>
          </w:p>
        </w:tc>
      </w:tr>
      <w:tr w:rsidR="007A7C58" w14:paraId="150C60A4" w14:textId="77777777" w:rsidTr="007A7C58">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24" w:type="dxa"/>
          </w:tcPr>
          <w:p w14:paraId="2A411EC1" w14:textId="77777777" w:rsidR="007A7C58" w:rsidRDefault="003E3BD6">
            <w:pPr>
              <w:spacing w:after="160"/>
            </w:pPr>
            <w:r>
              <w:t>Phase 2</w:t>
            </w:r>
          </w:p>
        </w:tc>
        <w:tc>
          <w:tcPr>
            <w:tcW w:w="1269" w:type="dxa"/>
          </w:tcPr>
          <w:p w14:paraId="1F459DA5" w14:textId="77777777" w:rsidR="007A7C58" w:rsidRDefault="003E3BD6">
            <w:pPr>
              <w:spacing w:after="160"/>
              <w:cnfStyle w:val="000000010000" w:firstRow="0" w:lastRow="0" w:firstColumn="0" w:lastColumn="0" w:oddVBand="0" w:evenVBand="0" w:oddHBand="0" w:evenHBand="1" w:firstRowFirstColumn="0" w:firstRowLastColumn="0" w:lastRowFirstColumn="0" w:lastRowLastColumn="0"/>
            </w:pPr>
            <w:r>
              <w:t>6–12 months</w:t>
            </w:r>
          </w:p>
        </w:tc>
        <w:tc>
          <w:tcPr>
            <w:tcW w:w="3368" w:type="dxa"/>
          </w:tcPr>
          <w:p w14:paraId="4CBD7A03" w14:textId="77777777" w:rsidR="007A7C58" w:rsidRDefault="003E3BD6">
            <w:pPr>
              <w:spacing w:after="160"/>
              <w:cnfStyle w:val="000000010000" w:firstRow="0" w:lastRow="0" w:firstColumn="0" w:lastColumn="0" w:oddVBand="0" w:evenVBand="0" w:oddHBand="0" w:evenHBand="1" w:firstRowFirstColumn="0" w:firstRowLastColumn="0" w:lastRowFirstColumn="0" w:lastRowLastColumn="0"/>
            </w:pPr>
            <w:r>
              <w:t>- Build strategic partnerships</w:t>
            </w:r>
            <w:r>
              <w:br/>
              <w:t>- Grow UK operations</w:t>
            </w:r>
          </w:p>
        </w:tc>
        <w:tc>
          <w:tcPr>
            <w:tcW w:w="3681" w:type="dxa"/>
          </w:tcPr>
          <w:p w14:paraId="1BFEB256" w14:textId="77777777" w:rsidR="007A7C58" w:rsidRDefault="003E3BD6">
            <w:pPr>
              <w:spacing w:after="160"/>
              <w:cnfStyle w:val="000000010000" w:firstRow="0" w:lastRow="0" w:firstColumn="0" w:lastColumn="0" w:oddVBand="0" w:evenVBand="0" w:oddHBand="0" w:evenHBand="1" w:firstRowFirstColumn="0" w:firstRowLastColumn="0" w:lastRowFirstColumn="0" w:lastRowLastColumn="0"/>
            </w:pPr>
            <w:r>
              <w:t>Strong partner network, increased market share and operational capacity in the UK</w:t>
            </w:r>
          </w:p>
        </w:tc>
      </w:tr>
      <w:tr w:rsidR="007A7C58" w14:paraId="0876557F" w14:textId="77777777" w:rsidTr="007A7C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24" w:type="dxa"/>
          </w:tcPr>
          <w:p w14:paraId="16E42D6D" w14:textId="77777777" w:rsidR="007A7C58" w:rsidRDefault="003E3BD6">
            <w:pPr>
              <w:spacing w:after="160"/>
            </w:pPr>
            <w:r>
              <w:t>Phase 3</w:t>
            </w:r>
          </w:p>
        </w:tc>
        <w:tc>
          <w:tcPr>
            <w:tcW w:w="1269" w:type="dxa"/>
          </w:tcPr>
          <w:p w14:paraId="4AAF6AC4" w14:textId="77777777" w:rsidR="007A7C58" w:rsidRDefault="003E3BD6">
            <w:pPr>
              <w:spacing w:after="160"/>
              <w:cnfStyle w:val="000000100000" w:firstRow="0" w:lastRow="0" w:firstColumn="0" w:lastColumn="0" w:oddVBand="0" w:evenVBand="0" w:oddHBand="1" w:evenHBand="0" w:firstRowFirstColumn="0" w:firstRowLastColumn="0" w:lastRowFirstColumn="0" w:lastRowLastColumn="0"/>
            </w:pPr>
            <w:r>
              <w:t>12–24 months</w:t>
            </w:r>
          </w:p>
        </w:tc>
        <w:tc>
          <w:tcPr>
            <w:tcW w:w="3368" w:type="dxa"/>
          </w:tcPr>
          <w:p w14:paraId="469FB593" w14:textId="77777777" w:rsidR="007A7C58" w:rsidRDefault="003E3BD6">
            <w:pPr>
              <w:spacing w:after="160"/>
              <w:cnfStyle w:val="000000100000" w:firstRow="0" w:lastRow="0" w:firstColumn="0" w:lastColumn="0" w:oddVBand="0" w:evenVBand="0" w:oddHBand="1" w:evenHBand="0" w:firstRowFirstColumn="0" w:firstRowLastColumn="0" w:lastRowFirstColumn="0" w:lastRowLastColumn="0"/>
            </w:pPr>
            <w:r>
              <w:t>- Global expansion</w:t>
            </w:r>
            <w:r>
              <w:br/>
              <w:t>- Integrate sustainability (carbon-neutral logistics, sustainability reporting)</w:t>
            </w:r>
          </w:p>
        </w:tc>
        <w:tc>
          <w:tcPr>
            <w:tcW w:w="3681" w:type="dxa"/>
          </w:tcPr>
          <w:p w14:paraId="7805901B" w14:textId="77777777" w:rsidR="007A7C58" w:rsidRDefault="003E3BD6">
            <w:pPr>
              <w:spacing w:after="160"/>
              <w:cnfStyle w:val="000000100000" w:firstRow="0" w:lastRow="0" w:firstColumn="0" w:lastColumn="0" w:oddVBand="0" w:evenVBand="0" w:oddHBand="1" w:evenHBand="0" w:firstRowFirstColumn="0" w:firstRowLastColumn="0" w:lastRowFirstColumn="0" w:lastRowLastColumn="0"/>
            </w:pPr>
            <w:r>
              <w:t>International presence with embedded sustainability practices and formal reporting</w:t>
            </w:r>
          </w:p>
        </w:tc>
      </w:tr>
    </w:tbl>
    <w:p w14:paraId="3EBA9C03" w14:textId="77777777" w:rsidR="007A7C58" w:rsidRDefault="007A7C58"/>
    <w:p w14:paraId="180005BF" w14:textId="77777777" w:rsidR="007A7C58" w:rsidRDefault="003E3BD6">
      <w:r>
        <w:t xml:space="preserve">The above charted strategy enables the company to have a guarantee of the fact that the development will be slow and that the confidence of the stakeholders will be preserved. Apart from that the leadership which will also be modified as necessary, as well as ongoing monitoring of progress and candid communication will further enable the project to stay on course and reach its goals.  </w:t>
      </w:r>
    </w:p>
    <w:p w14:paraId="53E91E04" w14:textId="77777777" w:rsidR="007A7C58" w:rsidRDefault="007A7C58"/>
    <w:p w14:paraId="3131710C" w14:textId="77777777" w:rsidR="007A7C58" w:rsidRDefault="003E3BD6">
      <w:pPr>
        <w:pStyle w:val="Heading1"/>
      </w:pPr>
      <w:bookmarkStart w:id="28" w:name="_heading=h.b68dhztx52j8" w:colFirst="0" w:colLast="0"/>
      <w:bookmarkEnd w:id="28"/>
      <w:r>
        <w:t>7.0 Conclusion</w:t>
      </w:r>
    </w:p>
    <w:p w14:paraId="50CA9AEC" w14:textId="77777777" w:rsidR="007A7C58" w:rsidRDefault="003E3BD6">
      <w:pPr>
        <w:rPr>
          <w:b/>
          <w:sz w:val="26"/>
          <w:szCs w:val="26"/>
        </w:rPr>
      </w:pPr>
      <w:r>
        <w:t xml:space="preserve">Based on the report it can be concluded that Kit Keeper UK strategic review unveils their leadership in the market. It can be considered to be the result of their innovative ideas, true customer centrism, and intelligent digital tool utilization. From 2017, this company can be said </w:t>
      </w:r>
      <w:r>
        <w:lastRenderedPageBreak/>
        <w:t>to have established itself on tech-enabled services, clear pricing, and environment-friendly operations by having put their absolute focus. The future strategy of the company further focuses on digital transformation, team growth, key partnerships, and sustainability as key drivers of growth. The company also has the potential to solidify its market position, growth, and have a long-lasting lead in global student storage and shipping. The intention of Kit Keeper UK is to accomplish this by satisfying stakeh</w:t>
      </w:r>
      <w:r>
        <w:t xml:space="preserve">olders’ happy pushing technology frontiers, and placing environmental responsibility at the forefront of their business. </w:t>
      </w:r>
      <w:r>
        <w:br w:type="page"/>
      </w:r>
    </w:p>
    <w:p w14:paraId="07A6271B" w14:textId="77777777" w:rsidR="007A7C58" w:rsidRDefault="003E3BD6">
      <w:pPr>
        <w:pStyle w:val="Heading1"/>
      </w:pPr>
      <w:bookmarkStart w:id="29" w:name="_heading=h.2unznfy25afh" w:colFirst="0" w:colLast="0"/>
      <w:bookmarkEnd w:id="29"/>
      <w:r>
        <w:lastRenderedPageBreak/>
        <w:t>References</w:t>
      </w:r>
    </w:p>
    <w:p w14:paraId="0C36E258" w14:textId="77777777" w:rsidR="007A7C58" w:rsidRDefault="003E3BD6">
      <w:r>
        <w:t>Ahmed, A. and Ahmed, M. (2024). Strategic Alliances and Partnerships: Expanding Brand Reach and Influence. </w:t>
      </w:r>
      <w:r>
        <w:rPr>
          <w:i/>
        </w:rPr>
        <w:t>Strategies for Brand Communications and Management</w:t>
      </w:r>
      <w:r>
        <w:t>, </w:t>
      </w:r>
      <w:r>
        <w:rPr>
          <w:i/>
        </w:rPr>
        <w:t>257</w:t>
      </w:r>
      <w:r>
        <w:t>.</w:t>
      </w:r>
    </w:p>
    <w:p w14:paraId="309611E7" w14:textId="77777777" w:rsidR="007A7C58" w:rsidRDefault="003E3BD6">
      <w:r>
        <w:t>Budějovice, Č., Application of Augmented Reality (AR) in logistics processes.</w:t>
      </w:r>
    </w:p>
    <w:p w14:paraId="08398CC9" w14:textId="77777777" w:rsidR="007A7C58" w:rsidRDefault="003E3BD6">
      <w:r>
        <w:t xml:space="preserve">Crunchbase Inc, (2025). </w:t>
      </w:r>
      <w:proofErr w:type="spellStart"/>
      <w:r>
        <w:rPr>
          <w:i/>
        </w:rPr>
        <w:t>Keepr</w:t>
      </w:r>
      <w:proofErr w:type="spellEnd"/>
      <w:r>
        <w:t xml:space="preserve">. [Online] Available at: </w:t>
      </w:r>
      <w:hyperlink r:id="rId14">
        <w:r w:rsidR="007A7C58">
          <w:rPr>
            <w:color w:val="0563C1"/>
            <w:u w:val="single"/>
          </w:rPr>
          <w:t>https://www.crunchbase.com/organisation/kit-keeper%20</w:t>
        </w:r>
      </w:hyperlink>
      <w:r>
        <w:t xml:space="preserve"> [Accessed on 14</w:t>
      </w:r>
      <w:r>
        <w:rPr>
          <w:vertAlign w:val="superscript"/>
        </w:rPr>
        <w:t>th</w:t>
      </w:r>
      <w:r>
        <w:t xml:space="preserve"> October 2025]</w:t>
      </w:r>
    </w:p>
    <w:p w14:paraId="22DAA189" w14:textId="77777777" w:rsidR="007A7C58" w:rsidRDefault="003E3BD6">
      <w:r>
        <w:t xml:space="preserve">Farshid, M., </w:t>
      </w:r>
      <w:proofErr w:type="spellStart"/>
      <w:r>
        <w:t>Goharrostami</w:t>
      </w:r>
      <w:proofErr w:type="spellEnd"/>
      <w:r>
        <w:t xml:space="preserve">, H.R. and Ramezani Nejad, R. (2022). Analysis the amount of power and interests of Talent Management system stakeholders in </w:t>
      </w:r>
      <w:proofErr w:type="spellStart"/>
      <w:r>
        <w:t>Guilan</w:t>
      </w:r>
      <w:proofErr w:type="spellEnd"/>
      <w:r>
        <w:t xml:space="preserve"> province sport based on Mendelow matrix. </w:t>
      </w:r>
      <w:r>
        <w:rPr>
          <w:i/>
        </w:rPr>
        <w:t>Sport Management Studies</w:t>
      </w:r>
      <w:r>
        <w:t>, </w:t>
      </w:r>
      <w:r>
        <w:rPr>
          <w:i/>
        </w:rPr>
        <w:t>14</w:t>
      </w:r>
      <w:r>
        <w:t>(74), pp.103-126.</w:t>
      </w:r>
    </w:p>
    <w:p w14:paraId="3873C62F" w14:textId="77777777" w:rsidR="007A7C58" w:rsidRDefault="003E3BD6">
      <w:r>
        <w:t>Fedorenko, I.A., Kuzmynchuk, N.V. and Kutsenko, T.M. (2025). Strategy For Managing The Competitive Development Of Communities Based On Interaction With Stakeholders.</w:t>
      </w:r>
    </w:p>
    <w:p w14:paraId="4C86C281" w14:textId="77777777" w:rsidR="007A7C58" w:rsidRDefault="003E3BD6">
      <w:r>
        <w:t xml:space="preserve">Kit Keeper, (2025). </w:t>
      </w:r>
      <w:r>
        <w:rPr>
          <w:i/>
        </w:rPr>
        <w:t>Kit Keeper</w:t>
      </w:r>
      <w:r>
        <w:t xml:space="preserve">. [Online] Available at: </w:t>
      </w:r>
      <w:hyperlink r:id="rId15">
        <w:r w:rsidR="007A7C58">
          <w:rPr>
            <w:color w:val="0563C1"/>
            <w:u w:val="single"/>
          </w:rPr>
          <w:t>https://www.linkedin.com/company/kit-keeper/?originalSubdomain=uk</w:t>
        </w:r>
      </w:hyperlink>
      <w:r>
        <w:t xml:space="preserve"> [Accessed on 14</w:t>
      </w:r>
      <w:r>
        <w:rPr>
          <w:vertAlign w:val="superscript"/>
        </w:rPr>
        <w:t>th</w:t>
      </w:r>
      <w:r>
        <w:t xml:space="preserve"> October 2025]</w:t>
      </w:r>
    </w:p>
    <w:p w14:paraId="68E0A900" w14:textId="77777777" w:rsidR="007A7C58" w:rsidRDefault="003E3BD6">
      <w:r>
        <w:t>Lee, W.Y., Lee, S.H., Jin, C. and Hyun, C.T. (2021). Development of the RACI model for processes of the closure phase in construction programs. </w:t>
      </w:r>
      <w:r>
        <w:rPr>
          <w:i/>
        </w:rPr>
        <w:t>Sustainability</w:t>
      </w:r>
      <w:r>
        <w:t>, </w:t>
      </w:r>
      <w:r>
        <w:rPr>
          <w:i/>
        </w:rPr>
        <w:t>13</w:t>
      </w:r>
      <w:r>
        <w:t>(4), p.1806.</w:t>
      </w:r>
    </w:p>
    <w:p w14:paraId="0DC0528C" w14:textId="77777777" w:rsidR="007A7C58" w:rsidRDefault="003E3BD6">
      <w:r>
        <w:t>Ncube, B.M., Dube, A. and Ward, K. (2022). Medicines regulatory science expertise in Africa: workforce capacity development and harmonisation activities towards the establishment of the African medicines agency. </w:t>
      </w:r>
      <w:r>
        <w:rPr>
          <w:i/>
        </w:rPr>
        <w:t>Pharmaceutical Medicine</w:t>
      </w:r>
      <w:r>
        <w:t>, </w:t>
      </w:r>
      <w:r>
        <w:rPr>
          <w:i/>
        </w:rPr>
        <w:t>36</w:t>
      </w:r>
      <w:r>
        <w:t>(2), pp.83-97.</w:t>
      </w:r>
    </w:p>
    <w:p w14:paraId="262B8DC4" w14:textId="77777777" w:rsidR="007A7C58" w:rsidRDefault="003E3BD6">
      <w:r>
        <w:t>Purnell, P.J. (2022). A comparison of different methods of identifying publications related to the United Nations Sustainable Development Goals: Case study of SDG 13—Climate Action. </w:t>
      </w:r>
      <w:r>
        <w:rPr>
          <w:i/>
        </w:rPr>
        <w:t>Quantitative Science Studies</w:t>
      </w:r>
      <w:r>
        <w:t>, </w:t>
      </w:r>
      <w:r>
        <w:rPr>
          <w:i/>
        </w:rPr>
        <w:t>3</w:t>
      </w:r>
      <w:r>
        <w:t xml:space="preserve">(4), pp.976-1002.  </w:t>
      </w:r>
    </w:p>
    <w:p w14:paraId="6FEA67ED" w14:textId="77777777" w:rsidR="007A7C58" w:rsidRDefault="003E3BD6">
      <w:r>
        <w:t xml:space="preserve">Rahma, A.T., </w:t>
      </w:r>
      <w:proofErr w:type="spellStart"/>
      <w:r>
        <w:t>Elbarazi</w:t>
      </w:r>
      <w:proofErr w:type="spellEnd"/>
      <w:r>
        <w:t>, I., Ali, B.R., Patrinos, G.P., Ahmed, L.A. and Al-</w:t>
      </w:r>
      <w:proofErr w:type="spellStart"/>
      <w:r>
        <w:t>Maskari</w:t>
      </w:r>
      <w:proofErr w:type="spellEnd"/>
      <w:r>
        <w:t>, F. (2021). Stakeholders’ interest and attitudes toward genomic medicine and pharmacogenomics implementation in the United Arab Emirates: a qualitative study. </w:t>
      </w:r>
      <w:r>
        <w:rPr>
          <w:i/>
        </w:rPr>
        <w:t>Public Health Genomics</w:t>
      </w:r>
      <w:r>
        <w:t>, </w:t>
      </w:r>
      <w:r>
        <w:rPr>
          <w:i/>
        </w:rPr>
        <w:t>24</w:t>
      </w:r>
      <w:r>
        <w:t xml:space="preserve">(3-4), pp.99-109. </w:t>
      </w:r>
    </w:p>
    <w:p w14:paraId="0EA1D321" w14:textId="77777777" w:rsidR="007A7C58" w:rsidRDefault="003E3BD6">
      <w:proofErr w:type="spellStart"/>
      <w:r>
        <w:t>Tracxn</w:t>
      </w:r>
      <w:proofErr w:type="spellEnd"/>
      <w:r>
        <w:t xml:space="preserve"> Technologies Limited, (2025). </w:t>
      </w:r>
      <w:r>
        <w:rPr>
          <w:i/>
        </w:rPr>
        <w:t>Kit Keeper - Company Profile</w:t>
      </w:r>
      <w:r>
        <w:t xml:space="preserve">. [Online] Available at: </w:t>
      </w:r>
      <w:hyperlink r:id="rId16" w:anchor="about-the-company">
        <w:r w:rsidR="007A7C58">
          <w:rPr>
            <w:color w:val="0563C1"/>
            <w:u w:val="single"/>
          </w:rPr>
          <w:t>https://tracxn.com/d/companies/kit-keeper/___fBXAIkUB4Mbq4XqkCamoAvIA7cQvgqSTsvXpWtGH6g#about-the-company</w:t>
        </w:r>
      </w:hyperlink>
      <w:r>
        <w:t xml:space="preserve"> [Accessed on 14</w:t>
      </w:r>
      <w:r>
        <w:rPr>
          <w:vertAlign w:val="superscript"/>
        </w:rPr>
        <w:t>th</w:t>
      </w:r>
      <w:r>
        <w:t xml:space="preserve"> October 2025]</w:t>
      </w:r>
    </w:p>
    <w:p w14:paraId="712D5F58" w14:textId="77777777" w:rsidR="007A7C58" w:rsidRDefault="003E3BD6">
      <w:r>
        <w:lastRenderedPageBreak/>
        <w:t xml:space="preserve">University of York, (n.d.). </w:t>
      </w:r>
      <w:r>
        <w:rPr>
          <w:i/>
        </w:rPr>
        <w:t>Entrepreneurial journeys: Michael McCreadie</w:t>
      </w:r>
      <w:r>
        <w:t xml:space="preserve">. [Online] Available at: </w:t>
      </w:r>
      <w:hyperlink r:id="rId17">
        <w:r w:rsidR="007A7C58">
          <w:rPr>
            <w:color w:val="0563C1"/>
            <w:u w:val="single"/>
          </w:rPr>
          <w:t>https://www.york.ac.uk/enterprise-works/entrepreneurial-journeys/michael-mccreadie/</w:t>
        </w:r>
      </w:hyperlink>
      <w:r>
        <w:t xml:space="preserve"> [Accessed on 14</w:t>
      </w:r>
      <w:r>
        <w:rPr>
          <w:vertAlign w:val="superscript"/>
        </w:rPr>
        <w:t>th</w:t>
      </w:r>
      <w:r>
        <w:t xml:space="preserve"> October 2025]</w:t>
      </w:r>
    </w:p>
    <w:p w14:paraId="74AFA24F" w14:textId="77777777" w:rsidR="007A7C58" w:rsidRDefault="003E3BD6">
      <w:r>
        <w:t xml:space="preserve"> </w:t>
      </w:r>
    </w:p>
    <w:sectPr w:rsidR="007A7C58">
      <w:footerReference w:type="default" r:id="rId18"/>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A2AB04" w14:textId="77777777" w:rsidR="00AC6740" w:rsidRDefault="00AC6740">
      <w:pPr>
        <w:spacing w:after="0" w:line="240" w:lineRule="auto"/>
      </w:pPr>
      <w:r>
        <w:separator/>
      </w:r>
    </w:p>
  </w:endnote>
  <w:endnote w:type="continuationSeparator" w:id="0">
    <w:p w14:paraId="6E319451" w14:textId="77777777" w:rsidR="00AC6740" w:rsidRDefault="00AC67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r:id="rId1" w:fontKey="{5BB0B981-AECE-4CCC-ACD8-DEABF93B6A75}"/>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2" w:fontKey="{A35AD321-264F-4FD1-AF84-CAC6134CEB66}"/>
    <w:embedBold r:id="rId3" w:fontKey="{9E7FCA93-F3AA-49E1-B264-EDE9F407DC45}"/>
  </w:font>
  <w:font w:name="Calibri Light">
    <w:panose1 w:val="020F0302020204030204"/>
    <w:charset w:val="00"/>
    <w:family w:val="swiss"/>
    <w:pitch w:val="variable"/>
    <w:sig w:usb0="E4002EFF" w:usb1="C200247B" w:usb2="00000009" w:usb3="00000000" w:csb0="000001FF" w:csb1="00000000"/>
    <w:embedRegular r:id="rId4" w:fontKey="{D40E2319-993A-4B94-B327-CC20A60F535B}"/>
    <w:embedBold r:id="rId5" w:fontKey="{3C248D9C-7078-47B4-9EBC-6C151C311452}"/>
  </w:font>
  <w:font w:name="Tahoma">
    <w:panose1 w:val="020B0604030504040204"/>
    <w:charset w:val="00"/>
    <w:family w:val="swiss"/>
    <w:pitch w:val="variable"/>
    <w:sig w:usb0="E1002EFF" w:usb1="C000605B" w:usb2="00000029" w:usb3="00000000" w:csb0="000101FF" w:csb1="00000000"/>
    <w:embedRegular r:id="rId6" w:fontKey="{31F87059-B73A-4FA7-887B-3912DB4D2A5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43E2AF" w14:textId="77777777" w:rsidR="007A7C58" w:rsidRDefault="003E3BD6">
    <w:pPr>
      <w:pBdr>
        <w:top w:val="nil"/>
        <w:left w:val="nil"/>
        <w:bottom w:val="nil"/>
        <w:right w:val="nil"/>
        <w:between w:val="nil"/>
      </w:pBdr>
      <w:tabs>
        <w:tab w:val="center" w:pos="4513"/>
        <w:tab w:val="right" w:pos="9026"/>
      </w:tabs>
      <w:spacing w:after="0" w:line="240" w:lineRule="auto"/>
      <w:jc w:val="right"/>
      <w:rPr>
        <w:color w:val="000000"/>
      </w:rPr>
    </w:pPr>
    <w:r>
      <w:rPr>
        <w:color w:val="000000"/>
      </w:rPr>
      <w:t xml:space="preserve">Page | </w:t>
    </w:r>
    <w:r>
      <w:rPr>
        <w:color w:val="000000"/>
      </w:rPr>
      <w:fldChar w:fldCharType="begin"/>
    </w:r>
    <w:r>
      <w:rPr>
        <w:color w:val="000000"/>
      </w:rPr>
      <w:instrText>PAGE</w:instrText>
    </w:r>
    <w:r>
      <w:rPr>
        <w:color w:val="000000"/>
      </w:rPr>
      <w:fldChar w:fldCharType="separate"/>
    </w:r>
    <w:r w:rsidR="00D71AEA">
      <w:rPr>
        <w:noProof/>
        <w:color w:val="000000"/>
      </w:rPr>
      <w:t>2</w:t>
    </w:r>
    <w:r>
      <w:rPr>
        <w:color w:val="000000"/>
      </w:rPr>
      <w:fldChar w:fldCharType="end"/>
    </w:r>
    <w:r>
      <w:rPr>
        <w:color w:val="000000"/>
      </w:rPr>
      <w:t xml:space="preserve"> </w:t>
    </w:r>
  </w:p>
  <w:p w14:paraId="215C2925" w14:textId="77777777" w:rsidR="007A7C58" w:rsidRDefault="007A7C58">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1554B7" w14:textId="77777777" w:rsidR="00AC6740" w:rsidRDefault="00AC6740">
      <w:pPr>
        <w:spacing w:after="0" w:line="240" w:lineRule="auto"/>
      </w:pPr>
      <w:r>
        <w:separator/>
      </w:r>
    </w:p>
  </w:footnote>
  <w:footnote w:type="continuationSeparator" w:id="0">
    <w:p w14:paraId="5531774F" w14:textId="77777777" w:rsidR="00AC6740" w:rsidRDefault="00AC67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DC13FC"/>
    <w:multiLevelType w:val="multilevel"/>
    <w:tmpl w:val="BF8A887E"/>
    <w:lvl w:ilvl="0">
      <w:start w:val="1"/>
      <w:numFmt w:val="bullet"/>
      <w:lvlText w:val="ℵ"/>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35B51BD4"/>
    <w:multiLevelType w:val="multilevel"/>
    <w:tmpl w:val="8F6CA426"/>
    <w:lvl w:ilvl="0">
      <w:start w:val="1"/>
      <w:numFmt w:val="bullet"/>
      <w:lvlText w:val="ℵ"/>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457066679">
    <w:abstractNumId w:val="1"/>
  </w:num>
  <w:num w:numId="2" w16cid:durableId="3372713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1"/>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7C58"/>
    <w:rsid w:val="00315D68"/>
    <w:rsid w:val="00374FC1"/>
    <w:rsid w:val="003C2198"/>
    <w:rsid w:val="003E3BD6"/>
    <w:rsid w:val="00647B1C"/>
    <w:rsid w:val="007A7C58"/>
    <w:rsid w:val="00AC6740"/>
    <w:rsid w:val="00D71AEA"/>
    <w:rsid w:val="00DD6582"/>
    <w:rsid w:val="00EC15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4B1447"/>
  <w15:docId w15:val="{79E9A3A1-A3AC-494F-8A18-3A794C46B1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spacing w:before="240"/>
      <w:outlineLvl w:val="0"/>
    </w:pPr>
    <w:rPr>
      <w:b/>
      <w:sz w:val="26"/>
      <w:szCs w:val="26"/>
    </w:rPr>
  </w:style>
  <w:style w:type="paragraph" w:styleId="Heading2">
    <w:name w:val="heading 2"/>
    <w:basedOn w:val="Normal"/>
    <w:next w:val="Normal"/>
    <w:link w:val="Heading2Char"/>
    <w:uiPriority w:val="9"/>
    <w:unhideWhenUsed/>
    <w:qFormat/>
    <w:pPr>
      <w:spacing w:before="240"/>
      <w:outlineLvl w:val="1"/>
    </w:pPr>
    <w:rPr>
      <w:b/>
      <w:sz w:val="24"/>
      <w:szCs w:val="24"/>
    </w:rPr>
  </w:style>
  <w:style w:type="paragraph" w:styleId="Heading3">
    <w:name w:val="heading 3"/>
    <w:basedOn w:val="Normal"/>
    <w:next w:val="Normal"/>
    <w:link w:val="Heading3Char"/>
    <w:uiPriority w:val="9"/>
    <w:unhideWhenUsed/>
    <w:qFormat/>
    <w:pPr>
      <w:spacing w:before="240"/>
      <w:outlineLvl w:val="2"/>
    </w:pPr>
    <w:rPr>
      <w:b/>
    </w:rPr>
  </w:style>
  <w:style w:type="paragraph" w:styleId="Heading4">
    <w:name w:val="heading 4"/>
    <w:basedOn w:val="Normal"/>
    <w:next w:val="Normal"/>
    <w:link w:val="Heading4Char"/>
    <w:uiPriority w:val="9"/>
    <w:semiHidden/>
    <w:unhideWhenUsed/>
    <w:qFormat/>
    <w:pPr>
      <w:keepNext/>
      <w:keepLines/>
      <w:spacing w:before="80" w:after="40"/>
      <w:outlineLvl w:val="3"/>
    </w:pPr>
    <w:rPr>
      <w:i/>
      <w:color w:val="2F5496"/>
    </w:rPr>
  </w:style>
  <w:style w:type="paragraph" w:styleId="Heading5">
    <w:name w:val="heading 5"/>
    <w:basedOn w:val="Normal"/>
    <w:next w:val="Normal"/>
    <w:link w:val="Heading5Char"/>
    <w:uiPriority w:val="9"/>
    <w:semiHidden/>
    <w:unhideWhenUsed/>
    <w:qFormat/>
    <w:pPr>
      <w:keepNext/>
      <w:keepLines/>
      <w:spacing w:before="80" w:after="40"/>
      <w:outlineLvl w:val="4"/>
    </w:pPr>
    <w:rPr>
      <w:color w:val="2F5496"/>
    </w:rPr>
  </w:style>
  <w:style w:type="paragraph" w:styleId="Heading6">
    <w:name w:val="heading 6"/>
    <w:basedOn w:val="Normal"/>
    <w:next w:val="Normal"/>
    <w:link w:val="Heading6Char"/>
    <w:uiPriority w:val="9"/>
    <w:semiHidden/>
    <w:unhideWhenUsed/>
    <w:qFormat/>
    <w:pPr>
      <w:keepNext/>
      <w:keepLines/>
      <w:spacing w:before="40" w:after="0"/>
      <w:outlineLvl w:val="5"/>
    </w:pPr>
    <w:rPr>
      <w:i/>
      <w:color w:val="595959"/>
    </w:rPr>
  </w:style>
  <w:style w:type="paragraph" w:styleId="Heading7">
    <w:name w:val="heading 7"/>
    <w:basedOn w:val="Normal"/>
    <w:next w:val="Normal"/>
    <w:link w:val="Heading7Char"/>
    <w:uiPriority w:val="9"/>
    <w:semiHidden/>
    <w:unhideWhenUsed/>
    <w:qFormat/>
    <w:rsid w:val="009F3B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3B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3B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spacing w:after="80" w:line="240" w:lineRule="auto"/>
    </w:pPr>
    <w:rPr>
      <w:rFonts w:ascii="Calibri" w:eastAsia="Calibri" w:hAnsi="Calibri" w:cs="Calibri"/>
      <w:sz w:val="56"/>
      <w:szCs w:val="56"/>
    </w:rPr>
  </w:style>
  <w:style w:type="character" w:customStyle="1" w:styleId="Heading1Char">
    <w:name w:val="Heading 1 Char"/>
    <w:basedOn w:val="DefaultParagraphFont"/>
    <w:link w:val="Heading1"/>
    <w:uiPriority w:val="9"/>
    <w:rsid w:val="00B83233"/>
    <w:rPr>
      <w:rFonts w:ascii="Arial" w:hAnsi="Arial" w:cs="Arial"/>
      <w:b/>
      <w:bCs/>
      <w:sz w:val="26"/>
      <w:szCs w:val="26"/>
    </w:rPr>
  </w:style>
  <w:style w:type="character" w:customStyle="1" w:styleId="Heading2Char">
    <w:name w:val="Heading 2 Char"/>
    <w:basedOn w:val="DefaultParagraphFont"/>
    <w:link w:val="Heading2"/>
    <w:uiPriority w:val="9"/>
    <w:rsid w:val="00D87FE7"/>
    <w:rPr>
      <w:rFonts w:ascii="Arial" w:hAnsi="Arial" w:cs="Arial"/>
      <w:b/>
      <w:bCs/>
      <w:sz w:val="24"/>
      <w:szCs w:val="24"/>
      <w:lang w:val="en-GB"/>
    </w:rPr>
  </w:style>
  <w:style w:type="character" w:customStyle="1" w:styleId="Heading3Char">
    <w:name w:val="Heading 3 Char"/>
    <w:basedOn w:val="DefaultParagraphFont"/>
    <w:link w:val="Heading3"/>
    <w:uiPriority w:val="9"/>
    <w:rsid w:val="00575A12"/>
    <w:rPr>
      <w:rFonts w:ascii="Arial" w:hAnsi="Arial" w:cs="Arial"/>
      <w:b/>
      <w:bCs/>
      <w:lang w:val="en-GB"/>
    </w:rPr>
  </w:style>
  <w:style w:type="character" w:customStyle="1" w:styleId="Heading4Char">
    <w:name w:val="Heading 4 Char"/>
    <w:basedOn w:val="DefaultParagraphFont"/>
    <w:link w:val="Heading4"/>
    <w:uiPriority w:val="9"/>
    <w:semiHidden/>
    <w:rsid w:val="009F3B53"/>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9F3B53"/>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9F3B53"/>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9F3B53"/>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9F3B53"/>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9F3B53"/>
    <w:rPr>
      <w:rFonts w:eastAsiaTheme="majorEastAsia" w:cstheme="majorBidi"/>
      <w:color w:val="272727" w:themeColor="text1" w:themeTint="D8"/>
      <w:lang w:val="en-GB"/>
    </w:rPr>
  </w:style>
  <w:style w:type="character" w:customStyle="1" w:styleId="TitleChar">
    <w:name w:val="Title Char"/>
    <w:basedOn w:val="DefaultParagraphFont"/>
    <w:link w:val="Title"/>
    <w:uiPriority w:val="10"/>
    <w:rsid w:val="009F3B53"/>
    <w:rPr>
      <w:rFonts w:asciiTheme="majorHAnsi" w:eastAsiaTheme="majorEastAsia" w:hAnsiTheme="majorHAnsi" w:cstheme="majorBidi"/>
      <w:spacing w:val="-10"/>
      <w:kern w:val="28"/>
      <w:sz w:val="56"/>
      <w:szCs w:val="56"/>
      <w:lang w:val="en-GB"/>
    </w:rPr>
  </w:style>
  <w:style w:type="character" w:customStyle="1" w:styleId="SubtitleChar">
    <w:name w:val="Subtitle Char"/>
    <w:basedOn w:val="DefaultParagraphFont"/>
    <w:link w:val="Subtitle"/>
    <w:uiPriority w:val="11"/>
    <w:rsid w:val="009F3B53"/>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9F3B53"/>
    <w:pPr>
      <w:spacing w:before="160"/>
      <w:jc w:val="center"/>
    </w:pPr>
    <w:rPr>
      <w:i/>
      <w:iCs/>
      <w:color w:val="404040" w:themeColor="text1" w:themeTint="BF"/>
    </w:rPr>
  </w:style>
  <w:style w:type="character" w:customStyle="1" w:styleId="QuoteChar">
    <w:name w:val="Quote Char"/>
    <w:basedOn w:val="DefaultParagraphFont"/>
    <w:link w:val="Quote"/>
    <w:uiPriority w:val="29"/>
    <w:rsid w:val="009F3B53"/>
    <w:rPr>
      <w:i/>
      <w:iCs/>
      <w:color w:val="404040" w:themeColor="text1" w:themeTint="BF"/>
      <w:lang w:val="en-GB"/>
    </w:rPr>
  </w:style>
  <w:style w:type="paragraph" w:styleId="ListParagraph">
    <w:name w:val="List Paragraph"/>
    <w:basedOn w:val="Normal"/>
    <w:uiPriority w:val="34"/>
    <w:qFormat/>
    <w:rsid w:val="009F3B53"/>
    <w:pPr>
      <w:ind w:left="720"/>
      <w:contextualSpacing/>
    </w:pPr>
  </w:style>
  <w:style w:type="character" w:styleId="IntenseEmphasis">
    <w:name w:val="Intense Emphasis"/>
    <w:basedOn w:val="DefaultParagraphFont"/>
    <w:uiPriority w:val="21"/>
    <w:qFormat/>
    <w:rsid w:val="009F3B53"/>
    <w:rPr>
      <w:i/>
      <w:iCs/>
      <w:color w:val="2F5496" w:themeColor="accent1" w:themeShade="BF"/>
    </w:rPr>
  </w:style>
  <w:style w:type="paragraph" w:styleId="IntenseQuote">
    <w:name w:val="Intense Quote"/>
    <w:basedOn w:val="Normal"/>
    <w:next w:val="Normal"/>
    <w:link w:val="IntenseQuoteChar"/>
    <w:uiPriority w:val="30"/>
    <w:qFormat/>
    <w:rsid w:val="009F3B5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F3B53"/>
    <w:rPr>
      <w:i/>
      <w:iCs/>
      <w:color w:val="2F5496" w:themeColor="accent1" w:themeShade="BF"/>
      <w:lang w:val="en-GB"/>
    </w:rPr>
  </w:style>
  <w:style w:type="character" w:styleId="IntenseReference">
    <w:name w:val="Intense Reference"/>
    <w:basedOn w:val="DefaultParagraphFont"/>
    <w:uiPriority w:val="32"/>
    <w:qFormat/>
    <w:rsid w:val="009F3B53"/>
    <w:rPr>
      <w:b/>
      <w:bCs/>
      <w:smallCaps/>
      <w:color w:val="2F5496" w:themeColor="accent1" w:themeShade="BF"/>
      <w:spacing w:val="5"/>
    </w:rPr>
  </w:style>
  <w:style w:type="paragraph" w:styleId="Header">
    <w:name w:val="header"/>
    <w:basedOn w:val="Normal"/>
    <w:link w:val="HeaderChar"/>
    <w:uiPriority w:val="99"/>
    <w:unhideWhenUsed/>
    <w:rsid w:val="001272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7296"/>
    <w:rPr>
      <w:lang w:val="en-GB"/>
    </w:rPr>
  </w:style>
  <w:style w:type="paragraph" w:styleId="Footer">
    <w:name w:val="footer"/>
    <w:basedOn w:val="Normal"/>
    <w:link w:val="FooterChar"/>
    <w:uiPriority w:val="99"/>
    <w:unhideWhenUsed/>
    <w:rsid w:val="001272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7296"/>
    <w:rPr>
      <w:lang w:val="en-GB"/>
    </w:rPr>
  </w:style>
  <w:style w:type="paragraph" w:styleId="TOCHeading">
    <w:name w:val="TOC Heading"/>
    <w:basedOn w:val="Heading1"/>
    <w:next w:val="Normal"/>
    <w:uiPriority w:val="39"/>
    <w:unhideWhenUsed/>
    <w:qFormat/>
    <w:rsid w:val="00127296"/>
    <w:pPr>
      <w:keepNext/>
      <w:keepLines/>
      <w:spacing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127296"/>
    <w:pPr>
      <w:spacing w:after="100"/>
    </w:pPr>
  </w:style>
  <w:style w:type="character" w:styleId="Hyperlink">
    <w:name w:val="Hyperlink"/>
    <w:basedOn w:val="DefaultParagraphFont"/>
    <w:uiPriority w:val="99"/>
    <w:unhideWhenUsed/>
    <w:rsid w:val="00127296"/>
    <w:rPr>
      <w:color w:val="0563C1" w:themeColor="hyperlink"/>
      <w:u w:val="single"/>
    </w:rPr>
  </w:style>
  <w:style w:type="paragraph" w:styleId="TOC2">
    <w:name w:val="toc 2"/>
    <w:basedOn w:val="Normal"/>
    <w:next w:val="Normal"/>
    <w:autoRedefine/>
    <w:uiPriority w:val="39"/>
    <w:unhideWhenUsed/>
    <w:rsid w:val="00D27F86"/>
    <w:pPr>
      <w:spacing w:after="100"/>
      <w:ind w:left="220"/>
    </w:pPr>
  </w:style>
  <w:style w:type="paragraph" w:styleId="TOC3">
    <w:name w:val="toc 3"/>
    <w:basedOn w:val="Normal"/>
    <w:next w:val="Normal"/>
    <w:autoRedefine/>
    <w:uiPriority w:val="39"/>
    <w:unhideWhenUsed/>
    <w:rsid w:val="00D27F86"/>
    <w:pPr>
      <w:spacing w:after="100"/>
      <w:ind w:left="440"/>
    </w:pPr>
  </w:style>
  <w:style w:type="character" w:customStyle="1" w:styleId="UnresolvedMention1">
    <w:name w:val="Unresolved Mention1"/>
    <w:basedOn w:val="DefaultParagraphFont"/>
    <w:uiPriority w:val="99"/>
    <w:semiHidden/>
    <w:unhideWhenUsed/>
    <w:rsid w:val="00B64FE9"/>
    <w:rPr>
      <w:color w:val="605E5C"/>
      <w:shd w:val="clear" w:color="auto" w:fill="E1DFDD"/>
    </w:rPr>
  </w:style>
  <w:style w:type="paragraph" w:styleId="BalloonText">
    <w:name w:val="Balloon Text"/>
    <w:basedOn w:val="Normal"/>
    <w:link w:val="BalloonTextChar"/>
    <w:uiPriority w:val="99"/>
    <w:semiHidden/>
    <w:unhideWhenUsed/>
    <w:rsid w:val="00567F2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67F2A"/>
    <w:rPr>
      <w:rFonts w:ascii="Tahoma" w:hAnsi="Tahoma" w:cs="Tahoma"/>
      <w:sz w:val="16"/>
      <w:szCs w:val="16"/>
      <w:lang w:val="en-GB"/>
    </w:rPr>
  </w:style>
  <w:style w:type="table" w:styleId="LightGrid-Accent6">
    <w:name w:val="Light Grid Accent 6"/>
    <w:basedOn w:val="TableNormal"/>
    <w:uiPriority w:val="62"/>
    <w:rsid w:val="00567F2A"/>
    <w:pPr>
      <w:spacing w:after="0" w:line="240" w:lineRule="auto"/>
    </w:p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insideH w:val="single" w:sz="8" w:space="0" w:color="70AD47" w:themeColor="accent6"/>
        <w:insideV w:val="single" w:sz="8" w:space="0" w:color="70AD47"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18" w:space="0" w:color="70AD47" w:themeColor="accent6"/>
          <w:right w:val="single" w:sz="8" w:space="0" w:color="70AD47" w:themeColor="accent6"/>
          <w:insideH w:val="nil"/>
          <w:insideV w:val="single" w:sz="8" w:space="0" w:color="70AD47"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insideH w:val="nil"/>
          <w:insideV w:val="single" w:sz="8" w:space="0" w:color="70AD47"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shd w:val="clear" w:color="auto" w:fill="DBEBD0" w:themeFill="accent6" w:themeFillTint="3F"/>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shd w:val="clear" w:color="auto" w:fill="DBEBD0" w:themeFill="accent6" w:themeFillTint="3F"/>
      </w:tcPr>
    </w:tblStylePr>
    <w:tblStylePr w:type="band2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tcPr>
    </w:tblStylePr>
  </w:style>
  <w:style w:type="table" w:styleId="LightGrid-Accent4">
    <w:name w:val="Light Grid Accent 4"/>
    <w:basedOn w:val="TableNormal"/>
    <w:uiPriority w:val="62"/>
    <w:rsid w:val="00567F2A"/>
    <w:pPr>
      <w:spacing w:after="0" w:line="240" w:lineRule="auto"/>
    </w:p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insideH w:val="single" w:sz="8" w:space="0" w:color="FFC000" w:themeColor="accent4"/>
        <w:insideV w:val="single" w:sz="8" w:space="0" w:color="FFC000"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18" w:space="0" w:color="FFC000" w:themeColor="accent4"/>
          <w:right w:val="single" w:sz="8" w:space="0" w:color="FFC000" w:themeColor="accent4"/>
          <w:insideH w:val="nil"/>
          <w:insideV w:val="single" w:sz="8" w:space="0" w:color="FFC000"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FC000" w:themeColor="accent4"/>
          <w:left w:val="single" w:sz="8" w:space="0" w:color="FFC000" w:themeColor="accent4"/>
          <w:bottom w:val="single" w:sz="8" w:space="0" w:color="FFC000" w:themeColor="accent4"/>
          <w:right w:val="single" w:sz="8" w:space="0" w:color="FFC000" w:themeColor="accent4"/>
          <w:insideH w:val="nil"/>
          <w:insideV w:val="single" w:sz="8" w:space="0" w:color="FFC000"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tblStylePr w:type="band1Vert">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shd w:val="clear" w:color="auto" w:fill="FFEFC0" w:themeFill="accent4" w:themeFillTint="3F"/>
      </w:tcPr>
    </w:tblStylePr>
    <w:tblStylePr w:type="band1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shd w:val="clear" w:color="auto" w:fill="FFEFC0" w:themeFill="accent4" w:themeFillTint="3F"/>
      </w:tcPr>
    </w:tblStylePr>
    <w:tblStylePr w:type="band2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tcPr>
    </w:tblStylePr>
  </w:style>
  <w:style w:type="table" w:styleId="LightGrid-Accent3">
    <w:name w:val="Light Grid Accent 3"/>
    <w:basedOn w:val="TableNormal"/>
    <w:uiPriority w:val="62"/>
    <w:rsid w:val="00714F52"/>
    <w:pPr>
      <w:spacing w:after="0" w:line="240" w:lineRule="auto"/>
    </w:p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insideH w:val="single" w:sz="8" w:space="0" w:color="A5A5A5" w:themeColor="accent3"/>
        <w:insideV w:val="single" w:sz="8" w:space="0" w:color="A5A5A5"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18" w:space="0" w:color="A5A5A5" w:themeColor="accent3"/>
          <w:right w:val="single" w:sz="8" w:space="0" w:color="A5A5A5" w:themeColor="accent3"/>
          <w:insideH w:val="nil"/>
          <w:insideV w:val="single" w:sz="8" w:space="0" w:color="A5A5A5"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insideH w:val="nil"/>
          <w:insideV w:val="single" w:sz="8" w:space="0" w:color="A5A5A5"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shd w:val="clear" w:color="auto" w:fill="E8E8E8" w:themeFill="accent3" w:themeFillTint="3F"/>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shd w:val="clear" w:color="auto" w:fill="E8E8E8" w:themeFill="accent3" w:themeFillTint="3F"/>
      </w:tcPr>
    </w:tblStylePr>
    <w:tblStylePr w:type="band2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tcPr>
    </w:tblStylePr>
  </w:style>
  <w:style w:type="paragraph" w:styleId="Subtitle">
    <w:name w:val="Subtitle"/>
    <w:basedOn w:val="Normal"/>
    <w:next w:val="Normal"/>
    <w:link w:val="SubtitleChar"/>
    <w:uiPriority w:val="11"/>
    <w:qFormat/>
    <w:rPr>
      <w:color w:val="595959"/>
      <w:sz w:val="28"/>
      <w:szCs w:val="28"/>
    </w:rPr>
  </w:style>
  <w:style w:type="table" w:customStyle="1" w:styleId="a">
    <w:basedOn w:val="TableNormal"/>
    <w:tblPr>
      <w:tblStyleRowBandSize w:val="1"/>
      <w:tblStyleColBandSize w:val="1"/>
      <w:tblCellMar>
        <w:top w:w="15" w:type="dxa"/>
        <w:left w:w="15" w:type="dxa"/>
        <w:bottom w:w="15" w:type="dxa"/>
        <w:right w:w="15" w:type="dxa"/>
      </w:tblCellMar>
    </w:tblPr>
  </w:style>
  <w:style w:type="table" w:customStyle="1" w:styleId="a0">
    <w:basedOn w:val="TableNormal"/>
    <w:tblPr>
      <w:tblStyleRowBandSize w:val="1"/>
      <w:tblStyleColBandSize w:val="1"/>
      <w:tblCellMar>
        <w:top w:w="15" w:type="dxa"/>
        <w:left w:w="15" w:type="dxa"/>
        <w:bottom w:w="15" w:type="dxa"/>
        <w:right w:w="15" w:type="dxa"/>
      </w:tblCellMar>
    </w:tblPr>
  </w:style>
  <w:style w:type="table" w:customStyle="1" w:styleId="a1">
    <w:basedOn w:val="TableNormal"/>
    <w:tblPr>
      <w:tblStyleRowBandSize w:val="1"/>
      <w:tblStyleColBandSize w:val="1"/>
      <w:tblCellMar>
        <w:top w:w="15" w:type="dxa"/>
        <w:left w:w="15" w:type="dxa"/>
        <w:bottom w:w="15" w:type="dxa"/>
        <w:right w:w="15" w:type="dxa"/>
      </w:tblCellMar>
    </w:tblPr>
  </w:style>
  <w:style w:type="table" w:customStyle="1" w:styleId="a2">
    <w:basedOn w:val="TableNormal"/>
    <w:tblPr>
      <w:tblStyleRowBandSize w:val="1"/>
      <w:tblStyleColBandSize w:val="1"/>
      <w:tblCellMar>
        <w:top w:w="15" w:type="dxa"/>
        <w:left w:w="15" w:type="dxa"/>
        <w:bottom w:w="15" w:type="dxa"/>
        <w:right w:w="15" w:type="dxa"/>
      </w:tblCellMar>
    </w:tblPr>
  </w:style>
  <w:style w:type="table" w:customStyle="1" w:styleId="a3">
    <w:basedOn w:val="TableNormal"/>
    <w:pPr>
      <w:spacing w:after="0" w:line="240" w:lineRule="auto"/>
    </w:pPr>
    <w:tblPr>
      <w:tblStyleRowBandSize w:val="1"/>
      <w:tblStyleColBandSize w:val="1"/>
    </w:tblPr>
    <w:tblStylePr w:type="firstRow">
      <w:pPr>
        <w:spacing w:before="0" w:after="0" w:line="240" w:lineRule="auto"/>
      </w:pPr>
      <w:rPr>
        <w:rFonts w:ascii="Calibri" w:eastAsia="Calibri" w:hAnsi="Calibri" w:cs="Calibri"/>
        <w:b/>
      </w:rPr>
      <w:tblPr/>
      <w:tcPr>
        <w:tcBorders>
          <w:top w:val="single" w:sz="8" w:space="0" w:color="FFC000"/>
          <w:left w:val="single" w:sz="8" w:space="0" w:color="FFC000"/>
          <w:bottom w:val="single" w:sz="18" w:space="0" w:color="FFC000"/>
          <w:right w:val="single" w:sz="8" w:space="0" w:color="FFC000"/>
          <w:insideH w:val="nil"/>
          <w:insideV w:val="single" w:sz="8" w:space="0" w:color="FFC000"/>
        </w:tcBorders>
      </w:tcPr>
    </w:tblStylePr>
    <w:tblStylePr w:type="lastRow">
      <w:pPr>
        <w:spacing w:before="0" w:after="0" w:line="240" w:lineRule="auto"/>
      </w:pPr>
      <w:rPr>
        <w:rFonts w:ascii="Calibri" w:eastAsia="Calibri" w:hAnsi="Calibri" w:cs="Calibri"/>
        <w:b/>
      </w:rPr>
      <w:tblPr/>
      <w:tcPr>
        <w:tcBorders>
          <w:top w:val="single" w:sz="6" w:space="0" w:color="FFC000"/>
          <w:left w:val="single" w:sz="8" w:space="0" w:color="FFC000"/>
          <w:bottom w:val="single" w:sz="8" w:space="0" w:color="FFC000"/>
          <w:right w:val="single" w:sz="8" w:space="0" w:color="FFC000"/>
          <w:insideH w:val="nil"/>
          <w:insideV w:val="single" w:sz="8" w:space="0" w:color="FFC000"/>
        </w:tcBorders>
      </w:tcPr>
    </w:tblStylePr>
    <w:tblStylePr w:type="firstCol">
      <w:rPr>
        <w:rFonts w:ascii="Calibri" w:eastAsia="Calibri" w:hAnsi="Calibri" w:cs="Calibri"/>
        <w:b/>
      </w:rPr>
    </w:tblStylePr>
    <w:tblStylePr w:type="lastCol">
      <w:rPr>
        <w:rFonts w:ascii="Calibri" w:eastAsia="Calibri" w:hAnsi="Calibri" w:cs="Calibri"/>
        <w:b/>
      </w:rPr>
      <w:tblPr/>
      <w:tcPr>
        <w:tcBorders>
          <w:top w:val="single" w:sz="8" w:space="0" w:color="FFC000"/>
          <w:left w:val="single" w:sz="8" w:space="0" w:color="FFC000"/>
          <w:bottom w:val="single" w:sz="8" w:space="0" w:color="FFC000"/>
          <w:right w:val="single" w:sz="8" w:space="0" w:color="FFC000"/>
        </w:tcBorders>
      </w:tcPr>
    </w:tblStylePr>
    <w:tblStylePr w:type="band1Vert">
      <w:tblPr/>
      <w:tcPr>
        <w:tcBorders>
          <w:top w:val="single" w:sz="8" w:space="0" w:color="FFC000"/>
          <w:left w:val="single" w:sz="8" w:space="0" w:color="FFC000"/>
          <w:bottom w:val="single" w:sz="8" w:space="0" w:color="FFC000"/>
          <w:right w:val="single" w:sz="8" w:space="0" w:color="FFC000"/>
        </w:tcBorders>
        <w:shd w:val="clear" w:color="auto" w:fill="FEEFC0"/>
      </w:tcPr>
    </w:tblStylePr>
    <w:tblStylePr w:type="band1Horz">
      <w:tblPr/>
      <w:tcPr>
        <w:tcBorders>
          <w:top w:val="single" w:sz="8" w:space="0" w:color="FFC000"/>
          <w:left w:val="single" w:sz="8" w:space="0" w:color="FFC000"/>
          <w:bottom w:val="single" w:sz="8" w:space="0" w:color="FFC000"/>
          <w:right w:val="single" w:sz="8" w:space="0" w:color="FFC000"/>
          <w:insideV w:val="single" w:sz="8" w:space="0" w:color="FFC000"/>
        </w:tcBorders>
        <w:shd w:val="clear" w:color="auto" w:fill="FEEFC0"/>
      </w:tcPr>
    </w:tblStylePr>
    <w:tblStylePr w:type="band2Horz">
      <w:tblPr/>
      <w:tcPr>
        <w:tcBorders>
          <w:top w:val="single" w:sz="8" w:space="0" w:color="FFC000"/>
          <w:left w:val="single" w:sz="8" w:space="0" w:color="FFC000"/>
          <w:bottom w:val="single" w:sz="8" w:space="0" w:color="FFC000"/>
          <w:right w:val="single" w:sz="8" w:space="0" w:color="FFC000"/>
          <w:insideV w:val="single" w:sz="8" w:space="0" w:color="FFC000"/>
        </w:tcBorders>
      </w:tcPr>
    </w:tblStylePr>
  </w:style>
  <w:style w:type="table" w:customStyle="1" w:styleId="a4">
    <w:basedOn w:val="TableNormal"/>
    <w:pPr>
      <w:spacing w:after="0" w:line="240" w:lineRule="auto"/>
    </w:pPr>
    <w:tblPr>
      <w:tblStyleRowBandSize w:val="1"/>
      <w:tblStyleColBandSize w:val="1"/>
    </w:tblPr>
    <w:tblStylePr w:type="firstRow">
      <w:pPr>
        <w:spacing w:before="0" w:after="0" w:line="240" w:lineRule="auto"/>
      </w:pPr>
      <w:rPr>
        <w:rFonts w:ascii="Calibri" w:eastAsia="Calibri" w:hAnsi="Calibri" w:cs="Calibri"/>
        <w:b/>
      </w:rPr>
      <w:tblPr/>
      <w:tcPr>
        <w:tcBorders>
          <w:top w:val="single" w:sz="8" w:space="0" w:color="70AD47"/>
          <w:left w:val="single" w:sz="8" w:space="0" w:color="70AD47"/>
          <w:bottom w:val="single" w:sz="18" w:space="0" w:color="70AD47"/>
          <w:right w:val="single" w:sz="8" w:space="0" w:color="70AD47"/>
          <w:insideH w:val="nil"/>
          <w:insideV w:val="single" w:sz="8" w:space="0" w:color="70AD47"/>
        </w:tcBorders>
      </w:tcPr>
    </w:tblStylePr>
    <w:tblStylePr w:type="lastRow">
      <w:pPr>
        <w:spacing w:before="0" w:after="0" w:line="240" w:lineRule="auto"/>
      </w:pPr>
      <w:rPr>
        <w:rFonts w:ascii="Calibri" w:eastAsia="Calibri" w:hAnsi="Calibri" w:cs="Calibri"/>
        <w:b/>
      </w:rPr>
      <w:tblPr/>
      <w:tcPr>
        <w:tcBorders>
          <w:top w:val="single" w:sz="6" w:space="0" w:color="70AD47"/>
          <w:left w:val="single" w:sz="8" w:space="0" w:color="70AD47"/>
          <w:bottom w:val="single" w:sz="8" w:space="0" w:color="70AD47"/>
          <w:right w:val="single" w:sz="8" w:space="0" w:color="70AD47"/>
          <w:insideH w:val="nil"/>
          <w:insideV w:val="single" w:sz="8" w:space="0" w:color="70AD47"/>
        </w:tcBorders>
      </w:tcPr>
    </w:tblStylePr>
    <w:tblStylePr w:type="firstCol">
      <w:rPr>
        <w:rFonts w:ascii="Calibri" w:eastAsia="Calibri" w:hAnsi="Calibri" w:cs="Calibri"/>
        <w:b/>
      </w:rPr>
    </w:tblStylePr>
    <w:tblStylePr w:type="lastCol">
      <w:rPr>
        <w:rFonts w:ascii="Calibri" w:eastAsia="Calibri" w:hAnsi="Calibri" w:cs="Calibri"/>
        <w:b/>
      </w:rPr>
      <w:tblPr/>
      <w:tcPr>
        <w:tcBorders>
          <w:top w:val="single" w:sz="8" w:space="0" w:color="70AD47"/>
          <w:left w:val="single" w:sz="8" w:space="0" w:color="70AD47"/>
          <w:bottom w:val="single" w:sz="8" w:space="0" w:color="70AD47"/>
          <w:right w:val="single" w:sz="8" w:space="0" w:color="70AD47"/>
        </w:tcBorders>
      </w:tcPr>
    </w:tblStylePr>
    <w:tblStylePr w:type="band1Vert">
      <w:tblPr/>
      <w:tcPr>
        <w:tcBorders>
          <w:top w:val="single" w:sz="8" w:space="0" w:color="70AD47"/>
          <w:left w:val="single" w:sz="8" w:space="0" w:color="70AD47"/>
          <w:bottom w:val="single" w:sz="8" w:space="0" w:color="70AD47"/>
          <w:right w:val="single" w:sz="8" w:space="0" w:color="70AD47"/>
        </w:tcBorders>
        <w:shd w:val="clear" w:color="auto" w:fill="DBEBD0"/>
      </w:tcPr>
    </w:tblStylePr>
    <w:tblStylePr w:type="band1Horz">
      <w:tblPr/>
      <w:tcPr>
        <w:tcBorders>
          <w:top w:val="single" w:sz="8" w:space="0" w:color="70AD47"/>
          <w:left w:val="single" w:sz="8" w:space="0" w:color="70AD47"/>
          <w:bottom w:val="single" w:sz="8" w:space="0" w:color="70AD47"/>
          <w:right w:val="single" w:sz="8" w:space="0" w:color="70AD47"/>
          <w:insideV w:val="single" w:sz="8" w:space="0" w:color="70AD47"/>
        </w:tcBorders>
        <w:shd w:val="clear" w:color="auto" w:fill="DBEBD0"/>
      </w:tcPr>
    </w:tblStylePr>
    <w:tblStylePr w:type="band2Horz">
      <w:tblPr/>
      <w:tcPr>
        <w:tcBorders>
          <w:top w:val="single" w:sz="8" w:space="0" w:color="70AD47"/>
          <w:left w:val="single" w:sz="8" w:space="0" w:color="70AD47"/>
          <w:bottom w:val="single" w:sz="8" w:space="0" w:color="70AD47"/>
          <w:right w:val="single" w:sz="8" w:space="0" w:color="70AD47"/>
          <w:insideV w:val="single" w:sz="8" w:space="0" w:color="70AD47"/>
        </w:tcBorders>
      </w:tcPr>
    </w:tblStylePr>
  </w:style>
  <w:style w:type="table" w:customStyle="1" w:styleId="a5">
    <w:basedOn w:val="TableNormal"/>
    <w:pPr>
      <w:spacing w:after="0" w:line="240" w:lineRule="auto"/>
    </w:pPr>
    <w:tblPr>
      <w:tblStyleRowBandSize w:val="1"/>
      <w:tblStyleColBandSize w:val="1"/>
    </w:tblPr>
    <w:tblStylePr w:type="firstRow">
      <w:pPr>
        <w:spacing w:before="0" w:after="0" w:line="240" w:lineRule="auto"/>
      </w:pPr>
      <w:rPr>
        <w:rFonts w:ascii="Calibri" w:eastAsia="Calibri" w:hAnsi="Calibri" w:cs="Calibri"/>
        <w:b/>
      </w:rPr>
      <w:tblPr/>
      <w:tcPr>
        <w:tcBorders>
          <w:top w:val="single" w:sz="8" w:space="0" w:color="A5A5A5"/>
          <w:left w:val="single" w:sz="8" w:space="0" w:color="A5A5A5"/>
          <w:bottom w:val="single" w:sz="18" w:space="0" w:color="A5A5A5"/>
          <w:right w:val="single" w:sz="8" w:space="0" w:color="A5A5A5"/>
          <w:insideH w:val="nil"/>
          <w:insideV w:val="single" w:sz="8" w:space="0" w:color="A5A5A5"/>
        </w:tcBorders>
      </w:tcPr>
    </w:tblStylePr>
    <w:tblStylePr w:type="lastRow">
      <w:pPr>
        <w:spacing w:before="0" w:after="0" w:line="240" w:lineRule="auto"/>
      </w:pPr>
      <w:rPr>
        <w:rFonts w:ascii="Calibri" w:eastAsia="Calibri" w:hAnsi="Calibri" w:cs="Calibri"/>
        <w:b/>
      </w:rPr>
      <w:tblPr/>
      <w:tcPr>
        <w:tcBorders>
          <w:top w:val="single" w:sz="6" w:space="0" w:color="A5A5A5"/>
          <w:left w:val="single" w:sz="8" w:space="0" w:color="A5A5A5"/>
          <w:bottom w:val="single" w:sz="8" w:space="0" w:color="A5A5A5"/>
          <w:right w:val="single" w:sz="8" w:space="0" w:color="A5A5A5"/>
          <w:insideH w:val="nil"/>
          <w:insideV w:val="single" w:sz="8" w:space="0" w:color="A5A5A5"/>
        </w:tcBorders>
      </w:tcPr>
    </w:tblStylePr>
    <w:tblStylePr w:type="firstCol">
      <w:rPr>
        <w:rFonts w:ascii="Calibri" w:eastAsia="Calibri" w:hAnsi="Calibri" w:cs="Calibri"/>
        <w:b/>
      </w:rPr>
    </w:tblStylePr>
    <w:tblStylePr w:type="lastCol">
      <w:rPr>
        <w:rFonts w:ascii="Calibri" w:eastAsia="Calibri" w:hAnsi="Calibri" w:cs="Calibri"/>
        <w:b/>
      </w:rPr>
      <w:tblPr/>
      <w:tcPr>
        <w:tcBorders>
          <w:top w:val="single" w:sz="8" w:space="0" w:color="A5A5A5"/>
          <w:left w:val="single" w:sz="8" w:space="0" w:color="A5A5A5"/>
          <w:bottom w:val="single" w:sz="8" w:space="0" w:color="A5A5A5"/>
          <w:right w:val="single" w:sz="8" w:space="0" w:color="A5A5A5"/>
        </w:tcBorders>
      </w:tcPr>
    </w:tblStylePr>
    <w:tblStylePr w:type="band1Vert">
      <w:tblPr/>
      <w:tcPr>
        <w:tcBorders>
          <w:top w:val="single" w:sz="8" w:space="0" w:color="A5A5A5"/>
          <w:left w:val="single" w:sz="8" w:space="0" w:color="A5A5A5"/>
          <w:bottom w:val="single" w:sz="8" w:space="0" w:color="A5A5A5"/>
          <w:right w:val="single" w:sz="8" w:space="0" w:color="A5A5A5"/>
        </w:tcBorders>
        <w:shd w:val="clear" w:color="auto" w:fill="E8E8E8"/>
      </w:tcPr>
    </w:tblStylePr>
    <w:tblStylePr w:type="band1Horz">
      <w:tblPr/>
      <w:tcPr>
        <w:tcBorders>
          <w:top w:val="single" w:sz="8" w:space="0" w:color="A5A5A5"/>
          <w:left w:val="single" w:sz="8" w:space="0" w:color="A5A5A5"/>
          <w:bottom w:val="single" w:sz="8" w:space="0" w:color="A5A5A5"/>
          <w:right w:val="single" w:sz="8" w:space="0" w:color="A5A5A5"/>
          <w:insideV w:val="single" w:sz="8" w:space="0" w:color="A5A5A5"/>
        </w:tcBorders>
        <w:shd w:val="clear" w:color="auto" w:fill="E8E8E8"/>
      </w:tcPr>
    </w:tblStylePr>
    <w:tblStylePr w:type="band2Horz">
      <w:tblPr/>
      <w:tcPr>
        <w:tcBorders>
          <w:top w:val="single" w:sz="8" w:space="0" w:color="A5A5A5"/>
          <w:left w:val="single" w:sz="8" w:space="0" w:color="A5A5A5"/>
          <w:bottom w:val="single" w:sz="8" w:space="0" w:color="A5A5A5"/>
          <w:right w:val="single" w:sz="8" w:space="0" w:color="A5A5A5"/>
          <w:insideV w:val="single" w:sz="8" w:space="0" w:color="A5A5A5"/>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york.ac.uk/enterprise-works/entrepreneurial-journeys/michael-mccreadie/" TargetMode="External"/><Relationship Id="rId2" Type="http://schemas.openxmlformats.org/officeDocument/2006/relationships/numbering" Target="numbering.xml"/><Relationship Id="rId16" Type="http://schemas.openxmlformats.org/officeDocument/2006/relationships/hyperlink" Target="https://tracxn.com/d/companies/kit-keeper/___fBXAIkUB4Mbq4XqkCamoAvIA7cQvgqSTsvXpWtGH6g"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linkedin.com/company/kit-keeper/?originalSubdomain=uk"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runchbase.com/organization/kit-keeper%20"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jBFL0H2dbXR2VE991FuhjLIHBUg==">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4506</Words>
  <Characters>25690</Characters>
  <Application>Microsoft Office Word</Application>
  <DocSecurity>0</DocSecurity>
  <Lines>214</Lines>
  <Paragraphs>60</Paragraphs>
  <ScaleCrop>false</ScaleCrop>
  <Company/>
  <LinksUpToDate>false</LinksUpToDate>
  <CharactersWithSpaces>30136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madalina aliu</dc:creator>
  <cp:lastModifiedBy>madalina aliu</cp:lastModifiedBy>
  <cp:revision>2</cp:revision>
  <dcterms:created xsi:type="dcterms:W3CDTF">2025-11-10T21:35:00Z</dcterms:created>
  <dcterms:modified xsi:type="dcterms:W3CDTF">2025-11-10T21:35:00Z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b0a20417-2d5b-4b72-9712-9d0d44bdb2c9</vt:lpwstr>
  </property>
</Properties>
</file>