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after="0"/>
        <w:jc w:val="center"/>
        <w:rPr>
          <w:b/>
          <w:bCs/>
          <w:color w:val="000000"/>
          <w:sz w:val="32"/>
          <w:szCs w:val="32"/>
        </w:rPr>
      </w:pPr>
    </w:p>
    <w:p>
      <w:pPr>
        <w:spacing w:after="0"/>
        <w:jc w:val="center"/>
        <w:rPr>
          <w:b/>
          <w:bCs/>
          <w:color w:val="000000"/>
          <w:sz w:val="32"/>
          <w:szCs w:val="32"/>
        </w:rPr>
      </w:pPr>
    </w:p>
    <w:p>
      <w:pPr>
        <w:spacing w:after="0"/>
        <w:jc w:val="center"/>
        <w:rPr>
          <w:b/>
          <w:bCs/>
          <w:color w:val="000000"/>
          <w:sz w:val="32"/>
          <w:szCs w:val="32"/>
        </w:rPr>
      </w:pPr>
    </w:p>
    <w:p>
      <w:pPr>
        <w:spacing w:after="0"/>
        <w:jc w:val="center"/>
        <w:rPr>
          <w:b/>
          <w:bCs/>
          <w:color w:val="000000"/>
          <w:sz w:val="32"/>
          <w:szCs w:val="32"/>
        </w:rPr>
      </w:pPr>
      <w:r>
        <w:rPr>
          <w:b/>
          <w:bCs/>
          <w:color w:val="000000"/>
          <w:sz w:val="32"/>
          <w:szCs w:val="32"/>
        </w:rPr>
        <w:t>COMPONENT 2</w:t>
      </w:r>
    </w:p>
    <w:p>
      <w:pPr>
        <w:spacing w:after="0"/>
        <w:jc w:val="center"/>
        <w:rPr>
          <w:b/>
          <w:bCs/>
          <w:color w:val="000000"/>
          <w:sz w:val="32"/>
          <w:szCs w:val="32"/>
        </w:rPr>
      </w:pPr>
      <w:r>
        <w:rPr>
          <w:b/>
          <w:bCs/>
          <w:color w:val="000000"/>
          <w:sz w:val="32"/>
          <w:szCs w:val="32"/>
        </w:rPr>
        <w:t>WRITTEN RESEARCH PROPOSAL</w:t>
      </w:r>
    </w:p>
    <w:p>
      <w:pPr>
        <w:spacing w:after="240"/>
        <w:jc w:val="center"/>
        <w:rPr>
          <w:color w:val="000000"/>
          <w:sz w:val="28"/>
          <w:szCs w:val="28"/>
        </w:rPr>
      </w:pPr>
      <w:r>
        <w:rPr>
          <w:color w:val="000000"/>
          <w:sz w:val="28"/>
          <w:szCs w:val="28"/>
        </w:rPr>
        <w:t>Topic: The Impact of Medication Adherence on Clinical Outcomes, Functional Outcomes and Quality of Life Among Adults Aged 40-60 Years with Coronary Artery Disease: A Systematic Review</w:t>
      </w:r>
    </w:p>
    <w:p>
      <w:pPr>
        <w:spacing w:after="240"/>
        <w:jc w:val="center"/>
        <w:rPr>
          <w:b/>
          <w:bCs/>
          <w:color w:val="000000"/>
          <w:sz w:val="28"/>
          <w:szCs w:val="28"/>
        </w:rPr>
      </w:pPr>
      <w:r>
        <w:rPr>
          <w:b/>
          <w:bCs/>
          <w:color w:val="000000"/>
          <w:sz w:val="28"/>
          <w:szCs w:val="28"/>
        </w:rPr>
        <w:t>Student Name: Vidhi Patel</w:t>
      </w:r>
    </w:p>
    <w:p>
      <w:pPr>
        <w:spacing w:after="240"/>
        <w:jc w:val="center"/>
        <w:rPr>
          <w:b/>
          <w:bCs/>
          <w:color w:val="000000"/>
          <w:sz w:val="28"/>
          <w:szCs w:val="28"/>
        </w:rPr>
      </w:pPr>
      <w:r>
        <w:rPr>
          <w:b/>
          <w:bCs/>
          <w:color w:val="000000"/>
          <w:sz w:val="28"/>
          <w:szCs w:val="28"/>
        </w:rPr>
        <w:t>Student ID: 2523554</w:t>
      </w:r>
      <w:bookmarkStart w:id="0" w:name="_GoBack"/>
      <w:bookmarkEnd w:id="0"/>
    </w:p>
    <w:p>
      <w:pPr>
        <w:spacing w:after="240"/>
        <w:rPr>
          <w:b/>
          <w:bCs/>
          <w:color w:val="000000"/>
          <w:sz w:val="28"/>
          <w:szCs w:val="28"/>
        </w:rPr>
      </w:pPr>
      <w:r>
        <w:rPr>
          <w:color w:val="000000"/>
        </w:rPr>
        <w:br w:type="page"/>
      </w:r>
    </w:p>
    <w:p>
      <w:pPr>
        <w:keepNext/>
        <w:keepLines/>
        <w:pBdr>
          <w:top w:val="none" w:sz="0" w:space="0" w:color="auto"/>
          <w:left w:val="none" w:sz="0" w:space="0" w:color="auto"/>
          <w:bottom w:val="none" w:sz="0" w:space="0" w:color="auto"/>
          <w:right w:val="none" w:sz="0" w:space="0" w:color="auto"/>
          <w:between w:val="none" w:sz="0" w:space="0" w:color="auto"/>
        </w:pBdr>
        <w:spacing w:before="240" w:after="0" w:line="259" w:lineRule="auto"/>
        <w:jc w:val="center"/>
        <w:rPr>
          <w:b/>
          <w:bCs/>
          <w:color w:val="000000"/>
          <w:sz w:val="28"/>
          <w:szCs w:val="28"/>
        </w:rPr>
      </w:pPr>
      <w:r>
        <w:rPr>
          <w:b/>
          <w:bCs/>
          <w:color w:val="000000"/>
          <w:sz w:val="28"/>
          <w:szCs w:val="28"/>
        </w:rPr>
        <w:t>Table of Contents</w:t>
      </w:r>
    </w:p>
    <w:p>
      <w:pPr>
        <w:pStyle w:val="17"/>
        <w:tabs>
          <w:tab w:val="left" w:pos="480"/>
          <w:tab w:val="right" w:leader="dot" w:pos="9350"/>
        </w:tabs>
        <w:rPr>
          <w:rFonts w:ascii="Cambria" w:eastAsia="宋体" w:cs="Arial" w:hAnsi="Cambria"/>
          <w:color w:val="000000"/>
          <w:kern w:val="2"/>
          <w:lang w:val="en-IN"/>
        </w:rPr>
      </w:pPr>
      <w:r>
        <w:rPr>
          <w:color w:val="000000"/>
        </w:rPr>
        <w:fldChar w:fldCharType="begin"/>
      </w:r>
      <w:r>
        <w:rPr>
          <w:color w:val="000000"/>
        </w:rPr>
        <w:instrText xml:space="preserve"> TOC \o "1-3" \h \z \u </w:instrText>
      </w:r>
      <w:r>
        <w:rPr>
          <w:color w:val="000000"/>
        </w:rPr>
        <w:fldChar w:fldCharType="separate"/>
      </w:r>
      <w:r>
        <w:fldChar w:fldCharType="begin"/>
      </w:r>
      <w:r>
        <w:instrText>Hyperlink \l "_Toc237563367"</w:instrText>
      </w:r>
      <w:r>
        <w:fldChar w:fldCharType="separate"/>
      </w:r>
      <w:r>
        <w:rPr>
          <w:color w:val="000000"/>
        </w:rPr>
        <w:t>1.</w:t>
      </w:r>
      <w:r>
        <w:rPr>
          <w:rFonts w:ascii="Cambria" w:eastAsia="宋体" w:cs="Arial" w:hAnsi="Cambria"/>
          <w:color w:val="000000"/>
          <w:kern w:val="2"/>
          <w:lang w:val="en-IN"/>
        </w:rPr>
        <w:tab/>
      </w:r>
      <w:r>
        <w:rPr>
          <w:color w:val="000000"/>
        </w:rPr>
        <w:t>Prevalence of the Problem</w:t>
        <w:tab/>
      </w:r>
      <w:r>
        <w:rPr>
          <w:color w:val="000000"/>
        </w:rPr>
        <w:fldChar w:fldCharType="begin"/>
      </w:r>
      <w:r>
        <w:rPr>
          <w:color w:val="000000"/>
        </w:rPr>
        <w:instrText xml:space="preserve"> PAGEREF _Toc237563367 \h </w:instrText>
      </w:r>
      <w:r>
        <w:rPr>
          <w:color w:val="000000"/>
        </w:rPr>
        <w:fldChar w:fldCharType="separate"/>
      </w:r>
      <w:r>
        <w:rPr>
          <w:color w:val="000000"/>
        </w:rPr>
        <w:t>3</w:t>
      </w:r>
      <w:r>
        <w:rPr>
          <w:color w:val="000000"/>
        </w:rPr>
        <w:fldChar w:fldCharType="end"/>
      </w:r>
      <w:r>
        <w:fldChar w:fldCharType="end"/>
      </w:r>
    </w:p>
    <w:p>
      <w:pPr>
        <w:pStyle w:val="17"/>
        <w:tabs>
          <w:tab w:val="left" w:pos="480"/>
          <w:tab w:val="right" w:leader="dot" w:pos="9350"/>
        </w:tabs>
        <w:rPr>
          <w:rFonts w:ascii="Cambria" w:eastAsia="宋体" w:cs="Arial" w:hAnsi="Cambria"/>
          <w:color w:val="000000"/>
          <w:kern w:val="2"/>
          <w:lang w:val="en-IN"/>
        </w:rPr>
      </w:pPr>
      <w:r>
        <w:fldChar w:fldCharType="begin"/>
      </w:r>
      <w:r>
        <w:instrText>Hyperlink \l "_Toc237563368"</w:instrText>
      </w:r>
      <w:r>
        <w:fldChar w:fldCharType="separate"/>
      </w:r>
      <w:r>
        <w:rPr>
          <w:color w:val="000000"/>
        </w:rPr>
        <w:t>2.</w:t>
      </w:r>
      <w:r>
        <w:rPr>
          <w:rFonts w:ascii="Cambria" w:eastAsia="宋体" w:cs="Arial" w:hAnsi="Cambria"/>
          <w:color w:val="000000"/>
          <w:kern w:val="2"/>
          <w:lang w:val="en-IN"/>
        </w:rPr>
        <w:tab/>
      </w:r>
      <w:r>
        <w:rPr>
          <w:color w:val="000000"/>
        </w:rPr>
        <w:t>Introduction: Literature-Based Background to the Study</w:t>
        <w:tab/>
      </w:r>
      <w:r>
        <w:rPr>
          <w:color w:val="000000"/>
        </w:rPr>
        <w:fldChar w:fldCharType="begin"/>
      </w:r>
      <w:r>
        <w:rPr>
          <w:color w:val="000000"/>
        </w:rPr>
        <w:instrText xml:space="preserve"> PAGEREF _Toc237563368 \h </w:instrText>
      </w:r>
      <w:r>
        <w:rPr>
          <w:color w:val="000000"/>
        </w:rPr>
        <w:fldChar w:fldCharType="separate"/>
      </w:r>
      <w:r>
        <w:rPr>
          <w:color w:val="000000"/>
        </w:rPr>
        <w:t>4</w:t>
      </w:r>
      <w:r>
        <w:rPr>
          <w:color w:val="000000"/>
        </w:rPr>
        <w:fldChar w:fldCharType="end"/>
      </w:r>
      <w:r>
        <w:fldChar w:fldCharType="end"/>
      </w:r>
    </w:p>
    <w:p>
      <w:pPr>
        <w:pStyle w:val="17"/>
        <w:tabs>
          <w:tab w:val="left" w:pos="480"/>
          <w:tab w:val="right" w:leader="dot" w:pos="9350"/>
        </w:tabs>
        <w:rPr>
          <w:rFonts w:ascii="Cambria" w:eastAsia="宋体" w:cs="Arial" w:hAnsi="Cambria"/>
          <w:color w:val="000000"/>
          <w:kern w:val="2"/>
          <w:lang w:val="en-IN"/>
        </w:rPr>
      </w:pPr>
      <w:r>
        <w:fldChar w:fldCharType="begin"/>
      </w:r>
      <w:r>
        <w:instrText>Hyperlink \l "_Toc237563369"</w:instrText>
      </w:r>
      <w:r>
        <w:fldChar w:fldCharType="separate"/>
      </w:r>
      <w:r>
        <w:rPr>
          <w:color w:val="000000"/>
        </w:rPr>
        <w:t>3.</w:t>
      </w:r>
      <w:r>
        <w:rPr>
          <w:rFonts w:ascii="Cambria" w:eastAsia="宋体" w:cs="Arial" w:hAnsi="Cambria"/>
          <w:color w:val="000000"/>
          <w:kern w:val="2"/>
          <w:lang w:val="en-IN"/>
        </w:rPr>
        <w:tab/>
      </w:r>
      <w:r>
        <w:rPr>
          <w:color w:val="000000"/>
        </w:rPr>
        <w:t>Rationale, Aim, Objectives and Research Question</w:t>
        <w:tab/>
      </w:r>
      <w:r>
        <w:rPr>
          <w:color w:val="000000"/>
        </w:rPr>
        <w:fldChar w:fldCharType="begin"/>
      </w:r>
      <w:r>
        <w:rPr>
          <w:color w:val="000000"/>
        </w:rPr>
        <w:instrText xml:space="preserve"> PAGEREF _Toc237563369 \h </w:instrText>
      </w:r>
      <w:r>
        <w:rPr>
          <w:color w:val="000000"/>
        </w:rPr>
        <w:fldChar w:fldCharType="separate"/>
      </w:r>
      <w:r>
        <w:rPr>
          <w:color w:val="000000"/>
        </w:rPr>
        <w:t>6</w:t>
      </w:r>
      <w:r>
        <w:rPr>
          <w:color w:val="000000"/>
        </w:rPr>
        <w:fldChar w:fldCharType="end"/>
      </w:r>
      <w:r>
        <w:fldChar w:fldCharType="end"/>
      </w:r>
    </w:p>
    <w:p>
      <w:pPr>
        <w:pStyle w:val="18"/>
        <w:tabs>
          <w:tab w:val="right" w:leader="dot" w:pos="9350"/>
        </w:tabs>
        <w:rPr>
          <w:rFonts w:ascii="Cambria" w:eastAsia="宋体" w:cs="Arial" w:hAnsi="Cambria"/>
          <w:color w:val="000000"/>
          <w:kern w:val="2"/>
          <w:lang w:val="en-IN"/>
        </w:rPr>
      </w:pPr>
      <w:r>
        <w:fldChar w:fldCharType="begin"/>
      </w:r>
      <w:r>
        <w:instrText>Hyperlink \l "_Toc237563370"</w:instrText>
      </w:r>
      <w:r>
        <w:fldChar w:fldCharType="separate"/>
      </w:r>
      <w:r>
        <w:rPr>
          <w:color w:val="000000"/>
        </w:rPr>
        <w:t>3.1 Research Rationale</w:t>
        <w:tab/>
      </w:r>
      <w:r>
        <w:rPr>
          <w:color w:val="000000"/>
        </w:rPr>
        <w:fldChar w:fldCharType="begin"/>
      </w:r>
      <w:r>
        <w:rPr>
          <w:color w:val="000000"/>
        </w:rPr>
        <w:instrText xml:space="preserve"> PAGEREF _Toc237563370 \h </w:instrText>
      </w:r>
      <w:r>
        <w:rPr>
          <w:color w:val="000000"/>
        </w:rPr>
        <w:fldChar w:fldCharType="separate"/>
      </w:r>
      <w:r>
        <w:rPr>
          <w:color w:val="000000"/>
        </w:rPr>
        <w:t>6</w:t>
      </w:r>
      <w:r>
        <w:rPr>
          <w:color w:val="000000"/>
        </w:rPr>
        <w:fldChar w:fldCharType="end"/>
      </w:r>
      <w:r>
        <w:fldChar w:fldCharType="end"/>
      </w:r>
    </w:p>
    <w:p>
      <w:pPr>
        <w:pStyle w:val="18"/>
        <w:tabs>
          <w:tab w:val="right" w:leader="dot" w:pos="9350"/>
        </w:tabs>
        <w:rPr>
          <w:rFonts w:ascii="Cambria" w:eastAsia="宋体" w:cs="Arial" w:hAnsi="Cambria"/>
          <w:color w:val="000000"/>
          <w:kern w:val="2"/>
          <w:lang w:val="en-IN"/>
        </w:rPr>
      </w:pPr>
      <w:r>
        <w:fldChar w:fldCharType="begin"/>
      </w:r>
      <w:r>
        <w:instrText>Hyperlink \l "_Toc237563371"</w:instrText>
      </w:r>
      <w:r>
        <w:fldChar w:fldCharType="separate"/>
      </w:r>
      <w:r>
        <w:rPr>
          <w:color w:val="000000"/>
        </w:rPr>
        <w:t>3.2 Research Question</w:t>
        <w:tab/>
      </w:r>
      <w:r>
        <w:rPr>
          <w:color w:val="000000"/>
        </w:rPr>
        <w:fldChar w:fldCharType="begin"/>
      </w:r>
      <w:r>
        <w:rPr>
          <w:color w:val="000000"/>
        </w:rPr>
        <w:instrText xml:space="preserve"> PAGEREF _Toc237563371 \h </w:instrText>
      </w:r>
      <w:r>
        <w:rPr>
          <w:color w:val="000000"/>
        </w:rPr>
        <w:fldChar w:fldCharType="separate"/>
      </w:r>
      <w:r>
        <w:rPr>
          <w:color w:val="000000"/>
        </w:rPr>
        <w:t>6</w:t>
      </w:r>
      <w:r>
        <w:rPr>
          <w:color w:val="000000"/>
        </w:rPr>
        <w:fldChar w:fldCharType="end"/>
      </w:r>
      <w:r>
        <w:fldChar w:fldCharType="end"/>
      </w:r>
    </w:p>
    <w:p>
      <w:pPr>
        <w:pStyle w:val="18"/>
        <w:tabs>
          <w:tab w:val="right" w:leader="dot" w:pos="9350"/>
        </w:tabs>
        <w:rPr>
          <w:rFonts w:ascii="Cambria" w:eastAsia="宋体" w:cs="Arial" w:hAnsi="Cambria"/>
          <w:color w:val="000000"/>
          <w:kern w:val="2"/>
          <w:lang w:val="en-IN"/>
        </w:rPr>
      </w:pPr>
      <w:r>
        <w:fldChar w:fldCharType="begin"/>
      </w:r>
      <w:r>
        <w:instrText>Hyperlink \l "_Toc237563372"</w:instrText>
      </w:r>
      <w:r>
        <w:fldChar w:fldCharType="separate"/>
      </w:r>
      <w:r>
        <w:rPr>
          <w:color w:val="000000"/>
        </w:rPr>
        <w:t>3.3 Research Aim</w:t>
        <w:tab/>
      </w:r>
      <w:r>
        <w:rPr>
          <w:color w:val="000000"/>
        </w:rPr>
        <w:fldChar w:fldCharType="begin"/>
      </w:r>
      <w:r>
        <w:rPr>
          <w:color w:val="000000"/>
        </w:rPr>
        <w:instrText xml:space="preserve"> PAGEREF _Toc237563372 \h </w:instrText>
      </w:r>
      <w:r>
        <w:rPr>
          <w:color w:val="000000"/>
        </w:rPr>
        <w:fldChar w:fldCharType="separate"/>
      </w:r>
      <w:r>
        <w:rPr>
          <w:color w:val="000000"/>
        </w:rPr>
        <w:t>7</w:t>
      </w:r>
      <w:r>
        <w:rPr>
          <w:color w:val="000000"/>
        </w:rPr>
        <w:fldChar w:fldCharType="end"/>
      </w:r>
      <w:r>
        <w:fldChar w:fldCharType="end"/>
      </w:r>
    </w:p>
    <w:p>
      <w:pPr>
        <w:pStyle w:val="18"/>
        <w:tabs>
          <w:tab w:val="right" w:leader="dot" w:pos="9350"/>
        </w:tabs>
        <w:rPr>
          <w:rFonts w:ascii="Cambria" w:eastAsia="宋体" w:cs="Arial" w:hAnsi="Cambria"/>
          <w:color w:val="000000"/>
          <w:kern w:val="2"/>
          <w:lang w:val="en-IN"/>
        </w:rPr>
      </w:pPr>
      <w:r>
        <w:fldChar w:fldCharType="begin"/>
      </w:r>
      <w:r>
        <w:instrText>Hyperlink \l "_Toc237563373"</w:instrText>
      </w:r>
      <w:r>
        <w:fldChar w:fldCharType="separate"/>
      </w:r>
      <w:r>
        <w:rPr>
          <w:color w:val="000000"/>
        </w:rPr>
        <w:t>3.4 Research Objectives</w:t>
        <w:tab/>
      </w:r>
      <w:r>
        <w:rPr>
          <w:color w:val="000000"/>
        </w:rPr>
        <w:fldChar w:fldCharType="begin"/>
      </w:r>
      <w:r>
        <w:rPr>
          <w:color w:val="000000"/>
        </w:rPr>
        <w:instrText xml:space="preserve"> PAGEREF _Toc237563373 \h </w:instrText>
      </w:r>
      <w:r>
        <w:rPr>
          <w:color w:val="000000"/>
        </w:rPr>
        <w:fldChar w:fldCharType="separate"/>
      </w:r>
      <w:r>
        <w:rPr>
          <w:color w:val="000000"/>
        </w:rPr>
        <w:t>7</w:t>
      </w:r>
      <w:r>
        <w:rPr>
          <w:color w:val="000000"/>
        </w:rPr>
        <w:fldChar w:fldCharType="end"/>
      </w:r>
      <w:r>
        <w:fldChar w:fldCharType="end"/>
      </w:r>
    </w:p>
    <w:p>
      <w:pPr>
        <w:pStyle w:val="17"/>
        <w:tabs>
          <w:tab w:val="left" w:pos="480"/>
          <w:tab w:val="right" w:leader="dot" w:pos="9350"/>
        </w:tabs>
        <w:rPr>
          <w:rFonts w:ascii="Cambria" w:eastAsia="宋体" w:cs="Arial" w:hAnsi="Cambria"/>
          <w:color w:val="000000"/>
          <w:kern w:val="2"/>
          <w:lang w:val="en-IN"/>
        </w:rPr>
      </w:pPr>
      <w:r>
        <w:fldChar w:fldCharType="begin"/>
      </w:r>
      <w:r>
        <w:instrText>Hyperlink \l "_Toc237563374"</w:instrText>
      </w:r>
      <w:r>
        <w:fldChar w:fldCharType="separate"/>
      </w:r>
      <w:r>
        <w:rPr>
          <w:color w:val="000000"/>
        </w:rPr>
        <w:t>4.</w:t>
      </w:r>
      <w:r>
        <w:rPr>
          <w:rFonts w:ascii="Cambria" w:eastAsia="宋体" w:cs="Arial" w:hAnsi="Cambria"/>
          <w:color w:val="000000"/>
          <w:kern w:val="2"/>
          <w:lang w:val="en-IN"/>
        </w:rPr>
        <w:tab/>
      </w:r>
      <w:r>
        <w:rPr>
          <w:color w:val="000000"/>
        </w:rPr>
        <w:t>Research Methodology</w:t>
        <w:tab/>
      </w:r>
      <w:r>
        <w:rPr>
          <w:color w:val="000000"/>
        </w:rPr>
        <w:fldChar w:fldCharType="begin"/>
      </w:r>
      <w:r>
        <w:rPr>
          <w:color w:val="000000"/>
        </w:rPr>
        <w:instrText xml:space="preserve"> PAGEREF _Toc237563374 \h </w:instrText>
      </w:r>
      <w:r>
        <w:rPr>
          <w:color w:val="000000"/>
        </w:rPr>
        <w:fldChar w:fldCharType="separate"/>
      </w:r>
      <w:r>
        <w:rPr>
          <w:color w:val="000000"/>
        </w:rPr>
        <w:t>7</w:t>
      </w:r>
      <w:r>
        <w:rPr>
          <w:color w:val="000000"/>
        </w:rPr>
        <w:fldChar w:fldCharType="end"/>
      </w:r>
      <w:r>
        <w:fldChar w:fldCharType="end"/>
      </w:r>
    </w:p>
    <w:p>
      <w:pPr>
        <w:pStyle w:val="18"/>
        <w:tabs>
          <w:tab w:val="right" w:leader="dot" w:pos="9350"/>
        </w:tabs>
        <w:rPr>
          <w:rFonts w:ascii="Cambria" w:eastAsia="宋体" w:cs="Arial" w:hAnsi="Cambria"/>
          <w:color w:val="000000"/>
          <w:kern w:val="2"/>
          <w:lang w:val="en-IN"/>
        </w:rPr>
      </w:pPr>
      <w:r>
        <w:fldChar w:fldCharType="begin"/>
      </w:r>
      <w:r>
        <w:instrText>Hyperlink \l "_Toc237563375"</w:instrText>
      </w:r>
      <w:r>
        <w:fldChar w:fldCharType="separate"/>
      </w:r>
      <w:r>
        <w:rPr>
          <w:color w:val="000000"/>
        </w:rPr>
        <w:t>4.1 Research Design</w:t>
        <w:tab/>
      </w:r>
      <w:r>
        <w:rPr>
          <w:color w:val="000000"/>
        </w:rPr>
        <w:fldChar w:fldCharType="begin"/>
      </w:r>
      <w:r>
        <w:rPr>
          <w:color w:val="000000"/>
        </w:rPr>
        <w:instrText xml:space="preserve"> PAGEREF _Toc237563375 \h </w:instrText>
      </w:r>
      <w:r>
        <w:rPr>
          <w:color w:val="000000"/>
        </w:rPr>
        <w:fldChar w:fldCharType="separate"/>
      </w:r>
      <w:r>
        <w:rPr>
          <w:color w:val="000000"/>
        </w:rPr>
        <w:t>8</w:t>
      </w:r>
      <w:r>
        <w:rPr>
          <w:color w:val="000000"/>
        </w:rPr>
        <w:fldChar w:fldCharType="end"/>
      </w:r>
      <w:r>
        <w:fldChar w:fldCharType="end"/>
      </w:r>
    </w:p>
    <w:p>
      <w:pPr>
        <w:pStyle w:val="18"/>
        <w:tabs>
          <w:tab w:val="right" w:leader="dot" w:pos="9350"/>
        </w:tabs>
        <w:rPr>
          <w:rFonts w:ascii="Cambria" w:eastAsia="宋体" w:cs="Arial" w:hAnsi="Cambria"/>
          <w:color w:val="000000"/>
          <w:kern w:val="2"/>
          <w:lang w:val="en-IN"/>
        </w:rPr>
      </w:pPr>
      <w:r>
        <w:fldChar w:fldCharType="begin"/>
      </w:r>
      <w:r>
        <w:instrText>Hyperlink \l "_Toc237563376"</w:instrText>
      </w:r>
      <w:r>
        <w:fldChar w:fldCharType="separate"/>
      </w:r>
      <w:r>
        <w:rPr>
          <w:color w:val="000000"/>
        </w:rPr>
        <w:t>4.2 Search Strategy</w:t>
        <w:tab/>
      </w:r>
      <w:r>
        <w:rPr>
          <w:color w:val="000000"/>
        </w:rPr>
        <w:fldChar w:fldCharType="begin"/>
      </w:r>
      <w:r>
        <w:rPr>
          <w:color w:val="000000"/>
        </w:rPr>
        <w:instrText xml:space="preserve"> PAGEREF _Toc237563376 \h </w:instrText>
      </w:r>
      <w:r>
        <w:rPr>
          <w:color w:val="000000"/>
        </w:rPr>
        <w:fldChar w:fldCharType="separate"/>
      </w:r>
      <w:r>
        <w:rPr>
          <w:color w:val="000000"/>
        </w:rPr>
        <w:t>9</w:t>
      </w:r>
      <w:r>
        <w:rPr>
          <w:color w:val="000000"/>
        </w:rPr>
        <w:fldChar w:fldCharType="end"/>
      </w:r>
      <w:r>
        <w:fldChar w:fldCharType="end"/>
      </w:r>
    </w:p>
    <w:p>
      <w:pPr>
        <w:pStyle w:val="18"/>
        <w:tabs>
          <w:tab w:val="right" w:leader="dot" w:pos="9350"/>
        </w:tabs>
        <w:rPr>
          <w:rFonts w:ascii="Cambria" w:eastAsia="宋体" w:cs="Arial" w:hAnsi="Cambria"/>
          <w:color w:val="000000"/>
          <w:kern w:val="2"/>
          <w:lang w:val="en-IN"/>
        </w:rPr>
      </w:pPr>
      <w:r>
        <w:fldChar w:fldCharType="begin"/>
      </w:r>
      <w:r>
        <w:instrText>Hyperlink \l "_Toc237563377"</w:instrText>
      </w:r>
      <w:r>
        <w:fldChar w:fldCharType="separate"/>
      </w:r>
      <w:r>
        <w:rPr>
          <w:color w:val="000000"/>
        </w:rPr>
        <w:t>4.3 Materials and Data Collection Methods</w:t>
        <w:tab/>
      </w:r>
      <w:r>
        <w:rPr>
          <w:color w:val="000000"/>
        </w:rPr>
        <w:fldChar w:fldCharType="begin"/>
      </w:r>
      <w:r>
        <w:rPr>
          <w:color w:val="000000"/>
        </w:rPr>
        <w:instrText xml:space="preserve"> PAGEREF _Toc237563377 \h </w:instrText>
      </w:r>
      <w:r>
        <w:rPr>
          <w:color w:val="000000"/>
        </w:rPr>
        <w:fldChar w:fldCharType="separate"/>
      </w:r>
      <w:r>
        <w:rPr>
          <w:color w:val="000000"/>
        </w:rPr>
        <w:t>10</w:t>
      </w:r>
      <w:r>
        <w:rPr>
          <w:color w:val="000000"/>
        </w:rPr>
        <w:fldChar w:fldCharType="end"/>
      </w:r>
      <w:r>
        <w:fldChar w:fldCharType="end"/>
      </w:r>
    </w:p>
    <w:p>
      <w:pPr>
        <w:pStyle w:val="18"/>
        <w:tabs>
          <w:tab w:val="right" w:leader="dot" w:pos="9350"/>
        </w:tabs>
        <w:rPr>
          <w:rFonts w:ascii="Cambria" w:eastAsia="宋体" w:cs="Arial" w:hAnsi="Cambria"/>
          <w:color w:val="000000"/>
          <w:kern w:val="2"/>
          <w:lang w:val="en-IN"/>
        </w:rPr>
      </w:pPr>
      <w:r>
        <w:fldChar w:fldCharType="begin"/>
      </w:r>
      <w:r>
        <w:instrText>Hyperlink \l "_Toc237563378"</w:instrText>
      </w:r>
      <w:r>
        <w:fldChar w:fldCharType="separate"/>
      </w:r>
      <w:r>
        <w:rPr>
          <w:color w:val="000000"/>
        </w:rPr>
        <w:t>4.4 Proposed Data Analysis Technique</w:t>
        <w:tab/>
      </w:r>
      <w:r>
        <w:rPr>
          <w:color w:val="000000"/>
        </w:rPr>
        <w:fldChar w:fldCharType="begin"/>
      </w:r>
      <w:r>
        <w:rPr>
          <w:color w:val="000000"/>
        </w:rPr>
        <w:instrText xml:space="preserve"> PAGEREF _Toc237563378 \h </w:instrText>
      </w:r>
      <w:r>
        <w:rPr>
          <w:color w:val="000000"/>
        </w:rPr>
        <w:fldChar w:fldCharType="separate"/>
      </w:r>
      <w:r>
        <w:rPr>
          <w:color w:val="000000"/>
        </w:rPr>
        <w:t>10</w:t>
      </w:r>
      <w:r>
        <w:rPr>
          <w:color w:val="000000"/>
        </w:rPr>
        <w:fldChar w:fldCharType="end"/>
      </w:r>
      <w:r>
        <w:fldChar w:fldCharType="end"/>
      </w:r>
    </w:p>
    <w:p>
      <w:pPr>
        <w:pStyle w:val="17"/>
        <w:tabs>
          <w:tab w:val="left" w:pos="480"/>
          <w:tab w:val="right" w:leader="dot" w:pos="9350"/>
        </w:tabs>
        <w:rPr>
          <w:rFonts w:ascii="Cambria" w:eastAsia="宋体" w:cs="Arial" w:hAnsi="Cambria"/>
          <w:color w:val="000000"/>
          <w:kern w:val="2"/>
          <w:lang w:val="en-IN"/>
        </w:rPr>
      </w:pPr>
      <w:r>
        <w:fldChar w:fldCharType="begin"/>
      </w:r>
      <w:r>
        <w:instrText>Hyperlink \l "_Toc237563379"</w:instrText>
      </w:r>
      <w:r>
        <w:fldChar w:fldCharType="separate"/>
      </w:r>
      <w:r>
        <w:rPr>
          <w:color w:val="000000"/>
        </w:rPr>
        <w:t>5.</w:t>
      </w:r>
      <w:r>
        <w:rPr>
          <w:rFonts w:ascii="Cambria" w:eastAsia="宋体" w:cs="Arial" w:hAnsi="Cambria"/>
          <w:color w:val="000000"/>
          <w:kern w:val="2"/>
          <w:lang w:val="en-IN"/>
        </w:rPr>
        <w:tab/>
      </w:r>
      <w:r>
        <w:rPr>
          <w:color w:val="000000"/>
        </w:rPr>
        <w:t>Ethical Considerations</w:t>
        <w:tab/>
      </w:r>
      <w:r>
        <w:rPr>
          <w:color w:val="000000"/>
        </w:rPr>
        <w:fldChar w:fldCharType="begin"/>
      </w:r>
      <w:r>
        <w:rPr>
          <w:color w:val="000000"/>
        </w:rPr>
        <w:instrText xml:space="preserve"> PAGEREF _Toc237563379 \h </w:instrText>
      </w:r>
      <w:r>
        <w:rPr>
          <w:color w:val="000000"/>
        </w:rPr>
        <w:fldChar w:fldCharType="separate"/>
      </w:r>
      <w:r>
        <w:rPr>
          <w:color w:val="000000"/>
        </w:rPr>
        <w:t>12</w:t>
      </w:r>
      <w:r>
        <w:rPr>
          <w:color w:val="000000"/>
        </w:rPr>
        <w:fldChar w:fldCharType="end"/>
      </w:r>
      <w:r>
        <w:fldChar w:fldCharType="end"/>
      </w:r>
    </w:p>
    <w:p>
      <w:pPr>
        <w:pStyle w:val="17"/>
        <w:tabs>
          <w:tab w:val="left" w:pos="480"/>
          <w:tab w:val="right" w:leader="dot" w:pos="9350"/>
        </w:tabs>
        <w:rPr>
          <w:rFonts w:ascii="Cambria" w:eastAsia="宋体" w:cs="Arial" w:hAnsi="Cambria"/>
          <w:color w:val="000000"/>
          <w:kern w:val="2"/>
          <w:lang w:val="en-IN"/>
        </w:rPr>
      </w:pPr>
      <w:r>
        <w:fldChar w:fldCharType="begin"/>
      </w:r>
      <w:r>
        <w:instrText>Hyperlink \l "_Toc237563380"</w:instrText>
      </w:r>
      <w:r>
        <w:fldChar w:fldCharType="separate"/>
      </w:r>
      <w:r>
        <w:rPr>
          <w:color w:val="000000"/>
        </w:rPr>
        <w:t>6.</w:t>
      </w:r>
      <w:r>
        <w:rPr>
          <w:rFonts w:ascii="Cambria" w:eastAsia="宋体" w:cs="Arial" w:hAnsi="Cambria"/>
          <w:color w:val="000000"/>
          <w:kern w:val="2"/>
          <w:lang w:val="en-IN"/>
        </w:rPr>
        <w:tab/>
      </w:r>
      <w:r>
        <w:rPr>
          <w:color w:val="000000"/>
        </w:rPr>
        <w:t>Implications of Research</w:t>
        <w:tab/>
      </w:r>
      <w:r>
        <w:rPr>
          <w:color w:val="000000"/>
        </w:rPr>
        <w:fldChar w:fldCharType="begin"/>
      </w:r>
      <w:r>
        <w:rPr>
          <w:color w:val="000000"/>
        </w:rPr>
        <w:instrText xml:space="preserve"> PAGEREF _Toc237563380 \h </w:instrText>
      </w:r>
      <w:r>
        <w:rPr>
          <w:color w:val="000000"/>
        </w:rPr>
        <w:fldChar w:fldCharType="separate"/>
      </w:r>
      <w:r>
        <w:rPr>
          <w:color w:val="000000"/>
        </w:rPr>
        <w:t>13</w:t>
      </w:r>
      <w:r>
        <w:rPr>
          <w:color w:val="000000"/>
        </w:rPr>
        <w:fldChar w:fldCharType="end"/>
      </w:r>
      <w:r>
        <w:fldChar w:fldCharType="end"/>
      </w:r>
    </w:p>
    <w:p>
      <w:pPr>
        <w:pStyle w:val="17"/>
        <w:tabs>
          <w:tab w:val="left" w:pos="480"/>
          <w:tab w:val="right" w:leader="dot" w:pos="9350"/>
        </w:tabs>
        <w:rPr>
          <w:rFonts w:ascii="Cambria" w:eastAsia="宋体" w:cs="Arial" w:hAnsi="Cambria"/>
          <w:color w:val="000000"/>
          <w:kern w:val="2"/>
          <w:lang w:val="en-IN"/>
        </w:rPr>
      </w:pPr>
      <w:r>
        <w:fldChar w:fldCharType="begin"/>
      </w:r>
      <w:r>
        <w:instrText>Hyperlink \l "_Toc237563381"</w:instrText>
      </w:r>
      <w:r>
        <w:fldChar w:fldCharType="separate"/>
      </w:r>
      <w:r>
        <w:rPr>
          <w:color w:val="000000"/>
        </w:rPr>
        <w:t>7.</w:t>
      </w:r>
      <w:r>
        <w:rPr>
          <w:rFonts w:ascii="Cambria" w:eastAsia="宋体" w:cs="Arial" w:hAnsi="Cambria"/>
          <w:color w:val="000000"/>
          <w:kern w:val="2"/>
          <w:lang w:val="en-IN"/>
        </w:rPr>
        <w:tab/>
      </w:r>
      <w:r>
        <w:rPr>
          <w:color w:val="000000"/>
        </w:rPr>
        <w:t>Plan of Work and Time Schedule (Gantt Chart)</w:t>
        <w:tab/>
      </w:r>
      <w:r>
        <w:rPr>
          <w:color w:val="000000"/>
        </w:rPr>
        <w:fldChar w:fldCharType="begin"/>
      </w:r>
      <w:r>
        <w:rPr>
          <w:color w:val="000000"/>
        </w:rPr>
        <w:instrText xml:space="preserve"> PAGEREF _Toc237563381 \h </w:instrText>
      </w:r>
      <w:r>
        <w:rPr>
          <w:color w:val="000000"/>
        </w:rPr>
        <w:fldChar w:fldCharType="separate"/>
      </w:r>
      <w:r>
        <w:rPr>
          <w:color w:val="000000"/>
        </w:rPr>
        <w:t>14</w:t>
      </w:r>
      <w:r>
        <w:rPr>
          <w:color w:val="000000"/>
        </w:rPr>
        <w:fldChar w:fldCharType="end"/>
      </w:r>
      <w:r>
        <w:fldChar w:fldCharType="end"/>
      </w:r>
    </w:p>
    <w:p>
      <w:pPr>
        <w:pStyle w:val="17"/>
        <w:tabs>
          <w:tab w:val="right" w:leader="dot" w:pos="9350"/>
        </w:tabs>
        <w:rPr>
          <w:rFonts w:ascii="Cambria" w:eastAsia="宋体" w:cs="Arial" w:hAnsi="Cambria"/>
          <w:color w:val="000000"/>
          <w:kern w:val="2"/>
          <w:lang w:val="en-IN"/>
        </w:rPr>
      </w:pPr>
      <w:r>
        <w:fldChar w:fldCharType="begin"/>
      </w:r>
      <w:r>
        <w:instrText>Hyperlink \l "_Toc237563382"</w:instrText>
      </w:r>
      <w:r>
        <w:fldChar w:fldCharType="separate"/>
      </w:r>
      <w:r>
        <w:rPr>
          <w:color w:val="000000"/>
        </w:rPr>
        <w:t>Reference list</w:t>
        <w:tab/>
      </w:r>
      <w:r>
        <w:rPr>
          <w:color w:val="000000"/>
        </w:rPr>
        <w:fldChar w:fldCharType="begin"/>
      </w:r>
      <w:r>
        <w:rPr>
          <w:color w:val="000000"/>
        </w:rPr>
        <w:instrText xml:space="preserve"> PAGEREF _Toc237563382 \h </w:instrText>
      </w:r>
      <w:r>
        <w:rPr>
          <w:color w:val="000000"/>
        </w:rPr>
        <w:fldChar w:fldCharType="separate"/>
      </w:r>
      <w:r>
        <w:rPr>
          <w:color w:val="000000"/>
        </w:rPr>
        <w:t>15</w:t>
      </w:r>
      <w:r>
        <w:rPr>
          <w:color w:val="000000"/>
        </w:rPr>
        <w:fldChar w:fldCharType="end"/>
      </w:r>
      <w:r>
        <w:fldChar w:fldCharType="end"/>
      </w:r>
    </w:p>
    <w:p>
      <w:pPr>
        <w:spacing w:after="0"/>
        <w:jc w:val="center"/>
        <w:rPr>
          <w:color w:val="000000"/>
        </w:rPr>
      </w:pPr>
      <w:r>
        <w:rPr>
          <w:color w:val="000000"/>
        </w:rPr>
        <w:fldChar w:fldCharType="end"/>
      </w:r>
      <w:r>
        <w:rPr>
          <w:color w:val="000000"/>
        </w:rPr>
        <w:br w:type="page"/>
      </w:r>
    </w:p>
    <w:p>
      <w:pPr>
        <w:spacing w:after="240"/>
        <w:rPr>
          <w:color w:val="000000"/>
        </w:rPr>
      </w:pPr>
      <w:r>
        <w:rPr>
          <w:color w:val="000000"/>
        </w:rPr>
        <w:t xml:space="preserve"> </w:t>
      </w:r>
    </w:p>
    <w:p>
      <w:pPr>
        <w:pStyle w:val="1"/>
        <w:numPr>
          <w:ilvl w:val="0"/>
          <w:numId w:val="1"/>
        </w:numPr>
        <w:rPr>
          <w:color w:val="000000"/>
        </w:rPr>
      </w:pPr>
      <w:bookmarkStart w:id="1" w:name="_heading=h.sx3c90khbby1"/>
      <w:bookmarkStart w:id="2" w:name="_Toc237563367"/>
      <w:bookmarkEnd w:id="1"/>
      <w:r>
        <w:rPr>
          <w:color w:val="000000"/>
        </w:rPr>
        <w:t>Prevalence of the Problem</w:t>
      </w:r>
      <w:bookmarkEnd w:id="2"/>
    </w:p>
    <w:p>
      <w:pPr>
        <w:spacing w:after="240"/>
        <w:rPr>
          <w:color w:val="000000"/>
        </w:rPr>
      </w:pPr>
      <w:r>
        <w:rPr>
          <w:color w:val="000000"/>
        </w:rPr>
        <w:t xml:space="preserve">Coronary artery disease (CAD) is now the greatest cause of mortality in the world, causing around 9.1 million deaths each year (World Health Organization, 2025). The Global Burden of Disease Study (2025) estimates 20 million deaths worldwide due to cardiovascular disease, one in three deaths globally, and claimed coronary heart disease to be the top individual cause of death in most countries (Chong </w:t>
      </w:r>
      <w:r>
        <w:rPr>
          <w:i/>
          <w:iCs/>
          <w:color w:val="000000"/>
        </w:rPr>
        <w:t>et al.,</w:t>
      </w:r>
      <w:r>
        <w:rPr>
          <w:color w:val="000000"/>
        </w:rPr>
        <w:t xml:space="preserve"> 2024). According to the British Heart Foundation (2025) report, 7.6 million people in the United Kingdom alone are living with heart and circulatory disease, and one in four premature deaths among individuals below the age of 75 years is caused by cardiovascular disease. In 2022, age-standardised prevalence of CAD was estimated at 3,605 per 100,000 worldwide with 315 million prevalent cases in the world (Ezekwueme </w:t>
      </w:r>
      <w:r>
        <w:rPr>
          <w:i/>
          <w:iCs/>
          <w:color w:val="000000"/>
        </w:rPr>
        <w:t>et al.,</w:t>
      </w:r>
      <w:r>
        <w:rPr>
          <w:color w:val="000000"/>
        </w:rPr>
        <w:t xml:space="preserve"> 2025). Medication non-adherence has been a thorn in the flesh of achieving the best secondary prevention effects despite the fact that today pharmacological control of disease has improved through introduction of statins, anti-platelets, beta blockers and angiotensin-converting enzyme inhibitors. </w:t>
      </w:r>
    </w:p>
    <w:p>
      <w:pPr>
        <w:rPr>
          <w:color w:val="000000"/>
        </w:rPr>
      </w:pPr>
      <w:r>
        <w:rPr>
          <w:color w:val="000000"/>
        </w:rPr>
        <w:t>According to Patel, Huang and Miliara (2025), the adherence rates are lowest in the low-income and middle-income environments (43%), with meta-analytic literature indicating that only 50-66% of individuals with CAD can maintain optimal adherence levels a year after the diagnosis (Valgimigli et al., 2024). Interestingly, the middle-aged adults aged between 40-60 years show poorer medication adherence compared to adults older than 65 years, which can be attributed to the factors of occupational needs, the perceived lack of complaints and inability to tolerate the side effects (Jan et al., 2024). This poses a significant community health issue that should be researched systematically.</w:t>
      </w:r>
    </w:p>
    <w:p>
      <w:pPr>
        <w:rPr>
          <w:color w:val="000000"/>
        </w:rPr>
      </w:pPr>
      <w:bookmarkStart w:id="3" w:name="_heading=h.l6vjecjrlugn"/>
      <w:bookmarkEnd w:id="3"/>
      <w:r>
        <w:rPr>
          <w:color w:val="000000"/>
        </w:rPr>
        <w:br w:type="page"/>
      </w:r>
    </w:p>
    <w:p>
      <w:pPr>
        <w:pStyle w:val="1"/>
        <w:numPr>
          <w:ilvl w:val="0"/>
          <w:numId w:val="1"/>
        </w:numPr>
        <w:rPr>
          <w:color w:val="000000"/>
        </w:rPr>
      </w:pPr>
      <w:bookmarkStart w:id="4" w:name="_heading=h.pvg8x2v3ieqh"/>
      <w:bookmarkStart w:id="5" w:name="_Toc237563368"/>
      <w:bookmarkEnd w:id="4"/>
      <w:r>
        <w:rPr>
          <w:color w:val="000000"/>
        </w:rPr>
        <w:t>Introduction: Literature-Based Background to the Study</w:t>
      </w:r>
      <w:bookmarkEnd w:id="5"/>
    </w:p>
    <w:p>
      <w:pPr>
        <w:spacing w:after="240"/>
        <w:rPr>
          <w:color w:val="000000"/>
        </w:rPr>
      </w:pPr>
      <w:r>
        <w:rPr>
          <w:color w:val="000000"/>
        </w:rPr>
        <w:t xml:space="preserve">The aspect of secondary prevention by the means of lifelong pharmacological therapy is the main framework of the prevention of the coronary artery disease in acute patients with the history of coronary artery events. The typical form of treatment is dual antiplatelet therapy, statins, beta-blockers and renin-angiotensin-aldosterone system as suggested by Shahjehan </w:t>
      </w:r>
      <w:r>
        <w:rPr>
          <w:i/>
          <w:iCs/>
          <w:color w:val="000000"/>
        </w:rPr>
        <w:t>et al.</w:t>
      </w:r>
      <w:r>
        <w:rPr>
          <w:color w:val="000000"/>
        </w:rPr>
        <w:t xml:space="preserve"> (2026) all of which have shown high levels of recurrent cardiovascular events reduction in constant use. Yet, non-adherence to cardiovascular medications according to Murray-Thomas </w:t>
      </w:r>
      <w:r>
        <w:rPr>
          <w:i/>
          <w:iCs/>
          <w:color w:val="000000"/>
        </w:rPr>
        <w:t>et al.</w:t>
      </w:r>
      <w:r>
        <w:rPr>
          <w:color w:val="000000"/>
        </w:rPr>
        <w:t xml:space="preserve"> (2025), implies an increased risk of major adverse cardiac events by 38-50%, higher admissions to hospitals, and higher mortality due to all causes. As Achterbosch </w:t>
      </w:r>
      <w:r>
        <w:rPr>
          <w:i/>
          <w:iCs/>
          <w:color w:val="000000"/>
        </w:rPr>
        <w:t>et al.</w:t>
      </w:r>
      <w:r>
        <w:rPr>
          <w:color w:val="000000"/>
        </w:rPr>
        <w:t xml:space="preserve"> (2025) estimate, the economic impact of medication non-adherence worldwide is estimated at about $300 billion per year due to the avoidable hospitalisations and progression of the disease.</w:t>
      </w:r>
    </w:p>
    <w:p>
      <w:pPr>
        <w:spacing w:after="240"/>
        <w:rPr>
          <w:color w:val="000000"/>
        </w:rPr>
      </w:pPr>
      <w:r>
        <w:rPr>
          <w:color w:val="000000"/>
        </w:rPr>
        <w:t xml:space="preserve">In a recent systematic review and meta-analysis by Hou, Zhao and Wu (2025), including nine cohort studies with 226,203 patients, four different medication adherence trajectories were identified and persistent non-adherence was associated with an approximately 32% to almost threefold risk of all-cause death, major adverse cardiovascular events and recurrent venous thromboembolism, compared to persistent adherence. Results of Chen </w:t>
      </w:r>
      <w:r>
        <w:rPr>
          <w:i/>
          <w:iCs/>
          <w:color w:val="000000"/>
        </w:rPr>
        <w:t>et al.</w:t>
      </w:r>
      <w:r>
        <w:rPr>
          <w:color w:val="000000"/>
        </w:rPr>
        <w:t xml:space="preserve"> (2022) themselves indicate that patient adherence to given cardiovascular medications is directly linked to the decrease in myocardial infarction, stroke and cardiovascular fatalities.</w:t>
      </w:r>
    </w:p>
    <w:p>
      <w:pPr>
        <w:spacing w:after="240"/>
        <w:rPr>
          <w:color w:val="000000"/>
        </w:rPr>
      </w:pPr>
      <w:r>
        <w:rPr>
          <w:color w:val="000000"/>
        </w:rPr>
        <w:t xml:space="preserve">This is because a qualitative study by Guo </w:t>
      </w:r>
      <w:r>
        <w:rPr>
          <w:i/>
          <w:iCs/>
          <w:color w:val="000000"/>
        </w:rPr>
        <w:t>et al.</w:t>
      </w:r>
      <w:r>
        <w:rPr>
          <w:color w:val="000000"/>
        </w:rPr>
        <w:t xml:space="preserve"> (2025), which was carried out among 27 young and middle-aged people with coronary heart disease in Shanghai, revealed that poor adherence in this group is precipitated by the distorted perception of illness, emotional resistance to accepting a chronic condition and marginalisation of taking the medication in busy daily lives. Likewise, a significant correlation was formed in compliance behaviour and quality of life among middle-aged and elderly patients with coronary heart disease, but it is electronically mediated by electronic health literacy (Sun </w:t>
      </w:r>
      <w:r>
        <w:rPr>
          <w:i/>
          <w:iCs/>
          <w:color w:val="000000"/>
        </w:rPr>
        <w:t>et al.,</w:t>
      </w:r>
      <w:r>
        <w:rPr>
          <w:color w:val="000000"/>
        </w:rPr>
        <w:t xml:space="preserve"> 2025). All these findings together indicate that there are special barriers to medication adherence in the age group of 40-60 that are not substantively similar to the ones affecting older populations, but the role of this adherence behaviour in clinical and functional outcomes in this particular age group is yet to be synthetised in the literature.</w:t>
      </w:r>
    </w:p>
    <w:p>
      <w:pPr>
        <w:rPr>
          <w:color w:val="000000"/>
        </w:rPr>
      </w:pPr>
      <w:r>
        <w:rPr>
          <w:color w:val="000000"/>
        </w:rPr>
        <w:t>According to the British Heart Foundation (2025), it is predicted that cardiovascular prevalence will rise by 90%, crude mortality by 73.4% and disability-adjusted life years by 54.7% between the years 2025 and 2050 making it important to curb modifiable risk factors to poor outcomes like medication non-adherence. The current systematic review, therefore, seeks to give an overview of the available literature on the relationship between drug adherence and health outcomes of a particular population within the age bracket between 40 to 60 years and with coronary artery disease.</w:t>
      </w:r>
    </w:p>
    <w:p>
      <w:pPr>
        <w:spacing w:after="240"/>
        <w:rPr>
          <w:strike/>
          <w:dstrike w:val="0"/>
          <w:color w:val="000000"/>
        </w:rPr>
      </w:pPr>
      <w:r>
        <w:rPr>
          <w:strike/>
          <w:dstrike w:val="0"/>
          <w:color w:val="000000"/>
        </w:rPr>
        <w:t xml:space="preserve"> </w:t>
      </w:r>
    </w:p>
    <w:p>
      <w:pPr>
        <w:rPr>
          <w:color w:val="000000"/>
        </w:rPr>
      </w:pPr>
      <w:bookmarkStart w:id="6" w:name="_heading=h.klfdl7d4yj56"/>
      <w:bookmarkEnd w:id="6"/>
      <w:r>
        <w:rPr>
          <w:color w:val="000000"/>
        </w:rPr>
        <w:br w:type="page"/>
      </w:r>
    </w:p>
    <w:p>
      <w:pPr>
        <w:pStyle w:val="1"/>
        <w:numPr>
          <w:ilvl w:val="0"/>
          <w:numId w:val="1"/>
        </w:numPr>
        <w:rPr>
          <w:color w:val="000000"/>
        </w:rPr>
      </w:pPr>
      <w:bookmarkStart w:id="7" w:name="_heading=h.obzhyha7gq37"/>
      <w:bookmarkStart w:id="8" w:name="_Toc237563369"/>
      <w:bookmarkEnd w:id="7"/>
      <w:r>
        <w:rPr>
          <w:color w:val="000000"/>
        </w:rPr>
        <w:t>Rationale, Aim, Objectives and Research Question</w:t>
      </w:r>
      <w:bookmarkEnd w:id="8"/>
    </w:p>
    <w:p>
      <w:pPr>
        <w:pStyle w:val="2"/>
        <w:rPr>
          <w:color w:val="000000"/>
        </w:rPr>
      </w:pPr>
      <w:bookmarkStart w:id="9" w:name="_heading=h.p7yya8s2vt8s"/>
      <w:bookmarkStart w:id="10" w:name="_Toc237563370"/>
      <w:bookmarkEnd w:id="9"/>
      <w:r>
        <w:rPr>
          <w:color w:val="000000"/>
        </w:rPr>
        <w:t>3.1 Research Rationale</w:t>
      </w:r>
      <w:bookmarkEnd w:id="10"/>
    </w:p>
    <w:p>
      <w:pPr>
        <w:spacing w:after="240"/>
        <w:rPr>
          <w:color w:val="000000"/>
        </w:rPr>
      </w:pPr>
      <w:r>
        <w:rPr>
          <w:color w:val="000000"/>
        </w:rPr>
        <w:t xml:space="preserve">The approach of this study is based on a combination of clinical, epidemiological and economic findings. Zaheen </w:t>
      </w:r>
      <w:r>
        <w:rPr>
          <w:i/>
          <w:iCs/>
          <w:color w:val="000000"/>
        </w:rPr>
        <w:t>et al.</w:t>
      </w:r>
      <w:r>
        <w:rPr>
          <w:color w:val="000000"/>
        </w:rPr>
        <w:t xml:space="preserve"> (2025) report a trend of increasing incidences of premature coronary artery disease and myocardial infarction in individuals below the age of 50, which are influenced by the rising prevalence of type 2 diabetes, obesity and hypertension in the younger generations. Epidemiological statistics also point to a higher prevalence of CAD in young adults (5-15% of all cases) as a significant proportion of cases has been noted to remain unchanged or even rise in spite of cardiovascular prevention innovations (Rakam, Dayanand and Chepuri, 2025). This trend has been corroborated in the JACC Cardiovascular Statistics 2026 report which states that over the past couple of years young adults have undergone an alarming trend of increased acute myocardial infarction hospitalisation, despite reports of decreased age-adjusted hospitalisation rates (Wadhera </w:t>
      </w:r>
      <w:r>
        <w:rPr>
          <w:i/>
          <w:iCs/>
          <w:color w:val="000000"/>
        </w:rPr>
        <w:t>et al.,</w:t>
      </w:r>
      <w:r>
        <w:rPr>
          <w:color w:val="000000"/>
        </w:rPr>
        <w:t xml:space="preserve"> 2026). At the same time, the World Health Organization estimates that about 50% of chronic conditions patients fail to use medications as instructed, leading to some 125,000 preventable deaths and more than $300 billion avoidable healthcare expenditures a year (accelabrand, 2025). According to Livori </w:t>
      </w:r>
      <w:r>
        <w:rPr>
          <w:i/>
          <w:iCs/>
          <w:color w:val="000000"/>
        </w:rPr>
        <w:t>et al.</w:t>
      </w:r>
      <w:r>
        <w:rPr>
          <w:color w:val="000000"/>
        </w:rPr>
        <w:t xml:space="preserve"> (2024), non-adherence to statins in the real-world is 10-45% higher than in clinical trials, 1-2% in the latter case, and can result in up to $20,000 of avoidable health care costs in the former. Regardless of this accumulating evidence, there is still a relative lack of systematic review studies looking at the effect on clinical and functional outcomes of non-adherence specifically in the 40-60 age group in itself, which is a major literature deficit that this study aims to fill.</w:t>
      </w:r>
    </w:p>
    <w:p>
      <w:pPr>
        <w:pStyle w:val="2"/>
        <w:rPr>
          <w:color w:val="000000"/>
        </w:rPr>
      </w:pPr>
      <w:bookmarkStart w:id="11" w:name="_Toc237563371"/>
      <w:r>
        <w:rPr>
          <w:color w:val="000000"/>
        </w:rPr>
        <w:t>3.2 Research Question</w:t>
      </w:r>
      <w:bookmarkEnd w:id="11"/>
      <w:r>
        <w:rPr>
          <w:color w:val="000000"/>
        </w:rPr>
        <w:t xml:space="preserve"> </w:t>
      </w:r>
    </w:p>
    <w:p>
      <w:pPr>
        <w:spacing w:after="240"/>
        <w:rPr>
          <w:color w:val="000000"/>
        </w:rPr>
      </w:pPr>
      <w:r>
        <w:rPr>
          <w:color w:val="000000"/>
        </w:rPr>
        <w:t xml:space="preserve">The research question guiding this systematic review is: </w:t>
      </w:r>
    </w:p>
    <w:p>
      <w:pPr>
        <w:spacing w:before="240" w:after="240"/>
        <w:jc w:val="center"/>
        <w:rPr>
          <w:color w:val="000000"/>
        </w:rPr>
      </w:pPr>
      <w:r>
        <w:rPr>
          <w:color w:val="000000"/>
        </w:rPr>
        <w:t>How does medication adherence affect clinical outcomes, functional outcomes and quality of life among adults aged 40-60 years with coronary artery disease?</w:t>
      </w:r>
    </w:p>
    <w:p>
      <w:pPr>
        <w:spacing w:after="240"/>
        <w:rPr>
          <w:color w:val="000000"/>
        </w:rPr>
      </w:pPr>
    </w:p>
    <w:p>
      <w:pPr>
        <w:pStyle w:val="2"/>
        <w:rPr>
          <w:color w:val="000000"/>
        </w:rPr>
      </w:pPr>
      <w:bookmarkStart w:id="12" w:name="_heading=h.k94ivba84ese"/>
      <w:bookmarkStart w:id="13" w:name="_Toc237563372"/>
      <w:bookmarkEnd w:id="12"/>
      <w:r>
        <w:rPr>
          <w:color w:val="000000"/>
        </w:rPr>
        <w:t>3.3 Research Aim</w:t>
      </w:r>
      <w:bookmarkEnd w:id="13"/>
    </w:p>
    <w:p>
      <w:pPr>
        <w:spacing w:after="240"/>
        <w:rPr>
          <w:color w:val="000000"/>
        </w:rPr>
      </w:pPr>
      <w:r>
        <w:rPr>
          <w:color w:val="000000"/>
        </w:rPr>
        <w:t>The aim of this research is to investigate the impact of medication adherence on clinical outcomes, functional outcomes and quality of life among adults aged 40-60 years with coronary artery disease.</w:t>
      </w:r>
    </w:p>
    <w:p>
      <w:pPr>
        <w:pStyle w:val="2"/>
        <w:rPr>
          <w:color w:val="000000"/>
        </w:rPr>
      </w:pPr>
      <w:bookmarkStart w:id="14" w:name="_heading=h.xw3ip8j6ouhx"/>
      <w:bookmarkStart w:id="15" w:name="_Toc237563373"/>
      <w:bookmarkEnd w:id="14"/>
      <w:r>
        <w:rPr>
          <w:color w:val="000000"/>
        </w:rPr>
        <w:t>3.4 Research Objectives</w:t>
      </w:r>
      <w:bookmarkEnd w:id="15"/>
    </w:p>
    <w:p>
      <w:pPr>
        <w:spacing w:after="240"/>
        <w:rPr>
          <w:color w:val="000000"/>
        </w:rPr>
      </w:pPr>
      <w:r>
        <w:rPr>
          <w:color w:val="000000"/>
        </w:rPr>
        <w:t>The objectives of this systematic review are to:</w:t>
      </w:r>
    </w:p>
    <w:p>
      <w:pPr>
        <w:numPr>
          <w:ilvl w:val="0"/>
          <w:numId w:val="2"/>
        </w:numPr>
        <w:spacing w:after="0"/>
        <w:rPr>
          <w:color w:val="000000"/>
        </w:rPr>
      </w:pPr>
      <w:r>
        <w:rPr>
          <w:color w:val="000000"/>
        </w:rPr>
        <w:t xml:space="preserve">To identify the factors that influence medication adherence among adults aged 40-60 years with coronary artery disease; </w:t>
      </w:r>
    </w:p>
    <w:p>
      <w:pPr>
        <w:numPr>
          <w:ilvl w:val="0"/>
          <w:numId w:val="2"/>
        </w:numPr>
        <w:spacing w:after="0"/>
        <w:rPr>
          <w:color w:val="000000"/>
        </w:rPr>
      </w:pPr>
      <w:r>
        <w:rPr>
          <w:color w:val="000000"/>
        </w:rPr>
        <w:t xml:space="preserve">To determine rates and trends of medication adherence in this group; </w:t>
      </w:r>
    </w:p>
    <w:p>
      <w:pPr>
        <w:numPr>
          <w:ilvl w:val="0"/>
          <w:numId w:val="2"/>
        </w:numPr>
        <w:spacing w:after="0"/>
        <w:rPr>
          <w:color w:val="000000"/>
        </w:rPr>
      </w:pPr>
      <w:r>
        <w:rPr>
          <w:color w:val="000000"/>
        </w:rPr>
        <w:t>To assess how medication adherence influences patient clinical outcomes, such as major adverse cardiac events, hospital readmission and mortality, and quality of life;</w:t>
      </w:r>
    </w:p>
    <w:p>
      <w:pPr>
        <w:numPr>
          <w:ilvl w:val="0"/>
          <w:numId w:val="2"/>
        </w:numPr>
        <w:rPr>
          <w:color w:val="000000"/>
        </w:rPr>
      </w:pPr>
      <w:r>
        <w:rPr>
          <w:color w:val="000000"/>
        </w:rPr>
        <w:t>To explore published effective evidence-based interventions, which have been documented to enhance medication adherence in this population and provide recommendations.</w:t>
      </w:r>
    </w:p>
    <w:p>
      <w:pPr>
        <w:pStyle w:val="1"/>
        <w:numPr>
          <w:ilvl w:val="0"/>
          <w:numId w:val="1"/>
        </w:numPr>
        <w:rPr>
          <w:color w:val="000000"/>
        </w:rPr>
      </w:pPr>
      <w:bookmarkStart w:id="16" w:name="_heading=h.un83zj60aetg"/>
      <w:bookmarkStart w:id="17" w:name="_Toc237563374"/>
      <w:bookmarkEnd w:id="16"/>
      <w:r>
        <w:rPr>
          <w:color w:val="000000"/>
        </w:rPr>
        <w:t>Research Methodology</w:t>
      </w:r>
      <w:bookmarkEnd w:id="17"/>
    </w:p>
    <w:p>
      <w:pPr>
        <w:rPr>
          <w:color w:val="000000"/>
        </w:rPr>
      </w:pPr>
      <w:r>
        <w:rPr>
          <w:color w:val="000000"/>
        </w:rPr>
        <w:t>The philosophical approach of the proposed study will be an interpretivist philosophy since it will aim to identify subjective meanings, lived experiences, and factors around molecules that influence human behaviour instead of quantifying objective realities. Interpretivism acknowledges that knowledge is always socially constructed and facilitates more insight into complex social phenomena based on the insights of the participants and, therefore, it is particularly suitable in the qualitative enquiry that is the focus of answering the research questions in the given case (Pervin and Mokhtar, 2022).</w:t>
      </w:r>
    </w:p>
    <w:p>
      <w:pPr>
        <w:spacing w:after="240"/>
        <w:rPr>
          <w:color w:val="000000"/>
        </w:rPr>
      </w:pPr>
      <w:r>
        <w:rPr>
          <w:color w:val="000000"/>
        </w:rPr>
        <w:t xml:space="preserve">The systematic review methodology based on the Preferred Reporting Items of Systematic Reviews and Meta-Analyses (PRISMA) framework 2020 is applied (Page </w:t>
      </w:r>
      <w:r>
        <w:rPr>
          <w:i/>
          <w:iCs/>
          <w:color w:val="000000"/>
        </w:rPr>
        <w:t>et al.,</w:t>
      </w:r>
      <w:r>
        <w:rPr>
          <w:color w:val="000000"/>
        </w:rPr>
        <w:t xml:space="preserve"> 2021). The methodology chosen as the most suitable one is a systematic review due to the possibility of synthesis of the current empirical opportunities to define the research question, making it transparent, rigorous and reproducible (Aromataris and Munn, 2020). This strategy will assist in identification, appraisal, and incorporation of results of several primary research studies that will offer a complete evidence base without the necessity of participating in the study or gathering any primary data. Martinez </w:t>
      </w:r>
      <w:r>
        <w:rPr>
          <w:i/>
          <w:iCs/>
          <w:color w:val="000000"/>
        </w:rPr>
        <w:t>et al.</w:t>
      </w:r>
      <w:r>
        <w:rPr>
          <w:color w:val="000000"/>
        </w:rPr>
        <w:t xml:space="preserve"> (2025) claim that the systematic reviews are the most important evidence in the research hierarchy because they reduce bias by means of predetermined procedures, systematic search methods and standardised quality evaluation procedures. This design is hence especially appropriate in the synthesizing multifarious literature on the topic of medication adherence and health outcomes amongst adults aged between 40-60 years with coronary artery disease.</w:t>
      </w:r>
    </w:p>
    <w:p>
      <w:pPr>
        <w:pStyle w:val="2"/>
        <w:rPr>
          <w:color w:val="000000"/>
        </w:rPr>
      </w:pPr>
      <w:bookmarkStart w:id="18" w:name="_heading=h.dewjj65fd0zm"/>
      <w:bookmarkStart w:id="19" w:name="_Toc237563375"/>
      <w:bookmarkEnd w:id="18"/>
      <w:r>
        <w:rPr>
          <w:color w:val="000000"/>
        </w:rPr>
        <w:t>4.1 Research Design</w:t>
      </w:r>
      <w:bookmarkEnd w:id="19"/>
    </w:p>
    <w:p>
      <w:pPr>
        <w:rPr>
          <w:color w:val="000000"/>
        </w:rPr>
      </w:pPr>
      <w:r>
        <w:rPr>
          <w:color w:val="000000"/>
        </w:rPr>
        <w:t>The research design is a secondary research using a systematic review plan based on a PRISMA 2020 framework (Page et al., 2021). The secondary research will be particularly appropriate in this case since it will facilitate thorough questioning of the already existing peer-reviewed evidence, making it possible to identify patterns, gaps, and contradictions in the studies that have been carried out before without the ethical complexity, time-related and resource-related demands of primary data collection. Systematic review was the preferred systematic over narrative or scoping reviews as it utilizes transparent and reproducible procedures targeting a reduced bias of the researcher and a higher methodological rigour (Aromataris et al., 2024). The use of primary designs like surveys or experiments was ruled out because these designs would give limited information in a single situation, but synthesising information on what already exists would yield more insights that are more generalisable within the period of the study. This would also be quite appropriate in answering the research questions, which require some critical synthesis of scattered empirical evidence in order to contribute to both practice and future academic research.</w:t>
      </w:r>
    </w:p>
    <w:p>
      <w:pPr>
        <w:rPr>
          <w:b/>
          <w:bCs/>
          <w:color w:val="000000"/>
        </w:rPr>
      </w:pPr>
      <w:bookmarkStart w:id="20" w:name="_heading=h.u9d12uroaiq"/>
      <w:bookmarkStart w:id="21" w:name="_Toc237563376"/>
      <w:bookmarkEnd w:id="20"/>
      <w:r>
        <w:rPr>
          <w:color w:val="000000"/>
        </w:rPr>
        <w:br w:type="page"/>
      </w:r>
    </w:p>
    <w:p>
      <w:pPr>
        <w:pStyle w:val="2"/>
        <w:rPr>
          <w:color w:val="000000"/>
        </w:rPr>
      </w:pPr>
      <w:r>
        <w:rPr>
          <w:color w:val="000000"/>
        </w:rPr>
        <w:t>4.2 Search Strategy</w:t>
      </w:r>
      <w:bookmarkEnd w:id="21"/>
    </w:p>
    <w:p>
      <w:pPr>
        <w:rPr>
          <w:color w:val="000000"/>
        </w:rPr>
      </w:pPr>
      <w:r>
        <w:rPr>
          <w:color w:val="000000"/>
        </w:rPr>
        <w:t>This research will use published research articles that fulfil the previously set inclusion and exclusion criteria. Including systematic screening processes that will entail an initial screening process of title and abstract followed by full-text evaluation against the stipulated inclusion and exclusion criteria.</w:t>
      </w:r>
    </w:p>
    <w:tbl>
      <w:tblPr>
        <w:jc w:val="cent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557"/>
        <w:gridCol w:w="3541"/>
        <w:gridCol w:w="4262"/>
      </w:tblGrid>
      <w:tr>
        <w:trPr>
          <w:trHeight w:val="20"/>
        </w:trPr>
        <w:tc>
          <w:tcPr>
            <w:tcW w:w="1557" w:type="dxa"/>
          </w:tcPr>
          <w:p>
            <w:pPr>
              <w:spacing w:after="0"/>
              <w:jc w:val="center"/>
              <w:rPr>
                <w:color w:val="000000"/>
              </w:rPr>
            </w:pPr>
            <w:r>
              <w:rPr>
                <w:b/>
                <w:bCs/>
                <w:color w:val="000000"/>
              </w:rPr>
              <w:t>Criteria</w:t>
            </w:r>
          </w:p>
        </w:tc>
        <w:tc>
          <w:tcPr>
            <w:tcW w:w="3541" w:type="dxa"/>
          </w:tcPr>
          <w:p>
            <w:pPr>
              <w:spacing w:after="0"/>
              <w:jc w:val="center"/>
              <w:rPr>
                <w:color w:val="000000"/>
              </w:rPr>
            </w:pPr>
            <w:r>
              <w:rPr>
                <w:b/>
                <w:bCs/>
                <w:color w:val="000000"/>
              </w:rPr>
              <w:t>Inclusion</w:t>
            </w:r>
          </w:p>
        </w:tc>
        <w:tc>
          <w:tcPr>
            <w:tcW w:w="4262" w:type="dxa"/>
          </w:tcPr>
          <w:p>
            <w:pPr>
              <w:spacing w:after="0"/>
              <w:jc w:val="center"/>
              <w:rPr>
                <w:color w:val="000000"/>
              </w:rPr>
            </w:pPr>
            <w:r>
              <w:rPr>
                <w:b/>
                <w:bCs/>
                <w:color w:val="000000"/>
              </w:rPr>
              <w:t>Exclusion</w:t>
            </w:r>
          </w:p>
        </w:tc>
      </w:tr>
      <w:tr>
        <w:trPr>
          <w:trHeight w:val="20"/>
        </w:trPr>
        <w:tc>
          <w:tcPr>
            <w:tcW w:w="1557" w:type="dxa"/>
          </w:tcPr>
          <w:p>
            <w:pPr>
              <w:spacing w:after="0"/>
              <w:rPr>
                <w:color w:val="000000"/>
              </w:rPr>
            </w:pPr>
            <w:r>
              <w:rPr>
                <w:b/>
                <w:bCs/>
                <w:color w:val="000000"/>
              </w:rPr>
              <w:t>Study type</w:t>
            </w:r>
          </w:p>
        </w:tc>
        <w:tc>
          <w:tcPr>
            <w:tcW w:w="3541" w:type="dxa"/>
          </w:tcPr>
          <w:p>
            <w:pPr>
              <w:spacing w:after="0"/>
              <w:rPr>
                <w:color w:val="000000"/>
              </w:rPr>
            </w:pPr>
            <w:r>
              <w:rPr>
                <w:color w:val="000000"/>
              </w:rPr>
              <w:t>Primary research articles (quantitative, qualitative or mixed methods) reviewed by peers.</w:t>
            </w:r>
          </w:p>
        </w:tc>
        <w:tc>
          <w:tcPr>
            <w:tcW w:w="4262" w:type="dxa"/>
          </w:tcPr>
          <w:p>
            <w:pPr>
              <w:spacing w:after="0"/>
              <w:rPr>
                <w:color w:val="000000"/>
              </w:rPr>
            </w:pPr>
            <w:r>
              <w:rPr>
                <w:color w:val="000000"/>
              </w:rPr>
              <w:t>Grey literature, abstracts of conferences, editorials, opinion pieces and systematic reviews.</w:t>
            </w:r>
          </w:p>
        </w:tc>
      </w:tr>
      <w:tr>
        <w:trPr>
          <w:trHeight w:val="20"/>
        </w:trPr>
        <w:tc>
          <w:tcPr>
            <w:tcW w:w="1557" w:type="dxa"/>
          </w:tcPr>
          <w:p>
            <w:pPr>
              <w:spacing w:after="0"/>
              <w:rPr>
                <w:color w:val="000000"/>
              </w:rPr>
            </w:pPr>
            <w:r>
              <w:rPr>
                <w:b/>
                <w:bCs/>
                <w:color w:val="000000"/>
              </w:rPr>
              <w:t>Publication period</w:t>
            </w:r>
          </w:p>
        </w:tc>
        <w:tc>
          <w:tcPr>
            <w:tcW w:w="3541" w:type="dxa"/>
          </w:tcPr>
          <w:p>
            <w:pPr>
              <w:spacing w:after="0"/>
              <w:rPr>
                <w:color w:val="000000"/>
              </w:rPr>
            </w:pPr>
            <w:r>
              <w:rPr>
                <w:color w:val="000000"/>
              </w:rPr>
              <w:t>Published between 2016 and 2026</w:t>
            </w:r>
          </w:p>
        </w:tc>
        <w:tc>
          <w:tcPr>
            <w:tcW w:w="4262" w:type="dxa"/>
          </w:tcPr>
          <w:p>
            <w:pPr>
              <w:spacing w:after="0"/>
              <w:rPr>
                <w:color w:val="000000"/>
              </w:rPr>
            </w:pPr>
            <w:r>
              <w:rPr>
                <w:color w:val="000000"/>
              </w:rPr>
              <w:t>Published before 2016</w:t>
            </w:r>
          </w:p>
        </w:tc>
      </w:tr>
      <w:tr>
        <w:trPr>
          <w:trHeight w:val="20"/>
        </w:trPr>
        <w:tc>
          <w:tcPr>
            <w:tcW w:w="1557" w:type="dxa"/>
          </w:tcPr>
          <w:p>
            <w:pPr>
              <w:spacing w:after="0"/>
              <w:rPr>
                <w:color w:val="000000"/>
              </w:rPr>
            </w:pPr>
            <w:r>
              <w:rPr>
                <w:b/>
                <w:bCs/>
                <w:color w:val="000000"/>
              </w:rPr>
              <w:t>Population</w:t>
            </w:r>
          </w:p>
        </w:tc>
        <w:tc>
          <w:tcPr>
            <w:tcW w:w="3541" w:type="dxa"/>
          </w:tcPr>
          <w:p>
            <w:pPr>
              <w:spacing w:after="0"/>
              <w:rPr>
                <w:color w:val="000000"/>
              </w:rPr>
            </w:pPr>
            <w:r>
              <w:rPr>
                <w:color w:val="000000"/>
              </w:rPr>
              <w:t>Adults with coronary artery disease aged 40-60 years.</w:t>
            </w:r>
          </w:p>
        </w:tc>
        <w:tc>
          <w:tcPr>
            <w:tcW w:w="4262" w:type="dxa"/>
          </w:tcPr>
          <w:p>
            <w:pPr>
              <w:spacing w:after="0"/>
              <w:rPr>
                <w:color w:val="000000"/>
              </w:rPr>
            </w:pPr>
            <w:r>
              <w:rPr>
                <w:color w:val="000000"/>
              </w:rPr>
              <w:t>Reports limited to populations under 40 or older than 60 years and do not provide disaggregated data on the target group.</w:t>
            </w:r>
          </w:p>
        </w:tc>
      </w:tr>
      <w:tr>
        <w:trPr>
          <w:trHeight w:val="20"/>
        </w:trPr>
        <w:tc>
          <w:tcPr>
            <w:tcW w:w="1557" w:type="dxa"/>
          </w:tcPr>
          <w:p>
            <w:pPr>
              <w:spacing w:after="0"/>
              <w:rPr>
                <w:color w:val="000000"/>
              </w:rPr>
            </w:pPr>
            <w:r>
              <w:rPr>
                <w:b/>
                <w:bCs/>
                <w:color w:val="000000"/>
              </w:rPr>
              <w:t>Variables</w:t>
            </w:r>
          </w:p>
        </w:tc>
        <w:tc>
          <w:tcPr>
            <w:tcW w:w="3541" w:type="dxa"/>
          </w:tcPr>
          <w:p>
            <w:pPr>
              <w:spacing w:after="0"/>
              <w:rPr>
                <w:color w:val="000000"/>
              </w:rPr>
            </w:pPr>
            <w:r>
              <w:rPr>
                <w:color w:val="000000"/>
              </w:rPr>
              <w:t>Studies that measure or report medication adherence as a primary or secondary variable</w:t>
            </w:r>
          </w:p>
        </w:tc>
        <w:tc>
          <w:tcPr>
            <w:tcW w:w="4262" w:type="dxa"/>
          </w:tcPr>
          <w:p>
            <w:pPr>
              <w:spacing w:after="0"/>
              <w:rPr>
                <w:color w:val="000000"/>
              </w:rPr>
            </w:pPr>
            <w:r>
              <w:rPr>
                <w:color w:val="000000"/>
              </w:rPr>
              <w:t>Studies that do not draw any outcomes/measures related to adherence.</w:t>
            </w:r>
          </w:p>
        </w:tc>
      </w:tr>
      <w:tr>
        <w:trPr>
          <w:trHeight w:val="20"/>
        </w:trPr>
        <w:tc>
          <w:tcPr>
            <w:tcW w:w="1557" w:type="dxa"/>
          </w:tcPr>
          <w:p>
            <w:pPr>
              <w:spacing w:after="0"/>
              <w:rPr>
                <w:color w:val="000000"/>
              </w:rPr>
            </w:pPr>
            <w:r>
              <w:rPr>
                <w:b/>
                <w:bCs/>
                <w:color w:val="000000"/>
              </w:rPr>
              <w:t>Outcomes</w:t>
            </w:r>
          </w:p>
        </w:tc>
        <w:tc>
          <w:tcPr>
            <w:tcW w:w="3541" w:type="dxa"/>
          </w:tcPr>
          <w:p>
            <w:pPr>
              <w:spacing w:after="0"/>
              <w:rPr>
                <w:color w:val="000000"/>
              </w:rPr>
            </w:pPr>
            <w:r>
              <w:rPr>
                <w:color w:val="000000"/>
              </w:rPr>
              <w:t>Clinical outcomes (MACE, readmission, mortality) Studies that were published on clinical outcome, functional outcome or quality of life measures.</w:t>
            </w:r>
          </w:p>
        </w:tc>
        <w:tc>
          <w:tcPr>
            <w:tcW w:w="4262" w:type="dxa"/>
          </w:tcPr>
          <w:p>
            <w:pPr>
              <w:spacing w:after="0"/>
              <w:rPr>
                <w:color w:val="000000"/>
              </w:rPr>
            </w:pPr>
            <w:r>
              <w:rPr>
                <w:color w:val="000000"/>
              </w:rPr>
              <w:t>Publications with solely pharmacokinetic, biochemical or non-patient-centred measurements.</w:t>
            </w:r>
          </w:p>
        </w:tc>
      </w:tr>
      <w:tr>
        <w:trPr>
          <w:trHeight w:val="20"/>
        </w:trPr>
        <w:tc>
          <w:tcPr>
            <w:tcW w:w="1557" w:type="dxa"/>
          </w:tcPr>
          <w:p>
            <w:pPr>
              <w:spacing w:after="0"/>
              <w:rPr>
                <w:color w:val="000000"/>
              </w:rPr>
            </w:pPr>
            <w:r>
              <w:rPr>
                <w:b/>
                <w:bCs/>
                <w:color w:val="000000"/>
              </w:rPr>
              <w:t>Language</w:t>
            </w:r>
          </w:p>
        </w:tc>
        <w:tc>
          <w:tcPr>
            <w:tcW w:w="3541" w:type="dxa"/>
          </w:tcPr>
          <w:p>
            <w:pPr>
              <w:spacing w:after="0"/>
              <w:rPr>
                <w:color w:val="000000"/>
              </w:rPr>
            </w:pPr>
            <w:r>
              <w:rPr>
                <w:color w:val="000000"/>
              </w:rPr>
              <w:t>Published in the English language</w:t>
            </w:r>
          </w:p>
        </w:tc>
        <w:tc>
          <w:tcPr>
            <w:tcW w:w="4262" w:type="dxa"/>
          </w:tcPr>
          <w:p>
            <w:pPr>
              <w:spacing w:after="0"/>
              <w:rPr>
                <w:color w:val="000000"/>
              </w:rPr>
            </w:pPr>
            <w:r>
              <w:rPr>
                <w:color w:val="000000"/>
              </w:rPr>
              <w:t>Written in other languages besides English.</w:t>
            </w:r>
          </w:p>
        </w:tc>
      </w:tr>
    </w:tbl>
    <w:p>
      <w:pPr>
        <w:spacing w:after="0"/>
        <w:jc w:val="center"/>
        <w:rPr>
          <w:b/>
          <w:bCs/>
          <w:color w:val="000000"/>
        </w:rPr>
      </w:pPr>
      <w:r>
        <w:rPr>
          <w:b/>
          <w:bCs/>
          <w:color w:val="000000"/>
        </w:rPr>
        <w:t>Table 1: Inclusion and Exclusion Criteria</w:t>
      </w:r>
    </w:p>
    <w:p>
      <w:pPr>
        <w:jc w:val="center"/>
        <w:rPr>
          <w:color w:val="000000"/>
        </w:rPr>
      </w:pPr>
      <w:r>
        <w:rPr>
          <w:color w:val="000000"/>
        </w:rPr>
        <w:t>(Source: Self-created)</w:t>
      </w:r>
    </w:p>
    <w:p>
      <w:pPr>
        <w:rPr>
          <w:color w:val="000000"/>
        </w:rPr>
      </w:pPr>
      <w:r>
        <w:rPr>
          <w:color w:val="000000"/>
        </w:rPr>
        <w:t>Five electronic databases (PubMed, CINAHL, Scopus, Cochrane Library and Web of Science) will serve as a means of ensuring that the literature on the topic is appropriately covered.</w:t>
      </w:r>
    </w:p>
    <w:p>
      <w:pPr>
        <w:pStyle w:val="2"/>
        <w:rPr>
          <w:color w:val="000000"/>
        </w:rPr>
      </w:pPr>
      <w:bookmarkStart w:id="22" w:name="_heading=h.l9ukcmb381bi"/>
      <w:bookmarkStart w:id="23" w:name="_Toc237563377"/>
      <w:bookmarkEnd w:id="22"/>
      <w:r>
        <w:rPr>
          <w:color w:val="000000"/>
        </w:rPr>
        <w:t>4.3 Materials and Data Collection Methods</w:t>
      </w:r>
      <w:bookmarkEnd w:id="23"/>
    </w:p>
    <w:p>
      <w:pPr>
        <w:rPr>
          <w:color w:val="000000"/>
        </w:rPr>
      </w:pPr>
      <w:r>
        <w:rPr>
          <w:color w:val="000000"/>
        </w:rPr>
        <w:t>The systematic electronic search will be carried out within the five major databases: PubMed, CINAHL, Scopus, Cochrane Library and Web of Sciences. I will use the search strategy that involves use of Medical Subject Headings (MeSH) terms and Boolean operators to find the relevant studies (AND, OR, NOT). Key search terms will include: “medication adherence” OR “medication compliance” OR “treatment adherence” AND “coronary artery disease” OR “coronary heart disease” OR “ischaemic heart disease” AND “middle-aged” OR “40-60 years” AND “health outcomes” OR “clinical outcomes” OR “quality of life” OR “MACE” OR “mortality” OR “hospital readmission.” Obtained search results will be exported to a reference management tool, elimination of data duplication will be done and the remaining records will be filtered according to the title and abstract against the eligibility criteria (Afkanpour, Hosseinzadeh and Tabesh, 2024). Articles with potentially eligible studies will be retrieved and evaluated to be ultimately included as full-text articles. A PRISMA flow diagram will be used to record the process of study selection.</w:t>
      </w:r>
    </w:p>
    <w:p>
      <w:pPr>
        <w:pStyle w:val="2"/>
        <w:rPr>
          <w:color w:val="000000"/>
        </w:rPr>
      </w:pPr>
      <w:bookmarkStart w:id="24" w:name="_heading=h.13qhgsvvvo6w"/>
      <w:bookmarkStart w:id="25" w:name="_Toc237563378"/>
      <w:bookmarkEnd w:id="24"/>
      <w:r>
        <w:rPr>
          <w:color w:val="000000"/>
        </w:rPr>
        <w:t>4.4 Proposed Data Analysis Technique</w:t>
      </w:r>
      <w:bookmarkEnd w:id="25"/>
    </w:p>
    <w:p>
      <w:pPr>
        <w:rPr>
          <w:color w:val="000000"/>
        </w:rPr>
      </w:pPr>
      <w:r>
        <w:rPr>
          <w:color w:val="000000"/>
        </w:rPr>
        <w:t xml:space="preserve">The data will be extracted through a standardised data extraction form, which records data about the study (author, year, country, design, sample size), participant data (demographics, adherence measurement tools used, reported data and key findings) and outcomes. Because the study designs are expected to be heterogeneous in nature, the adherence measures and outcome reporting, thematic analysis will be performed instead of the statistical meta-analysis. The results will be structured thematically in reference to the four research questions; factors affecting adherence, adherence rates and patterns, effects of adherence on clinical outcomes and quality of life, and interventions to enhance adherence. </w:t>
      </w:r>
    </w:p>
    <w:p>
      <w:pPr>
        <w:spacing w:after="240"/>
        <w:rPr>
          <w:b/>
          <w:bCs/>
          <w:color w:val="000000"/>
        </w:rPr>
      </w:pPr>
      <w:r>
        <w:rPr>
          <w:b/>
          <w:bCs/>
          <w:color w:val="000000"/>
        </w:rPr>
        <w:t>4.5 Quality Appraisal</w:t>
      </w:r>
    </w:p>
    <w:p>
      <w:pPr>
        <w:spacing w:after="240"/>
        <w:rPr>
          <w:color w:val="000000"/>
        </w:rPr>
      </w:pPr>
      <w:r>
        <w:rPr>
          <w:color w:val="000000"/>
        </w:rPr>
        <w:t>Quality appraisal provides a methodological rigour and reduction of bias in synthesising research evidence (Polit and Beck, 2020). The paper will utilise Joanna Briggs Institute (JBI) Critical Appraisal Checklists, as they offer design specific approaches to qualitative research, randomised trials, cohort research, and systematic reviews (Aromataris and Munn, 2020). All of the included studies will be evaluated separately with the help of the question items suggested in the checklists, where answers will be designated as yes, no, unclear, or not applicable. In order to maintain the integrity of the evidentials as a whole, any studies with a score under 50% will be left out (Barker et al., 2023). Such an organised, transparent procedure enhances the believability and dependability of the review results (Munn et al., 2020).</w:t>
      </w:r>
    </w:p>
    <w:p>
      <w:pPr>
        <w:rPr>
          <w:color w:val="000000"/>
        </w:rPr>
      </w:pPr>
      <w:bookmarkStart w:id="26" w:name="_heading=h.p9on5xerq3of"/>
      <w:bookmarkEnd w:id="26"/>
      <w:r>
        <w:rPr>
          <w:color w:val="000000"/>
        </w:rPr>
        <w:br w:type="page"/>
      </w:r>
    </w:p>
    <w:p>
      <w:pPr>
        <w:pStyle w:val="1"/>
        <w:numPr>
          <w:ilvl w:val="0"/>
          <w:numId w:val="1"/>
        </w:numPr>
        <w:rPr>
          <w:color w:val="000000"/>
        </w:rPr>
      </w:pPr>
      <w:bookmarkStart w:id="27" w:name="_heading=h.l0afgob8jhsj"/>
      <w:bookmarkStart w:id="28" w:name="_Toc237563379"/>
      <w:bookmarkEnd w:id="27"/>
      <w:r>
        <w:rPr>
          <w:color w:val="000000"/>
        </w:rPr>
        <w:t>Ethical Considerations</w:t>
      </w:r>
      <w:bookmarkEnd w:id="28"/>
    </w:p>
    <w:p>
      <w:pPr>
        <w:rPr>
          <w:color w:val="000000"/>
        </w:rPr>
      </w:pPr>
      <w:r>
        <w:rPr>
          <w:color w:val="000000"/>
        </w:rPr>
        <w:t>This systematic review will utilise secondary data that has been published in peer-reviewed journals, and will be submitted to formal approval by an institutional ethics committee. Research integrity will be followed in the review process in its entirety and, in aspects such as reporting transparency in both methods and findings, the fair representation of source material, avoiding selective reporting bias and the proper citation of all references (Harvard referencing) of all referenced works (Grant and Khatua, 2024). Wager and Wiffen (2011) assert that it requires ethical practices in systematic reviews to ensure that the reviewer does not repeat the findings of earlier reviews, disclosure of conflicts of interest and a synthesis of evidence that does not misrepresent the findings of the original reviewer(s). Also, the research will be done in accordance with the ethical framework of the University of Wales Trinity Saint David postgraduate study, such as the submission of the PG2 ethics form as a mandated part of the module description. Data that will be extracted in all included studies will be processed with academic integrity and kept securely under lock and key during the review process.</w:t>
      </w:r>
    </w:p>
    <w:p>
      <w:pPr>
        <w:rPr>
          <w:color w:val="000000"/>
        </w:rPr>
      </w:pPr>
      <w:bookmarkStart w:id="29" w:name="_heading=h.th0e1ufpu4x1"/>
      <w:bookmarkEnd w:id="29"/>
      <w:r>
        <w:rPr>
          <w:color w:val="000000"/>
        </w:rPr>
        <w:br w:type="page"/>
      </w:r>
    </w:p>
    <w:p>
      <w:pPr>
        <w:pStyle w:val="1"/>
        <w:numPr>
          <w:ilvl w:val="0"/>
          <w:numId w:val="1"/>
        </w:numPr>
        <w:rPr>
          <w:color w:val="000000"/>
        </w:rPr>
      </w:pPr>
      <w:bookmarkStart w:id="30" w:name="_heading=h.r5xrtuh0e6bo"/>
      <w:bookmarkStart w:id="31" w:name="_Toc237563380"/>
      <w:bookmarkEnd w:id="30"/>
      <w:r>
        <w:rPr>
          <w:color w:val="000000"/>
        </w:rPr>
        <w:t>Implications of Research</w:t>
      </w:r>
      <w:bookmarkEnd w:id="31"/>
    </w:p>
    <w:p>
      <w:pPr>
        <w:spacing w:after="240"/>
        <w:rPr>
          <w:color w:val="000000"/>
        </w:rPr>
      </w:pPr>
      <w:r>
        <w:rPr>
          <w:color w:val="000000"/>
        </w:rPr>
        <w:t>The results of this systematic review have important clinical, health policy and research implications. This review will inform a deeper comprehension of medication adherence issues unique to this population by amalgamating the evidence regarding the effects of medication adherence on health outcomes in adults aged 40-60 years with CAD. The clinical implications of the findings can guide the design of age-specific and condition-specific intervention in adherence support as a part of secondary prevention streams, especially in the context of NHS in which cardiovascular disease is found to be one out of four premature deaths (British Heart Foundation, 2025). The review can also show the policy makers that such specific public health interventions are required to tackle these occupational, psychological and lifestyle obstacles to adherence experienced by working-age adults. To the researchers, the review will reveal gaps in the current body of evidence, and offer a basis on the subsequent primary research, which may involve randomised controlled trials of adherence-enhancing intervention in this under-researched group.</w:t>
      </w:r>
    </w:p>
    <w:p>
      <w:pPr>
        <w:rPr>
          <w:color w:val="000000"/>
        </w:rPr>
      </w:pPr>
      <w:bookmarkStart w:id="32" w:name="_heading=h.ar5m7mv5ah6"/>
      <w:bookmarkEnd w:id="32"/>
      <w:r>
        <w:rPr>
          <w:color w:val="000000"/>
        </w:rPr>
        <w:br w:type="page"/>
      </w:r>
    </w:p>
    <w:p>
      <w:pPr>
        <w:pStyle w:val="1"/>
        <w:numPr>
          <w:ilvl w:val="0"/>
          <w:numId w:val="1"/>
        </w:numPr>
        <w:rPr>
          <w:color w:val="000000"/>
        </w:rPr>
      </w:pPr>
      <w:bookmarkStart w:id="33" w:name="_heading=h.7icx9s2sxy85"/>
      <w:bookmarkStart w:id="34" w:name="_Toc237563381"/>
      <w:bookmarkEnd w:id="33"/>
      <w:r>
        <w:rPr>
          <w:color w:val="000000"/>
        </w:rPr>
        <w:t>Plan of Work and Time Schedule (Gantt Chart)</w:t>
      </w:r>
      <w:bookmarkEnd w:id="34"/>
      <w:r>
        <w:rPr>
          <w:color w:val="000000"/>
        </w:rPr>
        <w:t xml:space="preserve"> </w:t>
      </w:r>
    </w:p>
    <w:tbl>
      <w:tblPr>
        <w:jc w:val="left"/>
        <w:tblInd w:w="0" w:type="dxa"/>
        <w:tblW w:w="93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Pr>
      <w:tblGrid>
        <w:gridCol w:w="4595"/>
        <w:gridCol w:w="590"/>
        <w:gridCol w:w="590"/>
        <w:gridCol w:w="590"/>
        <w:gridCol w:w="590"/>
        <w:gridCol w:w="590"/>
        <w:gridCol w:w="590"/>
        <w:gridCol w:w="590"/>
        <w:gridCol w:w="590"/>
      </w:tblGrid>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b/>
                <w:bCs/>
                <w:color w:val="000000"/>
              </w:rPr>
            </w:pPr>
            <w:r>
              <w:rPr>
                <w:b/>
                <w:bCs/>
                <w:color w:val="000000"/>
              </w:rPr>
              <w:t>Activity</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b/>
                <w:bCs/>
                <w:color w:val="000000"/>
              </w:rPr>
            </w:pPr>
            <w:r>
              <w:rPr>
                <w:b/>
                <w:bCs/>
                <w:color w:val="000000"/>
              </w:rPr>
              <w:t>W1</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b/>
                <w:bCs/>
                <w:color w:val="000000"/>
              </w:rPr>
            </w:pPr>
            <w:r>
              <w:rPr>
                <w:b/>
                <w:bCs/>
                <w:color w:val="000000"/>
              </w:rPr>
              <w:t>W2</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b/>
                <w:bCs/>
                <w:color w:val="000000"/>
              </w:rPr>
            </w:pPr>
            <w:r>
              <w:rPr>
                <w:b/>
                <w:bCs/>
                <w:color w:val="000000"/>
              </w:rPr>
              <w:t>W3</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b/>
                <w:bCs/>
                <w:color w:val="000000"/>
              </w:rPr>
            </w:pPr>
            <w:r>
              <w:rPr>
                <w:b/>
                <w:bCs/>
                <w:color w:val="000000"/>
              </w:rPr>
              <w:t>W4</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b/>
                <w:bCs/>
                <w:color w:val="000000"/>
              </w:rPr>
            </w:pPr>
            <w:r>
              <w:rPr>
                <w:b/>
                <w:bCs/>
                <w:color w:val="000000"/>
              </w:rPr>
              <w:t>W5</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b/>
                <w:bCs/>
                <w:color w:val="000000"/>
              </w:rPr>
            </w:pPr>
            <w:r>
              <w:rPr>
                <w:b/>
                <w:bCs/>
                <w:color w:val="000000"/>
              </w:rPr>
              <w:t>W6</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b/>
                <w:bCs/>
                <w:color w:val="000000"/>
              </w:rPr>
            </w:pPr>
            <w:r>
              <w:rPr>
                <w:b/>
                <w:bCs/>
                <w:color w:val="000000"/>
              </w:rPr>
              <w:t>W7</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b/>
                <w:bCs/>
                <w:color w:val="000000"/>
              </w:rPr>
            </w:pPr>
            <w:r>
              <w:rPr>
                <w:b/>
                <w:bCs/>
                <w:color w:val="000000"/>
              </w:rPr>
              <w:t>W8</w:t>
            </w: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Topic finalisation &amp; protocol</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Chapter 1 – Introduction</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Chapter 2 – Literature Review</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Database searching</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Screening (title/abstract &amp; full-text)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JBI quality appraisal</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Chapter 3 – Methodology</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Data extraction &amp; thematic synthesis</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Chapter 4 – Findings</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Chapter 5 – Discussion</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Chapter 6 – Conclusion &amp; Recommendations</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Supervisor feedback &amp; revisions</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r>
      <w:tr>
        <w:trPr>
          <w:trHeight w:val="500"/>
        </w:trPr>
        <w:tc>
          <w:tcPr>
            <w:tcW w:w="45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rPr>
                <w:color w:val="000000"/>
              </w:rPr>
            </w:pPr>
            <w:r>
              <w:rPr>
                <w:color w:val="000000"/>
              </w:rPr>
              <w:t>Proofreading, formatting &amp; submission</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pPr>
              <w:spacing w:after="0"/>
              <w:jc w:val="center"/>
              <w:rPr>
                <w:color w:val="000000"/>
              </w:rPr>
            </w:pPr>
            <w:r>
              <w:rPr>
                <w:color w:val="000000"/>
              </w:rPr>
              <w:t>●</w:t>
            </w:r>
          </w:p>
        </w:tc>
      </w:tr>
    </w:tbl>
    <w:p>
      <w:pPr>
        <w:pStyle w:val="1"/>
        <w:rPr>
          <w:strike/>
          <w:dstrike w:val="0"/>
          <w:color w:val="000000"/>
        </w:rPr>
      </w:pPr>
      <w:bookmarkStart w:id="35" w:name="_heading=h.4y2khmg7w7hk"/>
      <w:bookmarkEnd w:id="35"/>
      <w:r>
        <w:rPr>
          <w:color w:val="000000"/>
        </w:rPr>
        <w:br w:type="page"/>
      </w:r>
    </w:p>
    <w:p>
      <w:pPr>
        <w:pStyle w:val="1"/>
        <w:spacing w:before="240" w:after="240"/>
        <w:rPr>
          <w:color w:val="000000"/>
        </w:rPr>
      </w:pPr>
      <w:bookmarkStart w:id="36" w:name="_heading=h.tbbwmci5kxnj"/>
      <w:bookmarkStart w:id="37" w:name="_Toc237563382"/>
      <w:bookmarkEnd w:id="36"/>
      <w:r>
        <w:rPr>
          <w:color w:val="000000"/>
        </w:rPr>
        <w:t>Reference list</w:t>
      </w:r>
      <w:bookmarkEnd w:id="37"/>
      <w:r>
        <w:rPr>
          <w:color w:val="000000"/>
        </w:rPr>
        <w:t xml:space="preserve">  </w:t>
      </w:r>
    </w:p>
    <w:p>
      <w:pPr>
        <w:spacing w:after="240"/>
        <w:rPr>
          <w:color w:val="000000"/>
        </w:rPr>
      </w:pPr>
      <w:r>
        <w:rPr>
          <w:color w:val="000000"/>
        </w:rPr>
        <w:t xml:space="preserve">accelabrand (2025) </w:t>
      </w:r>
      <w:r>
        <w:rPr>
          <w:i/>
          <w:iCs/>
          <w:color w:val="000000"/>
        </w:rPr>
        <w:t>Medication adherence in 2025: The hidden crisis costing lives and billions</w:t>
      </w:r>
      <w:r>
        <w:rPr>
          <w:color w:val="000000"/>
        </w:rPr>
        <w:t xml:space="preserve">, </w:t>
      </w:r>
      <w:r>
        <w:rPr>
          <w:i/>
          <w:iCs/>
          <w:color w:val="000000"/>
        </w:rPr>
        <w:t>Pharmdlive</w:t>
      </w:r>
      <w:r>
        <w:rPr>
          <w:color w:val="000000"/>
        </w:rPr>
        <w:t xml:space="preserve">. PharmD Live. Available at: </w:t>
      </w:r>
      <w:r>
        <w:rPr>
          <w:color w:val="000000"/>
          <w:u w:val="single"/>
        </w:rPr>
        <w:fldChar w:fldCharType="begin"/>
      </w:r>
      <w:r>
        <w:instrText>HYPERLINK "https://pharmdlive.com/medication-adherence-2025/"</w:instrText>
      </w:r>
      <w:r>
        <w:rPr>
          <w:color w:val="000000"/>
          <w:u w:val="single"/>
        </w:rPr>
        <w:fldChar w:fldCharType="separate"/>
      </w:r>
      <w:r>
        <w:rPr>
          <w:color w:val="000000"/>
          <w:u w:val="single"/>
        </w:rPr>
        <w:t>https://pharmdlive.com/medication-adherence-2025/</w:t>
      </w:r>
      <w:r>
        <w:rPr>
          <w:color w:val="000000"/>
          <w:u w:val="single"/>
        </w:rPr>
        <w:fldChar w:fldCharType="end"/>
      </w:r>
      <w:r>
        <w:rPr>
          <w:color w:val="000000"/>
        </w:rPr>
        <w:t xml:space="preserve"> (Accessed: 8 August 2026).</w:t>
      </w:r>
    </w:p>
    <w:p>
      <w:pPr>
        <w:spacing w:after="240"/>
        <w:rPr>
          <w:color w:val="000000"/>
        </w:rPr>
      </w:pPr>
      <w:r>
        <w:rPr>
          <w:color w:val="000000"/>
        </w:rPr>
        <w:t xml:space="preserve">Achterbosch, M., Aksoy, N., Obeng, G. D, Ameyaw, D., Tamás Ágh and Boven, van (2025) ‘Clinical and economic consequences of medication nonadherence: A review of systematic reviews’, </w:t>
      </w:r>
      <w:r>
        <w:rPr>
          <w:i/>
          <w:iCs/>
          <w:color w:val="000000"/>
        </w:rPr>
        <w:t>Frontiers in Pharmacology</w:t>
      </w:r>
      <w:r>
        <w:rPr>
          <w:color w:val="000000"/>
        </w:rPr>
        <w:t xml:space="preserve">, 16. Available at: </w:t>
      </w:r>
      <w:r>
        <w:rPr>
          <w:color w:val="000000"/>
          <w:u w:val="single"/>
        </w:rPr>
        <w:fldChar w:fldCharType="begin"/>
      </w:r>
      <w:r>
        <w:instrText>HYPERLINK "https://doi.org/10.3389/fphar.2025.1570359"</w:instrText>
      </w:r>
      <w:r>
        <w:rPr>
          <w:color w:val="000000"/>
          <w:u w:val="single"/>
        </w:rPr>
        <w:fldChar w:fldCharType="separate"/>
      </w:r>
      <w:r>
        <w:rPr>
          <w:color w:val="000000"/>
          <w:u w:val="single"/>
        </w:rPr>
        <w:t>https://doi.org/10.3389/fphar.2025.1570359</w:t>
      </w:r>
      <w:r>
        <w:rPr>
          <w:color w:val="000000"/>
          <w:u w:val="single"/>
        </w:rPr>
        <w:fldChar w:fldCharType="end"/>
      </w:r>
      <w:r>
        <w:rPr>
          <w:color w:val="000000"/>
        </w:rPr>
        <w:t xml:space="preserve">. </w:t>
      </w:r>
    </w:p>
    <w:p>
      <w:pPr>
        <w:spacing w:after="240"/>
        <w:rPr>
          <w:color w:val="000000"/>
        </w:rPr>
      </w:pPr>
      <w:r>
        <w:rPr>
          <w:color w:val="000000"/>
        </w:rPr>
        <w:t xml:space="preserve">Afkanpour, M., Hosseinzadeh, E. and Tabesh, H. (2024) ‘Identify the most appropriate imputation method for handling missing values in clinical structured datasets: A systematic review’, </w:t>
      </w:r>
      <w:r>
        <w:rPr>
          <w:i/>
          <w:iCs/>
          <w:color w:val="000000"/>
        </w:rPr>
        <w:t>BMC Medical Research Methodology</w:t>
      </w:r>
      <w:r>
        <w:rPr>
          <w:color w:val="000000"/>
        </w:rPr>
        <w:t xml:space="preserve">, 24(1). Available at: </w:t>
      </w:r>
      <w:r>
        <w:rPr>
          <w:color w:val="000000"/>
          <w:u w:val="single"/>
        </w:rPr>
        <w:fldChar w:fldCharType="begin"/>
      </w:r>
      <w:r>
        <w:instrText>HYPERLINK "https://doi.org/10.1186/s12874-024-02310-6"</w:instrText>
      </w:r>
      <w:r>
        <w:rPr>
          <w:color w:val="000000"/>
          <w:u w:val="single"/>
        </w:rPr>
        <w:fldChar w:fldCharType="separate"/>
      </w:r>
      <w:r>
        <w:rPr>
          <w:color w:val="000000"/>
          <w:u w:val="single"/>
        </w:rPr>
        <w:t>https://doi.org/10.1186/s12874-024-02310-6</w:t>
      </w:r>
      <w:r>
        <w:rPr>
          <w:color w:val="000000"/>
          <w:u w:val="single"/>
        </w:rPr>
        <w:fldChar w:fldCharType="end"/>
      </w:r>
      <w:r>
        <w:rPr>
          <w:color w:val="000000"/>
        </w:rPr>
        <w:t xml:space="preserve">. </w:t>
      </w:r>
    </w:p>
    <w:p>
      <w:pPr>
        <w:spacing w:after="240"/>
        <w:rPr>
          <w:color w:val="000000"/>
        </w:rPr>
      </w:pPr>
      <w:r>
        <w:rPr>
          <w:color w:val="000000"/>
        </w:rPr>
        <w:t xml:space="preserve">Alhamad, H. and Donyai, P. (2021) “The validity of the theory of planned behaviour for understanding people’s beliefs and intentions toward reusing medicines,” </w:t>
      </w:r>
      <w:r>
        <w:rPr>
          <w:i/>
          <w:iCs/>
          <w:color w:val="000000"/>
        </w:rPr>
        <w:t>Pharmacy</w:t>
      </w:r>
      <w:r>
        <w:rPr>
          <w:color w:val="000000"/>
        </w:rPr>
        <w:t xml:space="preserve">, 9(1), p. 58. Available at: </w:t>
      </w:r>
      <w:r>
        <w:rPr>
          <w:color w:val="000000"/>
          <w:u w:val="single"/>
        </w:rPr>
        <w:fldChar w:fldCharType="begin"/>
      </w:r>
      <w:r>
        <w:instrText>HYPERLINK "https://doi.org/10.3390/pharmacy9010058"</w:instrText>
      </w:r>
      <w:r>
        <w:rPr>
          <w:color w:val="000000"/>
          <w:u w:val="single"/>
        </w:rPr>
        <w:fldChar w:fldCharType="separate"/>
      </w:r>
      <w:r>
        <w:rPr>
          <w:color w:val="000000"/>
          <w:u w:val="single"/>
        </w:rPr>
        <w:t>https://doi.org/10.3390/pharmacy9010058</w:t>
      </w:r>
      <w:r>
        <w:rPr>
          <w:color w:val="000000"/>
          <w:u w:val="single"/>
        </w:rPr>
        <w:fldChar w:fldCharType="end"/>
      </w:r>
      <w:r>
        <w:rPr>
          <w:color w:val="000000"/>
        </w:rPr>
        <w:t xml:space="preserve">. </w:t>
      </w:r>
    </w:p>
    <w:p>
      <w:pPr>
        <w:spacing w:before="240" w:after="240"/>
        <w:rPr>
          <w:color w:val="000000"/>
        </w:rPr>
      </w:pPr>
      <w:r>
        <w:rPr>
          <w:color w:val="000000"/>
        </w:rPr>
        <w:t xml:space="preserve">Aromataris, E. and Munn, Z. (2020). </w:t>
      </w:r>
      <w:r>
        <w:rPr>
          <w:i/>
          <w:iCs/>
          <w:color w:val="000000"/>
        </w:rPr>
        <w:t>JBI Manual for Evidence Synthesis</w:t>
      </w:r>
      <w:r>
        <w:rPr>
          <w:color w:val="000000"/>
        </w:rPr>
        <w:t>. Adelaide: JBI.</w:t>
      </w:r>
    </w:p>
    <w:p>
      <w:pPr>
        <w:spacing w:after="240"/>
        <w:rPr>
          <w:color w:val="000000"/>
        </w:rPr>
      </w:pPr>
      <w:r>
        <w:rPr>
          <w:color w:val="000000"/>
        </w:rPr>
        <w:t xml:space="preserve">Aromataris, E., Lockwood, C., Porritt, K., Pilla, B. and Jordan, Z. (2024) </w:t>
      </w:r>
      <w:r>
        <w:rPr>
          <w:i/>
          <w:iCs/>
          <w:color w:val="000000"/>
        </w:rPr>
        <w:t>JBI manual for evidence synthesis</w:t>
      </w:r>
      <w:r>
        <w:rPr>
          <w:color w:val="000000"/>
        </w:rPr>
        <w:t xml:space="preserve">, </w:t>
      </w:r>
      <w:r>
        <w:rPr>
          <w:i/>
          <w:iCs/>
          <w:color w:val="000000"/>
        </w:rPr>
        <w:t>JBI eBooks</w:t>
      </w:r>
      <w:r>
        <w:rPr>
          <w:color w:val="000000"/>
        </w:rPr>
        <w:t xml:space="preserve">. JBI. Available at: </w:t>
      </w:r>
      <w:r>
        <w:rPr>
          <w:color w:val="000000"/>
          <w:u w:val="single"/>
        </w:rPr>
        <w:fldChar w:fldCharType="begin"/>
      </w:r>
      <w:r>
        <w:instrText>HYPERLINK "https://doi.org/10.46658/jbimes-24-01"</w:instrText>
      </w:r>
      <w:r>
        <w:rPr>
          <w:color w:val="000000"/>
          <w:u w:val="single"/>
        </w:rPr>
        <w:fldChar w:fldCharType="separate"/>
      </w:r>
      <w:r>
        <w:rPr>
          <w:color w:val="000000"/>
          <w:u w:val="single"/>
        </w:rPr>
        <w:t>https://doi.org/10.46658/jbimes-24-01</w:t>
      </w:r>
      <w:r>
        <w:rPr>
          <w:color w:val="000000"/>
          <w:u w:val="single"/>
        </w:rPr>
        <w:fldChar w:fldCharType="end"/>
      </w:r>
      <w:r>
        <w:rPr>
          <w:color w:val="000000"/>
        </w:rPr>
        <w:t xml:space="preserve">. </w:t>
      </w:r>
    </w:p>
    <w:p>
      <w:pPr>
        <w:spacing w:after="240"/>
        <w:rPr>
          <w:color w:val="000000"/>
        </w:rPr>
      </w:pPr>
      <w:r>
        <w:rPr>
          <w:color w:val="000000"/>
        </w:rPr>
        <w:t xml:space="preserve">British heart foundation (2024) </w:t>
      </w:r>
      <w:r>
        <w:rPr>
          <w:i/>
          <w:iCs/>
          <w:color w:val="000000"/>
        </w:rPr>
        <w:t>British Heart Foundation</w:t>
      </w:r>
      <w:r>
        <w:rPr>
          <w:color w:val="000000"/>
        </w:rPr>
        <w:t xml:space="preserve">, </w:t>
      </w:r>
      <w:r>
        <w:rPr>
          <w:i/>
          <w:iCs/>
          <w:color w:val="000000"/>
        </w:rPr>
        <w:t>British Heart foundation</w:t>
      </w:r>
      <w:r>
        <w:rPr>
          <w:color w:val="000000"/>
        </w:rPr>
        <w:t xml:space="preserve">. Available at: </w:t>
      </w:r>
      <w:r>
        <w:rPr>
          <w:color w:val="000000"/>
          <w:u w:val="single"/>
        </w:rPr>
        <w:fldChar w:fldCharType="begin"/>
      </w:r>
      <w:r>
        <w:instrText>HYPERLINK "https://www.bhf.org.uk/"</w:instrText>
      </w:r>
      <w:r>
        <w:rPr>
          <w:color w:val="000000"/>
          <w:u w:val="single"/>
        </w:rPr>
        <w:fldChar w:fldCharType="separate"/>
      </w:r>
      <w:r>
        <w:rPr>
          <w:color w:val="000000"/>
          <w:u w:val="single"/>
        </w:rPr>
        <w:t>https://www.bhf.org.uk/</w:t>
      </w:r>
      <w:r>
        <w:rPr>
          <w:color w:val="000000"/>
          <w:u w:val="single"/>
        </w:rPr>
        <w:fldChar w:fldCharType="end"/>
      </w:r>
      <w:r>
        <w:rPr>
          <w:color w:val="000000"/>
        </w:rPr>
        <w:t xml:space="preserve"> (Accessed: 9 August 2026).</w:t>
      </w:r>
    </w:p>
    <w:p>
      <w:pPr>
        <w:spacing w:after="240"/>
        <w:rPr>
          <w:color w:val="000000"/>
        </w:rPr>
      </w:pPr>
      <w:r>
        <w:rPr>
          <w:color w:val="000000"/>
        </w:rPr>
        <w:t xml:space="preserve">Chen, C., Li, X., Su, Y., You, Z., Wan, R. and Hong, K. (2022) ‘Adherence with cardiovascular medications and the outcomes in patients with coronary arterial disease: “Real‐world” evidence’, </w:t>
      </w:r>
      <w:r>
        <w:rPr>
          <w:i/>
          <w:iCs/>
          <w:color w:val="000000"/>
        </w:rPr>
        <w:t>Clinical Cardiology</w:t>
      </w:r>
      <w:r>
        <w:rPr>
          <w:color w:val="000000"/>
        </w:rPr>
        <w:t xml:space="preserve">, 45(12), pp. 1220–1228. Available at: </w:t>
      </w:r>
      <w:r>
        <w:rPr>
          <w:color w:val="000000"/>
          <w:u w:val="single"/>
        </w:rPr>
        <w:fldChar w:fldCharType="begin"/>
      </w:r>
      <w:r>
        <w:instrText>HYPERLINK "https://doi.org/10.1002/clc.23898"</w:instrText>
      </w:r>
      <w:r>
        <w:rPr>
          <w:color w:val="000000"/>
          <w:u w:val="single"/>
        </w:rPr>
        <w:fldChar w:fldCharType="separate"/>
      </w:r>
      <w:r>
        <w:rPr>
          <w:color w:val="000000"/>
          <w:u w:val="single"/>
        </w:rPr>
        <w:t>https://doi.org/10.1002/clc.23898</w:t>
      </w:r>
      <w:r>
        <w:rPr>
          <w:color w:val="000000"/>
          <w:u w:val="single"/>
        </w:rPr>
        <w:fldChar w:fldCharType="end"/>
      </w:r>
      <w:r>
        <w:rPr>
          <w:color w:val="000000"/>
        </w:rPr>
        <w:t xml:space="preserve">. </w:t>
      </w:r>
    </w:p>
    <w:p>
      <w:pPr>
        <w:spacing w:after="240"/>
        <w:rPr>
          <w:color w:val="000000"/>
        </w:rPr>
      </w:pPr>
      <w:r>
        <w:rPr>
          <w:color w:val="000000"/>
        </w:rPr>
        <w:t xml:space="preserve">Chong, B., Jayabaskaran, J., Jauhari, S.M., Chan, S.P., Goh, R., Tze, M., Li, H., Chin, Y.H., Kong, G., Anand, V.V., Wang, J.-W., Muthiah, M., Jain, V., Mehta, A., Lim, S.L., Foo, R., Figtree, G.A., Nicholls, S.J., Mamas, M.A., Januzzi, J.L., Chew, N.W.S., Richards, A.M. and Chan, M.Y. (2024) ‘Global burden of cardiovascular diseases: Projections from 2025 to 2050’, </w:t>
      </w:r>
      <w:r>
        <w:rPr>
          <w:i/>
          <w:iCs/>
          <w:color w:val="000000"/>
        </w:rPr>
        <w:t>European Journal of Preventive Cardiology</w:t>
      </w:r>
      <w:r>
        <w:rPr>
          <w:color w:val="000000"/>
        </w:rPr>
        <w:t xml:space="preserve"> [Preprint]. Available at: </w:t>
      </w:r>
      <w:r>
        <w:rPr>
          <w:color w:val="000000"/>
          <w:u w:val="single"/>
        </w:rPr>
        <w:fldChar w:fldCharType="begin"/>
      </w:r>
      <w:r>
        <w:instrText>HYPERLINK "https://doi.org/10.1093/eurjpc/zwae281"</w:instrText>
      </w:r>
      <w:r>
        <w:rPr>
          <w:color w:val="000000"/>
          <w:u w:val="single"/>
        </w:rPr>
        <w:fldChar w:fldCharType="separate"/>
      </w:r>
      <w:r>
        <w:rPr>
          <w:color w:val="000000"/>
          <w:u w:val="single"/>
        </w:rPr>
        <w:t>https://doi.org/10.1093/eurjpc/zwae281</w:t>
      </w:r>
      <w:r>
        <w:rPr>
          <w:color w:val="000000"/>
          <w:u w:val="single"/>
        </w:rPr>
        <w:fldChar w:fldCharType="end"/>
      </w:r>
      <w:r>
        <w:rPr>
          <w:color w:val="000000"/>
        </w:rPr>
        <w:t xml:space="preserve">. </w:t>
      </w:r>
    </w:p>
    <w:p>
      <w:pPr>
        <w:spacing w:after="240"/>
        <w:rPr>
          <w:color w:val="000000"/>
        </w:rPr>
      </w:pPr>
      <w:r>
        <w:rPr>
          <w:color w:val="000000"/>
        </w:rPr>
        <w:t xml:space="preserve">Ezekwueme, F., Tolu-Akinnawo, O., Smith, Z. and Ogunniyi, K.E. (2025) ‘Non-invasive assessment of coronary artery disease: The role of AI in the current status and future directions’, </w:t>
      </w:r>
      <w:r>
        <w:rPr>
          <w:i/>
          <w:iCs/>
          <w:color w:val="000000"/>
        </w:rPr>
        <w:t>Cureus</w:t>
      </w:r>
      <w:r>
        <w:rPr>
          <w:color w:val="000000"/>
        </w:rPr>
        <w:t xml:space="preserve"> [Preprint]. Available at: </w:t>
      </w:r>
      <w:r>
        <w:rPr>
          <w:color w:val="000000"/>
          <w:u w:val="single"/>
        </w:rPr>
        <w:fldChar w:fldCharType="begin"/>
      </w:r>
      <w:r>
        <w:instrText>HYPERLINK "https://doi.org/10.7759/cureus.78994"</w:instrText>
      </w:r>
      <w:r>
        <w:rPr>
          <w:color w:val="000000"/>
          <w:u w:val="single"/>
        </w:rPr>
        <w:fldChar w:fldCharType="separate"/>
      </w:r>
      <w:r>
        <w:rPr>
          <w:color w:val="000000"/>
          <w:u w:val="single"/>
        </w:rPr>
        <w:t>https://doi.org/10.7759/cureus.78994</w:t>
      </w:r>
      <w:r>
        <w:rPr>
          <w:color w:val="000000"/>
          <w:u w:val="single"/>
        </w:rPr>
        <w:fldChar w:fldCharType="end"/>
      </w:r>
      <w:r>
        <w:rPr>
          <w:color w:val="000000"/>
        </w:rPr>
        <w:t xml:space="preserve">. </w:t>
      </w:r>
    </w:p>
    <w:p>
      <w:pPr>
        <w:spacing w:after="240"/>
        <w:rPr>
          <w:color w:val="000000"/>
        </w:rPr>
      </w:pPr>
      <w:r>
        <w:rPr>
          <w:color w:val="000000"/>
        </w:rPr>
        <w:t xml:space="preserve">Global Burden of Disease Study (2025) ‘Global, regional, and national burden of cardiovascular diseases and risk factors in 204 countries and territories, 1990-2023’, </w:t>
      </w:r>
      <w:r>
        <w:rPr>
          <w:i/>
          <w:iCs/>
          <w:color w:val="000000"/>
        </w:rPr>
        <w:t>JACC</w:t>
      </w:r>
      <w:r>
        <w:rPr>
          <w:color w:val="000000"/>
        </w:rPr>
        <w:t xml:space="preserve"> [Preprint]. Available at: </w:t>
      </w:r>
      <w:r>
        <w:rPr>
          <w:color w:val="000000"/>
          <w:u w:val="single"/>
        </w:rPr>
        <w:fldChar w:fldCharType="begin"/>
      </w:r>
      <w:r>
        <w:instrText>HYPERLINK "https://doi.org/10.1016/j.jacc.2025.08.015"</w:instrText>
      </w:r>
      <w:r>
        <w:rPr>
          <w:color w:val="000000"/>
          <w:u w:val="single"/>
        </w:rPr>
        <w:fldChar w:fldCharType="separate"/>
      </w:r>
      <w:r>
        <w:rPr>
          <w:color w:val="000000"/>
          <w:u w:val="single"/>
        </w:rPr>
        <w:t>https://doi.org/10.1016/j.jacc.2025.08.015</w:t>
      </w:r>
      <w:r>
        <w:rPr>
          <w:color w:val="000000"/>
          <w:u w:val="single"/>
        </w:rPr>
        <w:fldChar w:fldCharType="end"/>
      </w:r>
      <w:r>
        <w:rPr>
          <w:color w:val="000000"/>
        </w:rPr>
        <w:t xml:space="preserve">. </w:t>
      </w:r>
    </w:p>
    <w:p>
      <w:pPr>
        <w:spacing w:after="240"/>
        <w:rPr>
          <w:color w:val="000000"/>
        </w:rPr>
      </w:pPr>
      <w:r>
        <w:rPr>
          <w:color w:val="000000"/>
        </w:rPr>
        <w:t xml:space="preserve">Grant, S. and Khatua, S. (2024) ‘Research transparency and reproducibility policies and programmes at the international initiative for impact evaluation’, </w:t>
      </w:r>
      <w:r>
        <w:rPr>
          <w:i/>
          <w:iCs/>
          <w:color w:val="000000"/>
        </w:rPr>
        <w:t>Journal of Development Effectiveness</w:t>
      </w:r>
      <w:r>
        <w:rPr>
          <w:color w:val="000000"/>
        </w:rPr>
        <w:t xml:space="preserve">, 16(3), pp. 363–373. Available at: </w:t>
      </w:r>
      <w:r>
        <w:rPr>
          <w:color w:val="000000"/>
          <w:u w:val="single"/>
        </w:rPr>
        <w:fldChar w:fldCharType="begin"/>
      </w:r>
      <w:r>
        <w:instrText>HYPERLINK "https://doi.org/10.1080/19439342.2024.2388102"</w:instrText>
      </w:r>
      <w:r>
        <w:rPr>
          <w:color w:val="000000"/>
          <w:u w:val="single"/>
        </w:rPr>
        <w:fldChar w:fldCharType="separate"/>
      </w:r>
      <w:r>
        <w:rPr>
          <w:color w:val="000000"/>
          <w:u w:val="single"/>
        </w:rPr>
        <w:t>https://doi.org/10.1080/19439342.2024.2388102</w:t>
      </w:r>
      <w:r>
        <w:rPr>
          <w:color w:val="000000"/>
          <w:u w:val="single"/>
        </w:rPr>
        <w:fldChar w:fldCharType="end"/>
      </w:r>
      <w:r>
        <w:rPr>
          <w:color w:val="000000"/>
        </w:rPr>
        <w:t xml:space="preserve">. </w:t>
      </w:r>
    </w:p>
    <w:p>
      <w:pPr>
        <w:spacing w:after="240"/>
        <w:rPr>
          <w:color w:val="000000"/>
        </w:rPr>
      </w:pPr>
      <w:r>
        <w:rPr>
          <w:color w:val="000000"/>
        </w:rPr>
        <w:t xml:space="preserve">Guo, J., Ma, J., Xu, M., Huang, X., Ding, Y., Zhu, L. and Zheng, W. (2025) ‘Exploring challenges to medication adherence AACMONG young and middle-aged adults with coronary heart disease in China: A qualitative study’, </w:t>
      </w:r>
      <w:r>
        <w:rPr>
          <w:i/>
          <w:iCs/>
          <w:color w:val="000000"/>
        </w:rPr>
        <w:t>Frontiers in Cardiovascular Medicine</w:t>
      </w:r>
      <w:r>
        <w:rPr>
          <w:color w:val="000000"/>
        </w:rPr>
        <w:t xml:space="preserve">, 12. Available at: </w:t>
      </w:r>
      <w:r>
        <w:rPr>
          <w:color w:val="000000"/>
          <w:u w:val="single"/>
        </w:rPr>
        <w:fldChar w:fldCharType="begin"/>
      </w:r>
      <w:r>
        <w:instrText>HYPERLINK "https://doi.org/10.3389/fcvm.2025.1664013"</w:instrText>
      </w:r>
      <w:r>
        <w:rPr>
          <w:color w:val="000000"/>
          <w:u w:val="single"/>
        </w:rPr>
        <w:fldChar w:fldCharType="separate"/>
      </w:r>
      <w:r>
        <w:rPr>
          <w:color w:val="000000"/>
          <w:u w:val="single"/>
        </w:rPr>
        <w:t>https://doi.org/10.3389/fcvm.2025.1664013</w:t>
      </w:r>
      <w:r>
        <w:rPr>
          <w:color w:val="000000"/>
          <w:u w:val="single"/>
        </w:rPr>
        <w:fldChar w:fldCharType="end"/>
      </w:r>
      <w:r>
        <w:rPr>
          <w:color w:val="000000"/>
        </w:rPr>
        <w:t xml:space="preserve">. </w:t>
      </w:r>
    </w:p>
    <w:p>
      <w:pPr>
        <w:spacing w:after="240"/>
        <w:rPr>
          <w:color w:val="000000"/>
        </w:rPr>
      </w:pPr>
      <w:r>
        <w:rPr>
          <w:color w:val="000000"/>
        </w:rPr>
        <w:t xml:space="preserve">Hou, Q., Zhao, Y. and Wu, Y. (2025) ‘Medication adherence trajectories and clinical outcomes in patients with cardiovascular disease: A systematic review and meta-analysis’, </w:t>
      </w:r>
      <w:r>
        <w:rPr>
          <w:i/>
          <w:iCs/>
          <w:color w:val="000000"/>
        </w:rPr>
        <w:t>Journal of global health</w:t>
      </w:r>
      <w:r>
        <w:rPr>
          <w:color w:val="000000"/>
        </w:rPr>
        <w:t xml:space="preserve">, 15, p. 04145. Available at: </w:t>
      </w:r>
      <w:r>
        <w:rPr>
          <w:color w:val="000000"/>
          <w:u w:val="single"/>
        </w:rPr>
        <w:fldChar w:fldCharType="begin"/>
      </w:r>
      <w:r>
        <w:instrText>HYPERLINK "https://doi.org/10.7189/jogh.15.04145"</w:instrText>
      </w:r>
      <w:r>
        <w:rPr>
          <w:color w:val="000000"/>
          <w:u w:val="single"/>
        </w:rPr>
        <w:fldChar w:fldCharType="separate"/>
      </w:r>
      <w:r>
        <w:rPr>
          <w:color w:val="000000"/>
          <w:u w:val="single"/>
        </w:rPr>
        <w:t>https://doi.org/10.7189/jogh.15.04145</w:t>
      </w:r>
      <w:r>
        <w:rPr>
          <w:color w:val="000000"/>
          <w:u w:val="single"/>
        </w:rPr>
        <w:fldChar w:fldCharType="end"/>
      </w:r>
      <w:r>
        <w:rPr>
          <w:color w:val="000000"/>
        </w:rPr>
        <w:t xml:space="preserve">. </w:t>
      </w:r>
    </w:p>
    <w:p>
      <w:pPr>
        <w:spacing w:after="240"/>
        <w:rPr>
          <w:color w:val="000000"/>
        </w:rPr>
      </w:pPr>
      <w:r>
        <w:rPr>
          <w:color w:val="000000"/>
        </w:rPr>
        <w:t xml:space="preserve">Jan, B., Dar, M.I., Choudhary, B., Parakh Basist, Khan, R. and Abdulsalam Alhalmi (2024) ‘Cardiovascular diseases among Indian older adults: A comprehensive review’, </w:t>
      </w:r>
      <w:r>
        <w:rPr>
          <w:i/>
          <w:iCs/>
          <w:color w:val="000000"/>
        </w:rPr>
        <w:t>Cardiovascular Therapeutics</w:t>
      </w:r>
      <w:r>
        <w:rPr>
          <w:color w:val="000000"/>
        </w:rPr>
        <w:t xml:space="preserve">, 2024(1). Available at: </w:t>
      </w:r>
      <w:r>
        <w:rPr>
          <w:color w:val="000000"/>
          <w:u w:val="single"/>
        </w:rPr>
        <w:fldChar w:fldCharType="begin"/>
      </w:r>
      <w:r>
        <w:instrText>HYPERLINK "https://doi.org/10.1155/2024/6894693"</w:instrText>
      </w:r>
      <w:r>
        <w:rPr>
          <w:color w:val="000000"/>
          <w:u w:val="single"/>
        </w:rPr>
        <w:fldChar w:fldCharType="separate"/>
      </w:r>
      <w:r>
        <w:rPr>
          <w:color w:val="000000"/>
          <w:u w:val="single"/>
        </w:rPr>
        <w:t>https://doi.org/10.1155/2024/6894693</w:t>
      </w:r>
      <w:r>
        <w:rPr>
          <w:color w:val="000000"/>
          <w:u w:val="single"/>
        </w:rPr>
        <w:fldChar w:fldCharType="end"/>
      </w:r>
      <w:r>
        <w:rPr>
          <w:color w:val="000000"/>
        </w:rPr>
        <w:t xml:space="preserve">. </w:t>
      </w:r>
    </w:p>
    <w:p>
      <w:pPr>
        <w:spacing w:after="240"/>
        <w:rPr>
          <w:color w:val="000000"/>
        </w:rPr>
      </w:pPr>
      <w:r>
        <w:rPr>
          <w:color w:val="000000"/>
        </w:rPr>
        <w:t xml:space="preserve">Livori, A.C., Dalli, L., Nicholls, S.J. and Nelson, A.J. (2024) ‘Defining, measuring, and addressing medication non-adherence in cardiovascular disease’, </w:t>
      </w:r>
      <w:r>
        <w:rPr>
          <w:i/>
          <w:iCs/>
          <w:color w:val="000000"/>
        </w:rPr>
        <w:t>Future Cardiology</w:t>
      </w:r>
      <w:r>
        <w:rPr>
          <w:color w:val="000000"/>
        </w:rPr>
        <w:t xml:space="preserve">, 20(15–16), pp. 819–822. Available at: </w:t>
      </w:r>
      <w:r>
        <w:rPr>
          <w:color w:val="000000"/>
          <w:u w:val="single"/>
        </w:rPr>
        <w:fldChar w:fldCharType="begin"/>
      </w:r>
      <w:r>
        <w:instrText>HYPERLINK "https://doi.org/10.1080/14796678.2024.2433888"</w:instrText>
      </w:r>
      <w:r>
        <w:rPr>
          <w:color w:val="000000"/>
          <w:u w:val="single"/>
        </w:rPr>
        <w:fldChar w:fldCharType="separate"/>
      </w:r>
      <w:r>
        <w:rPr>
          <w:color w:val="000000"/>
          <w:u w:val="single"/>
        </w:rPr>
        <w:t>https://doi.org/10.1080/14796678.2024.2433888</w:t>
      </w:r>
      <w:r>
        <w:rPr>
          <w:color w:val="000000"/>
          <w:u w:val="single"/>
        </w:rPr>
        <w:fldChar w:fldCharType="end"/>
      </w:r>
      <w:r>
        <w:rPr>
          <w:color w:val="000000"/>
        </w:rPr>
        <w:t xml:space="preserve">. </w:t>
      </w:r>
    </w:p>
    <w:p>
      <w:pPr>
        <w:spacing w:after="240"/>
        <w:rPr>
          <w:color w:val="000000"/>
        </w:rPr>
      </w:pPr>
      <w:r>
        <w:rPr>
          <w:color w:val="000000"/>
        </w:rPr>
        <w:t xml:space="preserve">Martinez, E.C., Ghattas, P.E., Salolin, V.P., García-González, O.Y., Fermin, M. D, Rueda, D.E., Carmona, T.C., Cruz, C.S. and Hooper, C.T. (2025) ‘A comprehensive guide to conduct a systematic review and meta-analysis in medical research’, </w:t>
      </w:r>
      <w:r>
        <w:rPr>
          <w:i/>
          <w:iCs/>
          <w:color w:val="000000"/>
        </w:rPr>
        <w:t>Medicine</w:t>
      </w:r>
      <w:r>
        <w:rPr>
          <w:color w:val="000000"/>
        </w:rPr>
        <w:t xml:space="preserve">, 104(33), pp. e41868-e41868. Available at: </w:t>
      </w:r>
      <w:r>
        <w:rPr>
          <w:color w:val="000000"/>
          <w:u w:val="single"/>
        </w:rPr>
        <w:fldChar w:fldCharType="begin"/>
      </w:r>
      <w:r>
        <w:instrText>HYPERLINK "https://doi.org/10.1097/md.0000000000041868"</w:instrText>
      </w:r>
      <w:r>
        <w:rPr>
          <w:color w:val="000000"/>
          <w:u w:val="single"/>
        </w:rPr>
        <w:fldChar w:fldCharType="separate"/>
      </w:r>
      <w:r>
        <w:rPr>
          <w:color w:val="000000"/>
          <w:u w:val="single"/>
        </w:rPr>
        <w:t>https://doi.org/10.1097/md.0000000000041868</w:t>
      </w:r>
      <w:r>
        <w:rPr>
          <w:color w:val="000000"/>
          <w:u w:val="single"/>
        </w:rPr>
        <w:fldChar w:fldCharType="end"/>
      </w:r>
      <w:r>
        <w:rPr>
          <w:color w:val="000000"/>
        </w:rPr>
        <w:t xml:space="preserve">. </w:t>
      </w:r>
    </w:p>
    <w:p>
      <w:pPr>
        <w:spacing w:after="240"/>
        <w:rPr>
          <w:color w:val="000000"/>
        </w:rPr>
      </w:pPr>
      <w:r>
        <w:rPr>
          <w:color w:val="000000"/>
        </w:rPr>
        <w:t xml:space="preserve">Murray-Thomas, T., Bottle, A., Mayet, J. and Myles, P. (2025) ‘Non-adherence to medications prescribed to patients with heart failure in general practice: Prevalence, risk factors and association with mortality and hospitalisation’, </w:t>
      </w:r>
      <w:r>
        <w:rPr>
          <w:i/>
          <w:iCs/>
          <w:color w:val="000000"/>
        </w:rPr>
        <w:t>Open heart</w:t>
      </w:r>
      <w:r>
        <w:rPr>
          <w:color w:val="000000"/>
        </w:rPr>
        <w:t xml:space="preserve">, 12(2), p. e003373. Available at: </w:t>
      </w:r>
      <w:r>
        <w:rPr>
          <w:color w:val="000000"/>
          <w:u w:val="single"/>
        </w:rPr>
        <w:fldChar w:fldCharType="begin"/>
      </w:r>
      <w:r>
        <w:instrText>HYPERLINK "https://doi.org/10.1136/openhrt-2025-003373"</w:instrText>
      </w:r>
      <w:r>
        <w:rPr>
          <w:color w:val="000000"/>
          <w:u w:val="single"/>
        </w:rPr>
        <w:fldChar w:fldCharType="separate"/>
      </w:r>
      <w:r>
        <w:rPr>
          <w:color w:val="000000"/>
          <w:u w:val="single"/>
        </w:rPr>
        <w:t>https://doi.org/10.1136/openhrt-2025-003373</w:t>
      </w:r>
      <w:r>
        <w:rPr>
          <w:color w:val="000000"/>
          <w:u w:val="single"/>
        </w:rPr>
        <w:fldChar w:fldCharType="end"/>
      </w:r>
      <w:r>
        <w:rPr>
          <w:color w:val="000000"/>
        </w:rPr>
        <w:t xml:space="preserve">. </w:t>
      </w:r>
    </w:p>
    <w:p>
      <w:pPr>
        <w:spacing w:after="240"/>
        <w:rPr>
          <w:color w:val="000000"/>
        </w:rPr>
      </w:pPr>
      <w:r>
        <w:rPr>
          <w:color w:val="000000"/>
        </w:rPr>
        <w:t xml:space="preserve">Page, M.J., Moher, D., Bossuyt, P.M., Boutron, I., Hoffmann, T.C., Mulrow, C. D, Shamseer, L., Tetzlaff, J.M., Akl, E.A., Brennan, S.E., Chou, R., Glanville, J., Grimshaw, J.M., Hróbjartsson, A., Lalu, M.M., Li, T., Loder, E.W., Mayo-Wilson, E., McDonald, S., McGuinness, L.A., Stewart, L.A., Thomas, J., Tricco, A.C., Welch, V.A., Whiting, P. and McKenzie, J.E. (2021) ‘PRISMA 2020 explanation and elaboration: Updated guidance and exemplars for reporting systematic reviews’, </w:t>
      </w:r>
      <w:r>
        <w:rPr>
          <w:i/>
          <w:iCs/>
          <w:color w:val="000000"/>
        </w:rPr>
        <w:t>British Medical Journal</w:t>
      </w:r>
      <w:r>
        <w:rPr>
          <w:color w:val="000000"/>
        </w:rPr>
        <w:t xml:space="preserve">, 372(160). Available at: </w:t>
      </w:r>
      <w:r>
        <w:rPr>
          <w:color w:val="000000"/>
          <w:u w:val="single"/>
        </w:rPr>
        <w:fldChar w:fldCharType="begin"/>
      </w:r>
      <w:r>
        <w:instrText>HYPERLINK "https://doi.org/10.1136/bmj.n160"</w:instrText>
      </w:r>
      <w:r>
        <w:rPr>
          <w:color w:val="000000"/>
          <w:u w:val="single"/>
        </w:rPr>
        <w:fldChar w:fldCharType="separate"/>
      </w:r>
      <w:r>
        <w:rPr>
          <w:color w:val="000000"/>
          <w:u w:val="single"/>
        </w:rPr>
        <w:t>https://doi.org/10.1136/bmj.n160</w:t>
      </w:r>
      <w:r>
        <w:rPr>
          <w:color w:val="000000"/>
          <w:u w:val="single"/>
        </w:rPr>
        <w:fldChar w:fldCharType="end"/>
      </w:r>
      <w:r>
        <w:rPr>
          <w:color w:val="000000"/>
        </w:rPr>
        <w:t xml:space="preserve">. </w:t>
      </w:r>
    </w:p>
    <w:p>
      <w:pPr>
        <w:spacing w:after="240"/>
        <w:rPr>
          <w:color w:val="000000"/>
        </w:rPr>
      </w:pPr>
      <w:r>
        <w:rPr>
          <w:color w:val="000000"/>
        </w:rPr>
        <w:t xml:space="preserve">Patel, S., Huang, M. and Miliara, S. (2025) ‘Understanding treatment adherence in chronic diseases: Challenges, consequences, and strategies for improvement’, </w:t>
      </w:r>
      <w:r>
        <w:rPr>
          <w:i/>
          <w:iCs/>
          <w:color w:val="000000"/>
        </w:rPr>
        <w:t>Journal of Clinical Medicine</w:t>
      </w:r>
      <w:r>
        <w:rPr>
          <w:color w:val="000000"/>
        </w:rPr>
        <w:t xml:space="preserve">, 14(17), pp. 6034–6034. Available at: </w:t>
      </w:r>
      <w:r>
        <w:rPr>
          <w:color w:val="000000"/>
          <w:u w:val="single"/>
        </w:rPr>
        <w:fldChar w:fldCharType="begin"/>
      </w:r>
      <w:r>
        <w:instrText>HYPERLINK "https://doi.org/10.3390/jcm14176034"</w:instrText>
      </w:r>
      <w:r>
        <w:rPr>
          <w:color w:val="000000"/>
          <w:u w:val="single"/>
        </w:rPr>
        <w:fldChar w:fldCharType="separate"/>
      </w:r>
      <w:r>
        <w:rPr>
          <w:color w:val="000000"/>
          <w:u w:val="single"/>
        </w:rPr>
        <w:t>https://doi.org/10.3390/jcm14176034</w:t>
      </w:r>
      <w:r>
        <w:rPr>
          <w:color w:val="000000"/>
          <w:u w:val="single"/>
        </w:rPr>
        <w:fldChar w:fldCharType="end"/>
      </w:r>
      <w:r>
        <w:rPr>
          <w:color w:val="000000"/>
        </w:rPr>
        <w:t xml:space="preserve">. </w:t>
      </w:r>
    </w:p>
    <w:p>
      <w:pPr>
        <w:spacing w:after="240"/>
        <w:rPr>
          <w:color w:val="000000"/>
        </w:rPr>
      </w:pPr>
      <w:r>
        <w:rPr>
          <w:color w:val="000000"/>
        </w:rPr>
        <w:t xml:space="preserve">Pervin, N. and Mokhtar, M. (2022) “The Interpretivist Research Paradigm: A subjective notion of a social context,” </w:t>
      </w:r>
      <w:r>
        <w:rPr>
          <w:i/>
          <w:iCs/>
          <w:color w:val="000000"/>
        </w:rPr>
        <w:t>International Journal of Academic Research in Progressive Education and Development</w:t>
      </w:r>
      <w:r>
        <w:rPr>
          <w:color w:val="000000"/>
        </w:rPr>
        <w:t xml:space="preserve">, 11(2), pp. 419–428. Available at: </w:t>
      </w:r>
      <w:r>
        <w:rPr>
          <w:color w:val="000000"/>
          <w:u w:val="single"/>
        </w:rPr>
        <w:fldChar w:fldCharType="begin"/>
      </w:r>
      <w:r>
        <w:instrText>HYPERLINK "https://doi.org/10.6007/ijarped/v11-i2/12938"</w:instrText>
      </w:r>
      <w:r>
        <w:rPr>
          <w:color w:val="000000"/>
          <w:u w:val="single"/>
        </w:rPr>
        <w:fldChar w:fldCharType="separate"/>
      </w:r>
      <w:r>
        <w:rPr>
          <w:color w:val="000000"/>
          <w:u w:val="single"/>
        </w:rPr>
        <w:t>https://doi.org/10.6007/ijarped/v11-i2/12938</w:t>
      </w:r>
      <w:r>
        <w:rPr>
          <w:color w:val="000000"/>
          <w:u w:val="single"/>
        </w:rPr>
        <w:fldChar w:fldCharType="end"/>
      </w:r>
      <w:r>
        <w:rPr>
          <w:color w:val="000000"/>
        </w:rPr>
        <w:t xml:space="preserve"> </w:t>
      </w:r>
    </w:p>
    <w:p>
      <w:pPr>
        <w:spacing w:after="240"/>
        <w:rPr>
          <w:color w:val="000000"/>
        </w:rPr>
      </w:pPr>
      <w:r>
        <w:rPr>
          <w:color w:val="000000"/>
        </w:rPr>
        <w:t xml:space="preserve">Rakam, K., Dayanand, P. and Chepuri, S. (2025) ‘Early-onset coronary artery disease in young adults: A systematic review’, </w:t>
      </w:r>
      <w:r>
        <w:rPr>
          <w:i/>
          <w:iCs/>
          <w:color w:val="000000"/>
        </w:rPr>
        <w:t>European Journal of Cardiovascular Medicine</w:t>
      </w:r>
      <w:r>
        <w:rPr>
          <w:color w:val="000000"/>
        </w:rPr>
        <w:t xml:space="preserve">, 15, pp. 301–309. Available at: </w:t>
      </w:r>
      <w:r>
        <w:rPr>
          <w:color w:val="000000"/>
          <w:u w:val="single"/>
        </w:rPr>
        <w:fldChar w:fldCharType="begin"/>
      </w:r>
      <w:r>
        <w:instrText>HYPERLINK "https://doi.org/10.61336/ejcm/25-09-48"</w:instrText>
      </w:r>
      <w:r>
        <w:rPr>
          <w:color w:val="000000"/>
          <w:u w:val="single"/>
        </w:rPr>
        <w:fldChar w:fldCharType="separate"/>
      </w:r>
      <w:r>
        <w:rPr>
          <w:color w:val="000000"/>
          <w:u w:val="single"/>
        </w:rPr>
        <w:t>https://doi.org/10.61336/ejcm/25-09-48</w:t>
      </w:r>
      <w:r>
        <w:rPr>
          <w:color w:val="000000"/>
          <w:u w:val="single"/>
        </w:rPr>
        <w:fldChar w:fldCharType="end"/>
      </w:r>
      <w:r>
        <w:rPr>
          <w:color w:val="000000"/>
        </w:rPr>
        <w:t xml:space="preserve">. </w:t>
      </w:r>
    </w:p>
    <w:p>
      <w:pPr>
        <w:spacing w:after="240"/>
        <w:rPr>
          <w:color w:val="000000"/>
        </w:rPr>
      </w:pPr>
      <w:r>
        <w:rPr>
          <w:color w:val="000000"/>
        </w:rPr>
        <w:t xml:space="preserve">Shahjehan, R.D., Sharma, S., Dababneh, E. and Bhutta, B.S. (2026) </w:t>
      </w:r>
      <w:r>
        <w:rPr>
          <w:i/>
          <w:iCs/>
          <w:color w:val="000000"/>
        </w:rPr>
        <w:t>Coronary artery disease</w:t>
      </w:r>
      <w:r>
        <w:rPr>
          <w:color w:val="000000"/>
        </w:rPr>
        <w:t xml:space="preserve">, </w:t>
      </w:r>
      <w:r>
        <w:rPr>
          <w:i/>
          <w:iCs/>
          <w:color w:val="000000"/>
        </w:rPr>
        <w:t>PubMed</w:t>
      </w:r>
      <w:r>
        <w:rPr>
          <w:color w:val="000000"/>
        </w:rPr>
        <w:t xml:space="preserve">. Treasure Island (FL): StatPearls Publishing. Available at: </w:t>
      </w:r>
      <w:r>
        <w:rPr>
          <w:color w:val="000000"/>
          <w:u w:val="single"/>
        </w:rPr>
        <w:fldChar w:fldCharType="begin"/>
      </w:r>
      <w:r>
        <w:instrText>HYPERLINK "https://pubmed.ncbi.nlm.nih.gov/33231974/"</w:instrText>
      </w:r>
      <w:r>
        <w:rPr>
          <w:color w:val="000000"/>
          <w:u w:val="single"/>
        </w:rPr>
        <w:fldChar w:fldCharType="separate"/>
      </w:r>
      <w:r>
        <w:rPr>
          <w:color w:val="000000"/>
          <w:u w:val="single"/>
        </w:rPr>
        <w:t>https://pubmed.ncbi.nlm.nih.gov/33231974/</w:t>
      </w:r>
      <w:r>
        <w:rPr>
          <w:color w:val="000000"/>
          <w:u w:val="single"/>
        </w:rPr>
        <w:fldChar w:fldCharType="end"/>
      </w:r>
      <w:r>
        <w:rPr>
          <w:color w:val="000000"/>
        </w:rPr>
        <w:t xml:space="preserve"> (Accessed: 9 August 2026).</w:t>
      </w:r>
    </w:p>
    <w:p>
      <w:pPr>
        <w:spacing w:after="240"/>
        <w:rPr>
          <w:color w:val="000000"/>
        </w:rPr>
      </w:pPr>
      <w:r>
        <w:rPr>
          <w:color w:val="000000"/>
        </w:rPr>
        <w:t xml:space="preserve">Sun, S., Guo, R., Wang, Y., Jiao, L., Zhao, C., Qiao, S. and Wang, J. (2025) ‘Correlation analysis of electronic health literacy, compliance behaviour, and quality of life in middle-aged and older patients with coronary heart disease: A cross-sectional study’, </w:t>
      </w:r>
      <w:r>
        <w:rPr>
          <w:i/>
          <w:iCs/>
          <w:color w:val="000000"/>
        </w:rPr>
        <w:t>Frontiers in Public Health</w:t>
      </w:r>
      <w:r>
        <w:rPr>
          <w:color w:val="000000"/>
        </w:rPr>
        <w:t xml:space="preserve">, 13. Available at: </w:t>
      </w:r>
      <w:r>
        <w:rPr>
          <w:color w:val="000000"/>
          <w:u w:val="single"/>
        </w:rPr>
        <w:fldChar w:fldCharType="begin"/>
      </w:r>
      <w:r>
        <w:instrText>HYPERLINK "https://doi.org/10.3389/fpubh.2025.1680950"</w:instrText>
      </w:r>
      <w:r>
        <w:rPr>
          <w:color w:val="000000"/>
          <w:u w:val="single"/>
        </w:rPr>
        <w:fldChar w:fldCharType="separate"/>
      </w:r>
      <w:r>
        <w:rPr>
          <w:color w:val="000000"/>
          <w:u w:val="single"/>
        </w:rPr>
        <w:t>https://doi.org/10.3389/fpubh.2025.1680950</w:t>
      </w:r>
      <w:r>
        <w:rPr>
          <w:color w:val="000000"/>
          <w:u w:val="single"/>
        </w:rPr>
        <w:fldChar w:fldCharType="end"/>
      </w:r>
      <w:r>
        <w:rPr>
          <w:color w:val="000000"/>
        </w:rPr>
        <w:t xml:space="preserve">. </w:t>
      </w:r>
    </w:p>
    <w:p>
      <w:pPr>
        <w:spacing w:after="240"/>
        <w:rPr>
          <w:color w:val="000000"/>
        </w:rPr>
      </w:pPr>
      <w:r>
        <w:rPr>
          <w:color w:val="000000"/>
        </w:rPr>
        <w:t xml:space="preserve">Valgimigli, M., Landi, A., Angiolillo, D.J., Baber, U., Bhatt, D.L., Bonaca, M.P., Capodanno, D., Cohen, D.J., C. Michael Gibson, James, S., Kimura, T., Lopes, R. D, Mehta, S.R., Gilles Montalescot, Sibbing, D., P. Gabriel Steg, Stone, G.W., Storey, R.F., Pascal Vranckx, Windecker, S. and Mehran, R. (2024) ‘Demystifying the contemporary role of 12-Month dual antiplatelet therapy after acute coronary syndrome’, </w:t>
      </w:r>
      <w:r>
        <w:rPr>
          <w:i/>
          <w:iCs/>
          <w:color w:val="000000"/>
        </w:rPr>
        <w:t>Circulation</w:t>
      </w:r>
      <w:r>
        <w:rPr>
          <w:color w:val="000000"/>
        </w:rPr>
        <w:t xml:space="preserve">, 150(4), pp. 317–335. Available at: </w:t>
      </w:r>
      <w:r>
        <w:rPr>
          <w:color w:val="000000"/>
          <w:u w:val="single"/>
        </w:rPr>
        <w:fldChar w:fldCharType="begin"/>
      </w:r>
      <w:r>
        <w:instrText>HYPERLINK "https://doi.org/10.1161/circulationaha.124.069012"</w:instrText>
      </w:r>
      <w:r>
        <w:rPr>
          <w:color w:val="000000"/>
          <w:u w:val="single"/>
        </w:rPr>
        <w:fldChar w:fldCharType="separate"/>
      </w:r>
      <w:r>
        <w:rPr>
          <w:color w:val="000000"/>
          <w:u w:val="single"/>
        </w:rPr>
        <w:t>https://doi.org/10.1161/circulationaha.124.069012</w:t>
      </w:r>
      <w:r>
        <w:rPr>
          <w:color w:val="000000"/>
          <w:u w:val="single"/>
        </w:rPr>
        <w:fldChar w:fldCharType="end"/>
      </w:r>
      <w:r>
        <w:rPr>
          <w:color w:val="000000"/>
        </w:rPr>
        <w:t xml:space="preserve">. </w:t>
      </w:r>
    </w:p>
    <w:p>
      <w:pPr>
        <w:spacing w:after="240"/>
        <w:rPr>
          <w:color w:val="000000"/>
        </w:rPr>
      </w:pPr>
      <w:r>
        <w:rPr>
          <w:color w:val="000000"/>
        </w:rPr>
        <w:t xml:space="preserve">Wadhera, R.K., Dhruva, S.S., Bikdeli, B., Bonaca, M.P., Kittleson, M.M., Ko, D.T., Lu, Y., Pagidipati, N.J., Sawano, M., Spatz, E.S., Vaduganathan, M., Wasfy, J.H., Yong, C.M., Yang, H., Zheng, Z., Krumholz, H.M. and Curtis, L.H. (2026) ‘Cardiovascular statistics in the United States, 2026’, </w:t>
      </w:r>
      <w:r>
        <w:rPr>
          <w:i/>
          <w:iCs/>
          <w:color w:val="000000"/>
        </w:rPr>
        <w:t>JACC</w:t>
      </w:r>
      <w:r>
        <w:rPr>
          <w:color w:val="000000"/>
        </w:rPr>
        <w:t xml:space="preserve"> [Preprint]. Available at: </w:t>
      </w:r>
      <w:r>
        <w:rPr>
          <w:color w:val="000000"/>
          <w:u w:val="single"/>
        </w:rPr>
        <w:fldChar w:fldCharType="begin"/>
      </w:r>
      <w:r>
        <w:instrText>HYPERLINK "https://doi.org/10.1016/j.jacc.2025.12.027"</w:instrText>
      </w:r>
      <w:r>
        <w:rPr>
          <w:color w:val="000000"/>
          <w:u w:val="single"/>
        </w:rPr>
        <w:fldChar w:fldCharType="separate"/>
      </w:r>
      <w:r>
        <w:rPr>
          <w:color w:val="000000"/>
          <w:u w:val="single"/>
        </w:rPr>
        <w:t>https://doi.org/10.1016/j.jacc.2025.12.027</w:t>
      </w:r>
      <w:r>
        <w:rPr>
          <w:color w:val="000000"/>
          <w:u w:val="single"/>
        </w:rPr>
        <w:fldChar w:fldCharType="end"/>
      </w:r>
      <w:r>
        <w:rPr>
          <w:color w:val="000000"/>
        </w:rPr>
        <w:t xml:space="preserve">. </w:t>
      </w:r>
    </w:p>
    <w:p>
      <w:pPr>
        <w:spacing w:after="240"/>
        <w:rPr>
          <w:color w:val="000000"/>
        </w:rPr>
      </w:pPr>
      <w:r>
        <w:rPr>
          <w:color w:val="000000"/>
        </w:rPr>
        <w:t xml:space="preserve">Wager, E. and Wiffen, P.J. (2011) ‘Ethical issues in preparing and publishing systematic reviews’, </w:t>
      </w:r>
      <w:r>
        <w:rPr>
          <w:i/>
          <w:iCs/>
          <w:color w:val="000000"/>
        </w:rPr>
        <w:t>Journal of Evidence-Based Medicine</w:t>
      </w:r>
      <w:r>
        <w:rPr>
          <w:color w:val="000000"/>
        </w:rPr>
        <w:t xml:space="preserve">, 4(2), pp. 130–134. Available at: </w:t>
      </w:r>
      <w:r>
        <w:rPr>
          <w:color w:val="000000"/>
          <w:u w:val="single"/>
        </w:rPr>
        <w:fldChar w:fldCharType="begin"/>
      </w:r>
      <w:r>
        <w:instrText>HYPERLINK "https://doi.org/10.1111/j.1756-5391.2011.01122.x"</w:instrText>
      </w:r>
      <w:r>
        <w:rPr>
          <w:color w:val="000000"/>
          <w:u w:val="single"/>
        </w:rPr>
        <w:fldChar w:fldCharType="separate"/>
      </w:r>
      <w:r>
        <w:rPr>
          <w:color w:val="000000"/>
          <w:u w:val="single"/>
        </w:rPr>
        <w:t>https://doi.org/10.1111/j.1756-5391.2011.01122.x</w:t>
      </w:r>
      <w:r>
        <w:rPr>
          <w:color w:val="000000"/>
          <w:u w:val="single"/>
        </w:rPr>
        <w:fldChar w:fldCharType="end"/>
      </w:r>
      <w:r>
        <w:rPr>
          <w:color w:val="000000"/>
        </w:rPr>
        <w:t xml:space="preserve">. </w:t>
      </w:r>
    </w:p>
    <w:p>
      <w:pPr>
        <w:spacing w:after="240"/>
        <w:rPr>
          <w:color w:val="000000"/>
        </w:rPr>
      </w:pPr>
      <w:r>
        <w:rPr>
          <w:color w:val="000000"/>
        </w:rPr>
        <w:t xml:space="preserve">World Health Organization (2025) </w:t>
      </w:r>
      <w:r>
        <w:rPr>
          <w:i/>
          <w:iCs/>
          <w:color w:val="000000"/>
        </w:rPr>
        <w:t>Cardiovascular diseases (CVDs)</w:t>
      </w:r>
      <w:r>
        <w:rPr>
          <w:color w:val="000000"/>
        </w:rPr>
        <w:t xml:space="preserve">, </w:t>
      </w:r>
      <w:r>
        <w:rPr>
          <w:i/>
          <w:iCs/>
          <w:color w:val="000000"/>
        </w:rPr>
        <w:t xml:space="preserve">World Health Organization </w:t>
      </w:r>
      <w:r>
        <w:rPr>
          <w:color w:val="000000"/>
        </w:rPr>
        <w:t xml:space="preserve">. Available at: </w:t>
      </w:r>
      <w:r>
        <w:rPr>
          <w:color w:val="000000"/>
          <w:u w:val="single"/>
        </w:rPr>
        <w:fldChar w:fldCharType="begin"/>
      </w:r>
      <w:r>
        <w:instrText>HYPERLINK "https://www.who.int/news-room/fact-sheets/detail/cardiovascular-diseases-(cvds)"</w:instrText>
      </w:r>
      <w:r>
        <w:rPr>
          <w:color w:val="000000"/>
          <w:u w:val="single"/>
        </w:rPr>
        <w:fldChar w:fldCharType="separate"/>
      </w:r>
      <w:r>
        <w:rPr>
          <w:color w:val="000000"/>
          <w:u w:val="single"/>
        </w:rPr>
        <w:t>https://www.who.int/news-room/fact-sheets/detail/cardiovascular-diseases-(cvds)</w:t>
      </w:r>
      <w:r>
        <w:rPr>
          <w:color w:val="000000"/>
          <w:u w:val="single"/>
        </w:rPr>
        <w:fldChar w:fldCharType="end"/>
      </w:r>
      <w:r>
        <w:rPr>
          <w:color w:val="000000"/>
        </w:rPr>
        <w:t xml:space="preserve"> (Accessed: 9 August 2026).</w:t>
      </w:r>
    </w:p>
    <w:p>
      <w:pPr>
        <w:spacing w:after="240"/>
        <w:rPr>
          <w:color w:val="000000"/>
        </w:rPr>
      </w:pPr>
      <w:r>
        <w:rPr>
          <w:color w:val="000000"/>
        </w:rPr>
        <w:t xml:space="preserve">Zaheen, M., Pender, P., Dang, Q.M., Sinha, E., James, Chow, C.K. and Zaman, S. (2025) ‘Myocardial infarction in the young: Aetiology, emerging risk factors, and the role of novel biomarkers’, </w:t>
      </w:r>
      <w:r>
        <w:rPr>
          <w:i/>
          <w:iCs/>
          <w:color w:val="000000"/>
        </w:rPr>
        <w:t>Journal of Cardiovascular Development and Disease</w:t>
      </w:r>
      <w:r>
        <w:rPr>
          <w:color w:val="000000"/>
        </w:rPr>
        <w:t xml:space="preserve">, 12(4), pp. 148–148. Available at: </w:t>
      </w:r>
      <w:r>
        <w:rPr>
          <w:color w:val="000000"/>
          <w:u w:val="single"/>
        </w:rPr>
        <w:fldChar w:fldCharType="begin"/>
      </w:r>
      <w:r>
        <w:instrText>HYPERLINK "https://doi.org/10.3390/jcdd12040148"</w:instrText>
      </w:r>
      <w:r>
        <w:rPr>
          <w:color w:val="000000"/>
          <w:u w:val="single"/>
        </w:rPr>
        <w:fldChar w:fldCharType="separate"/>
      </w:r>
      <w:r>
        <w:rPr>
          <w:color w:val="000000"/>
          <w:u w:val="single"/>
        </w:rPr>
        <w:t>https://doi.org/10.3390/jcdd12040148</w:t>
      </w:r>
      <w:r>
        <w:rPr>
          <w:color w:val="000000"/>
          <w:u w:val="single"/>
        </w:rPr>
        <w:fldChar w:fldCharType="end"/>
      </w:r>
      <w:r>
        <w:rPr>
          <w:color w:val="000000"/>
        </w:rPr>
        <w:t xml:space="preserve">. </w:t>
      </w:r>
    </w:p>
    <w:sectPr>
      <w:footerReference w:type="default" r:id="rId2"/>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titlePg/>
      <w:docGrid w:linePitch="326" w:charSpace="0"/>
    </w:sectPr>
  </w:body>
</w:document>
</file>

<file path=word/fontTable.xml><?xml version="1.0" encoding="utf-8"?>
<w:fonts xmlns:w="http://schemas.openxmlformats.org/wordprocessingml/2006/main" xmlns:r="http://schemas.openxmlformats.org/officeDocument/2006/relationships">
  <w:font w:name="Cambria">
    <w:panose1 w:val="02040503050406030204"/>
    <w:charset w:val="00"/>
    <w:family w:val="roman"/>
    <w:pitch w:val="variable"/>
    <w:sig w:usb0="E00006FF" w:usb1="420024FF" w:usb2="02000000" w:usb3="00000000" w:csb0="0000019F" w:csb1="00000000"/>
  </w:font>
  <w:font w:name="宋体">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p>
    <w:pPr>
      <w:tabs>
        <w:tab w:val="center" w:pos="4513"/>
        <w:tab w:val="right" w:pos="9026"/>
      </w:tabs>
      <w:spacing w:after="0" w:line="240" w:lineRule="auto"/>
      <w:rPr>
        <w:color w:val="000000"/>
      </w:rPr>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6384781B"/>
    <w:multiLevelType w:val="multilevel"/>
    <w:tmpl w:val="DB86415A"/>
    <w:lvl w:ilvl="0">
      <w:start w:val="1"/>
      <w:numFmt w:val="decimal"/>
      <w:lvlRestart w:val="0"/>
      <w:lvlText w:val="%1."/>
      <w:lvlJc w:val="left"/>
      <w:pPr>
        <w:tabs>
          <w:tab w:val="num" w:pos="0"/>
        </w:tabs>
        <w:ind w:left="0" w:hanging="0"/>
      </w:pPr>
    </w:lvl>
    <w:lvl w:ilvl="1">
      <w:start w:val="1"/>
      <w:numFmt w:val="bullet"/>
      <w:lvlJc w:val="left"/>
      <w:pPr>
        <w:tabs>
          <w:tab w:val="num" w:pos="0"/>
        </w:tabs>
        <w:ind w:left="0" w:hanging="0"/>
      </w:pPr>
    </w:lvl>
    <w:lvl w:ilvl="2">
      <w:start w:val="1"/>
      <w:numFmt w:val="bullet"/>
      <w:lvlJc w:val="left"/>
      <w:pPr>
        <w:tabs>
          <w:tab w:val="num" w:pos="0"/>
        </w:tabs>
        <w:ind w:left="0" w:hanging="0"/>
      </w:pPr>
    </w:lvl>
    <w:lvl w:ilvl="3">
      <w:start w:val="1"/>
      <w:numFmt w:val="bullet"/>
      <w:lvlJc w:val="left"/>
      <w:pPr>
        <w:tabs>
          <w:tab w:val="num" w:pos="0"/>
        </w:tabs>
        <w:ind w:left="0" w:hanging="0"/>
      </w:pPr>
    </w:lvl>
    <w:lvl w:ilvl="4">
      <w:start w:val="1"/>
      <w:numFmt w:val="bullet"/>
      <w:lvlJc w:val="left"/>
      <w:pPr>
        <w:tabs>
          <w:tab w:val="num" w:pos="0"/>
        </w:tabs>
        <w:ind w:left="0" w:hanging="0"/>
      </w:pPr>
    </w:lvl>
    <w:lvl w:ilvl="5">
      <w:start w:val="1"/>
      <w:numFmt w:val="bullet"/>
      <w:lvlJc w:val="left"/>
      <w:pPr>
        <w:tabs>
          <w:tab w:val="num" w:pos="0"/>
        </w:tabs>
        <w:ind w:left="0" w:hanging="0"/>
      </w:pPr>
    </w:lvl>
    <w:lvl w:ilvl="6">
      <w:start w:val="1"/>
      <w:numFmt w:val="bullet"/>
      <w:lvlJc w:val="left"/>
      <w:pPr>
        <w:tabs>
          <w:tab w:val="num" w:pos="0"/>
        </w:tabs>
        <w:ind w:left="0" w:hanging="0"/>
      </w:pPr>
    </w:lvl>
    <w:lvl w:ilvl="7">
      <w:start w:val="1"/>
      <w:numFmt w:val="bullet"/>
      <w:lvlJc w:val="left"/>
      <w:pPr>
        <w:tabs>
          <w:tab w:val="num" w:pos="0"/>
        </w:tabs>
        <w:ind w:left="0" w:hanging="0"/>
      </w:pPr>
    </w:lvl>
    <w:lvl w:ilvl="8">
      <w:start w:val="1"/>
      <w:numFmt w:val="bullet"/>
      <w:lvlJc w:val="left"/>
      <w:pPr>
        <w:tabs>
          <w:tab w:val="num" w:pos="0"/>
        </w:tabs>
        <w:ind w:left="0" w:hanging="0"/>
      </w:pPr>
    </w:lvl>
  </w:abstractNum>
  <w:abstractNum w:abstractNumId="1">
    <w:nsid w:val="028721D4"/>
    <w:multiLevelType w:val="multilevel"/>
    <w:tmpl w:val="03D676B6"/>
    <w:lvl w:ilvl="0">
      <w:start w:val="1"/>
      <w:numFmt w:val="decimal"/>
      <w:lvlRestart w:val="0"/>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num w:numId="1">
    <w:abstractNumId w:val="0"/>
  </w:num>
  <w:num w:numId="2">
    <w:abstractNumId w:val="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200" w:line="360" w:lineRule="auto"/>
      <w:jc w:val="both"/>
    </w:pPr>
    <w:rPr>
      <w:rFonts w:ascii="Times New Roman" w:eastAsia="Times New Roman" w:cs="Times New Roman" w:hAnsi="Times New Roman"/>
      <w:sz w:val="24"/>
      <w:szCs w:val="24"/>
      <w:lang w:val="en-GB" w:eastAsia="en-IN" w:bidi="ar-SA"/>
    </w:rPr>
  </w:style>
  <w:style w:type="paragraph" w:styleId="1">
    <w:name w:val="heading 1"/>
    <w:basedOn w:val="0"/>
    <w:next w:val="0"/>
    <w:pPr>
      <w:keepNext/>
      <w:keepLines/>
      <w:spacing w:after="0"/>
      <w:outlineLvl w:val="0"/>
    </w:pPr>
    <w:rPr>
      <w:b/>
      <w:bCs/>
    </w:rPr>
  </w:style>
  <w:style w:type="paragraph" w:styleId="2">
    <w:name w:val="heading 2"/>
    <w:basedOn w:val="0"/>
    <w:next w:val="0"/>
    <w:pPr>
      <w:keepNext/>
      <w:keepLines/>
      <w:spacing w:after="0"/>
      <w:outlineLvl w:val="1"/>
    </w:pPr>
    <w:rPr>
      <w:b/>
      <w:bCs/>
    </w:rPr>
  </w:style>
  <w:style w:type="paragraph" w:styleId="3">
    <w:name w:val="heading 3"/>
    <w:basedOn w:val="0"/>
    <w:next w:val="0"/>
    <w:pPr>
      <w:keepNext/>
      <w:keepLines/>
      <w:outlineLvl w:val="2"/>
    </w:pPr>
    <w:rPr>
      <w:b/>
      <w:bCs/>
      <w:i/>
      <w:iCs/>
    </w:rPr>
  </w:style>
  <w:style w:type="paragraph" w:styleId="4">
    <w:name w:val="heading 4"/>
    <w:basedOn w:val="0"/>
    <w:next w:val="0"/>
    <w:pPr>
      <w:keepNext/>
      <w:keepLines/>
      <w:spacing w:before="280" w:after="80"/>
      <w:outlineLvl w:val="3"/>
    </w:pPr>
    <w:rPr>
      <w:color w:val="666666"/>
    </w:rPr>
  </w:style>
  <w:style w:type="paragraph" w:styleId="5">
    <w:name w:val="heading 5"/>
    <w:basedOn w:val="0"/>
    <w:next w:val="0"/>
    <w:pPr>
      <w:keepNext/>
      <w:keepLines/>
      <w:spacing w:before="240" w:after="80"/>
      <w:outlineLvl w:val="4"/>
    </w:pPr>
    <w:rPr>
      <w:color w:val="666666"/>
      <w:sz w:val="22"/>
      <w:szCs w:val="22"/>
    </w:rPr>
  </w:style>
  <w:style w:type="paragraph" w:styleId="6">
    <w:name w:val="heading 6"/>
    <w:basedOn w:val="0"/>
    <w:next w:val="0"/>
    <w:pPr>
      <w:keepNext/>
      <w:keepLines/>
      <w:spacing w:before="240" w:after="80"/>
      <w:outlineLvl w:val="5"/>
    </w:pPr>
    <w:rPr>
      <w:i/>
      <w:iCs/>
      <w:color w:val="666666"/>
      <w:sz w:val="22"/>
      <w:szCs w:val="22"/>
    </w:rPr>
  </w:style>
  <w:style w:type="character" w:default="1" w:styleId="10">
    <w:name w:val="Default Paragraph Font"/>
  </w:style>
  <w:style w:type="paragraph" w:styleId="15">
    <w:name w:val="Title"/>
    <w:basedOn w:val="0"/>
    <w:next w:val="0"/>
    <w:pPr>
      <w:keepNext/>
      <w:keepLines/>
      <w:spacing w:after="60"/>
    </w:pPr>
    <w:rPr>
      <w:sz w:val="52"/>
      <w:szCs w:val="52"/>
    </w:rPr>
  </w:style>
  <w:style w:type="character" w:styleId="16">
    <w:name w:val="Hyperlink"/>
    <w:basedOn w:val="10"/>
    <w:rPr>
      <w:color w:val="0000FF"/>
      <w:u w:val="single"/>
    </w:rPr>
  </w:style>
  <w:style w:type="paragraph" w:styleId="17">
    <w:name w:val="toc 1"/>
    <w:basedOn w:val="0"/>
    <w:autoRedefine/>
    <w:next w:val="0"/>
    <w:pPr>
      <w:spacing w:after="100"/>
    </w:pPr>
  </w:style>
  <w:style w:type="paragraph" w:styleId="18">
    <w:name w:val="toc 2"/>
    <w:basedOn w:val="0"/>
    <w:autoRedefine/>
    <w:next w:val="0"/>
    <w:pPr>
      <w:spacing w:after="100"/>
      <w:ind w:left="240"/>
    </w:pPr>
  </w:style>
  <w:style w:type="paragraph" w:customStyle="1" w:styleId="19">
    <w:name w:val="TOC Heading1"/>
    <w:basedOn w:val="1"/>
    <w:next w:val="0"/>
    <w:pPr>
      <w:spacing w:before="240" w:line="259" w:lineRule="auto"/>
      <w:jc w:val="left"/>
      <w:outlineLvl w:val="9"/>
    </w:pPr>
    <w:rPr>
      <w:rFonts w:ascii="Calibri" w:eastAsia="宋体" w:cs="Times New Roman" w:hAnsi="Calibri"/>
      <w:b w:val="0"/>
      <w:bCs w:val="0"/>
      <w:color w:val="365F91"/>
      <w:sz w:val="32"/>
      <w:szCs w:val="32"/>
      <w:lang w:val="en-US" w:eastAsia="en-US"/>
    </w:rPr>
  </w:style>
  <w:style w:type="character" w:customStyle="1" w:styleId="20">
    <w:name w:val="Unresolved Mention1"/>
    <w:basedOn w:val="10"/>
    <w:rPr>
      <w:color w:val="605E5C"/>
      <w:shd w:val="clear" w:color="auto" w:fill="E1DFDD"/>
    </w:rPr>
  </w:style>
  <w:style w:type="paragraph" w:styleId="21">
    <w:name w:val="Subtitle"/>
    <w:basedOn w:val="0"/>
    <w:next w:val="0"/>
    <w:pPr>
      <w:keepNext/>
      <w:keepLines/>
      <w:spacing w:after="320"/>
    </w:pPr>
    <w:rPr>
      <w:rFonts w:ascii="Arial" w:eastAsia="Arial" w:cs="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2</TotalTime>
  <Application>Yozo_Office</Application>
  <Pages>22</Pages>
  <Words>3907</Words>
  <Characters>23459</Characters>
  <Lines>541</Lines>
  <Paragraphs>177</Paragraphs>
  <CharactersWithSpaces>27162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tarak</dc:creator>
  <cp:lastModifiedBy>vivo user</cp:lastModifiedBy>
  <cp:revision>5</cp:revision>
  <dcterms:created xsi:type="dcterms:W3CDTF">2026-08-08T19:34:00Z</dcterms:created>
  <dcterms:modified xsi:type="dcterms:W3CDTF">2026-08-17T15:26:43Z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1033-12.1.0.28032</vt:lpwstr>
  </property>
  <property fmtid="{D5CDD505-2E9C-101B-9397-08002B2CF9AE}" pid="4" name="ICV">
    <vt:lpwstr>D423F41FA3EC405CAC924D92056E9E61_12</vt:lpwstr>
  </property>
</Properties>
</file>