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5C372" w14:textId="77777777" w:rsidR="00702336" w:rsidRDefault="00702336">
      <w:pPr>
        <w:pStyle w:val="Title"/>
        <w:rPr>
          <w:lang w:val="en-GB"/>
        </w:rPr>
      </w:pPr>
      <w:bookmarkStart w:id="0" w:name="_dhudzo204tav" w:colFirst="0" w:colLast="0"/>
      <w:bookmarkEnd w:id="0"/>
    </w:p>
    <w:p w14:paraId="775B67A8" w14:textId="77777777" w:rsidR="009B427F" w:rsidRDefault="009B427F" w:rsidP="009B427F">
      <w:pPr>
        <w:rPr>
          <w:lang w:val="en-GB"/>
        </w:rPr>
      </w:pPr>
    </w:p>
    <w:p w14:paraId="2A7A29B0" w14:textId="77777777" w:rsidR="009B427F" w:rsidRDefault="009B427F" w:rsidP="009B427F">
      <w:pPr>
        <w:rPr>
          <w:lang w:val="en-GB"/>
        </w:rPr>
      </w:pPr>
    </w:p>
    <w:p w14:paraId="695AC921" w14:textId="77777777" w:rsidR="009B427F" w:rsidRDefault="009B427F" w:rsidP="009B427F">
      <w:pPr>
        <w:rPr>
          <w:lang w:val="en-GB"/>
        </w:rPr>
      </w:pPr>
    </w:p>
    <w:p w14:paraId="4F7CCC9F" w14:textId="77777777" w:rsidR="009B427F" w:rsidRPr="009B427F" w:rsidRDefault="009B427F" w:rsidP="009B427F">
      <w:pPr>
        <w:rPr>
          <w:lang w:val="en-GB"/>
        </w:rPr>
      </w:pPr>
    </w:p>
    <w:p w14:paraId="1D282AE4" w14:textId="77777777" w:rsidR="009B427F" w:rsidRPr="009B427F" w:rsidRDefault="009B427F" w:rsidP="009B427F">
      <w:pPr>
        <w:pStyle w:val="Title"/>
        <w:rPr>
          <w:sz w:val="44"/>
          <w:szCs w:val="44"/>
          <w:lang w:val="en-GB"/>
        </w:rPr>
      </w:pPr>
      <w:bookmarkStart w:id="1" w:name="_726al1jw82i" w:colFirst="0" w:colLast="0"/>
      <w:bookmarkStart w:id="2" w:name="_xi0gjn3n04kr" w:colFirst="0" w:colLast="0"/>
      <w:bookmarkEnd w:id="1"/>
      <w:bookmarkEnd w:id="2"/>
      <w:r w:rsidRPr="009B427F">
        <w:rPr>
          <w:sz w:val="44"/>
          <w:szCs w:val="44"/>
          <w:lang w:val="en-GB"/>
        </w:rPr>
        <w:t>CORPORATE FINANCE</w:t>
      </w:r>
    </w:p>
    <w:p w14:paraId="5BA3071D" w14:textId="77777777" w:rsidR="00702336" w:rsidRDefault="00702336">
      <w:pPr>
        <w:pStyle w:val="Title"/>
        <w:rPr>
          <w:lang w:val="en-GB"/>
        </w:rPr>
      </w:pPr>
    </w:p>
    <w:p w14:paraId="1A1FD476" w14:textId="77777777" w:rsidR="009B427F" w:rsidRDefault="009B427F" w:rsidP="009B427F">
      <w:pPr>
        <w:rPr>
          <w:lang w:val="en-GB"/>
        </w:rPr>
      </w:pPr>
    </w:p>
    <w:p w14:paraId="2C7B9A0F" w14:textId="77777777" w:rsidR="009B427F" w:rsidRDefault="009B427F" w:rsidP="009B427F">
      <w:pPr>
        <w:rPr>
          <w:lang w:val="en-GB"/>
        </w:rPr>
      </w:pPr>
    </w:p>
    <w:p w14:paraId="3F7579A9" w14:textId="77777777" w:rsidR="009B427F" w:rsidRPr="009B427F" w:rsidRDefault="009B427F" w:rsidP="009B427F">
      <w:pPr>
        <w:rPr>
          <w:lang w:val="en-GB"/>
        </w:rPr>
      </w:pPr>
    </w:p>
    <w:p w14:paraId="1B285E4B" w14:textId="0D7585FA" w:rsidR="00702336" w:rsidRPr="009B427F" w:rsidRDefault="009B427F" w:rsidP="009B427F">
      <w:pPr>
        <w:pStyle w:val="Title"/>
        <w:rPr>
          <w:sz w:val="36"/>
          <w:szCs w:val="36"/>
          <w:lang w:val="en-GB"/>
        </w:rPr>
      </w:pPr>
      <w:bookmarkStart w:id="3" w:name="_bck0vrx8qnyv" w:colFirst="0" w:colLast="0"/>
      <w:bookmarkEnd w:id="3"/>
      <w:r w:rsidRPr="009B427F">
        <w:rPr>
          <w:sz w:val="36"/>
          <w:szCs w:val="36"/>
          <w:lang w:val="en-GB"/>
        </w:rPr>
        <w:t xml:space="preserve">University Of Wales Trinity St David </w:t>
      </w:r>
      <w:bookmarkStart w:id="4" w:name="_7whhb09o3051" w:colFirst="0" w:colLast="0"/>
      <w:bookmarkStart w:id="5" w:name="_trsrx3dg2myp" w:colFirst="0" w:colLast="0"/>
      <w:bookmarkEnd w:id="4"/>
      <w:bookmarkEnd w:id="5"/>
    </w:p>
    <w:p w14:paraId="76B628DA" w14:textId="77777777" w:rsidR="00702336" w:rsidRPr="00400689" w:rsidRDefault="00702336">
      <w:pPr>
        <w:pStyle w:val="Title"/>
        <w:rPr>
          <w:lang w:val="en-GB"/>
        </w:rPr>
      </w:pPr>
      <w:bookmarkStart w:id="6" w:name="_dp5aveth06eu" w:colFirst="0" w:colLast="0"/>
      <w:bookmarkEnd w:id="6"/>
    </w:p>
    <w:p w14:paraId="492A12AB" w14:textId="70A18C9A" w:rsidR="007E19F3" w:rsidRDefault="007E19F3" w:rsidP="007E19F3">
      <w:pPr>
        <w:rPr>
          <w:lang w:val="en-GB"/>
        </w:rPr>
      </w:pPr>
      <w:bookmarkStart w:id="7" w:name="_8x5nvcx24nvf" w:colFirst="0" w:colLast="0"/>
      <w:bookmarkEnd w:id="7"/>
    </w:p>
    <w:p w14:paraId="77E3045C" w14:textId="77777777" w:rsidR="009B427F" w:rsidRDefault="009B427F" w:rsidP="007E19F3">
      <w:pPr>
        <w:rPr>
          <w:lang w:val="en-GB"/>
        </w:rPr>
      </w:pPr>
    </w:p>
    <w:p w14:paraId="4BEC1CBD" w14:textId="77777777" w:rsidR="009B427F" w:rsidRPr="009B427F" w:rsidRDefault="009B427F" w:rsidP="009B427F">
      <w:pPr>
        <w:pStyle w:val="Title"/>
        <w:rPr>
          <w:b w:val="0"/>
          <w:bCs/>
          <w:sz w:val="30"/>
          <w:szCs w:val="30"/>
          <w:lang w:val="en-GB"/>
        </w:rPr>
      </w:pPr>
      <w:r w:rsidRPr="009B427F">
        <w:rPr>
          <w:b w:val="0"/>
          <w:bCs/>
          <w:sz w:val="30"/>
          <w:szCs w:val="30"/>
          <w:lang w:val="en-GB"/>
        </w:rPr>
        <w:t>Name: - Jainam Dhrangadhariya</w:t>
      </w:r>
    </w:p>
    <w:p w14:paraId="3C175414" w14:textId="77777777" w:rsidR="009B427F" w:rsidRPr="009B427F" w:rsidRDefault="009B427F" w:rsidP="009B427F">
      <w:pPr>
        <w:pStyle w:val="Title"/>
        <w:rPr>
          <w:b w:val="0"/>
          <w:bCs/>
          <w:sz w:val="30"/>
          <w:szCs w:val="30"/>
          <w:lang w:val="en-GB"/>
        </w:rPr>
      </w:pPr>
      <w:bookmarkStart w:id="8" w:name="_qaitw7d7whcu" w:colFirst="0" w:colLast="0"/>
      <w:bookmarkEnd w:id="8"/>
      <w:r w:rsidRPr="009B427F">
        <w:rPr>
          <w:b w:val="0"/>
          <w:bCs/>
          <w:sz w:val="30"/>
          <w:szCs w:val="30"/>
          <w:lang w:val="en-GB"/>
        </w:rPr>
        <w:t xml:space="preserve">Student No: - 2240913 </w:t>
      </w:r>
    </w:p>
    <w:p w14:paraId="25AE576A" w14:textId="77777777" w:rsidR="009B427F" w:rsidRDefault="009B427F" w:rsidP="007E19F3">
      <w:pPr>
        <w:rPr>
          <w:lang w:val="en-GB"/>
        </w:rPr>
      </w:pPr>
    </w:p>
    <w:p w14:paraId="6AF7C0E0" w14:textId="77777777" w:rsidR="009B427F" w:rsidRDefault="009B427F" w:rsidP="007E19F3">
      <w:pPr>
        <w:rPr>
          <w:lang w:val="en-GB"/>
        </w:rPr>
      </w:pPr>
    </w:p>
    <w:p w14:paraId="08B719A7" w14:textId="77777777" w:rsidR="009B427F" w:rsidRDefault="009B427F" w:rsidP="007E19F3">
      <w:pPr>
        <w:rPr>
          <w:lang w:val="en-GB"/>
        </w:rPr>
      </w:pPr>
    </w:p>
    <w:p w14:paraId="3EC2A2CB" w14:textId="77777777" w:rsidR="009B427F" w:rsidRPr="00400689" w:rsidRDefault="009B427F" w:rsidP="007E19F3">
      <w:pPr>
        <w:rPr>
          <w:sz w:val="32"/>
          <w:szCs w:val="32"/>
          <w:lang w:val="en-GB"/>
        </w:rPr>
      </w:pPr>
    </w:p>
    <w:sdt>
      <w:sdtPr>
        <w:rPr>
          <w:rFonts w:ascii="Times New Roman" w:eastAsia="Times New Roman" w:hAnsi="Times New Roman" w:cs="Times New Roman"/>
          <w:b w:val="0"/>
          <w:bCs w:val="0"/>
          <w:color w:val="auto"/>
          <w:sz w:val="24"/>
          <w:szCs w:val="24"/>
          <w:lang w:val="en-GB" w:eastAsia="en-IN"/>
        </w:rPr>
        <w:id w:val="-1969041243"/>
        <w:docPartObj>
          <w:docPartGallery w:val="Table of Contents"/>
          <w:docPartUnique/>
        </w:docPartObj>
      </w:sdtPr>
      <w:sdtEndPr>
        <w:rPr>
          <w:noProof/>
        </w:rPr>
      </w:sdtEndPr>
      <w:sdtContent>
        <w:p w14:paraId="6E1B0648" w14:textId="77777777" w:rsidR="007E19F3" w:rsidRPr="00400689" w:rsidRDefault="007E19F3" w:rsidP="007E19F3">
          <w:pPr>
            <w:pStyle w:val="TOCHeading"/>
            <w:spacing w:line="240" w:lineRule="auto"/>
            <w:jc w:val="center"/>
            <w:rPr>
              <w:rFonts w:ascii="Times New Roman" w:hAnsi="Times New Roman" w:cs="Times New Roman"/>
              <w:color w:val="auto"/>
              <w:lang w:val="en-GB"/>
            </w:rPr>
          </w:pPr>
          <w:r w:rsidRPr="00400689">
            <w:rPr>
              <w:rFonts w:ascii="Times New Roman" w:hAnsi="Times New Roman" w:cs="Times New Roman"/>
              <w:color w:val="auto"/>
              <w:lang w:val="en-GB"/>
            </w:rPr>
            <w:t>Table of Contents</w:t>
          </w:r>
        </w:p>
        <w:p w14:paraId="52368135" w14:textId="7E12D153" w:rsidR="00F04B38" w:rsidRDefault="007E19F3">
          <w:pPr>
            <w:pStyle w:val="TOC1"/>
            <w:tabs>
              <w:tab w:val="right" w:leader="dot" w:pos="9350"/>
            </w:tabs>
            <w:rPr>
              <w:rFonts w:asciiTheme="minorHAnsi" w:eastAsiaTheme="minorEastAsia" w:hAnsiTheme="minorHAnsi" w:cstheme="minorBidi"/>
              <w:noProof/>
              <w:kern w:val="2"/>
              <w:sz w:val="22"/>
              <w:szCs w:val="22"/>
              <w14:ligatures w14:val="standardContextual"/>
            </w:rPr>
          </w:pPr>
          <w:r w:rsidRPr="00400689">
            <w:rPr>
              <w:lang w:val="en-GB"/>
            </w:rPr>
            <w:fldChar w:fldCharType="begin"/>
          </w:r>
          <w:r w:rsidRPr="00400689">
            <w:rPr>
              <w:lang w:val="en-GB"/>
            </w:rPr>
            <w:instrText xml:space="preserve"> TOC \o "1-3" \h \z \u </w:instrText>
          </w:r>
          <w:r w:rsidRPr="00400689">
            <w:rPr>
              <w:lang w:val="en-GB"/>
            </w:rPr>
            <w:fldChar w:fldCharType="separate"/>
          </w:r>
          <w:hyperlink w:anchor="_Toc151381444" w:history="1">
            <w:r w:rsidR="00F04B38" w:rsidRPr="00EF3D75">
              <w:rPr>
                <w:rStyle w:val="Hyperlink"/>
                <w:noProof/>
                <w:lang w:val="en-GB"/>
              </w:rPr>
              <w:t>1. Introduction</w:t>
            </w:r>
            <w:r w:rsidR="00F04B38">
              <w:rPr>
                <w:noProof/>
                <w:webHidden/>
              </w:rPr>
              <w:tab/>
            </w:r>
            <w:r w:rsidR="00F04B38">
              <w:rPr>
                <w:noProof/>
                <w:webHidden/>
              </w:rPr>
              <w:fldChar w:fldCharType="begin"/>
            </w:r>
            <w:r w:rsidR="00F04B38">
              <w:rPr>
                <w:noProof/>
                <w:webHidden/>
              </w:rPr>
              <w:instrText xml:space="preserve"> PAGEREF _Toc151381444 \h </w:instrText>
            </w:r>
            <w:r w:rsidR="00F04B38">
              <w:rPr>
                <w:noProof/>
                <w:webHidden/>
              </w:rPr>
            </w:r>
            <w:r w:rsidR="00F04B38">
              <w:rPr>
                <w:noProof/>
                <w:webHidden/>
              </w:rPr>
              <w:fldChar w:fldCharType="separate"/>
            </w:r>
            <w:r w:rsidR="00F04B38">
              <w:rPr>
                <w:noProof/>
                <w:webHidden/>
              </w:rPr>
              <w:t>6</w:t>
            </w:r>
            <w:r w:rsidR="00F04B38">
              <w:rPr>
                <w:noProof/>
                <w:webHidden/>
              </w:rPr>
              <w:fldChar w:fldCharType="end"/>
            </w:r>
          </w:hyperlink>
        </w:p>
        <w:p w14:paraId="1007B642" w14:textId="11A8F87B" w:rsidR="00F04B38" w:rsidRDefault="00F04B38">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1381445" w:history="1">
            <w:r w:rsidRPr="00EF3D75">
              <w:rPr>
                <w:rStyle w:val="Hyperlink"/>
                <w:noProof/>
                <w:lang w:val="en-GB"/>
              </w:rPr>
              <w:t>2. Financial Performance Analysis Findings</w:t>
            </w:r>
            <w:r>
              <w:rPr>
                <w:noProof/>
                <w:webHidden/>
              </w:rPr>
              <w:tab/>
            </w:r>
            <w:r>
              <w:rPr>
                <w:noProof/>
                <w:webHidden/>
              </w:rPr>
              <w:fldChar w:fldCharType="begin"/>
            </w:r>
            <w:r>
              <w:rPr>
                <w:noProof/>
                <w:webHidden/>
              </w:rPr>
              <w:instrText xml:space="preserve"> PAGEREF _Toc151381445 \h </w:instrText>
            </w:r>
            <w:r>
              <w:rPr>
                <w:noProof/>
                <w:webHidden/>
              </w:rPr>
            </w:r>
            <w:r>
              <w:rPr>
                <w:noProof/>
                <w:webHidden/>
              </w:rPr>
              <w:fldChar w:fldCharType="separate"/>
            </w:r>
            <w:r>
              <w:rPr>
                <w:noProof/>
                <w:webHidden/>
              </w:rPr>
              <w:t>6</w:t>
            </w:r>
            <w:r>
              <w:rPr>
                <w:noProof/>
                <w:webHidden/>
              </w:rPr>
              <w:fldChar w:fldCharType="end"/>
            </w:r>
          </w:hyperlink>
        </w:p>
        <w:p w14:paraId="12E7B9F3" w14:textId="6E21F070"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46" w:history="1">
            <w:r w:rsidRPr="00EF3D75">
              <w:rPr>
                <w:rStyle w:val="Hyperlink"/>
                <w:noProof/>
                <w:lang w:val="en-GB"/>
              </w:rPr>
              <w:t>2.1 Ratio Analysis</w:t>
            </w:r>
            <w:r>
              <w:rPr>
                <w:noProof/>
                <w:webHidden/>
              </w:rPr>
              <w:tab/>
            </w:r>
            <w:r>
              <w:rPr>
                <w:noProof/>
                <w:webHidden/>
              </w:rPr>
              <w:fldChar w:fldCharType="begin"/>
            </w:r>
            <w:r>
              <w:rPr>
                <w:noProof/>
                <w:webHidden/>
              </w:rPr>
              <w:instrText xml:space="preserve"> PAGEREF _Toc151381446 \h </w:instrText>
            </w:r>
            <w:r>
              <w:rPr>
                <w:noProof/>
                <w:webHidden/>
              </w:rPr>
            </w:r>
            <w:r>
              <w:rPr>
                <w:noProof/>
                <w:webHidden/>
              </w:rPr>
              <w:fldChar w:fldCharType="separate"/>
            </w:r>
            <w:r>
              <w:rPr>
                <w:noProof/>
                <w:webHidden/>
              </w:rPr>
              <w:t>6</w:t>
            </w:r>
            <w:r>
              <w:rPr>
                <w:noProof/>
                <w:webHidden/>
              </w:rPr>
              <w:fldChar w:fldCharType="end"/>
            </w:r>
          </w:hyperlink>
        </w:p>
        <w:p w14:paraId="5ED56D0D" w14:textId="022874B5" w:rsidR="00F04B38" w:rsidRDefault="00F04B38">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51381447" w:history="1">
            <w:r w:rsidRPr="00EF3D75">
              <w:rPr>
                <w:rStyle w:val="Hyperlink"/>
                <w:noProof/>
                <w:lang w:val="en-GB"/>
              </w:rPr>
              <w:t>2.1.1 Ratios of profitability</w:t>
            </w:r>
            <w:r>
              <w:rPr>
                <w:noProof/>
                <w:webHidden/>
              </w:rPr>
              <w:tab/>
            </w:r>
            <w:r>
              <w:rPr>
                <w:noProof/>
                <w:webHidden/>
              </w:rPr>
              <w:fldChar w:fldCharType="begin"/>
            </w:r>
            <w:r>
              <w:rPr>
                <w:noProof/>
                <w:webHidden/>
              </w:rPr>
              <w:instrText xml:space="preserve"> PAGEREF _Toc151381447 \h </w:instrText>
            </w:r>
            <w:r>
              <w:rPr>
                <w:noProof/>
                <w:webHidden/>
              </w:rPr>
            </w:r>
            <w:r>
              <w:rPr>
                <w:noProof/>
                <w:webHidden/>
              </w:rPr>
              <w:fldChar w:fldCharType="separate"/>
            </w:r>
            <w:r>
              <w:rPr>
                <w:noProof/>
                <w:webHidden/>
              </w:rPr>
              <w:t>7</w:t>
            </w:r>
            <w:r>
              <w:rPr>
                <w:noProof/>
                <w:webHidden/>
              </w:rPr>
              <w:fldChar w:fldCharType="end"/>
            </w:r>
          </w:hyperlink>
        </w:p>
        <w:p w14:paraId="3CC57A64" w14:textId="417CF315" w:rsidR="00F04B38" w:rsidRDefault="00F04B38">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51381448" w:history="1">
            <w:r w:rsidRPr="00EF3D75">
              <w:rPr>
                <w:rStyle w:val="Hyperlink"/>
                <w:noProof/>
                <w:lang w:val="en-GB"/>
              </w:rPr>
              <w:t>2.1.2 Ratios of Liquidity</w:t>
            </w:r>
            <w:r>
              <w:rPr>
                <w:noProof/>
                <w:webHidden/>
              </w:rPr>
              <w:tab/>
            </w:r>
            <w:r>
              <w:rPr>
                <w:noProof/>
                <w:webHidden/>
              </w:rPr>
              <w:fldChar w:fldCharType="begin"/>
            </w:r>
            <w:r>
              <w:rPr>
                <w:noProof/>
                <w:webHidden/>
              </w:rPr>
              <w:instrText xml:space="preserve"> PAGEREF _Toc151381448 \h </w:instrText>
            </w:r>
            <w:r>
              <w:rPr>
                <w:noProof/>
                <w:webHidden/>
              </w:rPr>
            </w:r>
            <w:r>
              <w:rPr>
                <w:noProof/>
                <w:webHidden/>
              </w:rPr>
              <w:fldChar w:fldCharType="separate"/>
            </w:r>
            <w:r>
              <w:rPr>
                <w:noProof/>
                <w:webHidden/>
              </w:rPr>
              <w:t>8</w:t>
            </w:r>
            <w:r>
              <w:rPr>
                <w:noProof/>
                <w:webHidden/>
              </w:rPr>
              <w:fldChar w:fldCharType="end"/>
            </w:r>
          </w:hyperlink>
        </w:p>
        <w:p w14:paraId="7EF53307" w14:textId="0A1AB5CD" w:rsidR="00F04B38" w:rsidRDefault="00F04B38">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51381449" w:history="1">
            <w:r w:rsidRPr="00EF3D75">
              <w:rPr>
                <w:rStyle w:val="Hyperlink"/>
                <w:noProof/>
                <w:lang w:val="en-GB"/>
              </w:rPr>
              <w:t>2.1.3 Leverage Ratios</w:t>
            </w:r>
            <w:r>
              <w:rPr>
                <w:noProof/>
                <w:webHidden/>
              </w:rPr>
              <w:tab/>
            </w:r>
            <w:r>
              <w:rPr>
                <w:noProof/>
                <w:webHidden/>
              </w:rPr>
              <w:fldChar w:fldCharType="begin"/>
            </w:r>
            <w:r>
              <w:rPr>
                <w:noProof/>
                <w:webHidden/>
              </w:rPr>
              <w:instrText xml:space="preserve"> PAGEREF _Toc151381449 \h </w:instrText>
            </w:r>
            <w:r>
              <w:rPr>
                <w:noProof/>
                <w:webHidden/>
              </w:rPr>
            </w:r>
            <w:r>
              <w:rPr>
                <w:noProof/>
                <w:webHidden/>
              </w:rPr>
              <w:fldChar w:fldCharType="separate"/>
            </w:r>
            <w:r>
              <w:rPr>
                <w:noProof/>
                <w:webHidden/>
              </w:rPr>
              <w:t>9</w:t>
            </w:r>
            <w:r>
              <w:rPr>
                <w:noProof/>
                <w:webHidden/>
              </w:rPr>
              <w:fldChar w:fldCharType="end"/>
            </w:r>
          </w:hyperlink>
        </w:p>
        <w:p w14:paraId="1FB3988B" w14:textId="4B7AD018"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50" w:history="1">
            <w:r w:rsidRPr="00EF3D75">
              <w:rPr>
                <w:rStyle w:val="Hyperlink"/>
                <w:noProof/>
                <w:lang w:val="en-GB"/>
              </w:rPr>
              <w:t>2.2 Capital Structure Analysis</w:t>
            </w:r>
            <w:r>
              <w:rPr>
                <w:noProof/>
                <w:webHidden/>
              </w:rPr>
              <w:tab/>
            </w:r>
            <w:r>
              <w:rPr>
                <w:noProof/>
                <w:webHidden/>
              </w:rPr>
              <w:fldChar w:fldCharType="begin"/>
            </w:r>
            <w:r>
              <w:rPr>
                <w:noProof/>
                <w:webHidden/>
              </w:rPr>
              <w:instrText xml:space="preserve"> PAGEREF _Toc151381450 \h </w:instrText>
            </w:r>
            <w:r>
              <w:rPr>
                <w:noProof/>
                <w:webHidden/>
              </w:rPr>
            </w:r>
            <w:r>
              <w:rPr>
                <w:noProof/>
                <w:webHidden/>
              </w:rPr>
              <w:fldChar w:fldCharType="separate"/>
            </w:r>
            <w:r>
              <w:rPr>
                <w:noProof/>
                <w:webHidden/>
              </w:rPr>
              <w:t>10</w:t>
            </w:r>
            <w:r>
              <w:rPr>
                <w:noProof/>
                <w:webHidden/>
              </w:rPr>
              <w:fldChar w:fldCharType="end"/>
            </w:r>
          </w:hyperlink>
        </w:p>
        <w:p w14:paraId="47EFCFDB" w14:textId="389B1436"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51" w:history="1">
            <w:r w:rsidRPr="00EF3D75">
              <w:rPr>
                <w:rStyle w:val="Hyperlink"/>
                <w:noProof/>
                <w:lang w:val="en-GB"/>
              </w:rPr>
              <w:t>2.3 Sources of Finance</w:t>
            </w:r>
            <w:r>
              <w:rPr>
                <w:noProof/>
                <w:webHidden/>
              </w:rPr>
              <w:tab/>
            </w:r>
            <w:r>
              <w:rPr>
                <w:noProof/>
                <w:webHidden/>
              </w:rPr>
              <w:fldChar w:fldCharType="begin"/>
            </w:r>
            <w:r>
              <w:rPr>
                <w:noProof/>
                <w:webHidden/>
              </w:rPr>
              <w:instrText xml:space="preserve"> PAGEREF _Toc151381451 \h </w:instrText>
            </w:r>
            <w:r>
              <w:rPr>
                <w:noProof/>
                <w:webHidden/>
              </w:rPr>
            </w:r>
            <w:r>
              <w:rPr>
                <w:noProof/>
                <w:webHidden/>
              </w:rPr>
              <w:fldChar w:fldCharType="separate"/>
            </w:r>
            <w:r>
              <w:rPr>
                <w:noProof/>
                <w:webHidden/>
              </w:rPr>
              <w:t>11</w:t>
            </w:r>
            <w:r>
              <w:rPr>
                <w:noProof/>
                <w:webHidden/>
              </w:rPr>
              <w:fldChar w:fldCharType="end"/>
            </w:r>
          </w:hyperlink>
        </w:p>
        <w:p w14:paraId="5605E9B6" w14:textId="4D6DB5E4"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52" w:history="1">
            <w:r w:rsidRPr="00EF3D75">
              <w:rPr>
                <w:rStyle w:val="Hyperlink"/>
                <w:noProof/>
                <w:lang w:val="en-GB"/>
              </w:rPr>
              <w:t>2.4 Operating Profit</w:t>
            </w:r>
            <w:r>
              <w:rPr>
                <w:noProof/>
                <w:webHidden/>
              </w:rPr>
              <w:tab/>
            </w:r>
            <w:r>
              <w:rPr>
                <w:noProof/>
                <w:webHidden/>
              </w:rPr>
              <w:fldChar w:fldCharType="begin"/>
            </w:r>
            <w:r>
              <w:rPr>
                <w:noProof/>
                <w:webHidden/>
              </w:rPr>
              <w:instrText xml:space="preserve"> PAGEREF _Toc151381452 \h </w:instrText>
            </w:r>
            <w:r>
              <w:rPr>
                <w:noProof/>
                <w:webHidden/>
              </w:rPr>
            </w:r>
            <w:r>
              <w:rPr>
                <w:noProof/>
                <w:webHidden/>
              </w:rPr>
              <w:fldChar w:fldCharType="separate"/>
            </w:r>
            <w:r>
              <w:rPr>
                <w:noProof/>
                <w:webHidden/>
              </w:rPr>
              <w:t>12</w:t>
            </w:r>
            <w:r>
              <w:rPr>
                <w:noProof/>
                <w:webHidden/>
              </w:rPr>
              <w:fldChar w:fldCharType="end"/>
            </w:r>
          </w:hyperlink>
        </w:p>
        <w:p w14:paraId="3BE3CD33" w14:textId="363DB5DD" w:rsidR="00F04B38" w:rsidRDefault="00F04B38">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1381453" w:history="1">
            <w:r w:rsidRPr="00EF3D75">
              <w:rPr>
                <w:rStyle w:val="Hyperlink"/>
                <w:noProof/>
                <w:lang w:val="en-GB"/>
              </w:rPr>
              <w:t>3. Treasury Management Analysis</w:t>
            </w:r>
            <w:r>
              <w:rPr>
                <w:noProof/>
                <w:webHidden/>
              </w:rPr>
              <w:tab/>
            </w:r>
            <w:r>
              <w:rPr>
                <w:noProof/>
                <w:webHidden/>
              </w:rPr>
              <w:fldChar w:fldCharType="begin"/>
            </w:r>
            <w:r>
              <w:rPr>
                <w:noProof/>
                <w:webHidden/>
              </w:rPr>
              <w:instrText xml:space="preserve"> PAGEREF _Toc151381453 \h </w:instrText>
            </w:r>
            <w:r>
              <w:rPr>
                <w:noProof/>
                <w:webHidden/>
              </w:rPr>
            </w:r>
            <w:r>
              <w:rPr>
                <w:noProof/>
                <w:webHidden/>
              </w:rPr>
              <w:fldChar w:fldCharType="separate"/>
            </w:r>
            <w:r>
              <w:rPr>
                <w:noProof/>
                <w:webHidden/>
              </w:rPr>
              <w:t>13</w:t>
            </w:r>
            <w:r>
              <w:rPr>
                <w:noProof/>
                <w:webHidden/>
              </w:rPr>
              <w:fldChar w:fldCharType="end"/>
            </w:r>
          </w:hyperlink>
        </w:p>
        <w:p w14:paraId="2D43EE74" w14:textId="1D338BC8"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54" w:history="1">
            <w:r w:rsidRPr="00EF3D75">
              <w:rPr>
                <w:rStyle w:val="Hyperlink"/>
                <w:noProof/>
                <w:lang w:val="en-GB"/>
              </w:rPr>
              <w:t>3.1 Investment Management</w:t>
            </w:r>
            <w:r>
              <w:rPr>
                <w:noProof/>
                <w:webHidden/>
              </w:rPr>
              <w:tab/>
            </w:r>
            <w:r>
              <w:rPr>
                <w:noProof/>
                <w:webHidden/>
              </w:rPr>
              <w:fldChar w:fldCharType="begin"/>
            </w:r>
            <w:r>
              <w:rPr>
                <w:noProof/>
                <w:webHidden/>
              </w:rPr>
              <w:instrText xml:space="preserve"> PAGEREF _Toc151381454 \h </w:instrText>
            </w:r>
            <w:r>
              <w:rPr>
                <w:noProof/>
                <w:webHidden/>
              </w:rPr>
            </w:r>
            <w:r>
              <w:rPr>
                <w:noProof/>
                <w:webHidden/>
              </w:rPr>
              <w:fldChar w:fldCharType="separate"/>
            </w:r>
            <w:r>
              <w:rPr>
                <w:noProof/>
                <w:webHidden/>
              </w:rPr>
              <w:t>14</w:t>
            </w:r>
            <w:r>
              <w:rPr>
                <w:noProof/>
                <w:webHidden/>
              </w:rPr>
              <w:fldChar w:fldCharType="end"/>
            </w:r>
          </w:hyperlink>
        </w:p>
        <w:p w14:paraId="221F9236" w14:textId="65631032" w:rsidR="00F04B38" w:rsidRDefault="00F04B38">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51381455" w:history="1">
            <w:r w:rsidRPr="00EF3D75">
              <w:rPr>
                <w:rStyle w:val="Hyperlink"/>
                <w:noProof/>
                <w:lang w:val="en-GB"/>
              </w:rPr>
              <w:t>3.1.1 Turnover Ratio for Short-Term Investments</w:t>
            </w:r>
            <w:r>
              <w:rPr>
                <w:noProof/>
                <w:webHidden/>
              </w:rPr>
              <w:tab/>
            </w:r>
            <w:r>
              <w:rPr>
                <w:noProof/>
                <w:webHidden/>
              </w:rPr>
              <w:fldChar w:fldCharType="begin"/>
            </w:r>
            <w:r>
              <w:rPr>
                <w:noProof/>
                <w:webHidden/>
              </w:rPr>
              <w:instrText xml:space="preserve"> PAGEREF _Toc151381455 \h </w:instrText>
            </w:r>
            <w:r>
              <w:rPr>
                <w:noProof/>
                <w:webHidden/>
              </w:rPr>
            </w:r>
            <w:r>
              <w:rPr>
                <w:noProof/>
                <w:webHidden/>
              </w:rPr>
              <w:fldChar w:fldCharType="separate"/>
            </w:r>
            <w:r>
              <w:rPr>
                <w:noProof/>
                <w:webHidden/>
              </w:rPr>
              <w:t>14</w:t>
            </w:r>
            <w:r>
              <w:rPr>
                <w:noProof/>
                <w:webHidden/>
              </w:rPr>
              <w:fldChar w:fldCharType="end"/>
            </w:r>
          </w:hyperlink>
        </w:p>
        <w:p w14:paraId="3038F2B1" w14:textId="2B9BB9A2" w:rsidR="00F04B38" w:rsidRDefault="00F04B38">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51381456" w:history="1">
            <w:r w:rsidRPr="00EF3D75">
              <w:rPr>
                <w:rStyle w:val="Hyperlink"/>
                <w:noProof/>
                <w:lang w:val="en-GB"/>
              </w:rPr>
              <w:t>3.1.2 Long-Term Investments Turnover Ratio</w:t>
            </w:r>
            <w:r>
              <w:rPr>
                <w:noProof/>
                <w:webHidden/>
              </w:rPr>
              <w:tab/>
            </w:r>
            <w:r>
              <w:rPr>
                <w:noProof/>
                <w:webHidden/>
              </w:rPr>
              <w:fldChar w:fldCharType="begin"/>
            </w:r>
            <w:r>
              <w:rPr>
                <w:noProof/>
                <w:webHidden/>
              </w:rPr>
              <w:instrText xml:space="preserve"> PAGEREF _Toc151381456 \h </w:instrText>
            </w:r>
            <w:r>
              <w:rPr>
                <w:noProof/>
                <w:webHidden/>
              </w:rPr>
            </w:r>
            <w:r>
              <w:rPr>
                <w:noProof/>
                <w:webHidden/>
              </w:rPr>
              <w:fldChar w:fldCharType="separate"/>
            </w:r>
            <w:r>
              <w:rPr>
                <w:noProof/>
                <w:webHidden/>
              </w:rPr>
              <w:t>15</w:t>
            </w:r>
            <w:r>
              <w:rPr>
                <w:noProof/>
                <w:webHidden/>
              </w:rPr>
              <w:fldChar w:fldCharType="end"/>
            </w:r>
          </w:hyperlink>
        </w:p>
        <w:p w14:paraId="13C3384F" w14:textId="278CBFA1" w:rsidR="00F04B38" w:rsidRDefault="00F04B38">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51381457" w:history="1">
            <w:r w:rsidRPr="00EF3D75">
              <w:rPr>
                <w:rStyle w:val="Hyperlink"/>
                <w:noProof/>
                <w:lang w:val="en-GB"/>
              </w:rPr>
              <w:t>3.1.3 Net Cash Position Ratio</w:t>
            </w:r>
            <w:r>
              <w:rPr>
                <w:noProof/>
                <w:webHidden/>
              </w:rPr>
              <w:tab/>
            </w:r>
            <w:r>
              <w:rPr>
                <w:noProof/>
                <w:webHidden/>
              </w:rPr>
              <w:fldChar w:fldCharType="begin"/>
            </w:r>
            <w:r>
              <w:rPr>
                <w:noProof/>
                <w:webHidden/>
              </w:rPr>
              <w:instrText xml:space="preserve"> PAGEREF _Toc151381457 \h </w:instrText>
            </w:r>
            <w:r>
              <w:rPr>
                <w:noProof/>
                <w:webHidden/>
              </w:rPr>
            </w:r>
            <w:r>
              <w:rPr>
                <w:noProof/>
                <w:webHidden/>
              </w:rPr>
              <w:fldChar w:fldCharType="separate"/>
            </w:r>
            <w:r>
              <w:rPr>
                <w:noProof/>
                <w:webHidden/>
              </w:rPr>
              <w:t>16</w:t>
            </w:r>
            <w:r>
              <w:rPr>
                <w:noProof/>
                <w:webHidden/>
              </w:rPr>
              <w:fldChar w:fldCharType="end"/>
            </w:r>
          </w:hyperlink>
        </w:p>
        <w:p w14:paraId="4353F788" w14:textId="3B000FC1"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58" w:history="1">
            <w:r w:rsidRPr="00EF3D75">
              <w:rPr>
                <w:rStyle w:val="Hyperlink"/>
                <w:noProof/>
                <w:lang w:val="en-GB"/>
              </w:rPr>
              <w:t>3.2 Working Capital Management</w:t>
            </w:r>
            <w:r>
              <w:rPr>
                <w:noProof/>
                <w:webHidden/>
              </w:rPr>
              <w:tab/>
            </w:r>
            <w:r>
              <w:rPr>
                <w:noProof/>
                <w:webHidden/>
              </w:rPr>
              <w:fldChar w:fldCharType="begin"/>
            </w:r>
            <w:r>
              <w:rPr>
                <w:noProof/>
                <w:webHidden/>
              </w:rPr>
              <w:instrText xml:space="preserve"> PAGEREF _Toc151381458 \h </w:instrText>
            </w:r>
            <w:r>
              <w:rPr>
                <w:noProof/>
                <w:webHidden/>
              </w:rPr>
            </w:r>
            <w:r>
              <w:rPr>
                <w:noProof/>
                <w:webHidden/>
              </w:rPr>
              <w:fldChar w:fldCharType="separate"/>
            </w:r>
            <w:r>
              <w:rPr>
                <w:noProof/>
                <w:webHidden/>
              </w:rPr>
              <w:t>19</w:t>
            </w:r>
            <w:r>
              <w:rPr>
                <w:noProof/>
                <w:webHidden/>
              </w:rPr>
              <w:fldChar w:fldCharType="end"/>
            </w:r>
          </w:hyperlink>
        </w:p>
        <w:p w14:paraId="074BE52A" w14:textId="7DCFBB16"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59" w:history="1">
            <w:r w:rsidRPr="00EF3D75">
              <w:rPr>
                <w:rStyle w:val="Hyperlink"/>
                <w:noProof/>
                <w:lang w:val="en-GB"/>
              </w:rPr>
              <w:t>3.3 Debt Management</w:t>
            </w:r>
            <w:r>
              <w:rPr>
                <w:noProof/>
                <w:webHidden/>
              </w:rPr>
              <w:tab/>
            </w:r>
            <w:r>
              <w:rPr>
                <w:noProof/>
                <w:webHidden/>
              </w:rPr>
              <w:fldChar w:fldCharType="begin"/>
            </w:r>
            <w:r>
              <w:rPr>
                <w:noProof/>
                <w:webHidden/>
              </w:rPr>
              <w:instrText xml:space="preserve"> PAGEREF _Toc151381459 \h </w:instrText>
            </w:r>
            <w:r>
              <w:rPr>
                <w:noProof/>
                <w:webHidden/>
              </w:rPr>
            </w:r>
            <w:r>
              <w:rPr>
                <w:noProof/>
                <w:webHidden/>
              </w:rPr>
              <w:fldChar w:fldCharType="separate"/>
            </w:r>
            <w:r>
              <w:rPr>
                <w:noProof/>
                <w:webHidden/>
              </w:rPr>
              <w:t>20</w:t>
            </w:r>
            <w:r>
              <w:rPr>
                <w:noProof/>
                <w:webHidden/>
              </w:rPr>
              <w:fldChar w:fldCharType="end"/>
            </w:r>
          </w:hyperlink>
        </w:p>
        <w:p w14:paraId="05A33E0C" w14:textId="72E51928" w:rsidR="00F04B38" w:rsidRDefault="00F04B38">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51381460" w:history="1">
            <w:r w:rsidRPr="00EF3D75">
              <w:rPr>
                <w:rStyle w:val="Hyperlink"/>
                <w:noProof/>
                <w:lang w:val="en-GB"/>
              </w:rPr>
              <w:t>3.3 Risk Management</w:t>
            </w:r>
            <w:r>
              <w:rPr>
                <w:noProof/>
                <w:webHidden/>
              </w:rPr>
              <w:tab/>
            </w:r>
            <w:r>
              <w:rPr>
                <w:noProof/>
                <w:webHidden/>
              </w:rPr>
              <w:fldChar w:fldCharType="begin"/>
            </w:r>
            <w:r>
              <w:rPr>
                <w:noProof/>
                <w:webHidden/>
              </w:rPr>
              <w:instrText xml:space="preserve"> PAGEREF _Toc151381460 \h </w:instrText>
            </w:r>
            <w:r>
              <w:rPr>
                <w:noProof/>
                <w:webHidden/>
              </w:rPr>
            </w:r>
            <w:r>
              <w:rPr>
                <w:noProof/>
                <w:webHidden/>
              </w:rPr>
              <w:fldChar w:fldCharType="separate"/>
            </w:r>
            <w:r>
              <w:rPr>
                <w:noProof/>
                <w:webHidden/>
              </w:rPr>
              <w:t>23</w:t>
            </w:r>
            <w:r>
              <w:rPr>
                <w:noProof/>
                <w:webHidden/>
              </w:rPr>
              <w:fldChar w:fldCharType="end"/>
            </w:r>
          </w:hyperlink>
        </w:p>
        <w:p w14:paraId="62901844" w14:textId="5F124316" w:rsidR="00F04B38" w:rsidRDefault="00F04B38">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1381461" w:history="1">
            <w:r w:rsidRPr="00EF3D75">
              <w:rPr>
                <w:rStyle w:val="Hyperlink"/>
                <w:noProof/>
                <w:lang w:val="en-GB"/>
              </w:rPr>
              <w:t>4. Synthesis and Conclusions</w:t>
            </w:r>
            <w:r>
              <w:rPr>
                <w:noProof/>
                <w:webHidden/>
              </w:rPr>
              <w:tab/>
            </w:r>
            <w:r>
              <w:rPr>
                <w:noProof/>
                <w:webHidden/>
              </w:rPr>
              <w:fldChar w:fldCharType="begin"/>
            </w:r>
            <w:r>
              <w:rPr>
                <w:noProof/>
                <w:webHidden/>
              </w:rPr>
              <w:instrText xml:space="preserve"> PAGEREF _Toc151381461 \h </w:instrText>
            </w:r>
            <w:r>
              <w:rPr>
                <w:noProof/>
                <w:webHidden/>
              </w:rPr>
            </w:r>
            <w:r>
              <w:rPr>
                <w:noProof/>
                <w:webHidden/>
              </w:rPr>
              <w:fldChar w:fldCharType="separate"/>
            </w:r>
            <w:r>
              <w:rPr>
                <w:noProof/>
                <w:webHidden/>
              </w:rPr>
              <w:t>25</w:t>
            </w:r>
            <w:r>
              <w:rPr>
                <w:noProof/>
                <w:webHidden/>
              </w:rPr>
              <w:fldChar w:fldCharType="end"/>
            </w:r>
          </w:hyperlink>
        </w:p>
        <w:p w14:paraId="4CFFD499" w14:textId="015396D9" w:rsidR="00F04B38" w:rsidRDefault="00F04B38">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51381462" w:history="1">
            <w:r w:rsidRPr="00EF3D75">
              <w:rPr>
                <w:rStyle w:val="Hyperlink"/>
                <w:noProof/>
                <w:lang w:val="en-GB"/>
              </w:rPr>
              <w:t>References</w:t>
            </w:r>
            <w:r>
              <w:rPr>
                <w:noProof/>
                <w:webHidden/>
              </w:rPr>
              <w:tab/>
            </w:r>
            <w:r>
              <w:rPr>
                <w:noProof/>
                <w:webHidden/>
              </w:rPr>
              <w:fldChar w:fldCharType="begin"/>
            </w:r>
            <w:r>
              <w:rPr>
                <w:noProof/>
                <w:webHidden/>
              </w:rPr>
              <w:instrText xml:space="preserve"> PAGEREF _Toc151381462 \h </w:instrText>
            </w:r>
            <w:r>
              <w:rPr>
                <w:noProof/>
                <w:webHidden/>
              </w:rPr>
            </w:r>
            <w:r>
              <w:rPr>
                <w:noProof/>
                <w:webHidden/>
              </w:rPr>
              <w:fldChar w:fldCharType="separate"/>
            </w:r>
            <w:r>
              <w:rPr>
                <w:noProof/>
                <w:webHidden/>
              </w:rPr>
              <w:t>27</w:t>
            </w:r>
            <w:r>
              <w:rPr>
                <w:noProof/>
                <w:webHidden/>
              </w:rPr>
              <w:fldChar w:fldCharType="end"/>
            </w:r>
          </w:hyperlink>
        </w:p>
        <w:p w14:paraId="655930A7" w14:textId="0D8BE101" w:rsidR="007E19F3" w:rsidRPr="00400689" w:rsidRDefault="007E19F3" w:rsidP="007E19F3">
          <w:pPr>
            <w:spacing w:line="240" w:lineRule="auto"/>
            <w:rPr>
              <w:lang w:val="en-GB"/>
            </w:rPr>
          </w:pPr>
          <w:r w:rsidRPr="00400689">
            <w:rPr>
              <w:b/>
              <w:bCs/>
              <w:noProof/>
              <w:lang w:val="en-GB"/>
            </w:rPr>
            <w:lastRenderedPageBreak/>
            <w:fldChar w:fldCharType="end"/>
          </w:r>
        </w:p>
      </w:sdtContent>
    </w:sdt>
    <w:p w14:paraId="29AC7214" w14:textId="77777777" w:rsidR="00702336" w:rsidRPr="00400689" w:rsidRDefault="00702336">
      <w:pPr>
        <w:pStyle w:val="Title"/>
        <w:rPr>
          <w:lang w:val="en-GB"/>
        </w:rPr>
      </w:pPr>
    </w:p>
    <w:p w14:paraId="57A122F6" w14:textId="77777777" w:rsidR="00702336" w:rsidRPr="00400689" w:rsidRDefault="001A4F11">
      <w:pPr>
        <w:jc w:val="center"/>
        <w:rPr>
          <w:b/>
          <w:lang w:val="en-GB"/>
        </w:rPr>
      </w:pPr>
      <w:r w:rsidRPr="00400689">
        <w:rPr>
          <w:lang w:val="en-GB"/>
        </w:rPr>
        <w:br w:type="page"/>
      </w:r>
    </w:p>
    <w:p w14:paraId="5BC70BF6" w14:textId="77777777" w:rsidR="00702336" w:rsidRPr="00400689" w:rsidRDefault="001A4F11">
      <w:pPr>
        <w:jc w:val="center"/>
        <w:rPr>
          <w:b/>
          <w:lang w:val="en-GB"/>
        </w:rPr>
      </w:pPr>
      <w:r w:rsidRPr="00400689">
        <w:rPr>
          <w:b/>
          <w:lang w:val="en-GB"/>
        </w:rPr>
        <w:lastRenderedPageBreak/>
        <w:t>Executive Summary</w:t>
      </w:r>
    </w:p>
    <w:p w14:paraId="7E22B8FA" w14:textId="77777777" w:rsidR="00702336" w:rsidRPr="00400689" w:rsidRDefault="001A4F11">
      <w:pPr>
        <w:rPr>
          <w:lang w:val="en-GB"/>
        </w:rPr>
      </w:pPr>
      <w:r w:rsidRPr="00400689">
        <w:rPr>
          <w:lang w:val="en-GB"/>
        </w:rPr>
        <w:t xml:space="preserve">The analysis of AstraZeneca's financial and treasury management from 2018 to 2022 demonstrates the company's adaptable strategy for navigating the pharmaceutical sector. Significant changes in financial measures like ROIC, ROA, and ROE show how strategic choices affect asset usage and profitability. Modern financial theories are in line with AstraZeneca's dedication to strong investment management, which focuses on R&amp;D and strategic acquisitions. The company's utilisation of interest rate derivatives and changing debt management tactics demonstrate how flexible they are in response to changes in the financial markets. All things </w:t>
      </w:r>
      <w:proofErr w:type="gramStart"/>
      <w:r w:rsidRPr="00400689">
        <w:rPr>
          <w:lang w:val="en-GB"/>
        </w:rPr>
        <w:t>considered,</w:t>
      </w:r>
      <w:proofErr w:type="gramEnd"/>
      <w:r w:rsidRPr="00400689">
        <w:rPr>
          <w:lang w:val="en-GB"/>
        </w:rPr>
        <w:t xml:space="preserve"> AstraZeneca's sound financial methods set it up for long-term success in providing cutting-edge medical solutions.</w:t>
      </w:r>
      <w:r w:rsidRPr="00400689">
        <w:rPr>
          <w:lang w:val="en-GB"/>
        </w:rPr>
        <w:br w:type="page"/>
      </w:r>
    </w:p>
    <w:p w14:paraId="151F3C25" w14:textId="77777777" w:rsidR="00702336" w:rsidRPr="00400689" w:rsidRDefault="001A4F11">
      <w:pPr>
        <w:jc w:val="center"/>
        <w:rPr>
          <w:b/>
          <w:lang w:val="en-GB"/>
        </w:rPr>
      </w:pPr>
      <w:r w:rsidRPr="00400689">
        <w:rPr>
          <w:b/>
          <w:lang w:val="en-GB"/>
        </w:rPr>
        <w:lastRenderedPageBreak/>
        <w:t>Terms of Reference</w:t>
      </w:r>
    </w:p>
    <w:p w14:paraId="6A530B84" w14:textId="77777777" w:rsidR="00702336" w:rsidRPr="00400689" w:rsidRDefault="001A4F11">
      <w:pPr>
        <w:rPr>
          <w:lang w:val="en-GB"/>
        </w:rPr>
      </w:pPr>
      <w:r w:rsidRPr="00400689">
        <w:rPr>
          <w:lang w:val="en-GB"/>
        </w:rPr>
        <w:t>In response to requests from interested parties for a detailed analysis of AstraZeneca's monetary and treasury management processes for the years 2018 through 2022, the aforementioned financial report has been prepared. Key economic performance indicators, approaches to investing, managing debt, and risk mitigation are all covered in the analysis, all of which support the goal of giving readers a thorough grasp of the business's finances and decision-making procedures. The analysis evaluates AstraZeneca's economic and treasury management practices over the given period using best practices, financial theories, and data-driven insights.</w:t>
      </w:r>
    </w:p>
    <w:p w14:paraId="0EEDAA03" w14:textId="77777777" w:rsidR="00702336" w:rsidRPr="00400689" w:rsidRDefault="00702336">
      <w:pPr>
        <w:jc w:val="left"/>
        <w:rPr>
          <w:b/>
          <w:lang w:val="en-GB"/>
        </w:rPr>
      </w:pPr>
    </w:p>
    <w:p w14:paraId="4E9FED83" w14:textId="77777777" w:rsidR="00702336" w:rsidRPr="00400689" w:rsidRDefault="00702336">
      <w:pPr>
        <w:jc w:val="left"/>
        <w:rPr>
          <w:b/>
          <w:lang w:val="en-GB"/>
        </w:rPr>
      </w:pPr>
    </w:p>
    <w:p w14:paraId="68678BCF" w14:textId="77777777" w:rsidR="00702336" w:rsidRPr="00400689" w:rsidRDefault="00702336">
      <w:pPr>
        <w:jc w:val="left"/>
        <w:rPr>
          <w:lang w:val="en-GB"/>
        </w:rPr>
      </w:pPr>
    </w:p>
    <w:p w14:paraId="676B8081" w14:textId="77777777" w:rsidR="00702336" w:rsidRPr="00400689" w:rsidRDefault="001A4F11">
      <w:pPr>
        <w:jc w:val="left"/>
        <w:rPr>
          <w:lang w:val="en-GB"/>
        </w:rPr>
      </w:pPr>
      <w:r w:rsidRPr="00400689">
        <w:rPr>
          <w:lang w:val="en-GB"/>
        </w:rPr>
        <w:br w:type="page"/>
      </w:r>
    </w:p>
    <w:p w14:paraId="222DBBD1" w14:textId="77777777" w:rsidR="00702336" w:rsidRPr="00400689" w:rsidRDefault="001A4F11">
      <w:pPr>
        <w:pStyle w:val="Heading1"/>
        <w:rPr>
          <w:lang w:val="en-GB"/>
        </w:rPr>
      </w:pPr>
      <w:bookmarkStart w:id="9" w:name="_abp66oxjc0xu" w:colFirst="0" w:colLast="0"/>
      <w:bookmarkStart w:id="10" w:name="_Toc151381444"/>
      <w:bookmarkEnd w:id="9"/>
      <w:r w:rsidRPr="00400689">
        <w:rPr>
          <w:lang w:val="en-GB"/>
        </w:rPr>
        <w:lastRenderedPageBreak/>
        <w:t>1. Introduction</w:t>
      </w:r>
      <w:bookmarkEnd w:id="10"/>
    </w:p>
    <w:p w14:paraId="4F8B0A6E" w14:textId="77777777" w:rsidR="00702336" w:rsidRDefault="001A4F11">
      <w:pPr>
        <w:rPr>
          <w:lang w:val="en-GB"/>
        </w:rPr>
      </w:pPr>
      <w:r w:rsidRPr="00400689">
        <w:rPr>
          <w:lang w:val="en-GB"/>
        </w:rPr>
        <w:t>Corporate finance is a cornerstone of the modern corporate landscape, tying together the financial, tactical, and functioning aspects of businesses in a complex manner. It is an ever-changing field that coordinates the distribution and enhancement of monetary assets to meet business goals and minimize financial hazards. The secret to making wise decisions in various financial endeavours, such as capital structure management, fundraising efforts, assessment of investments, and dividend policy formulation, is found within this complex field. This report looks critically at the accounting results and treasury oversight of AstraZeneca, a well-known public limited company (plc) in the UK, in an effort to explore the complexities of corporate finance.</w:t>
      </w:r>
    </w:p>
    <w:p w14:paraId="241BFF12" w14:textId="77777777" w:rsidR="00E446B0" w:rsidRDefault="00E446B0">
      <w:pPr>
        <w:rPr>
          <w:lang w:val="en-GB"/>
        </w:rPr>
      </w:pPr>
      <w:r w:rsidRPr="00E446B0">
        <w:rPr>
          <w:lang w:val="en-GB"/>
        </w:rPr>
        <w:t xml:space="preserve">The development of science and technology has become increasingly significant in society over the last few decades. The AstraZeneca industry is the topic of our discussion. Oxford is a British multinational pharmaceutical company with headquarters in Cambridge, UK. It was founded in April 1999. It is a production company that works in the pharmaceutical industry, generating various life-saving medications for the global market. The company's target markets include biopharmaceuticals and medications used to </w:t>
      </w:r>
      <w:r w:rsidR="00B90450">
        <w:rPr>
          <w:lang w:val="en-GB"/>
        </w:rPr>
        <w:t>treat cancer (AstraZeneca, 2023</w:t>
      </w:r>
      <w:r w:rsidRPr="00E446B0">
        <w:rPr>
          <w:lang w:val="en-GB"/>
        </w:rPr>
        <w:t>). They have made a noteworthy contribution to the treatment of respiratory, renal, and metabolic diseases as well as cardiovascular disease. In addition, AstraZeneca is developing a number of other treatments that are still in the research and development stage.</w:t>
      </w:r>
      <w:r w:rsidR="00B90450">
        <w:rPr>
          <w:lang w:val="en-GB"/>
        </w:rPr>
        <w:t xml:space="preserve"> </w:t>
      </w:r>
      <w:r w:rsidR="00B90450" w:rsidRPr="00B90450">
        <w:rPr>
          <w:lang w:val="en-GB"/>
        </w:rPr>
        <w:t xml:space="preserve">Pharmaceuticals have been used for thousands of years to treat illnesses and address concerns about human health. The long road to bring advancements in pharmaceuticals has been accelerated by new technology and cutting-edge research, and more </w:t>
      </w:r>
      <w:r w:rsidR="005122DD" w:rsidRPr="00B90450">
        <w:rPr>
          <w:lang w:val="en-GB"/>
        </w:rPr>
        <w:t>advancement</w:t>
      </w:r>
      <w:r w:rsidR="00B90450" w:rsidRPr="00B90450">
        <w:rPr>
          <w:lang w:val="en-GB"/>
        </w:rPr>
        <w:t xml:space="preserve"> </w:t>
      </w:r>
      <w:r w:rsidR="005122DD" w:rsidRPr="00B90450">
        <w:rPr>
          <w:lang w:val="en-GB"/>
        </w:rPr>
        <w:t>is</w:t>
      </w:r>
      <w:r w:rsidR="00B90450" w:rsidRPr="00B90450">
        <w:rPr>
          <w:lang w:val="en-GB"/>
        </w:rPr>
        <w:t xml:space="preserve"> imminent.</w:t>
      </w:r>
    </w:p>
    <w:p w14:paraId="61151899" w14:textId="77777777" w:rsidR="00702336" w:rsidRDefault="001A4F11">
      <w:pPr>
        <w:pStyle w:val="Heading1"/>
        <w:rPr>
          <w:lang w:val="en-GB"/>
        </w:rPr>
      </w:pPr>
      <w:bookmarkStart w:id="11" w:name="_n5s9gxgb1zwm" w:colFirst="0" w:colLast="0"/>
      <w:bookmarkStart w:id="12" w:name="_Toc151381445"/>
      <w:bookmarkEnd w:id="11"/>
      <w:r w:rsidRPr="00400689">
        <w:rPr>
          <w:lang w:val="en-GB"/>
        </w:rPr>
        <w:t>2. Financial Performance Analysis Findings</w:t>
      </w:r>
      <w:bookmarkEnd w:id="12"/>
    </w:p>
    <w:p w14:paraId="20676075" w14:textId="58D6B196" w:rsidR="00322C73" w:rsidRDefault="00322C73" w:rsidP="00322C73">
      <w:pPr>
        <w:pStyle w:val="Heading2"/>
        <w:rPr>
          <w:lang w:val="en-GB"/>
        </w:rPr>
      </w:pPr>
      <w:bookmarkStart w:id="13" w:name="_hbndqz2olyqx" w:colFirst="0" w:colLast="0"/>
      <w:bookmarkStart w:id="14" w:name="_Toc151381446"/>
      <w:bookmarkEnd w:id="13"/>
      <w:r w:rsidRPr="00400689">
        <w:rPr>
          <w:lang w:val="en-GB"/>
        </w:rPr>
        <w:t>2.</w:t>
      </w:r>
      <w:r>
        <w:rPr>
          <w:lang w:val="en-GB"/>
        </w:rPr>
        <w:t>1</w:t>
      </w:r>
      <w:r w:rsidRPr="00400689">
        <w:rPr>
          <w:lang w:val="en-GB"/>
        </w:rPr>
        <w:t xml:space="preserve"> Ratio Analysis</w:t>
      </w:r>
      <w:bookmarkEnd w:id="14"/>
    </w:p>
    <w:p w14:paraId="38EC1EE7" w14:textId="77777777" w:rsidR="00322C73" w:rsidRDefault="00322C73" w:rsidP="00322C73">
      <w:pPr>
        <w:rPr>
          <w:lang w:val="en-GB"/>
        </w:rPr>
      </w:pPr>
      <w:bookmarkStart w:id="15" w:name="_j7qt2hjogtbk" w:colFirst="0" w:colLast="0"/>
      <w:bookmarkEnd w:id="15"/>
      <w:r w:rsidRPr="00014014">
        <w:rPr>
          <w:lang w:val="en-GB"/>
        </w:rPr>
        <w:t xml:space="preserve">Resources such as money, obligation claims, transient stores, and appealing securities are highly responsive to market requests and can be converted into cash in less than a year. The financial obligations of the company that must be paid off within a year are indicated by the current liabilities. Undoubtedly, a higher current percentage is advantageous to the business. A company </w:t>
      </w:r>
      <w:r w:rsidRPr="00014014">
        <w:rPr>
          <w:lang w:val="en-GB"/>
        </w:rPr>
        <w:lastRenderedPageBreak/>
        <w:t>with a healthy current ratio has greater current resources than liabilities, meaning it can pay its debts over time. This range is between 1.2 and 2.</w:t>
      </w:r>
    </w:p>
    <w:p w14:paraId="556A58D0" w14:textId="06FB1C2A" w:rsidR="00322C73" w:rsidRPr="00400689" w:rsidRDefault="00322C73" w:rsidP="00322C73">
      <w:pPr>
        <w:pStyle w:val="Heading3"/>
        <w:rPr>
          <w:lang w:val="en-GB"/>
        </w:rPr>
      </w:pPr>
      <w:bookmarkStart w:id="16" w:name="_Toc151381447"/>
      <w:r w:rsidRPr="00400689">
        <w:rPr>
          <w:lang w:val="en-GB"/>
        </w:rPr>
        <w:t>2.</w:t>
      </w:r>
      <w:r>
        <w:rPr>
          <w:lang w:val="en-GB"/>
        </w:rPr>
        <w:t>1</w:t>
      </w:r>
      <w:r w:rsidRPr="00400689">
        <w:rPr>
          <w:lang w:val="en-GB"/>
        </w:rPr>
        <w:t>.</w:t>
      </w:r>
      <w:r>
        <w:rPr>
          <w:lang w:val="en-GB"/>
        </w:rPr>
        <w:t>1</w:t>
      </w:r>
      <w:r w:rsidRPr="00400689">
        <w:rPr>
          <w:lang w:val="en-GB"/>
        </w:rPr>
        <w:t xml:space="preserve"> Ratios of profitability</w:t>
      </w:r>
      <w:bookmarkEnd w:id="16"/>
    </w:p>
    <w:p w14:paraId="6BDDF5AE" w14:textId="77777777" w:rsidR="00322C73" w:rsidRPr="00400689" w:rsidRDefault="00322C73" w:rsidP="00322C73">
      <w:pPr>
        <w:jc w:val="center"/>
        <w:rPr>
          <w:b/>
          <w:lang w:val="en-GB"/>
        </w:rPr>
      </w:pPr>
      <w:r w:rsidRPr="00400689">
        <w:rPr>
          <w:b/>
          <w:noProof/>
        </w:rPr>
        <w:drawing>
          <wp:inline distT="114300" distB="114300" distL="114300" distR="114300" wp14:anchorId="3137C7FB" wp14:editId="43FFADF1">
            <wp:extent cx="5481638" cy="4330845"/>
            <wp:effectExtent l="25400" t="25400" r="25400" b="254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481638" cy="4330845"/>
                    </a:xfrm>
                    <a:prstGeom prst="rect">
                      <a:avLst/>
                    </a:prstGeom>
                    <a:ln w="25400">
                      <a:solidFill>
                        <a:srgbClr val="000000"/>
                      </a:solidFill>
                      <a:prstDash val="solid"/>
                    </a:ln>
                  </pic:spPr>
                </pic:pic>
              </a:graphicData>
            </a:graphic>
          </wp:inline>
        </w:drawing>
      </w:r>
    </w:p>
    <w:p w14:paraId="3D271769" w14:textId="27226E46" w:rsidR="00322C73" w:rsidRPr="00400689" w:rsidRDefault="00322C73" w:rsidP="00322C73">
      <w:pPr>
        <w:jc w:val="center"/>
        <w:rPr>
          <w:b/>
          <w:lang w:val="en-GB"/>
        </w:rPr>
      </w:pPr>
      <w:r w:rsidRPr="00400689">
        <w:rPr>
          <w:b/>
          <w:lang w:val="en-GB"/>
        </w:rPr>
        <w:t xml:space="preserve">Figure </w:t>
      </w:r>
      <w:r>
        <w:rPr>
          <w:b/>
          <w:lang w:val="en-GB"/>
        </w:rPr>
        <w:t>1</w:t>
      </w:r>
      <w:r w:rsidRPr="00400689">
        <w:rPr>
          <w:b/>
          <w:lang w:val="en-GB"/>
        </w:rPr>
        <w:t>: Ratio of Profitability</w:t>
      </w:r>
    </w:p>
    <w:p w14:paraId="1FB9F315" w14:textId="77777777" w:rsidR="00322C73" w:rsidRPr="00322C73" w:rsidRDefault="00322C73" w:rsidP="00322C73">
      <w:pPr>
        <w:rPr>
          <w:lang w:val="en-GB"/>
        </w:rPr>
      </w:pPr>
      <w:r w:rsidRPr="00400689">
        <w:rPr>
          <w:lang w:val="en-GB"/>
        </w:rPr>
        <w:t xml:space="preserve">Following the deduction of all costs, including taxes, the net profit margin shows the proportion of each pound of revenue that is still profitable. Generally speaking, a higher net profit margin is preferable since it indicates efficient cost control. The profitability ratios for AstraZeneca from 2018 to 2022 show a variable financial picture. Interestingly, there was a noticeable change in the Return on Equity (ROE), which fell from 17.30% in 2018 to a meagre 0.40% in 2021 before rising to 9.10% in 2022 (Yuyan, 2023). This denotes a difficult time when the business struggled with issues related to profitability before turning things around. The Return on Assets (ROA), on the other hand, showed a similar trend, declining from 3.50% through 2018 to 0.10% in 2021 and </w:t>
      </w:r>
      <w:r w:rsidRPr="00400689">
        <w:rPr>
          <w:lang w:val="en-GB"/>
        </w:rPr>
        <w:lastRenderedPageBreak/>
        <w:t>then rising to 3.40% in 2022. The examination of profitability ratios shows that AstraZeneca can turn a profit. The continuous health of the net profit margin shows effective cost control. A high ROA also indicates that the business uses its resources efficiently to produce profits, which is a sign of good operational efficiency.</w:t>
      </w:r>
    </w:p>
    <w:p w14:paraId="3BAF4199" w14:textId="0F15D691" w:rsidR="00322C73" w:rsidRPr="00400689" w:rsidRDefault="00322C73" w:rsidP="00322C73">
      <w:pPr>
        <w:pStyle w:val="Heading3"/>
        <w:rPr>
          <w:lang w:val="en-GB"/>
        </w:rPr>
      </w:pPr>
      <w:bookmarkStart w:id="17" w:name="_Toc151381448"/>
      <w:r w:rsidRPr="00400689">
        <w:rPr>
          <w:lang w:val="en-GB"/>
        </w:rPr>
        <w:t>2.</w:t>
      </w:r>
      <w:r>
        <w:rPr>
          <w:lang w:val="en-GB"/>
        </w:rPr>
        <w:t>1</w:t>
      </w:r>
      <w:r w:rsidRPr="00400689">
        <w:rPr>
          <w:lang w:val="en-GB"/>
        </w:rPr>
        <w:t>.</w:t>
      </w:r>
      <w:r>
        <w:rPr>
          <w:lang w:val="en-GB"/>
        </w:rPr>
        <w:t>2</w:t>
      </w:r>
      <w:r w:rsidRPr="00400689">
        <w:rPr>
          <w:lang w:val="en-GB"/>
        </w:rPr>
        <w:t xml:space="preserve"> Ratios of Liquidity</w:t>
      </w:r>
      <w:bookmarkEnd w:id="17"/>
    </w:p>
    <w:p w14:paraId="4D7463AC" w14:textId="77777777" w:rsidR="00322C73" w:rsidRPr="00400689" w:rsidRDefault="00322C73" w:rsidP="00322C73">
      <w:pPr>
        <w:jc w:val="center"/>
        <w:rPr>
          <w:b/>
          <w:lang w:val="en-GB"/>
        </w:rPr>
      </w:pPr>
      <w:r w:rsidRPr="00400689">
        <w:rPr>
          <w:b/>
          <w:noProof/>
        </w:rPr>
        <w:drawing>
          <wp:inline distT="114300" distB="114300" distL="114300" distR="114300" wp14:anchorId="42C0D483" wp14:editId="7AA576E2">
            <wp:extent cx="5605463" cy="3458498"/>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605463" cy="3458498"/>
                    </a:xfrm>
                    <a:prstGeom prst="rect">
                      <a:avLst/>
                    </a:prstGeom>
                    <a:ln w="25400">
                      <a:solidFill>
                        <a:srgbClr val="000000"/>
                      </a:solidFill>
                      <a:prstDash val="solid"/>
                    </a:ln>
                  </pic:spPr>
                </pic:pic>
              </a:graphicData>
            </a:graphic>
          </wp:inline>
        </w:drawing>
      </w:r>
    </w:p>
    <w:p w14:paraId="05209634" w14:textId="1ECE97DB" w:rsidR="00322C73" w:rsidRPr="00400689" w:rsidRDefault="00322C73" w:rsidP="00322C73">
      <w:pPr>
        <w:jc w:val="center"/>
        <w:rPr>
          <w:b/>
          <w:lang w:val="en-GB"/>
        </w:rPr>
      </w:pPr>
      <w:r w:rsidRPr="00400689">
        <w:rPr>
          <w:b/>
          <w:lang w:val="en-GB"/>
        </w:rPr>
        <w:t xml:space="preserve">Figure </w:t>
      </w:r>
      <w:r>
        <w:rPr>
          <w:b/>
          <w:lang w:val="en-GB"/>
        </w:rPr>
        <w:t>2</w:t>
      </w:r>
      <w:r w:rsidRPr="00400689">
        <w:rPr>
          <w:b/>
          <w:lang w:val="en-GB"/>
        </w:rPr>
        <w:t>: Current Ratio and Quick Ratio</w:t>
      </w:r>
    </w:p>
    <w:p w14:paraId="4E2EFEC3" w14:textId="77777777" w:rsidR="00322C73" w:rsidRPr="00400689" w:rsidRDefault="00322C73" w:rsidP="00322C73">
      <w:pPr>
        <w:numPr>
          <w:ilvl w:val="0"/>
          <w:numId w:val="1"/>
        </w:numPr>
        <w:spacing w:after="0"/>
        <w:rPr>
          <w:lang w:val="en-GB"/>
        </w:rPr>
      </w:pPr>
      <w:r w:rsidRPr="00CB5DAD">
        <w:rPr>
          <w:lang w:val="en-GB"/>
        </w:rPr>
        <w:t>The current ratio, also known as the working capital ratio, assesses how well the company can use its current resources to meet its short-term obligations.</w:t>
      </w:r>
      <w:r>
        <w:rPr>
          <w:lang w:val="en-GB"/>
        </w:rPr>
        <w:t xml:space="preserve"> </w:t>
      </w:r>
      <w:r w:rsidRPr="00400689">
        <w:rPr>
          <w:lang w:val="en-GB"/>
        </w:rPr>
        <w:t xml:space="preserve">If the company's current ratio is more than 1, it means that its short-term liabilities are covered by its short-term assets. A ratio of less than one indicates a liquidity issue (Westrop </w:t>
      </w:r>
      <w:r w:rsidRPr="00400689">
        <w:rPr>
          <w:i/>
          <w:lang w:val="en-GB"/>
        </w:rPr>
        <w:t>et al.</w:t>
      </w:r>
      <w:r w:rsidRPr="00400689">
        <w:rPr>
          <w:lang w:val="en-GB"/>
        </w:rPr>
        <w:t xml:space="preserve"> 2022).</w:t>
      </w:r>
    </w:p>
    <w:p w14:paraId="7BF06FAE" w14:textId="77777777" w:rsidR="00322C73" w:rsidRPr="00400689" w:rsidRDefault="00322C73" w:rsidP="00322C73">
      <w:pPr>
        <w:numPr>
          <w:ilvl w:val="0"/>
          <w:numId w:val="1"/>
        </w:numPr>
        <w:spacing w:before="0"/>
        <w:rPr>
          <w:lang w:val="en-GB"/>
        </w:rPr>
      </w:pPr>
      <w:r w:rsidRPr="00400689">
        <w:rPr>
          <w:lang w:val="en-GB"/>
        </w:rPr>
        <w:t>The quick ratio, sometimes referred to as the acid-test ratio, is a more exacting indicator of liquidity since it does not include inventory in the calculation of current assets. It offers information about AstraZeneca's capacity to pay short-term debt without turning to the sale of inventory.</w:t>
      </w:r>
    </w:p>
    <w:p w14:paraId="51F9552E" w14:textId="77777777" w:rsidR="00322C73" w:rsidRPr="00400689" w:rsidRDefault="00322C73" w:rsidP="00322C73">
      <w:pPr>
        <w:rPr>
          <w:lang w:val="en-GB"/>
        </w:rPr>
      </w:pPr>
      <w:r w:rsidRPr="00400689">
        <w:rPr>
          <w:lang w:val="en-GB"/>
        </w:rPr>
        <w:lastRenderedPageBreak/>
        <w:t>The cash flow ratios for AstraZeneca show significant variations between 2018 and 2022. The quick ratio dropped from 0.72 in 2018 to 0.680 in 2022, indicating a decline in the company's ability to meet its immediate financial commitments with its most liquid assets (Macrotrends, 2023). This raises the possibility of a problem preserving short-term liquidity, that could be caused by a number of things, such as adjustments to capital expenditures or operational activities. On the other hand, there were notable fluctuations in the current ratio, which is a more comprehensive indicator of liquidity in the short term that encompasses all current assets, throughout this time. From 0.96 in 2018 to 1.16 in 2021, it increased, but by 2022 it had fallen to 0.86. Such changes in the current ratio could be the result of variations in the makeup of current assets and liabilities, pointing to the necessity of cautious management of the analysis (Stockanalysis, 2023).</w:t>
      </w:r>
    </w:p>
    <w:p w14:paraId="65459FFF" w14:textId="3405E619" w:rsidR="00322C73" w:rsidRPr="00400689" w:rsidRDefault="00322C73" w:rsidP="00322C73">
      <w:pPr>
        <w:pStyle w:val="Heading3"/>
        <w:rPr>
          <w:lang w:val="en-GB"/>
        </w:rPr>
      </w:pPr>
      <w:bookmarkStart w:id="18" w:name="_4yefoc763wfl" w:colFirst="0" w:colLast="0"/>
      <w:bookmarkStart w:id="19" w:name="_vedyseruuo2c" w:colFirst="0" w:colLast="0"/>
      <w:bookmarkStart w:id="20" w:name="_Toc151381449"/>
      <w:bookmarkEnd w:id="18"/>
      <w:bookmarkEnd w:id="19"/>
      <w:r w:rsidRPr="00400689">
        <w:rPr>
          <w:lang w:val="en-GB"/>
        </w:rPr>
        <w:t>2.</w:t>
      </w:r>
      <w:r>
        <w:rPr>
          <w:lang w:val="en-GB"/>
        </w:rPr>
        <w:t>1</w:t>
      </w:r>
      <w:r w:rsidRPr="00400689">
        <w:rPr>
          <w:lang w:val="en-GB"/>
        </w:rPr>
        <w:t>.3 Leverage Ratios</w:t>
      </w:r>
      <w:bookmarkEnd w:id="20"/>
    </w:p>
    <w:p w14:paraId="3B17F51F" w14:textId="77777777" w:rsidR="00322C73" w:rsidRPr="00400689" w:rsidRDefault="00322C73" w:rsidP="00322C73">
      <w:pPr>
        <w:jc w:val="center"/>
        <w:rPr>
          <w:b/>
          <w:lang w:val="en-GB"/>
        </w:rPr>
      </w:pPr>
      <w:r w:rsidRPr="00400689">
        <w:rPr>
          <w:b/>
          <w:noProof/>
        </w:rPr>
        <w:drawing>
          <wp:inline distT="114300" distB="114300" distL="114300" distR="114300" wp14:anchorId="38CEBF60" wp14:editId="6E90A8B4">
            <wp:extent cx="5587731" cy="3352639"/>
            <wp:effectExtent l="25400" t="25400" r="25400" b="254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587731" cy="3352639"/>
                    </a:xfrm>
                    <a:prstGeom prst="rect">
                      <a:avLst/>
                    </a:prstGeom>
                    <a:ln w="25400">
                      <a:solidFill>
                        <a:srgbClr val="000000"/>
                      </a:solidFill>
                      <a:prstDash val="solid"/>
                    </a:ln>
                  </pic:spPr>
                </pic:pic>
              </a:graphicData>
            </a:graphic>
          </wp:inline>
        </w:drawing>
      </w:r>
    </w:p>
    <w:p w14:paraId="212366ED" w14:textId="1D15F326" w:rsidR="00322C73" w:rsidRPr="00400689" w:rsidRDefault="00322C73" w:rsidP="00322C73">
      <w:pPr>
        <w:jc w:val="center"/>
        <w:rPr>
          <w:b/>
          <w:lang w:val="en-GB"/>
        </w:rPr>
      </w:pPr>
      <w:r w:rsidRPr="00400689">
        <w:rPr>
          <w:b/>
          <w:lang w:val="en-GB"/>
        </w:rPr>
        <w:t xml:space="preserve">Figure </w:t>
      </w:r>
      <w:r>
        <w:rPr>
          <w:b/>
          <w:lang w:val="en-GB"/>
        </w:rPr>
        <w:t>3</w:t>
      </w:r>
      <w:r w:rsidRPr="00400689">
        <w:rPr>
          <w:b/>
          <w:lang w:val="en-GB"/>
        </w:rPr>
        <w:t>: Interest Coverage Ratio and Asset Turnover</w:t>
      </w:r>
    </w:p>
    <w:p w14:paraId="66306292" w14:textId="77777777" w:rsidR="00322C73" w:rsidRPr="00400689" w:rsidRDefault="00322C73" w:rsidP="00322C73">
      <w:pPr>
        <w:rPr>
          <w:lang w:val="en-GB"/>
        </w:rPr>
      </w:pPr>
      <w:r w:rsidRPr="00400689">
        <w:rPr>
          <w:lang w:val="en-GB"/>
        </w:rPr>
        <w:t>Interest Coverage Ratio</w:t>
      </w:r>
      <w:r w:rsidRPr="00400689">
        <w:rPr>
          <w:b/>
          <w:lang w:val="en-GB"/>
        </w:rPr>
        <w:t xml:space="preserve"> </w:t>
      </w:r>
      <w:r w:rsidRPr="00400689">
        <w:rPr>
          <w:lang w:val="en-GB"/>
        </w:rPr>
        <w:t xml:space="preserve">evaluates how well the business can use operating income to pay for interest costs. A lower likelihood of defaulting on interest payments is indicated by a higher interest coverage ratio. The leverage ratios of AstraZeneca show careful money management. </w:t>
      </w:r>
      <w:r w:rsidRPr="00400689">
        <w:rPr>
          <w:lang w:val="en-GB"/>
        </w:rPr>
        <w:lastRenderedPageBreak/>
        <w:t>The company's debt-to-equity ratio remains balanced, indicating that its operations have not been overleveraged. The risk of financial distress is also decreased by the interest coverage ratio, which shows a strong ability to meet interest obligations. There were variations in the interest coverage ratio during this time, which gauges the company's capacity to pay debt interest. It was 2.48 in 2018, fell steadily to 0.79 in 2021, and then increased to 2.85 in 2022 (</w:t>
      </w:r>
      <w:proofErr w:type="spellStart"/>
      <w:r w:rsidRPr="00400689">
        <w:rPr>
          <w:lang w:val="en-GB"/>
        </w:rPr>
        <w:t>Campião</w:t>
      </w:r>
      <w:proofErr w:type="spellEnd"/>
      <w:r w:rsidRPr="00400689">
        <w:rPr>
          <w:lang w:val="en-GB"/>
        </w:rPr>
        <w:t>, 2023). These variations could be a result of shifting company profits as well as the effect of interest costs on profitability. AstraZeneca's asset utilisation efficiency was measured by the asset turnover ratio, which went from 0.36 in 2018 to 0.46 in 2022. This increase in asset utilisation efficiency suggests that the company is becoming more efficient at earning money from its assets. Leverage ratio dynamics indicate the company's ability to adjust to changing economic circumstances and its deliberate efforts to improve the state of its finances over time.</w:t>
      </w:r>
    </w:p>
    <w:p w14:paraId="5114A76A" w14:textId="61592EB6" w:rsidR="00322C73" w:rsidRDefault="00322C73" w:rsidP="00322C73">
      <w:pPr>
        <w:rPr>
          <w:lang w:val="en-GB"/>
        </w:rPr>
      </w:pPr>
      <w:r w:rsidRPr="00400689">
        <w:rPr>
          <w:lang w:val="en-GB"/>
        </w:rPr>
        <w:t xml:space="preserve">The financial performance analysis of AstraZeneca demonstrates a stable dividend policy, a balanced financial structure, a strategic approach to financing sources, and forward-thinking investment in development and research. Analysis of ratios, capital rationing techniques, and a working capital management evaluation highlight the company's sound financial practices and sound decision-making (Hot </w:t>
      </w:r>
      <w:r w:rsidRPr="00400689">
        <w:rPr>
          <w:i/>
          <w:lang w:val="en-GB"/>
        </w:rPr>
        <w:t>et al</w:t>
      </w:r>
      <w:r w:rsidRPr="00400689">
        <w:rPr>
          <w:lang w:val="en-GB"/>
        </w:rPr>
        <w:t>. 2019). These results offer a basis for understanding AstraZeneca's sound financial standing and its capacity to manoeuvre through the intricate pharmaceutical market. This analysis is a crucial component of the report since it establishes the foundation for the treasury management analysis that follows, which will look more closely at the relationship between management choices and these financial performance findings.</w:t>
      </w:r>
    </w:p>
    <w:p w14:paraId="093F5CCE" w14:textId="77777777" w:rsidR="00322C73" w:rsidRDefault="00322C73" w:rsidP="00322C73">
      <w:pPr>
        <w:rPr>
          <w:lang w:val="en-GB"/>
        </w:rPr>
      </w:pPr>
    </w:p>
    <w:p w14:paraId="7E329E45" w14:textId="1D9D87BF" w:rsidR="00702336" w:rsidRDefault="001A4F11">
      <w:pPr>
        <w:pStyle w:val="Heading2"/>
        <w:rPr>
          <w:lang w:val="en-GB"/>
        </w:rPr>
      </w:pPr>
      <w:bookmarkStart w:id="21" w:name="_Toc151381450"/>
      <w:r w:rsidRPr="00400689">
        <w:rPr>
          <w:lang w:val="en-GB"/>
        </w:rPr>
        <w:t>2.</w:t>
      </w:r>
      <w:r w:rsidR="00322C73">
        <w:rPr>
          <w:lang w:val="en-GB"/>
        </w:rPr>
        <w:t>2</w:t>
      </w:r>
      <w:r w:rsidRPr="00400689">
        <w:rPr>
          <w:lang w:val="en-GB"/>
        </w:rPr>
        <w:t xml:space="preserve"> Capital Structure Analysis</w:t>
      </w:r>
      <w:bookmarkEnd w:id="21"/>
    </w:p>
    <w:p w14:paraId="76EEB2DA" w14:textId="77777777" w:rsidR="00390BAD" w:rsidRPr="00390BAD" w:rsidRDefault="00390BAD" w:rsidP="00390BAD">
      <w:pPr>
        <w:rPr>
          <w:lang w:val="en-GB"/>
        </w:rPr>
      </w:pPr>
      <w:r w:rsidRPr="00390BAD">
        <w:rPr>
          <w:lang w:val="en-GB"/>
        </w:rPr>
        <w:t>The capital structure of AstraZeneca, which outlines how it combines debt and equity to fund its operations, is a crucial component of its financial structure. The company has notably kept a stable and well-balanced capital structure over the last five years. The debt-to-equity ratio has not changed much over this time, suggesting that AstraZeneca has handled its debt commitments sensibly. This ratio's stability indicates that the company has refrained from taking on excessive debt, which could have put the company's finances at risk.</w:t>
      </w:r>
    </w:p>
    <w:p w14:paraId="3E504F41" w14:textId="77777777" w:rsidR="00702336" w:rsidRPr="00400689" w:rsidRDefault="001A4F11">
      <w:pPr>
        <w:jc w:val="center"/>
        <w:rPr>
          <w:lang w:val="en-GB"/>
        </w:rPr>
      </w:pPr>
      <w:r w:rsidRPr="00400689">
        <w:rPr>
          <w:noProof/>
        </w:rPr>
        <w:lastRenderedPageBreak/>
        <w:drawing>
          <wp:inline distT="114300" distB="114300" distL="114300" distR="114300" wp14:anchorId="74419F33" wp14:editId="1485524E">
            <wp:extent cx="5943600" cy="1905000"/>
            <wp:effectExtent l="25400" t="25400" r="25400" b="254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1905000"/>
                    </a:xfrm>
                    <a:prstGeom prst="rect">
                      <a:avLst/>
                    </a:prstGeom>
                    <a:ln w="25400">
                      <a:solidFill>
                        <a:srgbClr val="000000"/>
                      </a:solidFill>
                      <a:prstDash val="solid"/>
                    </a:ln>
                  </pic:spPr>
                </pic:pic>
              </a:graphicData>
            </a:graphic>
          </wp:inline>
        </w:drawing>
      </w:r>
    </w:p>
    <w:p w14:paraId="29FD4668" w14:textId="04B488D5" w:rsidR="00702336" w:rsidRPr="00400689" w:rsidRDefault="001A4F11">
      <w:pPr>
        <w:jc w:val="center"/>
        <w:rPr>
          <w:b/>
          <w:lang w:val="en-GB"/>
        </w:rPr>
      </w:pPr>
      <w:r w:rsidRPr="00400689">
        <w:rPr>
          <w:b/>
          <w:lang w:val="en-GB"/>
        </w:rPr>
        <w:t xml:space="preserve">Figure </w:t>
      </w:r>
      <w:r w:rsidR="00322C73">
        <w:rPr>
          <w:b/>
          <w:lang w:val="en-GB"/>
        </w:rPr>
        <w:t>4</w:t>
      </w:r>
      <w:r w:rsidRPr="00400689">
        <w:rPr>
          <w:b/>
          <w:lang w:val="en-GB"/>
        </w:rPr>
        <w:t>: debt-to-equity ratio</w:t>
      </w:r>
    </w:p>
    <w:p w14:paraId="7482DCCB" w14:textId="77777777" w:rsidR="00702336" w:rsidRPr="00400689" w:rsidRDefault="001A4F11">
      <w:pPr>
        <w:rPr>
          <w:lang w:val="en-GB"/>
        </w:rPr>
      </w:pPr>
      <w:r w:rsidRPr="00400689">
        <w:rPr>
          <w:lang w:val="en-GB"/>
        </w:rPr>
        <w:t>Data on AstraZeneca's debt-to-equity ratio provides important information about the capital structure as well as financial risk management of the business during the previous five years. With a debt-to-equity ratio of 0.77 in 2023, the capital structure appears to be somewhat conservative. This implies that the business relies less on debt and more on equity financing, which lowers the risk of debt and leverage (Lau</w:t>
      </w:r>
      <w:r w:rsidRPr="00400689">
        <w:rPr>
          <w:i/>
          <w:lang w:val="en-GB"/>
        </w:rPr>
        <w:t xml:space="preserve"> et al</w:t>
      </w:r>
      <w:r w:rsidRPr="00400689">
        <w:rPr>
          <w:lang w:val="en-GB"/>
        </w:rPr>
        <w:t>. 2021). It fits in with the cautious strategy that pharmaceutical companies frequently employ due to their lengthy R&amp;D cycles and requirements for stability. The debt-to-equity ratio did not change from 0.76 in 2022 to 2021, indicating a persistent inclination towards a capital structure that is balanced (</w:t>
      </w:r>
      <w:proofErr w:type="spellStart"/>
      <w:r w:rsidRPr="00400689">
        <w:rPr>
          <w:lang w:val="en-GB"/>
        </w:rPr>
        <w:t>Astrazeneca</w:t>
      </w:r>
      <w:proofErr w:type="spellEnd"/>
      <w:r w:rsidRPr="00400689">
        <w:rPr>
          <w:lang w:val="en-GB"/>
        </w:rPr>
        <w:t>, 2023). AstraZeneca's dedication to upholding a steady financing strategy is demonstrated by this stability, which may be advantageous to stakeholders.</w:t>
      </w:r>
    </w:p>
    <w:p w14:paraId="5B5D4FDB" w14:textId="6631A55B" w:rsidR="00702336" w:rsidRPr="00400689" w:rsidRDefault="001A4F11">
      <w:pPr>
        <w:pStyle w:val="Heading2"/>
        <w:rPr>
          <w:lang w:val="en-GB"/>
        </w:rPr>
      </w:pPr>
      <w:bookmarkStart w:id="22" w:name="_k7w53kmpkm5d" w:colFirst="0" w:colLast="0"/>
      <w:bookmarkStart w:id="23" w:name="_Toc151381451"/>
      <w:bookmarkEnd w:id="22"/>
      <w:r w:rsidRPr="00400689">
        <w:rPr>
          <w:lang w:val="en-GB"/>
        </w:rPr>
        <w:t>2.</w:t>
      </w:r>
      <w:r w:rsidR="00322C73">
        <w:rPr>
          <w:lang w:val="en-GB"/>
        </w:rPr>
        <w:t>3</w:t>
      </w:r>
      <w:r w:rsidRPr="00400689">
        <w:rPr>
          <w:lang w:val="en-GB"/>
        </w:rPr>
        <w:t xml:space="preserve"> Sources of Finance</w:t>
      </w:r>
      <w:bookmarkEnd w:id="23"/>
    </w:p>
    <w:p w14:paraId="25CD64FE" w14:textId="77777777" w:rsidR="00702336" w:rsidRPr="00400689" w:rsidRDefault="001A4F11">
      <w:pPr>
        <w:rPr>
          <w:lang w:val="en-GB"/>
        </w:rPr>
      </w:pPr>
      <w:r w:rsidRPr="00400689">
        <w:rPr>
          <w:lang w:val="en-GB"/>
        </w:rPr>
        <w:t>The investigation explores AstraZeneca's funding sources, looking at the ways in which the business has raised money to fund its ventures and operations. AstraZeneca has mostly depended on a mix of equity and debt financing over the last five years. Bonds and loans are the sources of debt financing, whereas the issuance of shares is the source of equity financing. AstraZeneca has taken a balanced approach in selecting its financing sources. Debt financing has been strategically employed, frequently through partnerships and strategic acquisitions, to seize growth opportunities. When seeking to increase the company's financial versatility or raise capital for large-scale projects, the equity side has been tapped. AstraZeneca has been able to take advantage of debt as well as equity thanks to this strategy.</w:t>
      </w:r>
    </w:p>
    <w:p w14:paraId="53A83558" w14:textId="77777777" w:rsidR="00702336" w:rsidRPr="00400689" w:rsidRDefault="001A4F11">
      <w:pPr>
        <w:rPr>
          <w:lang w:val="en-GB"/>
        </w:rPr>
      </w:pPr>
      <w:r w:rsidRPr="00400689">
        <w:rPr>
          <w:lang w:val="en-GB"/>
        </w:rPr>
        <w:lastRenderedPageBreak/>
        <w:t xml:space="preserve">According to AstraZeneca's balance sheet, the company has a capital structure that is primarily equity-focused. Its reserves and surplus are expected to grow to a total of Rs. 583.69 crores by 2023, with an annual equity capital of Rs. 5.00 crore (AstraZeneca, 2020). The company notably reports other long-term obligations and provisions, with very little long-term borrowing displayed. Trade payments, other current liabilities, and immediate provisions make up the majority of the current liabilities; there are no short-term borrowings. </w:t>
      </w:r>
    </w:p>
    <w:p w14:paraId="77135F56" w14:textId="61BCB9D2" w:rsidR="00702336" w:rsidRPr="00400689" w:rsidRDefault="001A4F11">
      <w:pPr>
        <w:pStyle w:val="Heading2"/>
        <w:rPr>
          <w:lang w:val="en-GB"/>
        </w:rPr>
      </w:pPr>
      <w:bookmarkStart w:id="24" w:name="_ypi1nan61i73" w:colFirst="0" w:colLast="0"/>
      <w:bookmarkStart w:id="25" w:name="_Toc151381452"/>
      <w:bookmarkEnd w:id="24"/>
      <w:r w:rsidRPr="00400689">
        <w:rPr>
          <w:lang w:val="en-GB"/>
        </w:rPr>
        <w:t>2.</w:t>
      </w:r>
      <w:r w:rsidR="00322C73">
        <w:rPr>
          <w:lang w:val="en-GB"/>
        </w:rPr>
        <w:t>4</w:t>
      </w:r>
      <w:r w:rsidRPr="00400689">
        <w:rPr>
          <w:lang w:val="en-GB"/>
        </w:rPr>
        <w:t xml:space="preserve"> Operating Profit</w:t>
      </w:r>
      <w:bookmarkEnd w:id="25"/>
    </w:p>
    <w:p w14:paraId="3D3D5570" w14:textId="77777777" w:rsidR="00702336" w:rsidRPr="00400689" w:rsidRDefault="001A4F11">
      <w:pPr>
        <w:jc w:val="center"/>
        <w:rPr>
          <w:lang w:val="en-GB"/>
        </w:rPr>
      </w:pPr>
      <w:r w:rsidRPr="00400689">
        <w:rPr>
          <w:noProof/>
        </w:rPr>
        <w:drawing>
          <wp:inline distT="114300" distB="114300" distL="114300" distR="114300" wp14:anchorId="59B327AB" wp14:editId="4905A0D7">
            <wp:extent cx="5943600" cy="18542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1854200"/>
                    </a:xfrm>
                    <a:prstGeom prst="rect">
                      <a:avLst/>
                    </a:prstGeom>
                    <a:ln w="25400">
                      <a:solidFill>
                        <a:srgbClr val="000000"/>
                      </a:solidFill>
                      <a:prstDash val="solid"/>
                    </a:ln>
                  </pic:spPr>
                </pic:pic>
              </a:graphicData>
            </a:graphic>
          </wp:inline>
        </w:drawing>
      </w:r>
    </w:p>
    <w:p w14:paraId="75037271" w14:textId="094BF046" w:rsidR="00702336" w:rsidRPr="00400689" w:rsidRDefault="001A4F11">
      <w:pPr>
        <w:jc w:val="center"/>
        <w:rPr>
          <w:b/>
          <w:lang w:val="en-GB"/>
        </w:rPr>
      </w:pPr>
      <w:r w:rsidRPr="00400689">
        <w:rPr>
          <w:b/>
          <w:lang w:val="en-GB"/>
        </w:rPr>
        <w:t xml:space="preserve">Figure </w:t>
      </w:r>
      <w:r w:rsidR="00322C73">
        <w:rPr>
          <w:b/>
          <w:lang w:val="en-GB"/>
        </w:rPr>
        <w:t>5</w:t>
      </w:r>
      <w:r w:rsidRPr="00400689">
        <w:rPr>
          <w:b/>
          <w:lang w:val="en-GB"/>
        </w:rPr>
        <w:t>: Operating Profit</w:t>
      </w:r>
    </w:p>
    <w:p w14:paraId="204A4134" w14:textId="77777777" w:rsidR="00702336" w:rsidRPr="00400689" w:rsidRDefault="001A4F11">
      <w:pPr>
        <w:rPr>
          <w:lang w:val="en-GB"/>
        </w:rPr>
      </w:pPr>
      <w:r w:rsidRPr="00400689">
        <w:rPr>
          <w:lang w:val="en-GB"/>
        </w:rPr>
        <w:t>An important consideration when evaluating the financial health of a company is its financial activity. AstraZeneca has been forward-thinking in allocating its cash reserves for expansion and creativity over the last five years. To stay competitive, AstraZeneca must constantly conduct research and development in the pharmaceutical industry. As a result, the business has always committed a sizeable percentage of its earnings to its R&amp;D projects. AstraZeneca's strategic decision to invest in research and development is a reflection of its dedication to innovation as well as the creation of novel medications and treatments (Statista, 2023). The company's emphasis on research and development investment demonstrates its commitment to remaining at the leading edge of pharmaceutical advancements.</w:t>
      </w:r>
    </w:p>
    <w:p w14:paraId="5BB42DF2" w14:textId="77777777" w:rsidR="00702336" w:rsidRPr="00400689" w:rsidRDefault="001A4F11">
      <w:pPr>
        <w:jc w:val="center"/>
        <w:rPr>
          <w:lang w:val="en-GB"/>
        </w:rPr>
      </w:pPr>
      <w:r w:rsidRPr="00400689">
        <w:rPr>
          <w:noProof/>
        </w:rPr>
        <w:lastRenderedPageBreak/>
        <w:drawing>
          <wp:inline distT="114300" distB="114300" distL="114300" distR="114300" wp14:anchorId="77F82A26" wp14:editId="0675F00A">
            <wp:extent cx="5943600" cy="25781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2578100"/>
                    </a:xfrm>
                    <a:prstGeom prst="rect">
                      <a:avLst/>
                    </a:prstGeom>
                    <a:ln w="25400">
                      <a:solidFill>
                        <a:srgbClr val="000000"/>
                      </a:solidFill>
                      <a:prstDash val="solid"/>
                    </a:ln>
                  </pic:spPr>
                </pic:pic>
              </a:graphicData>
            </a:graphic>
          </wp:inline>
        </w:drawing>
      </w:r>
    </w:p>
    <w:p w14:paraId="2A5396C0" w14:textId="4F384537" w:rsidR="00702336" w:rsidRPr="00400689" w:rsidRDefault="001A4F11">
      <w:pPr>
        <w:jc w:val="center"/>
        <w:rPr>
          <w:b/>
          <w:lang w:val="en-GB"/>
        </w:rPr>
      </w:pPr>
      <w:r w:rsidRPr="00400689">
        <w:rPr>
          <w:b/>
          <w:lang w:val="en-GB"/>
        </w:rPr>
        <w:t xml:space="preserve">Figure </w:t>
      </w:r>
      <w:r w:rsidR="00322C73">
        <w:rPr>
          <w:b/>
          <w:lang w:val="en-GB"/>
        </w:rPr>
        <w:t>6</w:t>
      </w:r>
      <w:r w:rsidRPr="00400689">
        <w:rPr>
          <w:b/>
          <w:lang w:val="en-GB"/>
        </w:rPr>
        <w:t>: Dividend growth of the company</w:t>
      </w:r>
    </w:p>
    <w:p w14:paraId="63CB0490" w14:textId="77777777" w:rsidR="00702336" w:rsidRDefault="001A4F11">
      <w:pPr>
        <w:jc w:val="center"/>
        <w:rPr>
          <w:lang w:val="en-GB"/>
        </w:rPr>
      </w:pPr>
      <w:r w:rsidRPr="00400689">
        <w:rPr>
          <w:lang w:val="en-GB"/>
        </w:rPr>
        <w:t>(Source: Stockanalysis, 2023)</w:t>
      </w:r>
    </w:p>
    <w:p w14:paraId="7E7AE6B8" w14:textId="77777777" w:rsidR="00331380" w:rsidRPr="00331380" w:rsidRDefault="00331380" w:rsidP="00331380">
      <w:pPr>
        <w:pStyle w:val="ListParagraph"/>
        <w:numPr>
          <w:ilvl w:val="0"/>
          <w:numId w:val="3"/>
        </w:numPr>
        <w:rPr>
          <w:lang w:val="en-GB"/>
        </w:rPr>
      </w:pPr>
      <w:r w:rsidRPr="00331380">
        <w:rPr>
          <w:lang w:val="en-GB"/>
        </w:rPr>
        <w:t>AstraZeneca's dedication to rewarding shareholders is demonstrated by its steady dividend distribution pattern.</w:t>
      </w:r>
    </w:p>
    <w:p w14:paraId="4BF21BF3" w14:textId="77777777" w:rsidR="00331380" w:rsidRPr="00331380" w:rsidRDefault="00331380" w:rsidP="00331380">
      <w:pPr>
        <w:pStyle w:val="ListParagraph"/>
        <w:numPr>
          <w:ilvl w:val="0"/>
          <w:numId w:val="3"/>
        </w:numPr>
        <w:rPr>
          <w:lang w:val="en-GB"/>
        </w:rPr>
      </w:pPr>
      <w:r w:rsidRPr="00331380">
        <w:rPr>
          <w:lang w:val="en-GB"/>
        </w:rPr>
        <w:t>The percentage of earnings given as dividends, or the dividend payout ratio, has not changed over time.</w:t>
      </w:r>
    </w:p>
    <w:p w14:paraId="222723E7" w14:textId="77777777" w:rsidR="00331380" w:rsidRPr="00331380" w:rsidRDefault="00331380" w:rsidP="00331380">
      <w:pPr>
        <w:pStyle w:val="ListParagraph"/>
        <w:numPr>
          <w:ilvl w:val="0"/>
          <w:numId w:val="3"/>
        </w:numPr>
        <w:rPr>
          <w:lang w:val="en-GB"/>
        </w:rPr>
      </w:pPr>
      <w:r w:rsidRPr="00331380">
        <w:rPr>
          <w:lang w:val="en-GB"/>
        </w:rPr>
        <w:t>The dividend payout ratio's consistency shows AstraZeneca's sound financial management and commitment to maximising shareholder value.</w:t>
      </w:r>
    </w:p>
    <w:p w14:paraId="52991A9A" w14:textId="77777777" w:rsidR="00331380" w:rsidRPr="00331380" w:rsidRDefault="00331380" w:rsidP="00331380">
      <w:pPr>
        <w:pStyle w:val="ListParagraph"/>
        <w:numPr>
          <w:ilvl w:val="0"/>
          <w:numId w:val="3"/>
        </w:numPr>
        <w:rPr>
          <w:lang w:val="en-GB"/>
        </w:rPr>
      </w:pPr>
      <w:r w:rsidRPr="00331380">
        <w:rPr>
          <w:lang w:val="en-GB"/>
        </w:rPr>
        <w:t>The company's strong financial position is demonstrated by its ability to continue paying dividends in spite of the capital-intensive nature of the pharmaceutical industry.</w:t>
      </w:r>
    </w:p>
    <w:p w14:paraId="4A52C45D" w14:textId="77777777" w:rsidR="00702336" w:rsidRPr="00400689" w:rsidRDefault="001A4F11">
      <w:pPr>
        <w:pStyle w:val="Heading1"/>
        <w:rPr>
          <w:lang w:val="en-GB"/>
        </w:rPr>
      </w:pPr>
      <w:bookmarkStart w:id="26" w:name="_upqkcn8turpx" w:colFirst="0" w:colLast="0"/>
      <w:bookmarkStart w:id="27" w:name="_lqo2fcz4stgb" w:colFirst="0" w:colLast="0"/>
      <w:bookmarkStart w:id="28" w:name="_Toc151381453"/>
      <w:bookmarkEnd w:id="26"/>
      <w:bookmarkEnd w:id="27"/>
      <w:r w:rsidRPr="00400689">
        <w:rPr>
          <w:lang w:val="en-GB"/>
        </w:rPr>
        <w:t>3. Treasury Management Analysis</w:t>
      </w:r>
      <w:bookmarkEnd w:id="28"/>
      <w:r w:rsidRPr="00400689">
        <w:rPr>
          <w:lang w:val="en-GB"/>
        </w:rPr>
        <w:t xml:space="preserve"> </w:t>
      </w:r>
    </w:p>
    <w:p w14:paraId="644400FE" w14:textId="77777777" w:rsidR="00702336" w:rsidRPr="00400689" w:rsidRDefault="001A4F11">
      <w:pPr>
        <w:rPr>
          <w:lang w:val="en-GB"/>
        </w:rPr>
      </w:pPr>
      <w:r w:rsidRPr="00400689">
        <w:rPr>
          <w:lang w:val="en-GB"/>
        </w:rPr>
        <w:t>An essential component of AstraZeneca's economic plan is cash and liquidity management, which makes sure the business has the money on hand to pay short-term debts, take advantage of business opportunities, and fend off financial crises. AstraZeneca's achievement in this domain, as determined by analysing data from 2018 to 2022, is as follows:</w:t>
      </w:r>
    </w:p>
    <w:p w14:paraId="1FE70EFB" w14:textId="77777777" w:rsidR="00702336" w:rsidRPr="00400689" w:rsidRDefault="001A4F11">
      <w:pPr>
        <w:pStyle w:val="Heading2"/>
        <w:rPr>
          <w:lang w:val="en-GB"/>
        </w:rPr>
      </w:pPr>
      <w:bookmarkStart w:id="29" w:name="_u1i83m8gnwqo" w:colFirst="0" w:colLast="0"/>
      <w:bookmarkStart w:id="30" w:name="_Toc151381454"/>
      <w:bookmarkEnd w:id="29"/>
      <w:r w:rsidRPr="00400689">
        <w:rPr>
          <w:lang w:val="en-GB"/>
        </w:rPr>
        <w:lastRenderedPageBreak/>
        <w:t>3.1 Investment Management</w:t>
      </w:r>
      <w:bookmarkEnd w:id="30"/>
    </w:p>
    <w:p w14:paraId="7E366C93" w14:textId="77777777" w:rsidR="00702336" w:rsidRPr="00400689" w:rsidRDefault="001A4F11">
      <w:pPr>
        <w:rPr>
          <w:lang w:val="en-GB"/>
        </w:rPr>
      </w:pPr>
      <w:r w:rsidRPr="00400689">
        <w:rPr>
          <w:lang w:val="en-GB"/>
        </w:rPr>
        <w:t>AstraZeneca's liquid assets fluctuated over the course of the five years, peaking at $6.33 billion in 2019 and falling to a low of $4.83 billion in 2018. It was valued at $6.17 billion as of 2022 (</w:t>
      </w:r>
      <w:proofErr w:type="spellStart"/>
      <w:r w:rsidRPr="00400689">
        <w:rPr>
          <w:lang w:val="en-GB"/>
        </w:rPr>
        <w:t>Astrazeneca</w:t>
      </w:r>
      <w:proofErr w:type="spellEnd"/>
      <w:r w:rsidRPr="00400689">
        <w:rPr>
          <w:lang w:val="en-GB"/>
        </w:rPr>
        <w:t xml:space="preserve">, 2019). A number of variables, including investments, managing debt, and operating cash flows, can be blamed for this variability. </w:t>
      </w:r>
    </w:p>
    <w:p w14:paraId="08F048DA" w14:textId="77777777" w:rsidR="00702336" w:rsidRPr="00400689" w:rsidRDefault="001A4F11">
      <w:pPr>
        <w:pStyle w:val="Heading3"/>
        <w:rPr>
          <w:lang w:val="en-GB"/>
        </w:rPr>
      </w:pPr>
      <w:bookmarkStart w:id="31" w:name="_3u48eguzif46" w:colFirst="0" w:colLast="0"/>
      <w:bookmarkStart w:id="32" w:name="_Toc151381455"/>
      <w:bookmarkEnd w:id="31"/>
      <w:r w:rsidRPr="00400689">
        <w:rPr>
          <w:lang w:val="en-GB"/>
        </w:rPr>
        <w:t>3.1.1 Turnover Ratio for Short-Term Investments</w:t>
      </w:r>
      <w:bookmarkEnd w:id="32"/>
    </w:p>
    <w:p w14:paraId="05279A02" w14:textId="77777777" w:rsidR="00702336" w:rsidRPr="00400689" w:rsidRDefault="001A4F11">
      <w:pPr>
        <w:rPr>
          <w:lang w:val="en-GB"/>
        </w:rPr>
      </w:pPr>
      <w:r w:rsidRPr="00400689">
        <w:rPr>
          <w:lang w:val="en-GB"/>
        </w:rPr>
        <w:t>This ratio assesses how well AstraZeneca controls its investments for a short time in order to produce returns. According to the “Efficient Market Hypothesis (EMH)”, information that is currently accessible should be the basis for short-term investment decisions (</w:t>
      </w:r>
      <w:proofErr w:type="spellStart"/>
      <w:r w:rsidRPr="00400689">
        <w:rPr>
          <w:lang w:val="en-GB"/>
        </w:rPr>
        <w:t>Ehiedu</w:t>
      </w:r>
      <w:proofErr w:type="spellEnd"/>
      <w:r w:rsidRPr="00400689">
        <w:rPr>
          <w:lang w:val="en-GB"/>
        </w:rPr>
        <w:t xml:space="preserve"> and </w:t>
      </w:r>
      <w:proofErr w:type="gramStart"/>
      <w:r w:rsidRPr="00400689">
        <w:rPr>
          <w:lang w:val="en-GB"/>
        </w:rPr>
        <w:t>Obi,  2022</w:t>
      </w:r>
      <w:proofErr w:type="gramEnd"/>
      <w:r w:rsidRPr="00400689">
        <w:rPr>
          <w:lang w:val="en-GB"/>
        </w:rPr>
        <w:t>). The EMH is supported by AstraZeneca's strategy, which maximises returns on short-term investments. AstraZeneca increased the amount of money it made from short-term investments by improving its turnover ratio.</w:t>
      </w:r>
    </w:p>
    <w:p w14:paraId="5B4BE4CA" w14:textId="77777777" w:rsidR="00702336" w:rsidRPr="00400689" w:rsidRDefault="001A4F11">
      <w:pPr>
        <w:jc w:val="center"/>
        <w:rPr>
          <w:i/>
          <w:lang w:val="en-GB"/>
        </w:rPr>
      </w:pPr>
      <w:r w:rsidRPr="00400689">
        <w:rPr>
          <w:i/>
          <w:lang w:val="en-GB"/>
        </w:rPr>
        <w:t>“Short-Term Investments Turnover Ratio = Revenue / Average Short-Term Investments”</w:t>
      </w:r>
    </w:p>
    <w:p w14:paraId="0994FDB7" w14:textId="77777777" w:rsidR="00702336" w:rsidRPr="00400689" w:rsidRDefault="001A4F11">
      <w:pPr>
        <w:jc w:val="center"/>
        <w:rPr>
          <w:lang w:val="en-GB"/>
        </w:rPr>
      </w:pPr>
      <w:r w:rsidRPr="00400689">
        <w:rPr>
          <w:i/>
          <w:lang w:val="en-GB"/>
        </w:rPr>
        <w:t xml:space="preserve">“Average Short-Term Investments = (Short-Term Investments in the Current Year + Short-Term Investments in the Previous Year) / 2” </w:t>
      </w:r>
      <w:r w:rsidRPr="00400689">
        <w:rPr>
          <w:lang w:val="en-GB"/>
        </w:rPr>
        <w:t xml:space="preserve">(Patin </w:t>
      </w:r>
      <w:r w:rsidRPr="00400689">
        <w:rPr>
          <w:i/>
          <w:lang w:val="en-GB"/>
        </w:rPr>
        <w:t>et al.</w:t>
      </w:r>
      <w:r w:rsidRPr="00400689">
        <w:rPr>
          <w:lang w:val="en-GB"/>
        </w:rPr>
        <w:t xml:space="preserve"> 2020)</w:t>
      </w:r>
    </w:p>
    <w:p w14:paraId="33D61146" w14:textId="77777777" w:rsidR="00702336" w:rsidRPr="00400689" w:rsidRDefault="001A4F11">
      <w:pPr>
        <w:jc w:val="center"/>
        <w:rPr>
          <w:i/>
          <w:lang w:val="en-GB"/>
        </w:rPr>
      </w:pPr>
      <w:r w:rsidRPr="00400689">
        <w:rPr>
          <w:i/>
          <w:noProof/>
        </w:rPr>
        <w:lastRenderedPageBreak/>
        <w:drawing>
          <wp:inline distT="114300" distB="114300" distL="114300" distR="114300" wp14:anchorId="15CF6DCE" wp14:editId="51B44456">
            <wp:extent cx="5943600" cy="3746500"/>
            <wp:effectExtent l="25400" t="25400" r="25400" b="2540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943600" cy="3746500"/>
                    </a:xfrm>
                    <a:prstGeom prst="rect">
                      <a:avLst/>
                    </a:prstGeom>
                    <a:ln w="25400">
                      <a:solidFill>
                        <a:srgbClr val="000000"/>
                      </a:solidFill>
                      <a:prstDash val="solid"/>
                    </a:ln>
                  </pic:spPr>
                </pic:pic>
              </a:graphicData>
            </a:graphic>
          </wp:inline>
        </w:drawing>
      </w:r>
    </w:p>
    <w:p w14:paraId="36618252" w14:textId="47751EE6" w:rsidR="00702336" w:rsidRPr="00400689" w:rsidRDefault="001A4F11">
      <w:pPr>
        <w:jc w:val="center"/>
        <w:rPr>
          <w:b/>
          <w:lang w:val="en-GB"/>
        </w:rPr>
      </w:pPr>
      <w:r w:rsidRPr="00400689">
        <w:rPr>
          <w:b/>
          <w:lang w:val="en-GB"/>
        </w:rPr>
        <w:t xml:space="preserve">Figure </w:t>
      </w:r>
      <w:r w:rsidR="000C3B35">
        <w:rPr>
          <w:b/>
          <w:lang w:val="en-GB"/>
        </w:rPr>
        <w:t>7</w:t>
      </w:r>
      <w:r w:rsidRPr="00400689">
        <w:rPr>
          <w:b/>
          <w:lang w:val="en-GB"/>
        </w:rPr>
        <w:t>: Turnover Ratio for Short-Term Investments</w:t>
      </w:r>
    </w:p>
    <w:p w14:paraId="55D1601A" w14:textId="77777777" w:rsidR="00702336" w:rsidRPr="00400689" w:rsidRDefault="001A4F11">
      <w:pPr>
        <w:rPr>
          <w:lang w:val="en-GB"/>
        </w:rPr>
      </w:pPr>
      <w:r w:rsidRPr="00400689">
        <w:rPr>
          <w:lang w:val="en-GB"/>
        </w:rPr>
        <w:t xml:space="preserve">The ability of AstraZeneca to effectively use its short-term investments to produce revenue is shown by the Short-Term Investments Turnover Ratio. Researchers have noted that the organisation had $849 million in investments for the short term in 2018, but the revenue amount was not disclosed. Nonetheless, the turnover considerably improved in the years that followed, particularly in 2021 and 2022. In 2022, AstraZeneca's turnover ratio of 288.09 meant that for each dollar that was utilised in short-term investments, the company made $288.09 in revenue (Leaver and Murphy, 2020). This improvement points to the company's recent efficient management of the company's liquid assets, which may have been </w:t>
      </w:r>
      <w:proofErr w:type="spellStart"/>
      <w:r w:rsidRPr="00400689">
        <w:rPr>
          <w:lang w:val="en-GB"/>
        </w:rPr>
        <w:t>fueled</w:t>
      </w:r>
      <w:proofErr w:type="spellEnd"/>
      <w:r w:rsidRPr="00400689">
        <w:rPr>
          <w:lang w:val="en-GB"/>
        </w:rPr>
        <w:t xml:space="preserve"> by improved investment and cash flow strategies.</w:t>
      </w:r>
    </w:p>
    <w:p w14:paraId="5C6096E4" w14:textId="77777777" w:rsidR="00702336" w:rsidRPr="00400689" w:rsidRDefault="001A4F11">
      <w:pPr>
        <w:pStyle w:val="Heading3"/>
        <w:rPr>
          <w:lang w:val="en-GB"/>
        </w:rPr>
      </w:pPr>
      <w:bookmarkStart w:id="33" w:name="_a9ldbkxsb91m" w:colFirst="0" w:colLast="0"/>
      <w:bookmarkStart w:id="34" w:name="_Toc151381456"/>
      <w:bookmarkEnd w:id="33"/>
      <w:r w:rsidRPr="00400689">
        <w:rPr>
          <w:lang w:val="en-GB"/>
        </w:rPr>
        <w:t>3.1.2 Long-Term Investments Turnover Ratio</w:t>
      </w:r>
      <w:bookmarkEnd w:id="34"/>
    </w:p>
    <w:p w14:paraId="008993AE" w14:textId="77777777" w:rsidR="00702336" w:rsidRPr="00400689" w:rsidRDefault="001A4F11">
      <w:pPr>
        <w:rPr>
          <w:lang w:val="en-GB"/>
        </w:rPr>
      </w:pPr>
      <w:r w:rsidRPr="00400689">
        <w:rPr>
          <w:lang w:val="en-GB"/>
        </w:rPr>
        <w:t xml:space="preserve">This ratio assesses how well AstraZeneca manages its long-term investments in order to produce returns. Investment choices can be influenced by the “Capital Asset Pricing Model (CAPM)”. AstraZeneca wants to maximise the growth of its investment portfolio over the long run by </w:t>
      </w:r>
      <w:r w:rsidRPr="00400689">
        <w:rPr>
          <w:lang w:val="en-GB"/>
        </w:rPr>
        <w:lastRenderedPageBreak/>
        <w:t>weighing the risk and return of long-term investments. Plant, equipment, and real estate are examples of long-term assets in which AstraZeneca has invested.</w:t>
      </w:r>
    </w:p>
    <w:p w14:paraId="38F32E70" w14:textId="77777777" w:rsidR="00702336" w:rsidRPr="00400689" w:rsidRDefault="001A4F11">
      <w:pPr>
        <w:jc w:val="center"/>
        <w:rPr>
          <w:i/>
          <w:lang w:val="en-GB"/>
        </w:rPr>
      </w:pPr>
      <w:r w:rsidRPr="00400689">
        <w:rPr>
          <w:i/>
          <w:lang w:val="en-GB"/>
        </w:rPr>
        <w:t>“Long-Term Investments Turnover Ratio = Revenue / Average Long-Term Investments”</w:t>
      </w:r>
    </w:p>
    <w:p w14:paraId="64494951" w14:textId="77777777" w:rsidR="00702336" w:rsidRPr="00400689" w:rsidRDefault="001A4F11">
      <w:pPr>
        <w:jc w:val="center"/>
        <w:rPr>
          <w:i/>
          <w:lang w:val="en-GB"/>
        </w:rPr>
      </w:pPr>
      <w:r w:rsidRPr="00400689">
        <w:rPr>
          <w:i/>
          <w:lang w:val="en-GB"/>
        </w:rPr>
        <w:t>“Average Long-Term Investments = (Long-Term Investments in the Current Year + Long-Term Investments in the Previous Year) / 2”</w:t>
      </w:r>
    </w:p>
    <w:p w14:paraId="6A8E8A6E" w14:textId="77777777" w:rsidR="00702336" w:rsidRPr="00400689" w:rsidRDefault="001A4F11">
      <w:pPr>
        <w:jc w:val="center"/>
        <w:rPr>
          <w:lang w:val="en-GB"/>
        </w:rPr>
      </w:pPr>
      <w:r w:rsidRPr="00400689">
        <w:rPr>
          <w:noProof/>
        </w:rPr>
        <w:drawing>
          <wp:inline distT="114300" distB="114300" distL="114300" distR="114300" wp14:anchorId="0BAE828B" wp14:editId="40D2C62B">
            <wp:extent cx="5148263" cy="3093908"/>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148263" cy="3093908"/>
                    </a:xfrm>
                    <a:prstGeom prst="rect">
                      <a:avLst/>
                    </a:prstGeom>
                    <a:ln w="25400">
                      <a:solidFill>
                        <a:srgbClr val="000000"/>
                      </a:solidFill>
                      <a:prstDash val="solid"/>
                    </a:ln>
                  </pic:spPr>
                </pic:pic>
              </a:graphicData>
            </a:graphic>
          </wp:inline>
        </w:drawing>
      </w:r>
    </w:p>
    <w:p w14:paraId="79618E46" w14:textId="761F2758" w:rsidR="00702336" w:rsidRPr="00400689" w:rsidRDefault="001A4F11">
      <w:pPr>
        <w:jc w:val="center"/>
        <w:rPr>
          <w:lang w:val="en-GB"/>
        </w:rPr>
      </w:pPr>
      <w:r w:rsidRPr="00400689">
        <w:rPr>
          <w:b/>
          <w:lang w:val="en-GB"/>
        </w:rPr>
        <w:t xml:space="preserve">Figure </w:t>
      </w:r>
      <w:r w:rsidR="000C3B35">
        <w:rPr>
          <w:b/>
          <w:lang w:val="en-GB"/>
        </w:rPr>
        <w:t>8</w:t>
      </w:r>
      <w:r w:rsidRPr="00400689">
        <w:rPr>
          <w:b/>
          <w:lang w:val="en-GB"/>
        </w:rPr>
        <w:t>: Turnover Ratio for Long-Term Investments</w:t>
      </w:r>
    </w:p>
    <w:p w14:paraId="2E9C1E59" w14:textId="77777777" w:rsidR="00702336" w:rsidRPr="00400689" w:rsidRDefault="001A4F11">
      <w:pPr>
        <w:rPr>
          <w:lang w:val="en-GB"/>
        </w:rPr>
      </w:pPr>
      <w:r w:rsidRPr="00400689">
        <w:rPr>
          <w:lang w:val="en-GB"/>
        </w:rPr>
        <w:t>How well AstraZeneca controls its investments that will continue to produce income is shown by the Long-Term Investments Turnover Ratio. In comparison to 2018, the turnover ratio increased dramatically in 2022. For each dollar that was invested in long-term investments made by AstraZeneca in 2022, $49.83 in revenue was produced (</w:t>
      </w:r>
      <w:proofErr w:type="spellStart"/>
      <w:r w:rsidRPr="00400689">
        <w:rPr>
          <w:lang w:val="en-GB"/>
        </w:rPr>
        <w:t>Astrazeneca</w:t>
      </w:r>
      <w:proofErr w:type="spellEnd"/>
      <w:r w:rsidRPr="00400689">
        <w:rPr>
          <w:lang w:val="en-GB"/>
        </w:rPr>
        <w:t>, 2018). This shows that the business has an effective long-term investment approach and that it is effectively generating income from its long-term investments.</w:t>
      </w:r>
    </w:p>
    <w:p w14:paraId="36450D2E" w14:textId="77777777" w:rsidR="00702336" w:rsidRPr="00400689" w:rsidRDefault="001A4F11">
      <w:pPr>
        <w:pStyle w:val="Heading3"/>
        <w:rPr>
          <w:lang w:val="en-GB"/>
        </w:rPr>
      </w:pPr>
      <w:bookmarkStart w:id="35" w:name="_pax60b5325tj" w:colFirst="0" w:colLast="0"/>
      <w:bookmarkStart w:id="36" w:name="_Toc151381457"/>
      <w:bookmarkEnd w:id="35"/>
      <w:r w:rsidRPr="00400689">
        <w:rPr>
          <w:lang w:val="en-GB"/>
        </w:rPr>
        <w:t>3.1.3 Net Cash Position Ratio</w:t>
      </w:r>
      <w:bookmarkEnd w:id="36"/>
    </w:p>
    <w:p w14:paraId="1217772E" w14:textId="77777777" w:rsidR="00702336" w:rsidRPr="00400689" w:rsidRDefault="001A4F11">
      <w:pPr>
        <w:rPr>
          <w:lang w:val="en-GB"/>
        </w:rPr>
      </w:pPr>
      <w:r w:rsidRPr="00400689">
        <w:rPr>
          <w:lang w:val="en-GB"/>
        </w:rPr>
        <w:t xml:space="preserve">This ratio assesses AstraZeneca's financial standing by indicating whether or not it has more debt or cash. It is computed as total debt minus cash and cash equivalents. According to Harry </w:t>
      </w:r>
      <w:r w:rsidRPr="00400689">
        <w:rPr>
          <w:lang w:val="en-GB"/>
        </w:rPr>
        <w:lastRenderedPageBreak/>
        <w:t xml:space="preserve">“Markowitz's Modern Portfolio Theory (MPT)”, diversification can lower risk (Cui and </w:t>
      </w:r>
      <w:proofErr w:type="gramStart"/>
      <w:r w:rsidRPr="00400689">
        <w:rPr>
          <w:lang w:val="en-GB"/>
        </w:rPr>
        <w:t>Cheng,  2022</w:t>
      </w:r>
      <w:proofErr w:type="gramEnd"/>
      <w:r w:rsidRPr="00400689">
        <w:rPr>
          <w:lang w:val="en-GB"/>
        </w:rPr>
        <w:t xml:space="preserve">). Through the distribution of its investments across several industries and geographical areas, AstraZeneca's diversification strategy reduces risk. Through clever investments in the healthcare industry, AstraZeneca has expanded its product products and services and geographic presence, thereby diversifying its investment portfolio. R&amp;D expenditures are comparable to call possibilities on future projects, according to the Real Options Theory. AstraZeneca is pursuing the option to move forward with possible lucrative drug development projects by making significant investments in research and development. Research and development (R&amp;D) </w:t>
      </w:r>
      <w:proofErr w:type="gramStart"/>
      <w:r w:rsidRPr="00400689">
        <w:rPr>
          <w:lang w:val="en-GB"/>
        </w:rPr>
        <w:t>is</w:t>
      </w:r>
      <w:proofErr w:type="gramEnd"/>
      <w:r w:rsidRPr="00400689">
        <w:rPr>
          <w:lang w:val="en-GB"/>
        </w:rPr>
        <w:t xml:space="preserve"> where a large amount of AstraZeneca's investments go towards creating new medications and treatments.</w:t>
      </w:r>
    </w:p>
    <w:p w14:paraId="2943CE8B" w14:textId="77777777" w:rsidR="00702336" w:rsidRPr="00400689" w:rsidRDefault="00702336">
      <w:pPr>
        <w:rPr>
          <w:lang w:val="en-GB"/>
        </w:rPr>
      </w:pPr>
    </w:p>
    <w:p w14:paraId="29577221" w14:textId="77777777" w:rsidR="00702336" w:rsidRPr="00400689" w:rsidRDefault="00702336">
      <w:pPr>
        <w:rPr>
          <w:lang w:val="en-GB"/>
        </w:rPr>
      </w:pPr>
    </w:p>
    <w:p w14:paraId="1AC22858" w14:textId="77777777" w:rsidR="00702336" w:rsidRPr="00400689" w:rsidRDefault="001A4F11">
      <w:pPr>
        <w:jc w:val="center"/>
        <w:rPr>
          <w:lang w:val="en-GB"/>
        </w:rPr>
      </w:pPr>
      <w:r w:rsidRPr="00400689">
        <w:rPr>
          <w:noProof/>
        </w:rPr>
        <w:lastRenderedPageBreak/>
        <w:drawing>
          <wp:inline distT="114300" distB="114300" distL="114300" distR="114300" wp14:anchorId="710937E2" wp14:editId="09B1D842">
            <wp:extent cx="5395913" cy="5647119"/>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395913" cy="5647119"/>
                    </a:xfrm>
                    <a:prstGeom prst="rect">
                      <a:avLst/>
                    </a:prstGeom>
                    <a:ln w="25400">
                      <a:solidFill>
                        <a:srgbClr val="000000"/>
                      </a:solidFill>
                      <a:prstDash val="solid"/>
                    </a:ln>
                  </pic:spPr>
                </pic:pic>
              </a:graphicData>
            </a:graphic>
          </wp:inline>
        </w:drawing>
      </w:r>
    </w:p>
    <w:p w14:paraId="25926EF8" w14:textId="2A1AA539" w:rsidR="00702336" w:rsidRPr="00400689" w:rsidRDefault="001A4F11">
      <w:pPr>
        <w:jc w:val="center"/>
        <w:rPr>
          <w:b/>
          <w:lang w:val="en-GB"/>
        </w:rPr>
      </w:pPr>
      <w:r w:rsidRPr="00400689">
        <w:rPr>
          <w:b/>
          <w:lang w:val="en-GB"/>
        </w:rPr>
        <w:t xml:space="preserve">Figure </w:t>
      </w:r>
      <w:r w:rsidR="000C3B35">
        <w:rPr>
          <w:b/>
          <w:lang w:val="en-GB"/>
        </w:rPr>
        <w:t>9</w:t>
      </w:r>
      <w:r w:rsidRPr="00400689">
        <w:rPr>
          <w:b/>
          <w:lang w:val="en-GB"/>
        </w:rPr>
        <w:t>:  Net Cash Position Ratio</w:t>
      </w:r>
    </w:p>
    <w:p w14:paraId="7DB7E001" w14:textId="77777777" w:rsidR="00702336" w:rsidRPr="00400689" w:rsidRDefault="001A4F11">
      <w:pPr>
        <w:rPr>
          <w:lang w:val="en-GB"/>
        </w:rPr>
      </w:pPr>
      <w:r w:rsidRPr="00400689">
        <w:rPr>
          <w:lang w:val="en-GB"/>
        </w:rPr>
        <w:t>AstraZeneca's financial stability can be inferred from the Net Cash Position Ratio, which shows whether the company has more cash on hand or more debt. An organisation with a negative net cash standing has more debt compared to cash. With a net cash position of -$13.43 billion in 2018, AstraZeneca was heavily indebted. Nonetheless, over time, the net cash position steadily improved, hitting -$22.83 billion in the year 2022 (McEwan</w:t>
      </w:r>
      <w:r w:rsidRPr="00400689">
        <w:rPr>
          <w:i/>
          <w:lang w:val="en-GB"/>
        </w:rPr>
        <w:t xml:space="preserve"> et al</w:t>
      </w:r>
      <w:r w:rsidRPr="00400689">
        <w:rPr>
          <w:lang w:val="en-GB"/>
        </w:rPr>
        <w:t>. 2020). This indicates a change in focus towards debt reduction and increased liquidity, both of which can be wise financial moves.</w:t>
      </w:r>
    </w:p>
    <w:p w14:paraId="1219843F" w14:textId="77777777" w:rsidR="00702336" w:rsidRPr="00400689" w:rsidRDefault="001A4F11">
      <w:pPr>
        <w:pStyle w:val="Heading2"/>
        <w:rPr>
          <w:lang w:val="en-GB"/>
        </w:rPr>
      </w:pPr>
      <w:bookmarkStart w:id="37" w:name="_a5hkm58ffjs2" w:colFirst="0" w:colLast="0"/>
      <w:bookmarkStart w:id="38" w:name="_Toc151381458"/>
      <w:bookmarkEnd w:id="37"/>
      <w:r w:rsidRPr="00400689">
        <w:rPr>
          <w:lang w:val="en-GB"/>
        </w:rPr>
        <w:lastRenderedPageBreak/>
        <w:t>3.2 Working Capital Management</w:t>
      </w:r>
      <w:bookmarkEnd w:id="38"/>
      <w:r w:rsidRPr="00400689">
        <w:rPr>
          <w:lang w:val="en-GB"/>
        </w:rPr>
        <w:t xml:space="preserve"> </w:t>
      </w:r>
    </w:p>
    <w:p w14:paraId="77F31E5B" w14:textId="77777777" w:rsidR="00702336" w:rsidRPr="00400689" w:rsidRDefault="001A4F11">
      <w:pPr>
        <w:rPr>
          <w:lang w:val="en-GB"/>
        </w:rPr>
      </w:pPr>
      <w:r w:rsidRPr="00400689">
        <w:rPr>
          <w:lang w:val="en-GB"/>
        </w:rPr>
        <w:t>A business's capacity to satisfy short-term obligations and maintain liquidity is directly impacted by its working capital management, making it an essential component of its financial operations. The working capital management of AstraZeneca has changed significantly in the last few years. The analysis that follows includes an examination of the company's strategic choices, the application of pertinent theories and frameworks, and a numerical comparison of the major components of working capital for the years 2018 through 2022. The ability of the business to keep track of its short-term liabilities with its assets indicates how well it manages working capital. Total current assets rose by roughly 30% over the five-year period, from $15.56 billion in 2019 to $20.34 billion in 2022 (Ahmed and Schippert, 2020). A strategic emphasis on short-term investment management may be indicated by the rise in current assets. But from $18.12 billion in 2019 to $21.61 billion in 2022, total current liabilities also increased. This may indicate a greater requirement for short-term loans to pay for mounting short-term debt.</w:t>
      </w:r>
    </w:p>
    <w:p w14:paraId="44E06F1C" w14:textId="77777777" w:rsidR="00702336" w:rsidRPr="00400689" w:rsidRDefault="001A4F11">
      <w:pPr>
        <w:jc w:val="center"/>
        <w:rPr>
          <w:lang w:val="en-GB"/>
        </w:rPr>
      </w:pPr>
      <w:r w:rsidRPr="00400689">
        <w:rPr>
          <w:noProof/>
        </w:rPr>
        <w:drawing>
          <wp:inline distT="114300" distB="114300" distL="114300" distR="114300" wp14:anchorId="06C218E6" wp14:editId="5F41D684">
            <wp:extent cx="4997855" cy="3964645"/>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997855" cy="3964645"/>
                    </a:xfrm>
                    <a:prstGeom prst="rect">
                      <a:avLst/>
                    </a:prstGeom>
                    <a:ln w="25400">
                      <a:solidFill>
                        <a:srgbClr val="000000"/>
                      </a:solidFill>
                      <a:prstDash val="solid"/>
                    </a:ln>
                  </pic:spPr>
                </pic:pic>
              </a:graphicData>
            </a:graphic>
          </wp:inline>
        </w:drawing>
      </w:r>
    </w:p>
    <w:p w14:paraId="71136E4B" w14:textId="5E3D5AE3" w:rsidR="00702336" w:rsidRPr="00400689" w:rsidRDefault="001A4F11">
      <w:pPr>
        <w:jc w:val="center"/>
        <w:rPr>
          <w:b/>
          <w:lang w:val="en-GB"/>
        </w:rPr>
      </w:pPr>
      <w:r w:rsidRPr="00400689">
        <w:rPr>
          <w:b/>
          <w:lang w:val="en-GB"/>
        </w:rPr>
        <w:t xml:space="preserve">Figure </w:t>
      </w:r>
      <w:r w:rsidR="000C3B35">
        <w:rPr>
          <w:b/>
          <w:lang w:val="en-GB"/>
        </w:rPr>
        <w:t>10</w:t>
      </w:r>
      <w:r w:rsidRPr="00400689">
        <w:rPr>
          <w:b/>
          <w:lang w:val="en-GB"/>
        </w:rPr>
        <w:t>:  Working Capital Management</w:t>
      </w:r>
    </w:p>
    <w:p w14:paraId="117B2D62" w14:textId="77777777" w:rsidR="00702336" w:rsidRPr="00400689" w:rsidRDefault="001A4F11">
      <w:pPr>
        <w:rPr>
          <w:lang w:val="en-GB"/>
        </w:rPr>
      </w:pPr>
      <w:r w:rsidRPr="00400689">
        <w:rPr>
          <w:lang w:val="en-GB"/>
        </w:rPr>
        <w:lastRenderedPageBreak/>
        <w:t>Strong financial oversight and improving liquidity are critical, as AstraZeneca has continuously shown. As the balance sheet data shows, keeping a sizeable amount of money and its equivalent serves a number of purposes. In addition to enabling speedy investment in opportunities and guaranteeing the company's ability to fulfil its short-term financial responsibilities on time, it offers a safety net to cover unforeseen expenses and market uncertainties. The “theory of Cash and Equivalents Growth” emphasises the significance of a growing trend in reserve accumulation, and AstraZeneca's track record of growing the amount of cash and equivalents over time supports this theory (Diaw, 2021).</w:t>
      </w:r>
    </w:p>
    <w:p w14:paraId="3D88BF13" w14:textId="77777777" w:rsidR="00702336" w:rsidRPr="00400689" w:rsidRDefault="001A4F11">
      <w:pPr>
        <w:rPr>
          <w:lang w:val="en-GB"/>
        </w:rPr>
      </w:pPr>
      <w:r w:rsidRPr="00400689">
        <w:rPr>
          <w:lang w:val="en-GB"/>
        </w:rPr>
        <w:t>The quick ratio's slight decline from 2021 to 2022 could indicate adjustments to inventory control procedures. Since inventory management has a direct impact on liquidity, it is an essential component of working capital. Through efficient inventory management and turnover, AstraZeneca is able to release capital that would otherwise be invested in unsold goods. The “Inventory Turnover Theory” highlights how important it is to quickly convert inventory into revenue. This strategy lowers carrying costs and lowers the possibility of out-of-date or expired inventory. The choices made by AstraZeneca in this area support their working capital strategy by guaranteeing effective resource use.</w:t>
      </w:r>
    </w:p>
    <w:p w14:paraId="421717C4" w14:textId="77777777" w:rsidR="00702336" w:rsidRPr="00400689" w:rsidRDefault="001A4F11">
      <w:pPr>
        <w:pStyle w:val="Heading2"/>
        <w:rPr>
          <w:lang w:val="en-GB"/>
        </w:rPr>
      </w:pPr>
      <w:bookmarkStart w:id="39" w:name="_jaoxz7ng3l7" w:colFirst="0" w:colLast="0"/>
      <w:bookmarkStart w:id="40" w:name="_Toc151381459"/>
      <w:bookmarkEnd w:id="39"/>
      <w:r w:rsidRPr="00400689">
        <w:rPr>
          <w:lang w:val="en-GB"/>
        </w:rPr>
        <w:t>3.3 Debt Management</w:t>
      </w:r>
      <w:bookmarkEnd w:id="40"/>
    </w:p>
    <w:p w14:paraId="0AF78835" w14:textId="77777777" w:rsidR="00702336" w:rsidRPr="00400689" w:rsidRDefault="001A4F11">
      <w:pPr>
        <w:rPr>
          <w:lang w:val="en-GB"/>
        </w:rPr>
      </w:pPr>
      <w:r w:rsidRPr="00400689">
        <w:rPr>
          <w:lang w:val="en-GB"/>
        </w:rPr>
        <w:t>Working capital management is significantly impacted by the company's active debt management policies. AstraZeneca reduces the amount of money it has to pay back in principal and interest by continuously lowering its long-term debt levels. The company's working capital position is strengthened and its ability to allocate assets more flexibly is improved by the corresponding decrease in financial obligations. The business's debt reduction strategy is guided by models such as the Debt/Equity Ratio and the Debt/EBITDA Ratio, which are in line with the fiscal tenets of prudent leverage. A healthier ratio of assets to liabilities results from lower debt levels, which supports overall financial stability.</w:t>
      </w:r>
    </w:p>
    <w:p w14:paraId="5531101A" w14:textId="77777777" w:rsidR="00702336" w:rsidRPr="00400689" w:rsidRDefault="001A4F11">
      <w:pPr>
        <w:jc w:val="center"/>
        <w:rPr>
          <w:lang w:val="en-GB"/>
        </w:rPr>
      </w:pPr>
      <w:r w:rsidRPr="00400689">
        <w:rPr>
          <w:noProof/>
        </w:rPr>
        <w:lastRenderedPageBreak/>
        <w:drawing>
          <wp:inline distT="114300" distB="114300" distL="114300" distR="114300" wp14:anchorId="7BCF712C" wp14:editId="6035A26A">
            <wp:extent cx="5943600" cy="3746500"/>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943600" cy="3746500"/>
                    </a:xfrm>
                    <a:prstGeom prst="rect">
                      <a:avLst/>
                    </a:prstGeom>
                    <a:ln w="25400">
                      <a:solidFill>
                        <a:srgbClr val="000000"/>
                      </a:solidFill>
                      <a:prstDash val="solid"/>
                    </a:ln>
                  </pic:spPr>
                </pic:pic>
              </a:graphicData>
            </a:graphic>
          </wp:inline>
        </w:drawing>
      </w:r>
    </w:p>
    <w:p w14:paraId="56438DC9" w14:textId="617CBD50" w:rsidR="00702336" w:rsidRPr="00400689" w:rsidRDefault="001A4F11">
      <w:pPr>
        <w:jc w:val="center"/>
        <w:rPr>
          <w:lang w:val="en-GB"/>
        </w:rPr>
      </w:pPr>
      <w:r w:rsidRPr="00400689">
        <w:rPr>
          <w:b/>
          <w:lang w:val="en-GB"/>
        </w:rPr>
        <w:t>Figure 1</w:t>
      </w:r>
      <w:r w:rsidR="000C3B35">
        <w:rPr>
          <w:b/>
          <w:lang w:val="en-GB"/>
        </w:rPr>
        <w:t>1</w:t>
      </w:r>
      <w:r w:rsidRPr="00400689">
        <w:rPr>
          <w:b/>
          <w:lang w:val="en-GB"/>
        </w:rPr>
        <w:t>: EBITDA</w:t>
      </w:r>
    </w:p>
    <w:p w14:paraId="78A337C6" w14:textId="77777777" w:rsidR="00702336" w:rsidRPr="00400689" w:rsidRDefault="001A4F11">
      <w:pPr>
        <w:rPr>
          <w:lang w:val="en-GB"/>
        </w:rPr>
      </w:pPr>
      <w:r w:rsidRPr="00400689">
        <w:rPr>
          <w:lang w:val="en-GB"/>
        </w:rPr>
        <w:t>Before taxes, interest, and non-cash costs like depreciation and amortisation are taken into consideration, the company's profitability as a whole is shown by EBITDA. A greater EBITDA suggests that the business makes a significant profit from its core activities. From $8,423 million in 2021 to $7,562 million in 2022, AstraZeneca's EBITDA fell. A number of factors, such as changes in product sales, R&amp;D expenses, and market conditions, can be blamed for this decline (</w:t>
      </w:r>
      <w:proofErr w:type="spellStart"/>
      <w:r w:rsidRPr="00400689">
        <w:rPr>
          <w:lang w:val="en-GB"/>
        </w:rPr>
        <w:t>Astrazeneca</w:t>
      </w:r>
      <w:proofErr w:type="spellEnd"/>
      <w:r w:rsidRPr="00400689">
        <w:rPr>
          <w:lang w:val="en-GB"/>
        </w:rPr>
        <w:t xml:space="preserve">, 2022). According to financial theory, keeping an acceptable EBITDA is essential for managing debt since it shows how well the business can pay off debt and cover interest costs. </w:t>
      </w:r>
    </w:p>
    <w:p w14:paraId="289FAC61" w14:textId="77777777" w:rsidR="00702336" w:rsidRPr="00400689" w:rsidRDefault="001A4F11">
      <w:pPr>
        <w:rPr>
          <w:lang w:val="en-GB"/>
        </w:rPr>
      </w:pPr>
      <w:r w:rsidRPr="00400689">
        <w:rPr>
          <w:lang w:val="en-GB"/>
        </w:rPr>
        <w:t xml:space="preserve">The way AstraZeneca manages its debt varies. In 2020, debt growth climbed by 11.81%, but in 2019, it fell by -4.64%. This suggests that the business may have optimised its debt structure by implementing strategic measures. According to the Pecking Order Theory, businesses should, whenever possible, favour internal financing (keep the earnings) over outside funding (debt). AstraZeneca adopts this theory and reduces its economic risk by cutting debt. AstraZeneca has made efforts to lower its debt-to-equity ratio, demonstrating a commitment to minimising financial leverage. </w:t>
      </w:r>
    </w:p>
    <w:p w14:paraId="10A4CC0C" w14:textId="77777777" w:rsidR="00702336" w:rsidRPr="00400689" w:rsidRDefault="001A4F11">
      <w:pPr>
        <w:rPr>
          <w:lang w:val="en-GB"/>
        </w:rPr>
      </w:pPr>
      <w:r w:rsidRPr="00400689">
        <w:rPr>
          <w:lang w:val="en-GB"/>
        </w:rPr>
        <w:lastRenderedPageBreak/>
        <w:t>One of the most important profitability metrics is the EBITDA Margin, which shows EBITDA as a percentage of total revenue. Stronger operational efficiency is indicated by a higher EBITDA margin. The EBITDA margin for AstraZeneca dropped from 31.65% in 2021 to 20.21% in 2022. This decrease should be taken into account since it might affect the business's capacity to pay off its debt. According to “financial theories”, a business should aim for steadily rising profit margins in order to service its debt. Expenses for depreciation and amortisation show how long-term asset costs are distributed over their useful lives. In 2022, AstraZeneca's depreciation and amortisation costs climbed to $6,530 million from $3,149 million in 2021 (AstraZeneca, 2021). Higher capital expenditures, which represent investments in long-term assets, could be the cause of this increase. The way these costs are treated in accounting affects net income and, in turn, the capacity to pay off debt</w:t>
      </w:r>
      <w:r w:rsidR="00A5087D">
        <w:rPr>
          <w:lang w:val="en-GB"/>
        </w:rPr>
        <w:t xml:space="preserve"> is elemental</w:t>
      </w:r>
      <w:r w:rsidRPr="00400689">
        <w:rPr>
          <w:lang w:val="en-GB"/>
        </w:rPr>
        <w:t xml:space="preserve">. The selection of depreciation methods can carry considerable weight, as sound accounting practises are emphasised by financial theory. </w:t>
      </w:r>
    </w:p>
    <w:p w14:paraId="1D34B4CA" w14:textId="77777777" w:rsidR="00702336" w:rsidRPr="00400689" w:rsidRDefault="001A4F11">
      <w:pPr>
        <w:jc w:val="center"/>
        <w:rPr>
          <w:lang w:val="en-GB"/>
        </w:rPr>
      </w:pPr>
      <w:r w:rsidRPr="00400689">
        <w:rPr>
          <w:noProof/>
        </w:rPr>
        <w:drawing>
          <wp:inline distT="114300" distB="114300" distL="114300" distR="114300" wp14:anchorId="04A4990C" wp14:editId="39902159">
            <wp:extent cx="5443538" cy="3498171"/>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443538" cy="3498171"/>
                    </a:xfrm>
                    <a:prstGeom prst="rect">
                      <a:avLst/>
                    </a:prstGeom>
                    <a:ln w="25400">
                      <a:solidFill>
                        <a:srgbClr val="000000"/>
                      </a:solidFill>
                      <a:prstDash val="solid"/>
                    </a:ln>
                  </pic:spPr>
                </pic:pic>
              </a:graphicData>
            </a:graphic>
          </wp:inline>
        </w:drawing>
      </w:r>
    </w:p>
    <w:p w14:paraId="0A08675A" w14:textId="4D12DD4F" w:rsidR="00702336" w:rsidRPr="00400689" w:rsidRDefault="001A4F11">
      <w:pPr>
        <w:jc w:val="center"/>
        <w:rPr>
          <w:lang w:val="en-GB"/>
        </w:rPr>
      </w:pPr>
      <w:r w:rsidRPr="00400689">
        <w:rPr>
          <w:b/>
          <w:lang w:val="en-GB"/>
        </w:rPr>
        <w:t>Figure 1</w:t>
      </w:r>
      <w:r w:rsidR="000C3B35">
        <w:rPr>
          <w:b/>
          <w:lang w:val="en-GB"/>
        </w:rPr>
        <w:t>2</w:t>
      </w:r>
      <w:r w:rsidRPr="00400689">
        <w:rPr>
          <w:b/>
          <w:lang w:val="en-GB"/>
        </w:rPr>
        <w:t>: EBIT</w:t>
      </w:r>
    </w:p>
    <w:p w14:paraId="7F71A37C" w14:textId="77777777" w:rsidR="00702336" w:rsidRPr="00400689" w:rsidRDefault="001A4F11">
      <w:pPr>
        <w:rPr>
          <w:lang w:val="en-GB"/>
        </w:rPr>
      </w:pPr>
      <w:r w:rsidRPr="00400689">
        <w:rPr>
          <w:lang w:val="en-GB"/>
        </w:rPr>
        <w:t xml:space="preserve">EBIT is a metric used to assess a company's profitability that is calculated after deducting operating costs but before taxes and interest. For example, EBIT at AstraZeneca dropped from $5,274 million in 2021 to $1,032 million in 2022. The aforementioned factors affecting EBITDA </w:t>
      </w:r>
      <w:r w:rsidRPr="00400689">
        <w:rPr>
          <w:lang w:val="en-GB"/>
        </w:rPr>
        <w:lastRenderedPageBreak/>
        <w:t>can be linked to this decrease. The significance of EBIT in evaluating a company's capacity to cover interest costs, a vital component of debt management, is highlighted by financial theory. EBIT is shown as a percentage of total revenue by the EBIT Margin. It shows the percentage of revenue that is kept after operating expenses are paid but before taxes and interest are taken into consideration. AstraZeneca's EBIT margin dropped from 19.81% in 2021 to 2.76% in 2022. Because it affects the company's ability to pay down its debt, this decline in EBIT margin is an important aspect of debt management. Strong profit margins are recommended by financial theories in order to support debt repayment.</w:t>
      </w:r>
    </w:p>
    <w:p w14:paraId="4599CA4D" w14:textId="77777777" w:rsidR="00702336" w:rsidRPr="00400689" w:rsidRDefault="001A4F11">
      <w:pPr>
        <w:rPr>
          <w:lang w:val="en-GB"/>
        </w:rPr>
      </w:pPr>
      <w:r w:rsidRPr="00400689">
        <w:rPr>
          <w:lang w:val="en-GB"/>
        </w:rPr>
        <w:t>According to the data analysis, AstraZeneca's EBITDA, EBITDA margin, EBIT, and EBIT margin decreased in 2022 as opposed to 2021. The company's ability to pay interest costs and debt repayment obligations may be affected by these changes, which may have an impact on its debt management strategies. In order to support its debt management goals, AstraZeneca may need to concentrate on increasing profitability margins, reducing depreciation and amortisation costs, and improving overall operational efficiency in order to comply with financial theories and models.</w:t>
      </w:r>
    </w:p>
    <w:p w14:paraId="37F2C85C" w14:textId="77777777" w:rsidR="00702336" w:rsidRPr="00400689" w:rsidRDefault="001A4F11">
      <w:pPr>
        <w:pStyle w:val="Heading2"/>
        <w:rPr>
          <w:lang w:val="en-GB"/>
        </w:rPr>
      </w:pPr>
      <w:bookmarkStart w:id="41" w:name="_t5vhciph3iok" w:colFirst="0" w:colLast="0"/>
      <w:bookmarkStart w:id="42" w:name="_Toc151381460"/>
      <w:bookmarkEnd w:id="41"/>
      <w:r w:rsidRPr="00400689">
        <w:rPr>
          <w:lang w:val="en-GB"/>
        </w:rPr>
        <w:t>3.3 Risk Management</w:t>
      </w:r>
      <w:bookmarkEnd w:id="42"/>
    </w:p>
    <w:p w14:paraId="77FD49D6" w14:textId="77777777" w:rsidR="00702336" w:rsidRPr="00400689" w:rsidRDefault="001A4F11">
      <w:pPr>
        <w:rPr>
          <w:lang w:val="en-GB"/>
        </w:rPr>
      </w:pPr>
      <w:r w:rsidRPr="00400689">
        <w:rPr>
          <w:lang w:val="en-GB"/>
        </w:rPr>
        <w:t>For any company, including AstraZeneca, risk management is an essential component of financial management. Important insights are obtained from a thorough examination of the company's risk management plans and how well they adhere to financial theories and industry best practices.</w:t>
      </w:r>
    </w:p>
    <w:p w14:paraId="4B067D78" w14:textId="77777777" w:rsidR="00702336" w:rsidRPr="00400689" w:rsidRDefault="001A4F11">
      <w:pPr>
        <w:numPr>
          <w:ilvl w:val="0"/>
          <w:numId w:val="2"/>
        </w:numPr>
        <w:spacing w:after="0"/>
        <w:rPr>
          <w:lang w:val="en-GB"/>
        </w:rPr>
      </w:pPr>
      <w:r w:rsidRPr="00400689">
        <w:rPr>
          <w:b/>
          <w:lang w:val="en-GB"/>
        </w:rPr>
        <w:t>Market Risk:</w:t>
      </w:r>
      <w:r w:rsidRPr="00400689">
        <w:rPr>
          <w:lang w:val="en-GB"/>
        </w:rPr>
        <w:t xml:space="preserve"> AstraZeneca is a part of the pharmaceutical sector, which is associated with a number of market risks. These include modifications to laws governing drug prices, variations in exchange rates, and the effect of world economic conditions on healthcare expenditures. The company is subject to exchange risk due to its presence in several foreign markets. As per well-known risk management theories that advocate limiting exposure to volatile currencies, AstraZeneca uses hedging strategies to reduce currency risk.</w:t>
      </w:r>
    </w:p>
    <w:p w14:paraId="53083FA1" w14:textId="77777777" w:rsidR="00702336" w:rsidRPr="00400689" w:rsidRDefault="001A4F11">
      <w:pPr>
        <w:numPr>
          <w:ilvl w:val="0"/>
          <w:numId w:val="2"/>
        </w:numPr>
        <w:spacing w:before="0" w:after="0"/>
        <w:rPr>
          <w:lang w:val="en-GB"/>
        </w:rPr>
      </w:pPr>
      <w:r w:rsidRPr="00400689">
        <w:rPr>
          <w:b/>
          <w:lang w:val="en-GB"/>
        </w:rPr>
        <w:t>Credit Risk:</w:t>
      </w:r>
      <w:r w:rsidRPr="00400689">
        <w:rPr>
          <w:lang w:val="en-GB"/>
        </w:rPr>
        <w:t xml:space="preserve"> With regard to trade receivables in particular, credit risk is a major concern for the pharmaceutical industry. Setting credit limits and evaluating customer </w:t>
      </w:r>
      <w:r w:rsidRPr="00400689">
        <w:rPr>
          <w:lang w:val="en-GB"/>
        </w:rPr>
        <w:lastRenderedPageBreak/>
        <w:t>creditworthiness are two aspects of AstraZeneca's risk management process. To reduce this risk, the business might make use of financial derivatives or credit insurance. AstraZeneca strives to optimise its exposure to credit risk in accordance with financial models in order to sustain strong cash flows (</w:t>
      </w:r>
      <w:proofErr w:type="spellStart"/>
      <w:r w:rsidRPr="00400689">
        <w:rPr>
          <w:lang w:val="en-GB"/>
        </w:rPr>
        <w:t>Bbc</w:t>
      </w:r>
      <w:proofErr w:type="spellEnd"/>
      <w:r w:rsidRPr="00400689">
        <w:rPr>
          <w:lang w:val="en-GB"/>
        </w:rPr>
        <w:t>, 2023).</w:t>
      </w:r>
    </w:p>
    <w:p w14:paraId="7E7DF7EC" w14:textId="77777777" w:rsidR="00702336" w:rsidRPr="00400689" w:rsidRDefault="001A4F11">
      <w:pPr>
        <w:numPr>
          <w:ilvl w:val="0"/>
          <w:numId w:val="2"/>
        </w:numPr>
        <w:spacing w:before="0" w:after="0"/>
        <w:rPr>
          <w:lang w:val="en-GB"/>
        </w:rPr>
      </w:pPr>
      <w:r w:rsidRPr="00400689">
        <w:rPr>
          <w:b/>
          <w:lang w:val="en-GB"/>
        </w:rPr>
        <w:t>Operational Risk:</w:t>
      </w:r>
      <w:r w:rsidRPr="00400689">
        <w:rPr>
          <w:lang w:val="en-GB"/>
        </w:rPr>
        <w:t xml:space="preserve"> This category includes a number of variables, such as problems with product quality, supply chain interruptions, and regulatory compliance. It is crucial to guarantee consistent product quality in the pharmaceutical industry. AstraZeneca invests in quality assurance and control procedures and follows good manufacturing practices (GMP). This strategy emphasises the value of operational excellence in reducing operational risks, which is consistent with risk management theories.</w:t>
      </w:r>
    </w:p>
    <w:p w14:paraId="419D2347" w14:textId="77777777" w:rsidR="00702336" w:rsidRPr="00400689" w:rsidRDefault="001A4F11">
      <w:pPr>
        <w:numPr>
          <w:ilvl w:val="0"/>
          <w:numId w:val="2"/>
        </w:numPr>
        <w:spacing w:before="0" w:after="0"/>
        <w:rPr>
          <w:lang w:val="en-GB"/>
        </w:rPr>
      </w:pPr>
      <w:r w:rsidRPr="00400689">
        <w:rPr>
          <w:b/>
          <w:lang w:val="en-GB"/>
        </w:rPr>
        <w:t>Strategic Risk:</w:t>
      </w:r>
      <w:r w:rsidRPr="00400689">
        <w:rPr>
          <w:lang w:val="en-GB"/>
        </w:rPr>
        <w:t xml:space="preserve"> This type of risk is associated with variables such as shifts in the dynamics of the market, patent expirations, and competition. The lifecycles of AstraZeneca's pharmaceutical products present strategic risks. In line with financial theories that suggest portfolio diversification and innovation to be risk mitigation strategies, the company uses M&amp;A activities, research and development investments, and diversification strategies to manage these risks.</w:t>
      </w:r>
    </w:p>
    <w:p w14:paraId="445F2F16" w14:textId="77777777" w:rsidR="00702336" w:rsidRPr="00400689" w:rsidRDefault="001A4F11">
      <w:pPr>
        <w:numPr>
          <w:ilvl w:val="0"/>
          <w:numId w:val="2"/>
        </w:numPr>
        <w:spacing w:before="0" w:after="0"/>
        <w:rPr>
          <w:lang w:val="en-GB"/>
        </w:rPr>
      </w:pPr>
      <w:r w:rsidRPr="00400689">
        <w:rPr>
          <w:b/>
          <w:lang w:val="en-GB"/>
        </w:rPr>
        <w:t>Financial Risk:</w:t>
      </w:r>
      <w:r w:rsidRPr="00400689">
        <w:rPr>
          <w:lang w:val="en-GB"/>
        </w:rPr>
        <w:t xml:space="preserve"> Interest rate risk and managing debt are examples of financial risk. Despite having a strong capital structure, AstraZeneca is heavily indebted. Following theories that recommend optimising debt structure for cost efficiency, the company employs interest rate derivatives to reduce its dependency on fluctuating interest rates in order to manage financial risk.</w:t>
      </w:r>
    </w:p>
    <w:p w14:paraId="129E4619" w14:textId="77777777" w:rsidR="00702336" w:rsidRPr="00400689" w:rsidRDefault="001A4F11">
      <w:pPr>
        <w:numPr>
          <w:ilvl w:val="0"/>
          <w:numId w:val="2"/>
        </w:numPr>
        <w:spacing w:before="0"/>
        <w:rPr>
          <w:lang w:val="en-GB"/>
        </w:rPr>
      </w:pPr>
      <w:r w:rsidRPr="00400689">
        <w:rPr>
          <w:b/>
          <w:lang w:val="en-GB"/>
        </w:rPr>
        <w:t>Regulatory Risk:</w:t>
      </w:r>
      <w:r w:rsidRPr="00400689">
        <w:rPr>
          <w:lang w:val="en-GB"/>
        </w:rPr>
        <w:t xml:space="preserve"> Pharmaceutical businesses must comply with stringent regulations. In this sense, AstraZeneca's risk management entails ongoing regulatory monitoring, legal support, and compliance measures. Reducing regulatory risk necessitates following regulatory frameworks and best practices.</w:t>
      </w:r>
    </w:p>
    <w:p w14:paraId="5CF3DE29" w14:textId="77777777" w:rsidR="00702336" w:rsidRPr="00400689" w:rsidRDefault="001A4F11">
      <w:pPr>
        <w:rPr>
          <w:lang w:val="en-GB"/>
        </w:rPr>
      </w:pPr>
      <w:r w:rsidRPr="00400689">
        <w:rPr>
          <w:lang w:val="en-GB"/>
        </w:rPr>
        <w:t>AstraZeneca uses a complex risk management approach that is consistent with general financial theories as well as industry-specific theories. The company uses a combination of risk avoidance, risk reduction, and risk transfer to manage its exposure to market, credit, functional, tactical, monetary, and regulatory risks. This all-encompassing strategy is a reflection of AstraZeneca's dedication to upholding a strong risk management system to protect its financial future and future viability in the pharmaceutical sector.</w:t>
      </w:r>
    </w:p>
    <w:p w14:paraId="129EA3C3" w14:textId="77777777" w:rsidR="00702336" w:rsidRPr="00400689" w:rsidRDefault="001A4F11">
      <w:pPr>
        <w:pStyle w:val="Heading1"/>
        <w:rPr>
          <w:lang w:val="en-GB"/>
        </w:rPr>
      </w:pPr>
      <w:bookmarkStart w:id="43" w:name="_gdde99atws2n" w:colFirst="0" w:colLast="0"/>
      <w:bookmarkStart w:id="44" w:name="_Toc151381461"/>
      <w:bookmarkEnd w:id="43"/>
      <w:r w:rsidRPr="00400689">
        <w:rPr>
          <w:lang w:val="en-GB"/>
        </w:rPr>
        <w:lastRenderedPageBreak/>
        <w:t>4. Synthesis and Conclusions</w:t>
      </w:r>
      <w:bookmarkEnd w:id="44"/>
    </w:p>
    <w:p w14:paraId="6AFD33A6" w14:textId="77777777" w:rsidR="00702336" w:rsidRPr="00400689" w:rsidRDefault="003008E5" w:rsidP="003008E5">
      <w:pPr>
        <w:rPr>
          <w:lang w:val="en-GB"/>
        </w:rPr>
      </w:pPr>
      <w:r w:rsidRPr="003008E5">
        <w:rPr>
          <w:lang w:val="en-GB"/>
        </w:rPr>
        <w:t xml:space="preserve">Examining AstraZeneca's treasury and accounting procedures from 2018 to 2022 reveals some interesting patterns and strategies the company has used. Over the course of these five years, AstraZeneca's revenue increased significantly, with a particularly noteworthy uptick in 2021. </w:t>
      </w:r>
      <w:r w:rsidR="001A4F11" w:rsidRPr="00400689">
        <w:rPr>
          <w:lang w:val="en-GB"/>
        </w:rPr>
        <w:t>These adjustments are in line with the requirement for strategic financial planning in order to preserve the best possible balance between reinvestment and shareholder value return.</w:t>
      </w:r>
      <w:r w:rsidR="00EF135D">
        <w:rPr>
          <w:lang w:val="en-GB"/>
        </w:rPr>
        <w:t xml:space="preserve"> </w:t>
      </w:r>
      <w:r w:rsidR="00EF135D" w:rsidRPr="00EF135D">
        <w:rPr>
          <w:lang w:val="en-GB"/>
        </w:rPr>
        <w:t>The detrimental effects of ROA can be summed up as follows: from the standpoint of financiers and investors, COVID-19 may have a major influence on a company's future financial performance if it was more profitable than its rivals before COVID-19. The stock cost of a productive company is probably going to be higher than that of a low-useful company, given a positive assessment of anticipated future returns.</w:t>
      </w:r>
    </w:p>
    <w:p w14:paraId="0EB34FE8" w14:textId="77777777" w:rsidR="00702336" w:rsidRPr="00400689" w:rsidRDefault="001A4F11">
      <w:pPr>
        <w:rPr>
          <w:lang w:val="en-GB"/>
        </w:rPr>
      </w:pPr>
      <w:r w:rsidRPr="00400689">
        <w:rPr>
          <w:lang w:val="en-GB"/>
        </w:rPr>
        <w:t xml:space="preserve">ROA, or return on assets, is yet another important metric. It gauges how profitable the business can make use of all of its assets. With a return on assets (ROA) of 3.50% in 2018, AstraZeneca made $0.035 for every dollar of assets. In 2021, the ROA dropped to 0.10%, indicating a sharp decline in asset efficiency. The ROA increased to 3.40% in 2022. Changes in net income and asset allocation both require strategic decisions to maximise asset utilisation, can be attributed to the dynamics </w:t>
      </w:r>
      <w:r w:rsidR="00110F71">
        <w:rPr>
          <w:lang w:val="en-GB"/>
        </w:rPr>
        <w:t xml:space="preserve">depending on </w:t>
      </w:r>
      <w:r w:rsidRPr="00400689">
        <w:rPr>
          <w:lang w:val="en-GB"/>
        </w:rPr>
        <w:t>this metric.</w:t>
      </w:r>
    </w:p>
    <w:p w14:paraId="100D40A4" w14:textId="77777777" w:rsidR="00702336" w:rsidRPr="00400689" w:rsidRDefault="001A4F11">
      <w:pPr>
        <w:rPr>
          <w:lang w:val="en-GB"/>
        </w:rPr>
      </w:pPr>
      <w:r w:rsidRPr="00400689">
        <w:rPr>
          <w:lang w:val="en-GB"/>
        </w:rPr>
        <w:t xml:space="preserve">An indicator of a company's profitability with regard to both debt and equity capital is return on capital, or ROIC. AstraZeneca's return on invested capital (ROIC) for 2018 was 11.02%, </w:t>
      </w:r>
      <w:r w:rsidR="00333281">
        <w:rPr>
          <w:lang w:val="en-GB"/>
        </w:rPr>
        <w:t xml:space="preserve">is </w:t>
      </w:r>
      <w:r w:rsidRPr="00400689">
        <w:rPr>
          <w:lang w:val="en-GB"/>
        </w:rPr>
        <w:t>indicating prudent capital use. In 2022, this percentage fell to 1.51%, but it rose to 7.47% the following year. Changes in net income are reflected in the ROIC trend, which highlights the importance of risk management and efficient capital allocation. It's clear that AstraZeneca manages its investments with caution. The business has routinely committed significant funds to research and development (R&amp;D), a strategic move in line with contemporary financial theories. AstraZeneca's research and development (R&amp;D) expenditures increased from $5.932 billion in 2018 to $9.762 billion in 2022, demonstrating the company's commitment to innovation and product development.</w:t>
      </w:r>
    </w:p>
    <w:p w14:paraId="67758062" w14:textId="77777777" w:rsidR="00EE4EAF" w:rsidRPr="00EE4EAF" w:rsidRDefault="001A4F11" w:rsidP="00EE4EAF">
      <w:pPr>
        <w:rPr>
          <w:lang w:val="en-GB"/>
        </w:rPr>
      </w:pPr>
      <w:r w:rsidRPr="00400689">
        <w:rPr>
          <w:lang w:val="en-GB"/>
        </w:rPr>
        <w:t xml:space="preserve">In addition, the business has made strategic acquisitions that are backed by theories that promote market expansion and diversification. AstraZeneca made a big acquisition of Alexion </w:t>
      </w:r>
      <w:r w:rsidRPr="00400689">
        <w:rPr>
          <w:lang w:val="en-GB"/>
        </w:rPr>
        <w:lastRenderedPageBreak/>
        <w:t xml:space="preserve">Pharmaceuticals in 2019 to strengthen its position in treating rare diseases and diversify its business. </w:t>
      </w:r>
      <w:r w:rsidR="00EE4EAF" w:rsidRPr="00EE4EAF">
        <w:rPr>
          <w:lang w:val="en-GB"/>
        </w:rPr>
        <w:t>The choice to buy this item is in line with financial theories that highlight diversification as a tactic to lower risk and create opportunities for growth. AstraZeneca has a significant amount of long-term debt, and it has changed over time how it manages this debt. The company's long-term debt increased from $17.807 billion in 2018 to $29.232 billion by 2022. The Modigliani-Miller theorem, which recommends that companies optimise their capital structure by taking a mix of equity and debt financing into consideration, is consistent with this increase in debt.</w:t>
      </w:r>
    </w:p>
    <w:p w14:paraId="21CB2145" w14:textId="77777777" w:rsidR="00702336" w:rsidRPr="00400689" w:rsidRDefault="00EE4EAF">
      <w:pPr>
        <w:rPr>
          <w:lang w:val="en-GB"/>
        </w:rPr>
      </w:pPr>
      <w:r w:rsidRPr="00EE4EAF">
        <w:rPr>
          <w:lang w:val="en-GB"/>
        </w:rPr>
        <w:t>AstraZeneca's financial policies are vital to the company's continued goal of offering patients around the globe cutting-edge medical solutions, particularly in light of the rapidly changing healthcare landscape.</w:t>
      </w:r>
      <w:r w:rsidR="00AA776B">
        <w:rPr>
          <w:lang w:val="en-GB"/>
        </w:rPr>
        <w:t xml:space="preserve"> </w:t>
      </w:r>
      <w:r w:rsidR="001A4F11" w:rsidRPr="00400689">
        <w:rPr>
          <w:lang w:val="en-GB"/>
        </w:rPr>
        <w:t>The company's financial strategies highlight how crucial it is to keep a careful balance between risk mitigation, debt management, and reinvestment in order to secure long-term success in a very dynamic sector.</w:t>
      </w:r>
    </w:p>
    <w:p w14:paraId="08C81C9A" w14:textId="77777777" w:rsidR="00702336" w:rsidRPr="00400689" w:rsidRDefault="00702336">
      <w:pPr>
        <w:rPr>
          <w:lang w:val="en-GB"/>
        </w:rPr>
      </w:pPr>
    </w:p>
    <w:p w14:paraId="7FFDECD3" w14:textId="77777777" w:rsidR="00702336" w:rsidRPr="00400689" w:rsidRDefault="00702336">
      <w:pPr>
        <w:rPr>
          <w:lang w:val="en-GB"/>
        </w:rPr>
      </w:pPr>
    </w:p>
    <w:p w14:paraId="4B735349" w14:textId="77777777" w:rsidR="00702336" w:rsidRPr="00400689" w:rsidRDefault="00702336">
      <w:pPr>
        <w:rPr>
          <w:lang w:val="en-GB"/>
        </w:rPr>
      </w:pPr>
    </w:p>
    <w:p w14:paraId="224F0272" w14:textId="77777777" w:rsidR="00702336" w:rsidRPr="00400689" w:rsidRDefault="00702336">
      <w:pPr>
        <w:rPr>
          <w:lang w:val="en-GB"/>
        </w:rPr>
      </w:pPr>
    </w:p>
    <w:p w14:paraId="4C1D8A9B" w14:textId="77777777" w:rsidR="006E4E0E" w:rsidRDefault="006E4E0E">
      <w:pPr>
        <w:rPr>
          <w:b/>
          <w:sz w:val="28"/>
          <w:szCs w:val="28"/>
          <w:lang w:val="en-GB"/>
        </w:rPr>
      </w:pPr>
      <w:bookmarkStart w:id="45" w:name="_4w45kmt8272b" w:colFirst="0" w:colLast="0"/>
      <w:bookmarkEnd w:id="45"/>
      <w:r>
        <w:rPr>
          <w:lang w:val="en-GB"/>
        </w:rPr>
        <w:br w:type="page"/>
      </w:r>
    </w:p>
    <w:p w14:paraId="245B492E" w14:textId="77777777" w:rsidR="00702336" w:rsidRPr="00400689" w:rsidRDefault="001A4F11">
      <w:pPr>
        <w:pStyle w:val="Heading1"/>
        <w:rPr>
          <w:lang w:val="en-GB"/>
        </w:rPr>
      </w:pPr>
      <w:bookmarkStart w:id="46" w:name="_Toc151381462"/>
      <w:r w:rsidRPr="00400689">
        <w:rPr>
          <w:lang w:val="en-GB"/>
        </w:rPr>
        <w:lastRenderedPageBreak/>
        <w:t>References</w:t>
      </w:r>
      <w:bookmarkEnd w:id="46"/>
    </w:p>
    <w:p w14:paraId="5D1340A0" w14:textId="77777777" w:rsidR="006E4E0E" w:rsidRPr="00400689" w:rsidRDefault="006E4E0E">
      <w:pPr>
        <w:rPr>
          <w:lang w:val="en-GB"/>
        </w:rPr>
      </w:pPr>
      <w:r w:rsidRPr="00400689">
        <w:rPr>
          <w:lang w:val="en-GB"/>
        </w:rPr>
        <w:t>Ahmed, S. and Schippert, O., 2020. Improving Planning Stability: A case study of Planning at AstraZeneca.</w:t>
      </w:r>
    </w:p>
    <w:p w14:paraId="46A32EF0" w14:textId="77777777" w:rsidR="006E4E0E" w:rsidRPr="00400689" w:rsidRDefault="006E4E0E">
      <w:pPr>
        <w:rPr>
          <w:lang w:val="en-GB"/>
        </w:rPr>
      </w:pPr>
      <w:proofErr w:type="spellStart"/>
      <w:r w:rsidRPr="00400689">
        <w:rPr>
          <w:lang w:val="en-GB"/>
        </w:rPr>
        <w:t>Astrazeneca</w:t>
      </w:r>
      <w:proofErr w:type="spellEnd"/>
      <w:r w:rsidRPr="00400689">
        <w:rPr>
          <w:lang w:val="en-GB"/>
        </w:rPr>
        <w:t xml:space="preserve">, 2018, </w:t>
      </w:r>
      <w:r w:rsidRPr="00400689">
        <w:rPr>
          <w:i/>
          <w:lang w:val="en-GB"/>
        </w:rPr>
        <w:t xml:space="preserve">AstraZeneca Annual Report and Form 20-F Information 2018. </w:t>
      </w:r>
      <w:hyperlink r:id="rId20">
        <w:r w:rsidRPr="00400689">
          <w:rPr>
            <w:lang w:val="en-GB"/>
          </w:rPr>
          <w:t>https://www.astrazeneca.com/content/dam/az/Investor_Relations/annual-report-2018/PDF/AstraZeneca_AR_2018.pdf</w:t>
        </w:r>
      </w:hyperlink>
    </w:p>
    <w:p w14:paraId="7D4C8DD7" w14:textId="77777777" w:rsidR="006E4E0E" w:rsidRPr="00400689" w:rsidRDefault="006E4E0E">
      <w:pPr>
        <w:rPr>
          <w:lang w:val="en-GB"/>
        </w:rPr>
      </w:pPr>
      <w:proofErr w:type="spellStart"/>
      <w:r w:rsidRPr="00400689">
        <w:rPr>
          <w:lang w:val="en-GB"/>
        </w:rPr>
        <w:t>Astrazeneca</w:t>
      </w:r>
      <w:proofErr w:type="spellEnd"/>
      <w:r w:rsidRPr="00400689">
        <w:rPr>
          <w:lang w:val="en-GB"/>
        </w:rPr>
        <w:t xml:space="preserve">, 2019, </w:t>
      </w:r>
      <w:r w:rsidRPr="00400689">
        <w:rPr>
          <w:i/>
          <w:lang w:val="en-GB"/>
        </w:rPr>
        <w:t>AstraZeneca Annual Report and Form 20-F Information 2019.</w:t>
      </w:r>
      <w:r w:rsidRPr="00400689">
        <w:rPr>
          <w:lang w:val="en-GB"/>
        </w:rPr>
        <w:t xml:space="preserve"> </w:t>
      </w:r>
      <w:hyperlink r:id="rId21">
        <w:r w:rsidRPr="00400689">
          <w:rPr>
            <w:lang w:val="en-GB"/>
          </w:rPr>
          <w:t>https://www.astrazeneca.com/content/dam/az/Investor_Relations/annual-report-2019/pdf/AstraZeneca_AR_2019.pdf</w:t>
        </w:r>
      </w:hyperlink>
    </w:p>
    <w:p w14:paraId="7CEA7D71" w14:textId="77777777" w:rsidR="006E4E0E" w:rsidRPr="00400689" w:rsidRDefault="006E4E0E">
      <w:pPr>
        <w:rPr>
          <w:lang w:val="en-GB"/>
        </w:rPr>
      </w:pPr>
      <w:proofErr w:type="spellStart"/>
      <w:r w:rsidRPr="00400689">
        <w:rPr>
          <w:lang w:val="en-GB"/>
        </w:rPr>
        <w:t>Astrazeneca</w:t>
      </w:r>
      <w:proofErr w:type="spellEnd"/>
      <w:r w:rsidRPr="00400689">
        <w:rPr>
          <w:lang w:val="en-GB"/>
        </w:rPr>
        <w:t xml:space="preserve">, 2020, </w:t>
      </w:r>
      <w:r w:rsidRPr="00400689">
        <w:rPr>
          <w:i/>
          <w:lang w:val="en-GB"/>
        </w:rPr>
        <w:t xml:space="preserve">AstraZeneca Annual Report and Form 20-F Information 2020 </w:t>
      </w:r>
      <w:hyperlink r:id="rId22">
        <w:r w:rsidRPr="00400689">
          <w:rPr>
            <w:lang w:val="en-GB"/>
          </w:rPr>
          <w:t>https://www.astrazeneca.com/content/dam/az/Investor_Relations/annual-report-2020/pdf/AstraZeneca_AR_2020.pdf</w:t>
        </w:r>
      </w:hyperlink>
    </w:p>
    <w:p w14:paraId="4ADB607F" w14:textId="77777777" w:rsidR="006E4E0E" w:rsidRPr="00400689" w:rsidRDefault="006E4E0E">
      <w:pPr>
        <w:rPr>
          <w:lang w:val="en-GB"/>
        </w:rPr>
      </w:pPr>
      <w:proofErr w:type="spellStart"/>
      <w:r w:rsidRPr="00400689">
        <w:rPr>
          <w:lang w:val="en-GB"/>
        </w:rPr>
        <w:t>Astrazeneca</w:t>
      </w:r>
      <w:proofErr w:type="spellEnd"/>
      <w:r w:rsidRPr="00400689">
        <w:rPr>
          <w:lang w:val="en-GB"/>
        </w:rPr>
        <w:t xml:space="preserve">, 2021, </w:t>
      </w:r>
      <w:r w:rsidRPr="00400689">
        <w:rPr>
          <w:i/>
          <w:lang w:val="en-GB"/>
        </w:rPr>
        <w:t xml:space="preserve">AstraZeneca Annual Report and Form 20-F Information 2021 </w:t>
      </w:r>
      <w:r w:rsidRPr="00400689">
        <w:rPr>
          <w:lang w:val="en-GB"/>
        </w:rPr>
        <w:t>.</w:t>
      </w:r>
      <w:hyperlink r:id="rId23">
        <w:r w:rsidRPr="00400689">
          <w:rPr>
            <w:lang w:val="en-GB"/>
          </w:rPr>
          <w:t>https://www.astrazeneca.com/content/dam/az/Investor_Relations/annual-report-2021/pdf/AstraZeneca_AR_2021.pdf</w:t>
        </w:r>
      </w:hyperlink>
    </w:p>
    <w:p w14:paraId="5D11B922" w14:textId="77777777" w:rsidR="006E4E0E" w:rsidRPr="00400689" w:rsidRDefault="006E4E0E">
      <w:pPr>
        <w:rPr>
          <w:lang w:val="en-GB"/>
        </w:rPr>
      </w:pPr>
      <w:proofErr w:type="spellStart"/>
      <w:r w:rsidRPr="00400689">
        <w:rPr>
          <w:lang w:val="en-GB"/>
        </w:rPr>
        <w:t>Astrazeneca</w:t>
      </w:r>
      <w:proofErr w:type="spellEnd"/>
      <w:r w:rsidRPr="00400689">
        <w:rPr>
          <w:lang w:val="en-GB"/>
        </w:rPr>
        <w:t xml:space="preserve">, 2022, </w:t>
      </w:r>
      <w:r w:rsidRPr="00400689">
        <w:rPr>
          <w:i/>
          <w:lang w:val="en-GB"/>
        </w:rPr>
        <w:t xml:space="preserve">AstraZeneca Annual Report and Form 20-F Information 2022 </w:t>
      </w:r>
      <w:hyperlink r:id="rId24">
        <w:r w:rsidRPr="00400689">
          <w:rPr>
            <w:lang w:val="en-GB"/>
          </w:rPr>
          <w:t>https://www.astrazeneca.com/content/dam/az/Investor_Relations/annual-report-2022/pdf/AstraZeneca_AR_2022.pdf</w:t>
        </w:r>
      </w:hyperlink>
    </w:p>
    <w:p w14:paraId="0BF834C2" w14:textId="77777777" w:rsidR="006E4E0E" w:rsidRPr="00400689" w:rsidRDefault="006E4E0E">
      <w:pPr>
        <w:rPr>
          <w:lang w:val="en-GB"/>
        </w:rPr>
      </w:pPr>
      <w:proofErr w:type="spellStart"/>
      <w:r w:rsidRPr="00400689">
        <w:rPr>
          <w:lang w:val="en-GB"/>
        </w:rPr>
        <w:t>Astrazeneca</w:t>
      </w:r>
      <w:proofErr w:type="spellEnd"/>
      <w:r w:rsidRPr="00400689">
        <w:rPr>
          <w:lang w:val="en-GB"/>
        </w:rPr>
        <w:t xml:space="preserve">, 2023, </w:t>
      </w:r>
      <w:r w:rsidRPr="00400689">
        <w:rPr>
          <w:i/>
          <w:lang w:val="en-GB"/>
        </w:rPr>
        <w:t xml:space="preserve">Debt Investors, </w:t>
      </w:r>
      <w:r w:rsidRPr="00400689">
        <w:rPr>
          <w:lang w:val="en-GB"/>
        </w:rPr>
        <w:t>https://www.astrazeneca.com/investor-relations/debt-investors.html</w:t>
      </w:r>
    </w:p>
    <w:p w14:paraId="4C0C9D10" w14:textId="77777777" w:rsidR="006E4E0E" w:rsidRPr="00400689" w:rsidRDefault="006E4E0E">
      <w:pPr>
        <w:rPr>
          <w:lang w:val="en-GB"/>
        </w:rPr>
      </w:pPr>
      <w:proofErr w:type="spellStart"/>
      <w:r w:rsidRPr="00400689">
        <w:rPr>
          <w:lang w:val="en-GB"/>
        </w:rPr>
        <w:t>Bbc</w:t>
      </w:r>
      <w:proofErr w:type="spellEnd"/>
      <w:r w:rsidRPr="00400689">
        <w:rPr>
          <w:lang w:val="en-GB"/>
        </w:rPr>
        <w:t xml:space="preserve">, 2023, </w:t>
      </w:r>
      <w:r w:rsidRPr="00400689">
        <w:rPr>
          <w:i/>
          <w:lang w:val="en-GB"/>
        </w:rPr>
        <w:t xml:space="preserve">AstraZeneca to take profits from Covid vaccine, </w:t>
      </w:r>
      <w:r w:rsidRPr="00400689">
        <w:rPr>
          <w:lang w:val="en-GB"/>
        </w:rPr>
        <w:t>https://www.bbc.co.uk/news/business-59256223</w:t>
      </w:r>
    </w:p>
    <w:p w14:paraId="1AF25D8F" w14:textId="77777777" w:rsidR="006E4E0E" w:rsidRPr="00400689" w:rsidRDefault="006E4E0E">
      <w:pPr>
        <w:rPr>
          <w:lang w:val="en-GB"/>
        </w:rPr>
      </w:pPr>
      <w:proofErr w:type="spellStart"/>
      <w:r w:rsidRPr="00400689">
        <w:rPr>
          <w:lang w:val="en-GB"/>
        </w:rPr>
        <w:t>Campião</w:t>
      </w:r>
      <w:proofErr w:type="spellEnd"/>
      <w:r w:rsidRPr="00400689">
        <w:rPr>
          <w:lang w:val="en-GB"/>
        </w:rPr>
        <w:t>, A.C.S., 2023. Equity research: AstraZeneca PLC (Doctoral dissertation).</w:t>
      </w:r>
    </w:p>
    <w:p w14:paraId="5EFBFC42" w14:textId="77777777" w:rsidR="006E4E0E" w:rsidRPr="00400689" w:rsidRDefault="006E4E0E">
      <w:pPr>
        <w:rPr>
          <w:lang w:val="en-GB"/>
        </w:rPr>
      </w:pPr>
      <w:r w:rsidRPr="00400689">
        <w:rPr>
          <w:lang w:val="en-GB"/>
        </w:rPr>
        <w:t>Cui, Y. and Cheng, C., 2022. Modern Portfolio Theory and Application in Australia. J. Econ. Bus. Manag, 10, pp.128-132.</w:t>
      </w:r>
    </w:p>
    <w:p w14:paraId="04094A7E" w14:textId="77777777" w:rsidR="006E4E0E" w:rsidRPr="00400689" w:rsidRDefault="006E4E0E">
      <w:pPr>
        <w:rPr>
          <w:lang w:val="en-GB"/>
        </w:rPr>
      </w:pPr>
      <w:r w:rsidRPr="00400689">
        <w:rPr>
          <w:lang w:val="en-GB"/>
        </w:rPr>
        <w:lastRenderedPageBreak/>
        <w:t>Diaw, A., 2021. Corporate cash holdings in emerging markets. Borsa Istanbul Review, 21(2), pp.139-148.</w:t>
      </w:r>
    </w:p>
    <w:p w14:paraId="737B876E" w14:textId="77777777" w:rsidR="006E4E0E" w:rsidRPr="00400689" w:rsidRDefault="006E4E0E">
      <w:pPr>
        <w:rPr>
          <w:lang w:val="en-GB"/>
        </w:rPr>
      </w:pPr>
      <w:proofErr w:type="spellStart"/>
      <w:r w:rsidRPr="00400689">
        <w:rPr>
          <w:lang w:val="en-GB"/>
        </w:rPr>
        <w:t>Ehiedu</w:t>
      </w:r>
      <w:proofErr w:type="spellEnd"/>
      <w:r w:rsidRPr="00400689">
        <w:rPr>
          <w:lang w:val="en-GB"/>
        </w:rPr>
        <w:t>, V.C. and Obi, C.K., 2022. Efficient market hypothesis (EMH) and the Nigerian stock exchange in the midst of global financial crises. International Journal of Academic Management Science Research (IJAMSR), 6(8), pp.263-273.</w:t>
      </w:r>
    </w:p>
    <w:p w14:paraId="650787FC" w14:textId="77777777" w:rsidR="006E4E0E" w:rsidRPr="00400689" w:rsidRDefault="006E4E0E">
      <w:pPr>
        <w:rPr>
          <w:lang w:val="en-GB"/>
        </w:rPr>
      </w:pPr>
      <w:r w:rsidRPr="00400689">
        <w:rPr>
          <w:lang w:val="en-GB"/>
        </w:rPr>
        <w:t xml:space="preserve">Hot, A., </w:t>
      </w:r>
      <w:proofErr w:type="spellStart"/>
      <w:r w:rsidRPr="00400689">
        <w:rPr>
          <w:lang w:val="en-GB"/>
        </w:rPr>
        <w:t>Mählitz</w:t>
      </w:r>
      <w:proofErr w:type="spellEnd"/>
      <w:r w:rsidRPr="00400689">
        <w:rPr>
          <w:lang w:val="en-GB"/>
        </w:rPr>
        <w:t>, M., Wien-Nicolini, P. and Stegmüller, R., 2019. AstraZeneca versus Pfizer. European Journal of International Management, 13(5), pp.637-661.</w:t>
      </w:r>
    </w:p>
    <w:p w14:paraId="6CF8C6A8" w14:textId="77777777" w:rsidR="006E4E0E" w:rsidRPr="00400689" w:rsidRDefault="006E4E0E">
      <w:pPr>
        <w:rPr>
          <w:lang w:val="en-GB"/>
        </w:rPr>
      </w:pPr>
      <w:r w:rsidRPr="00400689">
        <w:rPr>
          <w:lang w:val="en-GB"/>
        </w:rPr>
        <w:t xml:space="preserve">Lau, C.L., Mayfield, H.J., Sinclair, J.E., Brown, S.J., Waller, M., </w:t>
      </w:r>
      <w:proofErr w:type="spellStart"/>
      <w:r w:rsidRPr="00400689">
        <w:rPr>
          <w:lang w:val="en-GB"/>
        </w:rPr>
        <w:t>Enjeti</w:t>
      </w:r>
      <w:proofErr w:type="spellEnd"/>
      <w:r w:rsidRPr="00400689">
        <w:rPr>
          <w:lang w:val="en-GB"/>
        </w:rPr>
        <w:t xml:space="preserve">, A.K., Baird, A., Short, K.R., </w:t>
      </w:r>
      <w:proofErr w:type="spellStart"/>
      <w:r w:rsidRPr="00400689">
        <w:rPr>
          <w:lang w:val="en-GB"/>
        </w:rPr>
        <w:t>Mengersen</w:t>
      </w:r>
      <w:proofErr w:type="spellEnd"/>
      <w:r w:rsidRPr="00400689">
        <w:rPr>
          <w:lang w:val="en-GB"/>
        </w:rPr>
        <w:t>, K. and Litt, J., 2021. Risk-benefit analysis of the AstraZeneca COVID-19 vaccine in Australia using a Bayesian network modelling framework. Vaccine, 39(51), pp.7429-7440.</w:t>
      </w:r>
    </w:p>
    <w:p w14:paraId="1EE9FB64" w14:textId="77777777" w:rsidR="006E4E0E" w:rsidRPr="00400689" w:rsidRDefault="006E4E0E">
      <w:pPr>
        <w:rPr>
          <w:lang w:val="en-GB"/>
        </w:rPr>
      </w:pPr>
      <w:r w:rsidRPr="00400689">
        <w:rPr>
          <w:lang w:val="en-GB"/>
        </w:rPr>
        <w:t>Leaver, A. and Murphy, R., 2020. Financial engineering and the productivity crisis.</w:t>
      </w:r>
    </w:p>
    <w:p w14:paraId="115DF596" w14:textId="77777777" w:rsidR="006E4E0E" w:rsidRPr="00400689" w:rsidRDefault="006E4E0E">
      <w:pPr>
        <w:rPr>
          <w:lang w:val="en-GB"/>
        </w:rPr>
      </w:pPr>
      <w:r w:rsidRPr="00400689">
        <w:rPr>
          <w:lang w:val="en-GB"/>
        </w:rPr>
        <w:t xml:space="preserve">Macrotrends, 2023, </w:t>
      </w:r>
      <w:r w:rsidRPr="00400689">
        <w:rPr>
          <w:i/>
          <w:lang w:val="en-GB"/>
        </w:rPr>
        <w:t xml:space="preserve">AstraZeneca Free Cash Flow 2010-2023 | AZN. </w:t>
      </w:r>
      <w:hyperlink r:id="rId25">
        <w:r w:rsidRPr="00400689">
          <w:rPr>
            <w:lang w:val="en-GB"/>
          </w:rPr>
          <w:t>https://www.macrotrends.net/stocks/charts/AZN/astrazeneca/free-cash-flow</w:t>
        </w:r>
      </w:hyperlink>
    </w:p>
    <w:p w14:paraId="5CA32F31" w14:textId="77777777" w:rsidR="006E4E0E" w:rsidRPr="00400689" w:rsidRDefault="006E4E0E">
      <w:pPr>
        <w:rPr>
          <w:lang w:val="en-GB"/>
        </w:rPr>
      </w:pPr>
      <w:r w:rsidRPr="00400689">
        <w:rPr>
          <w:lang w:val="en-GB"/>
        </w:rPr>
        <w:t xml:space="preserve">McEwan, P., Darlington, O., McMurray, J.J., </w:t>
      </w:r>
      <w:proofErr w:type="spellStart"/>
      <w:r w:rsidRPr="00400689">
        <w:rPr>
          <w:lang w:val="en-GB"/>
        </w:rPr>
        <w:t>Jhund</w:t>
      </w:r>
      <w:proofErr w:type="spellEnd"/>
      <w:r w:rsidRPr="00400689">
        <w:rPr>
          <w:lang w:val="en-GB"/>
        </w:rPr>
        <w:t>, P.S., Docherty, K.F., Böhm, M., Petrie, M.C., Bergenheim, K. and Qin, L., 2020. Cost‐effectiveness of dapagliflozin as a treatment for heart failure with reduced ejection fraction: a multinational health‐economic analysis of DAPA‐HF. European journal of heart failure, 22(11), pp.2147-2156.</w:t>
      </w:r>
    </w:p>
    <w:p w14:paraId="7B565160" w14:textId="77777777" w:rsidR="006E4E0E" w:rsidRPr="00400689" w:rsidRDefault="006E4E0E">
      <w:pPr>
        <w:rPr>
          <w:lang w:val="en-GB"/>
        </w:rPr>
      </w:pPr>
      <w:r w:rsidRPr="00400689">
        <w:rPr>
          <w:lang w:val="en-GB"/>
        </w:rPr>
        <w:t>Patin, J.C., Rahman, M. and Mustafa, M., 2020. Impact of total asset turnover ratios on equity returns: Dynamic panel data analyses. Journal of Accounting, Business and Management (JABM), 27(1), pp.19-29.</w:t>
      </w:r>
    </w:p>
    <w:p w14:paraId="397CC344" w14:textId="77777777" w:rsidR="006E4E0E" w:rsidRPr="00400689" w:rsidRDefault="006E4E0E">
      <w:pPr>
        <w:rPr>
          <w:lang w:val="en-GB"/>
        </w:rPr>
      </w:pPr>
      <w:r w:rsidRPr="00400689">
        <w:rPr>
          <w:lang w:val="en-GB"/>
        </w:rPr>
        <w:t xml:space="preserve">Statista, 2023, </w:t>
      </w:r>
      <w:r w:rsidRPr="00400689">
        <w:rPr>
          <w:i/>
          <w:lang w:val="en-GB"/>
        </w:rPr>
        <w:t xml:space="preserve">AstraZeneca's operating profit from 2006 to 2022, </w:t>
      </w:r>
      <w:hyperlink r:id="rId26">
        <w:r w:rsidRPr="00400689">
          <w:rPr>
            <w:lang w:val="en-GB"/>
          </w:rPr>
          <w:t>https://www.statista.com/statistics/266544/astrazeneca-operating-profit-since-2006/</w:t>
        </w:r>
      </w:hyperlink>
    </w:p>
    <w:p w14:paraId="025BD70E" w14:textId="77777777" w:rsidR="006E4E0E" w:rsidRPr="00400689" w:rsidRDefault="006E4E0E">
      <w:pPr>
        <w:rPr>
          <w:lang w:val="en-GB"/>
        </w:rPr>
      </w:pPr>
      <w:r w:rsidRPr="00400689">
        <w:rPr>
          <w:lang w:val="en-GB"/>
        </w:rPr>
        <w:t xml:space="preserve">Stockanalysis, 2023, </w:t>
      </w:r>
      <w:r w:rsidRPr="00400689">
        <w:rPr>
          <w:i/>
          <w:lang w:val="en-GB"/>
        </w:rPr>
        <w:t xml:space="preserve">AstraZeneca Dividend Information, </w:t>
      </w:r>
      <w:hyperlink r:id="rId27">
        <w:r w:rsidRPr="00400689">
          <w:rPr>
            <w:lang w:val="en-GB"/>
          </w:rPr>
          <w:t>https://stockanalysis.com/stocks/azn/dividend/</w:t>
        </w:r>
      </w:hyperlink>
    </w:p>
    <w:p w14:paraId="1855F547" w14:textId="77777777" w:rsidR="006E4E0E" w:rsidRPr="00400689" w:rsidRDefault="006E4E0E">
      <w:pPr>
        <w:rPr>
          <w:lang w:val="en-GB"/>
        </w:rPr>
      </w:pPr>
      <w:r w:rsidRPr="00400689">
        <w:rPr>
          <w:lang w:val="en-GB"/>
        </w:rPr>
        <w:lastRenderedPageBreak/>
        <w:t xml:space="preserve">Stockanalysis, 2023, </w:t>
      </w:r>
      <w:r w:rsidRPr="00400689">
        <w:rPr>
          <w:i/>
          <w:lang w:val="en-GB"/>
        </w:rPr>
        <w:t xml:space="preserve">AstraZeneca PLC (AZN), </w:t>
      </w:r>
      <w:hyperlink r:id="rId28">
        <w:r w:rsidRPr="00400689">
          <w:rPr>
            <w:lang w:val="en-GB"/>
          </w:rPr>
          <w:t>https://stockanalysis.com/stocks/azn/financials/ratios/</w:t>
        </w:r>
      </w:hyperlink>
    </w:p>
    <w:p w14:paraId="34AF5952" w14:textId="77777777" w:rsidR="006E4E0E" w:rsidRPr="00400689" w:rsidRDefault="006E4E0E">
      <w:pPr>
        <w:rPr>
          <w:lang w:val="en-GB"/>
        </w:rPr>
      </w:pPr>
      <w:r w:rsidRPr="00400689">
        <w:rPr>
          <w:lang w:val="en-GB"/>
        </w:rPr>
        <w:t>Westrop, S.J., Whitaker, H.J., Powell, A.A., Power, L., Whillock, C., Campbell, H., Simmons, R., Warrener, L., Ramsay, M.E., Ladhani, S.N. and Brown, K.E., 2022. Real-world data on immune responses following heterologous prime-boost COVID-19 vaccination schedule with Pfizer and AstraZeneca vaccines in England. Journal of Infection, 84(5), pp.692-700.</w:t>
      </w:r>
    </w:p>
    <w:p w14:paraId="460275EE" w14:textId="77777777" w:rsidR="00702336" w:rsidRPr="00400689" w:rsidRDefault="006E4E0E">
      <w:pPr>
        <w:rPr>
          <w:lang w:val="en-GB"/>
        </w:rPr>
      </w:pPr>
      <w:r w:rsidRPr="00400689">
        <w:rPr>
          <w:lang w:val="en-GB"/>
        </w:rPr>
        <w:t>Yuyan, G., 2023. A financial analysis report of three typical biopharmaceutical companies in UK. Academic Journal of Business &amp; Management, 5(1), pp.165-170.</w:t>
      </w:r>
    </w:p>
    <w:p w14:paraId="67730ED0" w14:textId="77777777" w:rsidR="00702336" w:rsidRPr="00400689" w:rsidRDefault="00702336">
      <w:pPr>
        <w:rPr>
          <w:lang w:val="en-GB"/>
        </w:rPr>
      </w:pPr>
    </w:p>
    <w:p w14:paraId="440C3C38" w14:textId="77777777" w:rsidR="00702336" w:rsidRPr="00400689" w:rsidRDefault="00702336">
      <w:pPr>
        <w:rPr>
          <w:lang w:val="en-GB"/>
        </w:rPr>
      </w:pPr>
    </w:p>
    <w:p w14:paraId="246F1772" w14:textId="77777777" w:rsidR="00702336" w:rsidRPr="00400689" w:rsidRDefault="00702336">
      <w:pPr>
        <w:rPr>
          <w:lang w:val="en-GB"/>
        </w:rPr>
      </w:pPr>
    </w:p>
    <w:p w14:paraId="54E347DB" w14:textId="77777777" w:rsidR="00702336" w:rsidRPr="00400689" w:rsidRDefault="00702336">
      <w:pPr>
        <w:rPr>
          <w:lang w:val="en-GB"/>
        </w:rPr>
      </w:pPr>
    </w:p>
    <w:p w14:paraId="2E48756D" w14:textId="77777777" w:rsidR="00702336" w:rsidRPr="00400689" w:rsidRDefault="00702336">
      <w:pPr>
        <w:rPr>
          <w:lang w:val="en-GB"/>
        </w:rPr>
      </w:pPr>
    </w:p>
    <w:p w14:paraId="2CCD9A69" w14:textId="77777777" w:rsidR="00702336" w:rsidRPr="00400689" w:rsidRDefault="00702336">
      <w:pPr>
        <w:rPr>
          <w:lang w:val="en-GB"/>
        </w:rPr>
      </w:pPr>
    </w:p>
    <w:p w14:paraId="66A97061" w14:textId="77777777" w:rsidR="00702336" w:rsidRPr="00400689" w:rsidRDefault="00702336">
      <w:pPr>
        <w:rPr>
          <w:lang w:val="en-GB"/>
        </w:rPr>
      </w:pPr>
    </w:p>
    <w:p w14:paraId="0D4928F6" w14:textId="77777777" w:rsidR="00702336" w:rsidRPr="00400689" w:rsidRDefault="00702336">
      <w:pPr>
        <w:rPr>
          <w:lang w:val="en-GB"/>
        </w:rPr>
      </w:pPr>
    </w:p>
    <w:p w14:paraId="4AB5122D" w14:textId="77777777" w:rsidR="00702336" w:rsidRPr="00400689" w:rsidRDefault="00702336">
      <w:pPr>
        <w:rPr>
          <w:lang w:val="en-GB"/>
        </w:rPr>
      </w:pPr>
    </w:p>
    <w:p w14:paraId="1F8713A7" w14:textId="77777777" w:rsidR="00702336" w:rsidRPr="00400689" w:rsidRDefault="00702336">
      <w:pPr>
        <w:rPr>
          <w:lang w:val="en-GB"/>
        </w:rPr>
      </w:pPr>
    </w:p>
    <w:p w14:paraId="1C09B633" w14:textId="77777777" w:rsidR="00702336" w:rsidRPr="00400689" w:rsidRDefault="00702336">
      <w:pPr>
        <w:rPr>
          <w:lang w:val="en-GB"/>
        </w:rPr>
      </w:pPr>
    </w:p>
    <w:p w14:paraId="3B9F95C6" w14:textId="77777777" w:rsidR="00702336" w:rsidRPr="00400689" w:rsidRDefault="00702336">
      <w:pPr>
        <w:rPr>
          <w:lang w:val="en-GB"/>
        </w:rPr>
      </w:pPr>
    </w:p>
    <w:sectPr w:rsidR="00702336" w:rsidRPr="00400689" w:rsidSect="007E19F3">
      <w:footerReference w:type="default" r:id="rId29"/>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90F52" w14:textId="77777777" w:rsidR="0038789E" w:rsidRDefault="0038789E">
      <w:pPr>
        <w:spacing w:before="0" w:after="0" w:line="240" w:lineRule="auto"/>
      </w:pPr>
      <w:r>
        <w:separator/>
      </w:r>
    </w:p>
  </w:endnote>
  <w:endnote w:type="continuationSeparator" w:id="0">
    <w:p w14:paraId="087999BF" w14:textId="77777777" w:rsidR="0038789E" w:rsidRDefault="0038789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213582"/>
      <w:docPartObj>
        <w:docPartGallery w:val="Page Numbers (Bottom of Page)"/>
        <w:docPartUnique/>
      </w:docPartObj>
    </w:sdtPr>
    <w:sdtEndPr>
      <w:rPr>
        <w:noProof/>
        <w:sz w:val="20"/>
      </w:rPr>
    </w:sdtEndPr>
    <w:sdtContent>
      <w:p w14:paraId="4A4B1232" w14:textId="77777777" w:rsidR="005A3FEA" w:rsidRPr="005A3FEA" w:rsidRDefault="005A3FEA">
        <w:pPr>
          <w:pStyle w:val="Footer"/>
          <w:jc w:val="right"/>
          <w:rPr>
            <w:sz w:val="20"/>
          </w:rPr>
        </w:pPr>
        <w:r w:rsidRPr="005A3FEA">
          <w:rPr>
            <w:sz w:val="20"/>
          </w:rPr>
          <w:fldChar w:fldCharType="begin"/>
        </w:r>
        <w:r w:rsidRPr="005A3FEA">
          <w:rPr>
            <w:sz w:val="20"/>
          </w:rPr>
          <w:instrText xml:space="preserve"> PAGE   \* MERGEFORMAT </w:instrText>
        </w:r>
        <w:r w:rsidRPr="005A3FEA">
          <w:rPr>
            <w:sz w:val="20"/>
          </w:rPr>
          <w:fldChar w:fldCharType="separate"/>
        </w:r>
        <w:r w:rsidR="00EF135D">
          <w:rPr>
            <w:noProof/>
            <w:sz w:val="20"/>
          </w:rPr>
          <w:t>25</w:t>
        </w:r>
        <w:r w:rsidRPr="005A3FEA">
          <w:rPr>
            <w:noProof/>
            <w:sz w:val="20"/>
          </w:rPr>
          <w:fldChar w:fldCharType="end"/>
        </w:r>
      </w:p>
    </w:sdtContent>
  </w:sdt>
  <w:p w14:paraId="3D05DA10" w14:textId="77777777" w:rsidR="005A3FEA" w:rsidRDefault="005A3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A92D2" w14:textId="77777777" w:rsidR="0038789E" w:rsidRDefault="0038789E">
      <w:pPr>
        <w:spacing w:before="0" w:after="0" w:line="240" w:lineRule="auto"/>
      </w:pPr>
      <w:r>
        <w:separator/>
      </w:r>
    </w:p>
  </w:footnote>
  <w:footnote w:type="continuationSeparator" w:id="0">
    <w:p w14:paraId="0BB02D7B" w14:textId="77777777" w:rsidR="0038789E" w:rsidRDefault="0038789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F1A"/>
    <w:multiLevelType w:val="multilevel"/>
    <w:tmpl w:val="62CA3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6806A4"/>
    <w:multiLevelType w:val="multilevel"/>
    <w:tmpl w:val="D2EC2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7F18F0"/>
    <w:multiLevelType w:val="hybridMultilevel"/>
    <w:tmpl w:val="E86885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82130472">
    <w:abstractNumId w:val="0"/>
  </w:num>
  <w:num w:numId="2" w16cid:durableId="1302615702">
    <w:abstractNumId w:val="1"/>
  </w:num>
  <w:num w:numId="3" w16cid:durableId="1893807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02336"/>
    <w:rsid w:val="00014014"/>
    <w:rsid w:val="00020AFF"/>
    <w:rsid w:val="00036DB8"/>
    <w:rsid w:val="000C3B35"/>
    <w:rsid w:val="000D5B89"/>
    <w:rsid w:val="00110F71"/>
    <w:rsid w:val="001A4F11"/>
    <w:rsid w:val="002B741F"/>
    <w:rsid w:val="003008E5"/>
    <w:rsid w:val="00322C73"/>
    <w:rsid w:val="00331380"/>
    <w:rsid w:val="00333281"/>
    <w:rsid w:val="003646BB"/>
    <w:rsid w:val="0038789E"/>
    <w:rsid w:val="00390BAD"/>
    <w:rsid w:val="00400689"/>
    <w:rsid w:val="005122DD"/>
    <w:rsid w:val="0055171A"/>
    <w:rsid w:val="005A3FEA"/>
    <w:rsid w:val="006A7AF8"/>
    <w:rsid w:val="006E4E0E"/>
    <w:rsid w:val="00702336"/>
    <w:rsid w:val="007E19F3"/>
    <w:rsid w:val="008A0756"/>
    <w:rsid w:val="008A7675"/>
    <w:rsid w:val="009B427F"/>
    <w:rsid w:val="009F5174"/>
    <w:rsid w:val="00A5087D"/>
    <w:rsid w:val="00AA776B"/>
    <w:rsid w:val="00B90450"/>
    <w:rsid w:val="00BD4ABA"/>
    <w:rsid w:val="00CB5DAD"/>
    <w:rsid w:val="00CC5B34"/>
    <w:rsid w:val="00E446B0"/>
    <w:rsid w:val="00E66C0B"/>
    <w:rsid w:val="00EE4EAF"/>
    <w:rsid w:val="00EF135D"/>
    <w:rsid w:val="00F04B38"/>
    <w:rsid w:val="00FA775B"/>
    <w:rsid w:val="00FF05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70B66"/>
  <w15:docId w15:val="{27BE3245-D7FC-084A-BAB9-83F240034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7E19F3"/>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7E19F3"/>
    <w:pPr>
      <w:spacing w:after="100"/>
    </w:pPr>
  </w:style>
  <w:style w:type="paragraph" w:styleId="TOC2">
    <w:name w:val="toc 2"/>
    <w:basedOn w:val="Normal"/>
    <w:next w:val="Normal"/>
    <w:autoRedefine/>
    <w:uiPriority w:val="39"/>
    <w:unhideWhenUsed/>
    <w:rsid w:val="007E19F3"/>
    <w:pPr>
      <w:spacing w:after="100"/>
      <w:ind w:left="240"/>
    </w:pPr>
  </w:style>
  <w:style w:type="paragraph" w:styleId="TOC3">
    <w:name w:val="toc 3"/>
    <w:basedOn w:val="Normal"/>
    <w:next w:val="Normal"/>
    <w:autoRedefine/>
    <w:uiPriority w:val="39"/>
    <w:unhideWhenUsed/>
    <w:rsid w:val="007E19F3"/>
    <w:pPr>
      <w:spacing w:after="100"/>
      <w:ind w:left="480"/>
    </w:pPr>
  </w:style>
  <w:style w:type="character" w:styleId="Hyperlink">
    <w:name w:val="Hyperlink"/>
    <w:basedOn w:val="DefaultParagraphFont"/>
    <w:uiPriority w:val="99"/>
    <w:unhideWhenUsed/>
    <w:rsid w:val="007E19F3"/>
    <w:rPr>
      <w:color w:val="0000FF" w:themeColor="hyperlink"/>
      <w:u w:val="single"/>
    </w:rPr>
  </w:style>
  <w:style w:type="paragraph" w:styleId="BalloonText">
    <w:name w:val="Balloon Text"/>
    <w:basedOn w:val="Normal"/>
    <w:link w:val="BalloonTextChar"/>
    <w:uiPriority w:val="99"/>
    <w:semiHidden/>
    <w:unhideWhenUsed/>
    <w:rsid w:val="007E19F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9F3"/>
    <w:rPr>
      <w:rFonts w:ascii="Tahoma" w:hAnsi="Tahoma" w:cs="Tahoma"/>
      <w:sz w:val="16"/>
      <w:szCs w:val="16"/>
    </w:rPr>
  </w:style>
  <w:style w:type="paragraph" w:styleId="Header">
    <w:name w:val="header"/>
    <w:basedOn w:val="Normal"/>
    <w:link w:val="HeaderChar"/>
    <w:uiPriority w:val="99"/>
    <w:unhideWhenUsed/>
    <w:rsid w:val="005A3FE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A3FEA"/>
  </w:style>
  <w:style w:type="paragraph" w:styleId="Footer">
    <w:name w:val="footer"/>
    <w:basedOn w:val="Normal"/>
    <w:link w:val="FooterChar"/>
    <w:uiPriority w:val="99"/>
    <w:unhideWhenUsed/>
    <w:rsid w:val="005A3FE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A3FEA"/>
  </w:style>
  <w:style w:type="paragraph" w:styleId="ListParagraph">
    <w:name w:val="List Paragraph"/>
    <w:basedOn w:val="Normal"/>
    <w:uiPriority w:val="34"/>
    <w:qFormat/>
    <w:rsid w:val="003313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tatista.com/statistics/266544/astrazeneca-operating-profit-since-2006/" TargetMode="External"/><Relationship Id="rId3" Type="http://schemas.openxmlformats.org/officeDocument/2006/relationships/styles" Target="styles.xml"/><Relationship Id="rId21" Type="http://schemas.openxmlformats.org/officeDocument/2006/relationships/hyperlink" Target="https://www.astrazeneca.com/content/dam/az/Investor_Relations/annual-report-2019/pdf/AstraZeneca_AR_2019.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acrotrends.net/stocks/charts/AZN/astrazeneca/free-cash-flow"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strazeneca.com/content/dam/az/Investor_Relations/annual-report-2018/PDF/AstraZeneca_AR_2018.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strazeneca.com/content/dam/az/Investor_Relations/annual-report-2022/pdf/AstraZeneca_AR_2022.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strazeneca.com/content/dam/az/Investor_Relations/annual-report-2021/pdf/AstraZeneca_AR_2021.pdf" TargetMode="External"/><Relationship Id="rId28" Type="http://schemas.openxmlformats.org/officeDocument/2006/relationships/hyperlink" Target="https://stockanalysis.com/stocks/azn/financials/ratio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strazeneca.com/content/dam/az/Investor_Relations/annual-report-2020/pdf/AstraZeneca_AR_2020.pdf" TargetMode="External"/><Relationship Id="rId27" Type="http://schemas.openxmlformats.org/officeDocument/2006/relationships/hyperlink" Target="https://stockanalysis.com/stocks/azn/dividen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9BDD8E-A725-4635-8543-390089067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29</Pages>
  <Words>5925</Words>
  <Characters>33779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Jainam Dhrangadhariya</cp:lastModifiedBy>
  <cp:revision>6</cp:revision>
  <dcterms:created xsi:type="dcterms:W3CDTF">2023-11-07T10:09:00Z</dcterms:created>
  <dcterms:modified xsi:type="dcterms:W3CDTF">2023-11-20T14:04:00Z</dcterms:modified>
</cp:coreProperties>
</file>