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33DC8" w14:textId="77777777" w:rsidR="0061613E"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Programme: Health and Social Care HND/BSC</w:t>
      </w:r>
    </w:p>
    <w:p w14:paraId="6305D1C3" w14:textId="77777777" w:rsidR="0061613E"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Children, Young People and Families</w:t>
      </w:r>
    </w:p>
    <w:p w14:paraId="714D07D6" w14:textId="77777777" w:rsidR="0061613E"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code: BMHP5004_BIRM</w:t>
      </w:r>
    </w:p>
    <w:p w14:paraId="3332A32A" w14:textId="77777777" w:rsidR="0061613E" w:rsidRDefault="0061613E">
      <w:pPr>
        <w:tabs>
          <w:tab w:val="left" w:pos="3360"/>
        </w:tabs>
        <w:jc w:val="center"/>
        <w:rPr>
          <w:rFonts w:ascii="Times New Roman" w:eastAsia="Times New Roman" w:hAnsi="Times New Roman" w:cs="Times New Roman"/>
          <w:b/>
          <w:sz w:val="24"/>
          <w:szCs w:val="24"/>
        </w:rPr>
      </w:pPr>
    </w:p>
    <w:p w14:paraId="38AA5701" w14:textId="77777777" w:rsidR="0061613E" w:rsidRDefault="0061613E">
      <w:pPr>
        <w:tabs>
          <w:tab w:val="left" w:pos="3360"/>
        </w:tabs>
        <w:jc w:val="center"/>
        <w:rPr>
          <w:rFonts w:ascii="Times New Roman" w:eastAsia="Times New Roman" w:hAnsi="Times New Roman" w:cs="Times New Roman"/>
          <w:b/>
          <w:sz w:val="24"/>
          <w:szCs w:val="24"/>
        </w:rPr>
      </w:pPr>
    </w:p>
    <w:p w14:paraId="79D8858B" w14:textId="77777777" w:rsidR="0061613E" w:rsidRDefault="0061613E">
      <w:pPr>
        <w:tabs>
          <w:tab w:val="left" w:pos="3360"/>
        </w:tabs>
        <w:jc w:val="center"/>
        <w:rPr>
          <w:rFonts w:ascii="Times New Roman" w:eastAsia="Times New Roman" w:hAnsi="Times New Roman" w:cs="Times New Roman"/>
          <w:b/>
          <w:sz w:val="24"/>
          <w:szCs w:val="24"/>
        </w:rPr>
      </w:pPr>
    </w:p>
    <w:p w14:paraId="028830F1" w14:textId="77777777" w:rsidR="0061613E" w:rsidRDefault="0061613E">
      <w:pPr>
        <w:tabs>
          <w:tab w:val="left" w:pos="3360"/>
        </w:tabs>
        <w:jc w:val="center"/>
        <w:rPr>
          <w:rFonts w:ascii="Times New Roman" w:eastAsia="Times New Roman" w:hAnsi="Times New Roman" w:cs="Times New Roman"/>
          <w:b/>
          <w:sz w:val="24"/>
          <w:szCs w:val="24"/>
        </w:rPr>
      </w:pPr>
    </w:p>
    <w:p w14:paraId="3DCA4260" w14:textId="77777777" w:rsidR="0061613E" w:rsidRDefault="0061613E">
      <w:pPr>
        <w:tabs>
          <w:tab w:val="left" w:pos="3360"/>
        </w:tabs>
        <w:jc w:val="center"/>
        <w:rPr>
          <w:rFonts w:ascii="Times New Roman" w:eastAsia="Times New Roman" w:hAnsi="Times New Roman" w:cs="Times New Roman"/>
          <w:b/>
          <w:sz w:val="24"/>
          <w:szCs w:val="24"/>
        </w:rPr>
      </w:pPr>
    </w:p>
    <w:p w14:paraId="136138E4" w14:textId="77777777" w:rsidR="0061613E" w:rsidRDefault="0061613E">
      <w:pPr>
        <w:tabs>
          <w:tab w:val="left" w:pos="3360"/>
        </w:tabs>
        <w:jc w:val="center"/>
        <w:rPr>
          <w:rFonts w:ascii="Times New Roman" w:eastAsia="Times New Roman" w:hAnsi="Times New Roman" w:cs="Times New Roman"/>
          <w:b/>
          <w:sz w:val="24"/>
          <w:szCs w:val="24"/>
        </w:rPr>
      </w:pPr>
    </w:p>
    <w:p w14:paraId="13D04F68" w14:textId="77777777" w:rsidR="0061613E" w:rsidRDefault="00000000">
      <w:pPr>
        <w:tabs>
          <w:tab w:val="left" w:pos="3360"/>
        </w:tab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EDIE JOBE-NJIE </w:t>
      </w:r>
    </w:p>
    <w:p w14:paraId="398314AF" w14:textId="77777777" w:rsidR="0061613E" w:rsidRDefault="00000000">
      <w:pPr>
        <w:tabs>
          <w:tab w:val="left" w:pos="3360"/>
        </w:tabs>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1917941</w:t>
      </w:r>
    </w:p>
    <w:p w14:paraId="74BD577C" w14:textId="77777777" w:rsidR="0061613E" w:rsidRDefault="00000000">
      <w:pPr>
        <w:tabs>
          <w:tab w:val="left" w:pos="3360"/>
        </w:tabs>
        <w:jc w:val="center"/>
        <w:rPr>
          <w:rFonts w:ascii="Times New Roman" w:eastAsia="Times New Roman" w:hAnsi="Times New Roman" w:cs="Times New Roman"/>
          <w:b/>
          <w:sz w:val="32"/>
          <w:szCs w:val="32"/>
          <w:u w:val="single"/>
        </w:rPr>
      </w:pPr>
      <w:r>
        <w:br w:type="page"/>
      </w:r>
      <w:r>
        <w:rPr>
          <w:rFonts w:ascii="Times New Roman" w:eastAsia="Times New Roman" w:hAnsi="Times New Roman" w:cs="Times New Roman"/>
          <w:b/>
          <w:sz w:val="32"/>
          <w:szCs w:val="32"/>
          <w:u w:val="single"/>
        </w:rPr>
        <w:lastRenderedPageBreak/>
        <w:t>Case Study</w:t>
      </w:r>
    </w:p>
    <w:p w14:paraId="1ED22F0D" w14:textId="77777777" w:rsidR="0061613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of the course Improving Outcomes for Children, Adolescents, and Their Families: Working Together to Succeed is to ensure that Students Understand How to Form Successful Teams, Manage Resources, and Lead on Ways to Work Practices in Order to Improve Outcomes for These Populations.</w:t>
      </w:r>
    </w:p>
    <w:p w14:paraId="0063DB12" w14:textId="77777777" w:rsidR="0061613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should’ve been early discussions and supervision with the designated doctor for safeguarding children. Safeguarding means the necessary measures to protect the health and human right of an individual. Safeguarding allows people to be safe from any kinds of abuse, harm and danger. Safeguarding children is one of the major duties that need to be done by a child’s family. They need to protect the mental health of a child by counselling with doctors and other health professionals. </w:t>
      </w:r>
    </w:p>
    <w:p w14:paraId="11D7F0BF" w14:textId="77777777" w:rsidR="0061613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Childhood trauma refers to any kinds of emotionally adverse experience from childhood events that often results in rough physical and mental effects. Most often, a person carries his unresolved childhood traumas to their adulthood faces tough mental situation. Childhood traumas have rapid effects on the parenting behaviour and capacity of that person. </w:t>
      </w:r>
    </w:p>
    <w:p w14:paraId="243B9380" w14:textId="77777777" w:rsidR="0061613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person with unresolved childhood trauma always tries to avoid any memories, activities, behaviours and other things that reminds him about that trauma. This condition results in forcing his child to avoid those activities as well. The child faces lack of independence in that situation. Sometimes, the parent with trauma tries to over shelter his child from the world due to distressful experience of him. These overly controlling behaviour causes difficulties in the relation of parent and the child. The parent neglects child’s emotion. So, childhood traumas have harmful </w:t>
      </w:r>
      <w:proofErr w:type="spellStart"/>
      <w:r>
        <w:rPr>
          <w:rFonts w:ascii="Times New Roman" w:eastAsia="Times New Roman" w:hAnsi="Times New Roman" w:cs="Times New Roman"/>
          <w:sz w:val="24"/>
          <w:szCs w:val="24"/>
        </w:rPr>
        <w:t>affect</w:t>
      </w:r>
      <w:proofErr w:type="spellEnd"/>
      <w:r>
        <w:rPr>
          <w:rFonts w:ascii="Times New Roman" w:eastAsia="Times New Roman" w:hAnsi="Times New Roman" w:cs="Times New Roman"/>
          <w:sz w:val="24"/>
          <w:szCs w:val="24"/>
        </w:rPr>
        <w:t xml:space="preserve"> on a person’s parenting. </w:t>
      </w:r>
    </w:p>
    <w:p w14:paraId="1C965B9E" w14:textId="77777777" w:rsidR="0061613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 protection meeting is a conference between a child, his parents and health professionals for discussing about a child’s future safety, health and development. Health professionals requires some qualities and guidelines for attending a child protection meeting. Some of their key responsibilities as a health professional are as follows,</w:t>
      </w:r>
    </w:p>
    <w:p w14:paraId="4F457857" w14:textId="77777777" w:rsidR="0061613E"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agency of the professional will be required to prepare a report for the for the meetings</w:t>
      </w:r>
    </w:p>
    <w:p w14:paraId="3726876F" w14:textId="77777777" w:rsidR="0061613E"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professional must be well informed about his role of involvement.</w:t>
      </w:r>
    </w:p>
    <w:p w14:paraId="5C268164" w14:textId="77777777" w:rsidR="0061613E"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 must maintain a healthy relationship with the family of a kid. </w:t>
      </w:r>
    </w:p>
    <w:p w14:paraId="4C3ED1E3" w14:textId="77777777" w:rsidR="0061613E"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He should ensure enough time for the meeting, keeping approximately 2-3 hour in his diary. </w:t>
      </w:r>
    </w:p>
    <w:p w14:paraId="2106D546" w14:textId="77777777" w:rsidR="0061613E" w:rsidRDefault="00000000">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He should be sensitive to the issues and needs by the child and his family. </w:t>
      </w:r>
    </w:p>
    <w:p w14:paraId="1E308FCF" w14:textId="77777777" w:rsidR="0061613E"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professional must be prepared to any kinds of discussion and decision-making process by evaluating the situation.</w:t>
      </w:r>
    </w:p>
    <w:p w14:paraId="4809C693" w14:textId="77777777" w:rsidR="0061613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Zero tolerance policies refer to disciplinary policies that indicates negative consequences of some specific kinds of misbehaviour. Educational institutions often mandate this policy to their students for dealing with the misbehaviours by them. Though it has some positive impacts, it also has negative impact on the students, mostly the vulnerable kids. Same types of situations a vulnerable adult face in many stages in his life. Zero tolerance policy between a family and health professional sometimes results in misunderstanding between them. If they are not well considerate then they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maintain a sound relationship. From the above discussion, we can draw a conclusion that zero tolerance policies have negative impact on vulnerable kids, adults, family and health professionals.</w:t>
      </w:r>
    </w:p>
    <w:p w14:paraId="3A13CF18" w14:textId="77777777" w:rsidR="0061613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needs-based approach that will be taken with this project is what the families believe will benefit them the most. Families that are deemed active participants are afforded the opportunity to discuss their circumstances with medical specialists and to have a voice in the treatments in which their loved ones take part. In addition, families are given the opportunity to vote on the therapies that will be administered to a member of their family. The possession of this credential grants the holder access to reports of evaluations. Families express gratitude to staff members for advocating on their behalf and creating trust in order to facilitate the families' ability to initiate change within themselves. Participants have reported feeling positive improvements in areas such as their self-esteem, level of confidence, knowledge of challenges, sense of opportunity, and relationships as a result of their participation in the program. The family as a unit. The fact that many parents have made the decision to continue receiving peer support through their own parent group is evidence that, despite these changes, families are still conscious of the necessity to continue to thrive. This is something that can be proved by the fact that they opted to continue to get it. This is something that is a good indicator of how they feel about it. The fact that mini projects cater not only to the requirements of children but also those of their parents is one factor that has contributed to the widespread popularity of these activities among families. They provided parents with the opportunity to build their confidence, assertiveness, and self-esteem, which could later influence their parenting in other situations, such as having the confidence to leave an abusive relationship. Also, they gave </w:t>
      </w:r>
      <w:r>
        <w:rPr>
          <w:rFonts w:ascii="Times New Roman" w:eastAsia="Times New Roman" w:hAnsi="Times New Roman" w:cs="Times New Roman"/>
          <w:sz w:val="24"/>
          <w:szCs w:val="24"/>
        </w:rPr>
        <w:lastRenderedPageBreak/>
        <w:t xml:space="preserve">parents the chance to talk to other parents about their experiences. In addition to this, they teach parents how to improve their communication skills with their offspring. In addition, they provide parents with the opportunity to learn how to enhance their communication skills with their children, which is a significant benefit for everyone involved. The smaller projects adhere to the overall philosophy of the initiative, which is to keep things as straightforward as possible while placing primary emphasis on the requirements of the family units. Families were given the option to take part in the sessions, and through their interactions with other members of the group, they came to the realization that they were not the only ones going through difficulties. </w:t>
      </w:r>
      <w:proofErr w:type="gramStart"/>
      <w:r>
        <w:rPr>
          <w:rFonts w:ascii="Times New Roman" w:eastAsia="Times New Roman" w:hAnsi="Times New Roman" w:cs="Times New Roman"/>
          <w:sz w:val="24"/>
          <w:szCs w:val="24"/>
        </w:rPr>
        <w:t>As a consequence of</w:t>
      </w:r>
      <w:proofErr w:type="gramEnd"/>
      <w:r>
        <w:rPr>
          <w:rFonts w:ascii="Times New Roman" w:eastAsia="Times New Roman" w:hAnsi="Times New Roman" w:cs="Times New Roman"/>
          <w:sz w:val="24"/>
          <w:szCs w:val="24"/>
        </w:rPr>
        <w:t xml:space="preserve"> this, families do not interpret these connections as a form of punishment or as a constant reminder of the errors they have committed in the past. Everyone who was involved in the projects thought highly of the smaller ones.</w:t>
      </w:r>
    </w:p>
    <w:p w14:paraId="24FC8F75" w14:textId="58DEDDAA" w:rsidR="0061613E" w:rsidRDefault="00FE256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8240" behindDoc="1" locked="0" layoutInCell="1" allowOverlap="1" wp14:anchorId="23FA1768" wp14:editId="5B014475">
            <wp:simplePos x="0" y="0"/>
            <wp:positionH relativeFrom="margin">
              <wp:posOffset>-752475</wp:posOffset>
            </wp:positionH>
            <wp:positionV relativeFrom="paragraph">
              <wp:posOffset>397510</wp:posOffset>
            </wp:positionV>
            <wp:extent cx="7191375" cy="4152900"/>
            <wp:effectExtent l="0" t="0" r="9525" b="0"/>
            <wp:wrapTight wrapText="bothSides">
              <wp:wrapPolygon edited="0">
                <wp:start x="343" y="198"/>
                <wp:lineTo x="172" y="694"/>
                <wp:lineTo x="114" y="4954"/>
                <wp:lineTo x="458" y="5152"/>
                <wp:lineTo x="114" y="5549"/>
                <wp:lineTo x="114" y="7927"/>
                <wp:lineTo x="687" y="8323"/>
                <wp:lineTo x="172" y="8323"/>
                <wp:lineTo x="114" y="14664"/>
                <wp:lineTo x="687" y="16250"/>
                <wp:lineTo x="172" y="16349"/>
                <wp:lineTo x="172" y="16547"/>
                <wp:lineTo x="687" y="17835"/>
                <wp:lineTo x="172" y="18330"/>
                <wp:lineTo x="172" y="18628"/>
                <wp:lineTo x="687" y="19420"/>
                <wp:lineTo x="687" y="19916"/>
                <wp:lineTo x="973" y="20015"/>
                <wp:lineTo x="3319" y="20213"/>
                <wp:lineTo x="15506" y="20213"/>
                <wp:lineTo x="16937" y="20015"/>
                <wp:lineTo x="17223" y="19916"/>
                <wp:lineTo x="17108" y="19420"/>
                <wp:lineTo x="21457" y="19024"/>
                <wp:lineTo x="21343" y="18132"/>
                <wp:lineTo x="15678" y="17835"/>
                <wp:lineTo x="21514" y="17042"/>
                <wp:lineTo x="21571" y="14664"/>
                <wp:lineTo x="20313" y="13079"/>
                <wp:lineTo x="20484" y="12286"/>
                <wp:lineTo x="19225" y="12088"/>
                <wp:lineTo x="12645" y="11394"/>
                <wp:lineTo x="9899" y="9908"/>
                <wp:lineTo x="10013" y="9413"/>
                <wp:lineTo x="9670" y="9215"/>
                <wp:lineTo x="6237" y="8323"/>
                <wp:lineTo x="16021" y="8323"/>
                <wp:lineTo x="21056" y="7828"/>
                <wp:lineTo x="21114" y="6440"/>
                <wp:lineTo x="14820" y="5152"/>
                <wp:lineTo x="20484" y="5152"/>
                <wp:lineTo x="20313" y="4261"/>
                <wp:lineTo x="4005" y="3567"/>
                <wp:lineTo x="21171" y="3270"/>
                <wp:lineTo x="21228" y="2279"/>
                <wp:lineTo x="7095" y="1982"/>
                <wp:lineTo x="19969" y="1288"/>
                <wp:lineTo x="20255" y="396"/>
                <wp:lineTo x="19454" y="198"/>
                <wp:lineTo x="343" y="198"/>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extLst>
                        <a:ext uri="{28A0092B-C50C-407E-A947-70E740481C1C}">
                          <a14:useLocalDpi xmlns:a14="http://schemas.microsoft.com/office/drawing/2010/main" val="0"/>
                        </a:ext>
                      </a:extLst>
                    </a:blip>
                    <a:srcRect/>
                    <a:stretch>
                      <a:fillRect/>
                    </a:stretch>
                  </pic:blipFill>
                  <pic:spPr>
                    <a:xfrm>
                      <a:off x="0" y="0"/>
                      <a:ext cx="7191375" cy="4152900"/>
                    </a:xfrm>
                    <a:prstGeom prst="rect">
                      <a:avLst/>
                    </a:prstGeom>
                    <a:ln/>
                  </pic:spPr>
                </pic:pic>
              </a:graphicData>
            </a:graphic>
            <wp14:sizeRelH relativeFrom="margin">
              <wp14:pctWidth>0</wp14:pctWidth>
            </wp14:sizeRelH>
            <wp14:sizeRelV relativeFrom="margin">
              <wp14:pctHeight>0</wp14:pctHeight>
            </wp14:sizeRelV>
          </wp:anchor>
        </w:drawing>
      </w:r>
    </w:p>
    <w:p w14:paraId="081836C7" w14:textId="08665531" w:rsidR="0061613E" w:rsidRDefault="0061613E">
      <w:pPr>
        <w:spacing w:line="360" w:lineRule="auto"/>
        <w:jc w:val="both"/>
        <w:rPr>
          <w:rFonts w:ascii="Times New Roman" w:eastAsia="Times New Roman" w:hAnsi="Times New Roman" w:cs="Times New Roman"/>
          <w:sz w:val="24"/>
          <w:szCs w:val="24"/>
        </w:rPr>
      </w:pPr>
    </w:p>
    <w:sectPr w:rsidR="0061613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E4EA5"/>
    <w:multiLevelType w:val="multilevel"/>
    <w:tmpl w:val="AA609B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1818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13E"/>
    <w:rsid w:val="0061613E"/>
    <w:rsid w:val="00E74C1D"/>
    <w:rsid w:val="00FE2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124FF"/>
  <w15:docId w15:val="{F7CF0433-8168-4F85-9FBE-63D1C837F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167ADB"/>
    <w:pPr>
      <w:ind w:left="720"/>
      <w:contextualSpacing/>
    </w:pPr>
  </w:style>
  <w:style w:type="paragraph" w:styleId="Header">
    <w:name w:val="header"/>
    <w:basedOn w:val="Normal"/>
    <w:link w:val="HeaderChar"/>
    <w:uiPriority w:val="99"/>
    <w:unhideWhenUsed/>
    <w:rsid w:val="00DE3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504"/>
  </w:style>
  <w:style w:type="paragraph" w:styleId="Footer">
    <w:name w:val="footer"/>
    <w:basedOn w:val="Normal"/>
    <w:link w:val="FooterChar"/>
    <w:uiPriority w:val="99"/>
    <w:unhideWhenUsed/>
    <w:rsid w:val="00DE3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504"/>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3z2b7COmWLg4kkRhCUfhWj83FQ==">AMUW2mUsG7O3PYfx1BLb8rFFA/LPyO7QS8CDipCwZ/72vUbGV5O+yB3LaY18bvPG6xD393/jEKLWKqvdSppVGbZKNYo7Bz2Ki9RLLQwG78Z0rbuBBUqmO2WgZzcgezOo+Db6zF/dQgUL/fOsw7+gbRh9lIrrBCymYg==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954</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Edie jobe</dc:creator>
  <cp:lastModifiedBy>Edie jobe</cp:lastModifiedBy>
  <cp:revision>2</cp:revision>
  <dcterms:created xsi:type="dcterms:W3CDTF">2022-07-29T22:11:00Z</dcterms:created>
  <dcterms:modified xsi:type="dcterms:W3CDTF">2022-07-29T22:11:00Z</dcterms:modified>
</cp:coreProperties>
</file>