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53D76" w:rsidRDefault="008856D9" w14:paraId="7D4E64C7" w14:textId="77777777">
      <w:r>
        <w:t>The manuscript chosen is called</w:t>
      </w:r>
    </w:p>
    <w:p w:rsidR="00953D76" w:rsidP="00182E24" w:rsidRDefault="008856D9" w14:paraId="34D89543" w14:textId="77777777">
      <w:pPr>
        <w:ind w:left="567" w:right="567"/>
      </w:pPr>
      <w:r>
        <w:t xml:space="preserve"> </w:t>
      </w:r>
      <w:proofErr w:type="spellStart"/>
      <w:r w:rsidRPr="00D10BCE" w:rsidR="00D10BCE">
        <w:rPr>
          <w:i/>
          <w:iCs/>
        </w:rPr>
        <w:t>Genealogie</w:t>
      </w:r>
      <w:proofErr w:type="spellEnd"/>
      <w:r w:rsidRPr="00D10BCE" w:rsidR="00D10BCE">
        <w:rPr>
          <w:i/>
          <w:iCs/>
        </w:rPr>
        <w:t xml:space="preserve">̧ </w:t>
      </w:r>
      <w:proofErr w:type="spellStart"/>
      <w:r w:rsidRPr="00D10BCE" w:rsidR="00D10BCE">
        <w:rPr>
          <w:i/>
          <w:iCs/>
        </w:rPr>
        <w:t>deorum</w:t>
      </w:r>
      <w:proofErr w:type="spellEnd"/>
      <w:r w:rsidRPr="00D10BCE" w:rsidR="00D10BCE">
        <w:rPr>
          <w:i/>
          <w:iCs/>
        </w:rPr>
        <w:t xml:space="preserve"> </w:t>
      </w:r>
      <w:proofErr w:type="spellStart"/>
      <w:r w:rsidRPr="00D10BCE" w:rsidR="00D10BCE">
        <w:rPr>
          <w:i/>
          <w:iCs/>
        </w:rPr>
        <w:t>gentilium</w:t>
      </w:r>
      <w:proofErr w:type="spellEnd"/>
      <w:r w:rsidRPr="00D10BCE" w:rsidR="00D10BCE">
        <w:rPr>
          <w:i/>
          <w:iCs/>
        </w:rPr>
        <w:t xml:space="preserve"> : ad </w:t>
      </w:r>
      <w:proofErr w:type="spellStart"/>
      <w:r w:rsidRPr="00D10BCE" w:rsidR="00D10BCE">
        <w:rPr>
          <w:i/>
          <w:iCs/>
        </w:rPr>
        <w:t>Vgonem</w:t>
      </w:r>
      <w:proofErr w:type="spellEnd"/>
      <w:r w:rsidRPr="00D10BCE" w:rsidR="00D10BCE">
        <w:rPr>
          <w:i/>
          <w:iCs/>
        </w:rPr>
        <w:t xml:space="preserve"> </w:t>
      </w:r>
      <w:proofErr w:type="spellStart"/>
      <w:r w:rsidRPr="00D10BCE" w:rsidR="00D10BCE">
        <w:rPr>
          <w:i/>
          <w:iCs/>
        </w:rPr>
        <w:t>inclytum</w:t>
      </w:r>
      <w:proofErr w:type="spellEnd"/>
      <w:r w:rsidRPr="00D10BCE" w:rsidR="00D10BCE">
        <w:rPr>
          <w:i/>
          <w:iCs/>
        </w:rPr>
        <w:t xml:space="preserve"> </w:t>
      </w:r>
      <w:proofErr w:type="spellStart"/>
      <w:r w:rsidRPr="00D10BCE" w:rsidR="00D10BCE">
        <w:rPr>
          <w:i/>
          <w:iCs/>
        </w:rPr>
        <w:t>Hierusale</w:t>
      </w:r>
      <w:proofErr w:type="spellEnd"/>
      <w:r w:rsidRPr="00D10BCE" w:rsidR="00D10BCE">
        <w:rPr>
          <w:i/>
          <w:iCs/>
        </w:rPr>
        <w:t xml:space="preserve">̃ &amp; </w:t>
      </w:r>
      <w:proofErr w:type="spellStart"/>
      <w:r w:rsidRPr="00D10BCE" w:rsidR="00D10BCE">
        <w:rPr>
          <w:i/>
          <w:iCs/>
        </w:rPr>
        <w:t>Cypri</w:t>
      </w:r>
      <w:proofErr w:type="spellEnd"/>
      <w:r w:rsidRPr="00D10BCE" w:rsidR="00D10BCE">
        <w:rPr>
          <w:i/>
          <w:iCs/>
        </w:rPr>
        <w:t xml:space="preserve"> </w:t>
      </w:r>
      <w:proofErr w:type="spellStart"/>
      <w:r w:rsidRPr="00D10BCE" w:rsidR="00D10BCE">
        <w:rPr>
          <w:i/>
          <w:iCs/>
        </w:rPr>
        <w:t>regem</w:t>
      </w:r>
      <w:proofErr w:type="spellEnd"/>
      <w:r w:rsidRPr="00D10BCE" w:rsidR="00D10BCE">
        <w:rPr>
          <w:i/>
          <w:iCs/>
        </w:rPr>
        <w:t xml:space="preserve"> secundum </w:t>
      </w:r>
      <w:proofErr w:type="spellStart"/>
      <w:r w:rsidRPr="00D10BCE" w:rsidR="00D10BCE">
        <w:rPr>
          <w:i/>
          <w:iCs/>
        </w:rPr>
        <w:t>Iohannem</w:t>
      </w:r>
      <w:proofErr w:type="spellEnd"/>
      <w:r w:rsidRPr="00D10BCE" w:rsidR="00D10BCE">
        <w:rPr>
          <w:i/>
          <w:iCs/>
        </w:rPr>
        <w:t xml:space="preserve"> Boccatiũ de </w:t>
      </w:r>
      <w:proofErr w:type="spellStart"/>
      <w:r w:rsidRPr="00D10BCE" w:rsidR="00D10BCE">
        <w:rPr>
          <w:i/>
          <w:iCs/>
        </w:rPr>
        <w:t>Certaldo</w:t>
      </w:r>
      <w:proofErr w:type="spellEnd"/>
      <w:r w:rsidRPr="00D10BCE" w:rsidR="00D10BCE">
        <w:rPr>
          <w:i/>
          <w:iCs/>
        </w:rPr>
        <w:t xml:space="preserve"> liber primus incipit feliciter</w:t>
      </w:r>
      <w:r w:rsidRPr="00D10BCE" w:rsidR="00D10BCE">
        <w:t>.</w:t>
      </w:r>
      <w:r w:rsidR="00070CEA">
        <w:rPr>
          <w:rStyle w:val="FootnoteReference"/>
        </w:rPr>
        <w:footnoteReference w:id="1"/>
      </w:r>
      <w:r w:rsidR="00E76660">
        <w:t xml:space="preserve"> </w:t>
      </w:r>
    </w:p>
    <w:p w:rsidR="00F864EB" w:rsidP="00F864EB" w:rsidRDefault="00715C1E" w14:paraId="10F41005" w14:textId="3C3D25FE">
      <w:r w:rsidR="00715C1E">
        <w:rPr/>
        <w:t xml:space="preserve">The copy of the manuscript that I am transcribing is held in the Roderic Bowen Library and Archives at the Lampeter Campus </w:t>
      </w:r>
      <w:r w:rsidR="00060B2E">
        <w:rPr/>
        <w:t xml:space="preserve">of University of Wales Trinity Saint </w:t>
      </w:r>
      <w:r w:rsidR="00A27383">
        <w:rPr/>
        <w:t>David’s</w:t>
      </w:r>
      <w:r w:rsidR="00060B2E">
        <w:rPr/>
        <w:t xml:space="preserve">,</w:t>
      </w:r>
      <w:r w:rsidR="00060B2E">
        <w:rPr/>
        <w:t xml:space="preserve"> </w:t>
      </w:r>
      <w:r w:rsidR="00A27383">
        <w:rPr/>
        <w:t>within</w:t>
      </w:r>
      <w:r w:rsidR="00060B2E">
        <w:rPr/>
        <w:t xml:space="preserve"> this collection the book has the code </w:t>
      </w:r>
      <w:r w:rsidR="007A751C">
        <w:rPr/>
        <w:t xml:space="preserve">‘INC 13/14’. </w:t>
      </w:r>
      <w:r w:rsidR="0036589C">
        <w:rPr/>
        <w:t xml:space="preserve">This book is </w:t>
      </w:r>
      <w:r w:rsidR="000704E7">
        <w:rPr/>
        <w:t xml:space="preserve">about </w:t>
      </w:r>
      <w:r w:rsidR="002F55DF">
        <w:rPr/>
        <w:t xml:space="preserve">both Greek and Roman </w:t>
      </w:r>
      <w:r w:rsidR="000704E7">
        <w:rPr/>
        <w:t xml:space="preserve">Gods and their intricate histories, as the title suggests. </w:t>
      </w:r>
      <w:r w:rsidR="00E76660">
        <w:rPr/>
        <w:t>This manuscript was written by</w:t>
      </w:r>
      <w:r w:rsidR="00794698">
        <w:rPr/>
        <w:t xml:space="preserve"> Giovanni</w:t>
      </w:r>
      <w:r w:rsidR="00E76660">
        <w:rPr/>
        <w:t xml:space="preserve"> Boccacio</w:t>
      </w:r>
      <w:r w:rsidR="00F3799D">
        <w:rPr/>
        <w:t xml:space="preserve"> who was </w:t>
      </w:r>
      <w:r w:rsidR="002F2590">
        <w:rPr/>
        <w:t>an Italian poet and scholar</w:t>
      </w:r>
      <w:r w:rsidR="00E76660">
        <w:rPr/>
        <w:t>.</w:t>
      </w:r>
      <w:r w:rsidR="00E067FD">
        <w:rPr>
          <w:rStyle w:val="FootnoteReference"/>
        </w:rPr>
        <w:footnoteReference w:id="2"/>
      </w:r>
      <w:r w:rsidR="00D10BCE">
        <w:rPr/>
        <w:t xml:space="preserve"> </w:t>
      </w:r>
      <w:r w:rsidR="00361F90">
        <w:rPr/>
        <w:t>Boccac</w:t>
      </w:r>
      <w:r w:rsidR="00B90092">
        <w:rPr/>
        <w:t>c</w:t>
      </w:r>
      <w:r w:rsidR="00361F90">
        <w:rPr/>
        <w:t xml:space="preserve">io was also a </w:t>
      </w:r>
      <w:r w:rsidR="000704E7">
        <w:rPr/>
        <w:t>humanist;</w:t>
      </w:r>
      <w:r w:rsidR="000450A3">
        <w:rPr/>
        <w:t xml:space="preserve"> this book is a key humanist piece of work as it looks back to antiquity and attempt</w:t>
      </w:r>
      <w:r w:rsidR="7EFDE851">
        <w:rPr/>
        <w:t xml:space="preserve">s</w:t>
      </w:r>
      <w:r w:rsidR="000450A3">
        <w:rPr/>
        <w:t xml:space="preserve"> to relate it to contemporary issues</w:t>
      </w:r>
      <w:r w:rsidR="00361F90">
        <w:rPr/>
        <w:t>.</w:t>
      </w:r>
      <w:r w:rsidR="00361F90">
        <w:rPr>
          <w:rStyle w:val="FootnoteReference"/>
        </w:rPr>
        <w:footnoteReference w:id="3"/>
      </w:r>
      <w:r w:rsidR="00361F90">
        <w:rPr/>
        <w:t xml:space="preserve"> </w:t>
      </w:r>
      <w:r w:rsidR="00F864EB">
        <w:rPr/>
        <w:t xml:space="preserve"> </w:t>
      </w:r>
      <w:r w:rsidR="001F2FD3">
        <w:rPr/>
        <w:t xml:space="preserve">This book was very important and recognised by many other scholars and critics </w:t>
      </w:r>
      <w:r w:rsidR="00C136B7">
        <w:rPr/>
        <w:t>and has been the subject of many reviews.</w:t>
      </w:r>
      <w:r w:rsidR="00812E2E">
        <w:rPr/>
        <w:t xml:space="preserve"> This book also referenced ideas from </w:t>
      </w:r>
      <w:r w:rsidR="002538F5">
        <w:rPr/>
        <w:t>ancient texts as well as contemporary texts.</w:t>
      </w:r>
      <w:r w:rsidR="00C136B7">
        <w:rPr/>
        <w:t xml:space="preserve"> </w:t>
      </w:r>
      <w:r w:rsidR="00F864EB">
        <w:rPr/>
        <w:t xml:space="preserve">The </w:t>
      </w:r>
      <w:r w:rsidR="00F864EB">
        <w:rPr/>
        <w:t>Genealogie</w:t>
      </w:r>
      <w:r w:rsidR="00F864EB">
        <w:rPr/>
        <w:t xml:space="preserve"> was</w:t>
      </w:r>
    </w:p>
    <w:p w:rsidRPr="00F864EB" w:rsidR="00F864EB" w:rsidP="00F864EB" w:rsidRDefault="00F864EB" w14:paraId="5C58331C" w14:textId="41A66D7C">
      <w:pPr>
        <w:ind w:left="567" w:right="567"/>
        <w:rPr>
          <w:i/>
          <w:iCs/>
        </w:rPr>
      </w:pPr>
      <w:r w:rsidRPr="00F864EB">
        <w:rPr>
          <w:i/>
          <w:iCs/>
        </w:rPr>
        <w:t>recognized in Boccaccio's own time and in the century that followed its completion as Boccaccio's major contribution to the study of antiquity that dominated fifteenth-century Italy.</w:t>
      </w:r>
      <w:r>
        <w:rPr>
          <w:rStyle w:val="FootnoteReference"/>
          <w:i/>
          <w:iCs/>
        </w:rPr>
        <w:footnoteReference w:id="4"/>
      </w:r>
    </w:p>
    <w:p w:rsidR="006872A0" w:rsidP="00F864EB" w:rsidRDefault="00361F90" w14:paraId="4AB12E5B" w14:textId="70B243EC">
      <w:r>
        <w:t>W</w:t>
      </w:r>
      <w:r w:rsidR="00286732">
        <w:t>ithin this manuscript there is not a traditional title page, instead the title is written on the first page of the first chapter after what appears to be the introduction.</w:t>
      </w:r>
      <w:r w:rsidR="00B54B49">
        <w:t xml:space="preserve"> </w:t>
      </w:r>
      <w:r w:rsidR="00977320">
        <w:t xml:space="preserve">On this page, there is also an illustration of an ‘S' </w:t>
      </w:r>
      <w:r w:rsidR="008E4917">
        <w:t xml:space="preserve">in gold lettering on a red and blue background within a stamp shaped space that also has </w:t>
      </w:r>
      <w:r w:rsidR="00874D05">
        <w:t xml:space="preserve">illustrations of white and black lines. </w:t>
      </w:r>
      <w:r w:rsidR="00A734A3">
        <w:t>There is an illustration like this for the first letter of each chapter</w:t>
      </w:r>
      <w:r w:rsidR="00AF2687">
        <w:t xml:space="preserve"> throughout the book. </w:t>
      </w:r>
      <w:r w:rsidR="00791F83">
        <w:t xml:space="preserve">This book has a colophon at the end of the book which describes when and where </w:t>
      </w:r>
      <w:r w:rsidR="00C77AE1">
        <w:t>it</w:t>
      </w:r>
      <w:r w:rsidR="00791F83">
        <w:t xml:space="preserve"> was printed</w:t>
      </w:r>
      <w:r w:rsidR="006872A0">
        <w:t>, this states</w:t>
      </w:r>
      <w:r w:rsidR="00F31D95">
        <w:t>:</w:t>
      </w:r>
    </w:p>
    <w:p w:rsidRPr="003A4015" w:rsidR="00EB2006" w:rsidP="00182E24" w:rsidRDefault="00EB2006" w14:paraId="38C16410" w14:textId="57E33FEC">
      <w:pPr>
        <w:ind w:left="567" w:right="567"/>
        <w:rPr>
          <w:i/>
          <w:iCs/>
        </w:rPr>
      </w:pPr>
      <w:proofErr w:type="spellStart"/>
      <w:r w:rsidRPr="003A4015">
        <w:rPr>
          <w:i/>
          <w:iCs/>
        </w:rPr>
        <w:t>Jo.Boccatii</w:t>
      </w:r>
      <w:proofErr w:type="spellEnd"/>
      <w:r w:rsidRPr="003A4015">
        <w:rPr>
          <w:i/>
          <w:iCs/>
        </w:rPr>
        <w:t xml:space="preserve"> </w:t>
      </w:r>
      <w:proofErr w:type="spellStart"/>
      <w:r w:rsidRPr="003A4015">
        <w:rPr>
          <w:i/>
          <w:iCs/>
        </w:rPr>
        <w:t>uiri</w:t>
      </w:r>
      <w:proofErr w:type="spellEnd"/>
      <w:r w:rsidRPr="003A4015">
        <w:rPr>
          <w:i/>
          <w:iCs/>
        </w:rPr>
        <w:t xml:space="preserve"> </w:t>
      </w:r>
      <w:proofErr w:type="spellStart"/>
      <w:r w:rsidRPr="003A4015">
        <w:rPr>
          <w:i/>
          <w:iCs/>
        </w:rPr>
        <w:t>clariffimi</w:t>
      </w:r>
      <w:proofErr w:type="spellEnd"/>
      <w:r w:rsidRPr="003A4015">
        <w:rPr>
          <w:i/>
          <w:iCs/>
        </w:rPr>
        <w:t xml:space="preserve"> de </w:t>
      </w:r>
      <w:proofErr w:type="spellStart"/>
      <w:r w:rsidRPr="003A4015">
        <w:rPr>
          <w:i/>
          <w:iCs/>
        </w:rPr>
        <w:t>montibus:filuis</w:t>
      </w:r>
      <w:r w:rsidRPr="003A4015" w:rsidR="000572DC">
        <w:rPr>
          <w:i/>
          <w:iCs/>
        </w:rPr>
        <w:t>:fontibus:lacubus</w:t>
      </w:r>
      <w:r w:rsidRPr="003A4015" w:rsidR="000D253F">
        <w:rPr>
          <w:i/>
          <w:iCs/>
        </w:rPr>
        <w:t>:ffagnis</w:t>
      </w:r>
      <w:proofErr w:type="spellEnd"/>
      <w:r w:rsidRPr="003A4015" w:rsidR="000D253F">
        <w:rPr>
          <w:i/>
          <w:iCs/>
        </w:rPr>
        <w:t xml:space="preserve"> feu </w:t>
      </w:r>
      <w:proofErr w:type="spellStart"/>
      <w:r w:rsidRPr="003A4015" w:rsidR="000D253F">
        <w:rPr>
          <w:i/>
          <w:iCs/>
        </w:rPr>
        <w:t>paludibus</w:t>
      </w:r>
      <w:proofErr w:type="spellEnd"/>
      <w:r w:rsidRPr="003A4015" w:rsidR="00184CD2">
        <w:rPr>
          <w:i/>
          <w:iCs/>
        </w:rPr>
        <w:t xml:space="preserve">: &amp; de </w:t>
      </w:r>
      <w:proofErr w:type="spellStart"/>
      <w:r w:rsidRPr="003A4015" w:rsidR="00184CD2">
        <w:rPr>
          <w:i/>
          <w:iCs/>
        </w:rPr>
        <w:t>diuerfis</w:t>
      </w:r>
      <w:proofErr w:type="spellEnd"/>
      <w:r w:rsidRPr="003A4015" w:rsidR="00184CD2">
        <w:rPr>
          <w:i/>
          <w:iCs/>
        </w:rPr>
        <w:t xml:space="preserve"> </w:t>
      </w:r>
      <w:proofErr w:type="spellStart"/>
      <w:r w:rsidRPr="003A4015" w:rsidR="00D652B3">
        <w:rPr>
          <w:i/>
          <w:iCs/>
        </w:rPr>
        <w:t>nomibus</w:t>
      </w:r>
      <w:proofErr w:type="spellEnd"/>
      <w:r w:rsidRPr="003A4015" w:rsidR="00D652B3">
        <w:rPr>
          <w:i/>
          <w:iCs/>
        </w:rPr>
        <w:t xml:space="preserve"> </w:t>
      </w:r>
      <w:proofErr w:type="spellStart"/>
      <w:r w:rsidRPr="003A4015" w:rsidR="00D652B3">
        <w:rPr>
          <w:i/>
          <w:iCs/>
        </w:rPr>
        <w:t>maris</w:t>
      </w:r>
      <w:proofErr w:type="spellEnd"/>
      <w:r w:rsidRPr="003A4015" w:rsidR="00D652B3">
        <w:rPr>
          <w:i/>
          <w:iCs/>
        </w:rPr>
        <w:t xml:space="preserve"> opus </w:t>
      </w:r>
      <w:proofErr w:type="spellStart"/>
      <w:r w:rsidRPr="003A4015" w:rsidR="00D57D9F">
        <w:rPr>
          <w:i/>
          <w:iCs/>
        </w:rPr>
        <w:t>diligentiflime</w:t>
      </w:r>
      <w:proofErr w:type="spellEnd"/>
      <w:r w:rsidRPr="003A4015" w:rsidR="00D57D9F">
        <w:rPr>
          <w:i/>
          <w:iCs/>
        </w:rPr>
        <w:t xml:space="preserve"> </w:t>
      </w:r>
      <w:proofErr w:type="spellStart"/>
      <w:r w:rsidRPr="003A4015" w:rsidR="00D92820">
        <w:rPr>
          <w:i/>
          <w:iCs/>
        </w:rPr>
        <w:t>ireffun</w:t>
      </w:r>
      <w:proofErr w:type="spellEnd"/>
      <w:r w:rsidRPr="003A4015" w:rsidR="00D92820">
        <w:rPr>
          <w:i/>
          <w:iCs/>
        </w:rPr>
        <w:t xml:space="preserve"> </w:t>
      </w:r>
      <w:proofErr w:type="spellStart"/>
      <w:r w:rsidRPr="003A4015" w:rsidR="00D92820">
        <w:rPr>
          <w:i/>
          <w:iCs/>
        </w:rPr>
        <w:t>finit</w:t>
      </w:r>
      <w:proofErr w:type="spellEnd"/>
      <w:r w:rsidRPr="003A4015" w:rsidR="00D92820">
        <w:rPr>
          <w:i/>
          <w:iCs/>
        </w:rPr>
        <w:t xml:space="preserve">. </w:t>
      </w:r>
      <w:proofErr w:type="spellStart"/>
      <w:r w:rsidRPr="003A4015" w:rsidR="00D92820">
        <w:rPr>
          <w:i/>
          <w:iCs/>
        </w:rPr>
        <w:t>Venetiis</w:t>
      </w:r>
      <w:proofErr w:type="spellEnd"/>
      <w:r w:rsidRPr="003A4015" w:rsidR="00D92820">
        <w:rPr>
          <w:i/>
          <w:iCs/>
        </w:rPr>
        <w:t xml:space="preserve"> </w:t>
      </w:r>
      <w:proofErr w:type="spellStart"/>
      <w:r w:rsidRPr="003A4015" w:rsidR="00D92820">
        <w:rPr>
          <w:i/>
          <w:iCs/>
        </w:rPr>
        <w:t>Idus</w:t>
      </w:r>
      <w:proofErr w:type="spellEnd"/>
      <w:r w:rsidRPr="003A4015" w:rsidR="00D92820">
        <w:rPr>
          <w:i/>
          <w:iCs/>
        </w:rPr>
        <w:t xml:space="preserve"> </w:t>
      </w:r>
      <w:proofErr w:type="spellStart"/>
      <w:r w:rsidRPr="003A4015" w:rsidR="00D92820">
        <w:rPr>
          <w:i/>
          <w:iCs/>
        </w:rPr>
        <w:t>Ian,</w:t>
      </w:r>
      <w:r w:rsidRPr="003A4015" w:rsidR="003A4015">
        <w:rPr>
          <w:i/>
          <w:iCs/>
        </w:rPr>
        <w:t>c</w:t>
      </w:r>
      <w:proofErr w:type="spellEnd"/>
      <w:r w:rsidRPr="003A4015" w:rsidR="003A4015">
        <w:rPr>
          <w:i/>
          <w:iCs/>
        </w:rPr>
        <w:t xml:space="preserve"> c </w:t>
      </w:r>
      <w:proofErr w:type="spellStart"/>
      <w:r w:rsidRPr="003A4015" w:rsidR="003A4015">
        <w:rPr>
          <w:i/>
          <w:iCs/>
        </w:rPr>
        <w:t>c</w:t>
      </w:r>
      <w:proofErr w:type="spellEnd"/>
      <w:r w:rsidRPr="003A4015" w:rsidR="003A4015">
        <w:rPr>
          <w:i/>
          <w:iCs/>
        </w:rPr>
        <w:t xml:space="preserve"> </w:t>
      </w:r>
      <w:proofErr w:type="spellStart"/>
      <w:r w:rsidRPr="003A4015" w:rsidR="003A4015">
        <w:rPr>
          <w:i/>
          <w:iCs/>
        </w:rPr>
        <w:t>c</w:t>
      </w:r>
      <w:proofErr w:type="spellEnd"/>
      <w:r w:rsidRPr="003A4015" w:rsidR="003A4015">
        <w:rPr>
          <w:i/>
          <w:iCs/>
        </w:rPr>
        <w:t xml:space="preserve"> .lxxiii</w:t>
      </w:r>
      <w:r w:rsidR="00700794">
        <w:rPr>
          <w:rStyle w:val="FootnoteReference"/>
          <w:i/>
          <w:iCs/>
        </w:rPr>
        <w:footnoteReference w:id="5"/>
      </w:r>
    </w:p>
    <w:p w:rsidR="00F31D95" w:rsidRDefault="00F31D95" w14:paraId="701B9E0E" w14:textId="587BCA6E">
      <w:r w:rsidR="00F31D95">
        <w:rPr/>
        <w:t xml:space="preserve">This appears to detail when and where this book </w:t>
      </w:r>
      <w:r w:rsidR="00E51E84">
        <w:rPr/>
        <w:t>was finished</w:t>
      </w:r>
      <w:r w:rsidR="00F31D95">
        <w:rPr/>
        <w:t xml:space="preserve"> and who </w:t>
      </w:r>
      <w:r w:rsidR="006B6768">
        <w:rPr/>
        <w:t>it written by</w:t>
      </w:r>
      <w:r w:rsidR="00E51E84">
        <w:rPr/>
        <w:t>, but it does not appear to say who printed this manuscript</w:t>
      </w:r>
      <w:r w:rsidR="00F31D95">
        <w:rPr/>
        <w:t>.</w:t>
      </w:r>
      <w:r w:rsidR="00D967B9">
        <w:rPr/>
        <w:t xml:space="preserve"> </w:t>
      </w:r>
      <w:r w:rsidR="00A90E98">
        <w:rPr/>
        <w:t>According to a description of t</w:t>
      </w:r>
      <w:r w:rsidR="00D967B9">
        <w:rPr/>
        <w:t>his book</w:t>
      </w:r>
      <w:r w:rsidR="00A90E98">
        <w:rPr/>
        <w:t>, it</w:t>
      </w:r>
      <w:r w:rsidR="00D967B9">
        <w:rPr/>
        <w:t xml:space="preserve"> was printed in </w:t>
      </w:r>
      <w:r w:rsidR="00A56AD2">
        <w:rPr/>
        <w:t>Venice in 1472</w:t>
      </w:r>
      <w:r w:rsidR="00104AF6">
        <w:rPr/>
        <w:t xml:space="preserve"> by </w:t>
      </w:r>
      <w:r w:rsidR="00B77D17">
        <w:rPr/>
        <w:t>Vendelinus</w:t>
      </w:r>
      <w:r w:rsidR="00B77D17">
        <w:rPr/>
        <w:t xml:space="preserve"> de Spier</w:t>
      </w:r>
      <w:r w:rsidR="00A56AD2">
        <w:rPr/>
        <w:t>.</w:t>
      </w:r>
      <w:r w:rsidR="00A56AD2">
        <w:rPr>
          <w:rStyle w:val="FootnoteReference"/>
        </w:rPr>
        <w:footnoteReference w:id="6"/>
      </w:r>
      <w:r w:rsidR="00DC6BED">
        <w:rPr/>
        <w:t xml:space="preserve"> </w:t>
      </w:r>
      <w:r w:rsidR="00A90E98">
        <w:rPr/>
        <w:t>Vende</w:t>
      </w:r>
      <w:r w:rsidR="00403DFE">
        <w:rPr/>
        <w:t>linus</w:t>
      </w:r>
      <w:r w:rsidR="00403DFE">
        <w:rPr/>
        <w:t xml:space="preserve"> de Spier was a printer alongside his brother </w:t>
      </w:r>
      <w:r w:rsidR="00403DFE">
        <w:rPr/>
        <w:t xml:space="preserve">Johan</w:t>
      </w:r>
      <w:r w:rsidR="00CF4C71">
        <w:rPr/>
        <w:t>es</w:t>
      </w:r>
      <w:r w:rsidR="00645100">
        <w:rPr/>
        <w:t xml:space="preserve"> </w:t>
      </w:r>
      <w:r w:rsidR="00487344">
        <w:rPr/>
        <w:t>and</w:t>
      </w:r>
      <w:r w:rsidR="00645100">
        <w:rPr/>
        <w:t xml:space="preserve"> they opened the first</w:t>
      </w:r>
      <w:r w:rsidR="00487344">
        <w:rPr/>
        <w:t xml:space="preserve"> press in Venice</w:t>
      </w:r>
      <w:r w:rsidR="00403DFE">
        <w:rPr/>
        <w:t>.</w:t>
      </w:r>
      <w:r w:rsidR="00403DFE">
        <w:rPr>
          <w:rStyle w:val="FootnoteReference"/>
        </w:rPr>
        <w:footnoteReference w:id="7"/>
      </w:r>
      <w:r w:rsidR="00403DFE">
        <w:rPr/>
        <w:t xml:space="preserve"> </w:t>
      </w:r>
      <w:r w:rsidR="00736DA4">
        <w:rPr/>
        <w:t>T</w:t>
      </w:r>
      <w:r w:rsidRPr="00736DA4" w:rsidR="00736DA4">
        <w:rPr/>
        <w:t xml:space="preserve">hey used a clear and legible </w:t>
      </w:r>
      <w:r w:rsidRPr="00736DA4" w:rsidR="00736DA4">
        <w:rPr/>
        <w:t xml:space="preserve">typeface that </w:t>
      </w:r>
      <w:r w:rsidRPr="00736DA4" w:rsidR="00736DA4">
        <w:rPr/>
        <w:t>represented</w:t>
      </w:r>
      <w:r w:rsidRPr="00736DA4" w:rsidR="00736DA4">
        <w:rPr/>
        <w:t xml:space="preserve"> another step toward the contemporary </w:t>
      </w:r>
      <w:r w:rsidRPr="00736DA4" w:rsidR="64B590D1">
        <w:rPr/>
        <w:t>R</w:t>
      </w:r>
      <w:r w:rsidRPr="00736DA4" w:rsidR="00736DA4">
        <w:rPr/>
        <w:t>oman</w:t>
      </w:r>
      <w:r w:rsidRPr="00736DA4" w:rsidR="5B30977C">
        <w:rPr/>
        <w:lastRenderedPageBreak/>
        <w:t xml:space="preserve"> type</w:t>
      </w:r>
      <w:r w:rsidR="00736DA4">
        <w:rPr/>
        <w:t xml:space="preserve">. </w:t>
      </w:r>
      <w:r w:rsidR="00607BAE">
        <w:rPr/>
        <w:t xml:space="preserve">This book </w:t>
      </w:r>
      <w:r w:rsidR="00607BAE">
        <w:rPr/>
        <w:t>also appears to have</w:t>
      </w:r>
      <w:r w:rsidR="00607BAE">
        <w:rPr/>
        <w:t xml:space="preserve"> an introduction or preface</w:t>
      </w:r>
      <w:r w:rsidR="006D50A6">
        <w:rPr/>
        <w:t>, which may explain what this book discusses</w:t>
      </w:r>
      <w:r w:rsidR="002A1B0D">
        <w:rPr/>
        <w:t>. T</w:t>
      </w:r>
      <w:r w:rsidR="00D27A3B">
        <w:rPr/>
        <w:t xml:space="preserve">he leaves in the introduction </w:t>
      </w:r>
      <w:r w:rsidR="00043121">
        <w:rPr/>
        <w:t>do not have signatures</w:t>
      </w:r>
      <w:r w:rsidR="00D27A3B">
        <w:rPr/>
        <w:t xml:space="preserve">, this </w:t>
      </w:r>
      <w:r w:rsidR="002A1B0D">
        <w:rPr/>
        <w:t>may have been</w:t>
      </w:r>
      <w:r w:rsidR="00D27A3B">
        <w:rPr/>
        <w:t xml:space="preserve"> </w:t>
      </w:r>
      <w:r w:rsidR="00D27A3B">
        <w:rPr/>
        <w:t xml:space="preserve">a common practice</w:t>
      </w:r>
      <w:r w:rsidR="00D27A3B">
        <w:rPr/>
        <w:t xml:space="preserve"> for printers at the </w:t>
      </w:r>
      <w:r w:rsidR="00C136B7">
        <w:rPr/>
        <w:t>time,</w:t>
      </w:r>
      <w:r w:rsidR="002A1B0D">
        <w:rPr/>
        <w:t xml:space="preserve"> or this may be an error that the printer has made.</w:t>
      </w:r>
    </w:p>
    <w:p w:rsidR="00010F2F" w:rsidRDefault="000B00D9" w14:paraId="6A0BB000" w14:textId="54676A8C">
      <w:r w:rsidR="000B00D9">
        <w:rPr/>
        <w:t xml:space="preserve">The format of this book does not appear to be consistent </w:t>
      </w:r>
      <w:r w:rsidR="00AA312A">
        <w:rPr/>
        <w:t>throughout</w:t>
      </w:r>
      <w:r w:rsidR="00DE1014">
        <w:rPr/>
        <w:t xml:space="preserve">; </w:t>
      </w:r>
      <w:r w:rsidR="008E43E8">
        <w:rPr/>
        <w:t>however,</w:t>
      </w:r>
      <w:r w:rsidR="000B00D9">
        <w:rPr/>
        <w:t xml:space="preserve"> it is most likely that this is due to pages missing or page markings fading</w:t>
      </w:r>
      <w:r w:rsidR="002A1B0D">
        <w:rPr/>
        <w:t xml:space="preserve"> or being torn</w:t>
      </w:r>
      <w:r w:rsidR="00AA312A">
        <w:rPr/>
        <w:t xml:space="preserve">. It seems as if this book </w:t>
      </w:r>
      <w:r w:rsidR="00B6379E">
        <w:rPr/>
        <w:t xml:space="preserve">follows an Octavo format. The collation of this book </w:t>
      </w:r>
      <w:r w:rsidR="00B6379E">
        <w:rPr/>
        <w:t>appears to be</w:t>
      </w:r>
      <w:r w:rsidR="00B6379E">
        <w:rPr/>
        <w:t xml:space="preserve"> </w:t>
      </w:r>
      <w:r w:rsidR="0062218E">
        <w:rPr/>
        <w:t>four</w:t>
      </w:r>
      <w:r w:rsidR="00B6379E">
        <w:rPr/>
        <w:t xml:space="preserve"> marked pages and then </w:t>
      </w:r>
      <w:r w:rsidR="0062218E">
        <w:rPr/>
        <w:t>four</w:t>
      </w:r>
      <w:r w:rsidR="00B6379E">
        <w:rPr/>
        <w:t xml:space="preserve"> unmarked pages</w:t>
      </w:r>
      <w:r w:rsidR="00EC03CD">
        <w:rPr/>
        <w:t xml:space="preserve"> (</w:t>
      </w:r>
      <w:r w:rsidR="00EC03CD">
        <w:rPr/>
        <w:t>e.g</w:t>
      </w:r>
      <w:r w:rsidR="00EC03CD">
        <w:rPr/>
        <w:t xml:space="preserve"> </w:t>
      </w:r>
      <w:r w:rsidR="00EA25F6">
        <w:rPr/>
        <w:t>a</w:t>
      </w:r>
      <w:r w:rsidR="00EC03CD">
        <w:rPr/>
        <w:t>,</w:t>
      </w:r>
      <w:r w:rsidR="00934606">
        <w:rPr/>
        <w:t xml:space="preserve"> </w:t>
      </w:r>
      <w:r w:rsidR="00EA25F6">
        <w:rPr/>
        <w:t>a</w:t>
      </w:r>
      <w:r w:rsidR="00811317">
        <w:rPr/>
        <w:t>2,</w:t>
      </w:r>
      <w:r w:rsidR="00E0092F">
        <w:rPr/>
        <w:t xml:space="preserve"> </w:t>
      </w:r>
      <w:r w:rsidR="00EA25F6">
        <w:rPr/>
        <w:t>a</w:t>
      </w:r>
      <w:r w:rsidR="00EC03CD">
        <w:rPr/>
        <w:t>3</w:t>
      </w:r>
      <w:r w:rsidR="00E0092F">
        <w:rPr/>
        <w:t>,</w:t>
      </w:r>
      <w:r w:rsidR="00886695">
        <w:rPr/>
        <w:t xml:space="preserve"> a</w:t>
      </w:r>
      <w:r w:rsidR="00312D43">
        <w:rPr/>
        <w:t>4</w:t>
      </w:r>
      <w:r w:rsidR="00622C42">
        <w:rPr/>
        <w:t>,</w:t>
      </w:r>
      <w:r w:rsidR="0019023D">
        <w:rPr/>
        <w:t xml:space="preserve"> </w:t>
      </w:r>
      <w:r w:rsidR="00E0092F">
        <w:rPr/>
        <w:t>blank, blank, blank, blank)</w:t>
      </w:r>
      <w:r w:rsidR="0062218E">
        <w:rPr/>
        <w:t xml:space="preserve">, or </w:t>
      </w:r>
      <w:r w:rsidR="0062218E">
        <w:rPr/>
        <w:t>possibly five</w:t>
      </w:r>
      <w:r w:rsidR="0062218E">
        <w:rPr/>
        <w:t xml:space="preserve"> marked and then five unmarked, as it appears to vary throughout the book</w:t>
      </w:r>
      <w:r w:rsidR="008E43E8">
        <w:rPr/>
        <w:t xml:space="preserve">. </w:t>
      </w:r>
      <w:r w:rsidR="003D4F7E">
        <w:rPr/>
        <w:t>This book</w:t>
      </w:r>
      <w:r w:rsidR="3627FF8D">
        <w:rPr/>
        <w:t>’</w:t>
      </w:r>
      <w:r w:rsidR="003D4F7E">
        <w:rPr/>
        <w:t xml:space="preserve">s pagination style </w:t>
      </w:r>
      <w:r w:rsidR="003D4F7E">
        <w:rPr/>
        <w:t>appears to be</w:t>
      </w:r>
      <w:r w:rsidR="003D4F7E">
        <w:rPr/>
        <w:t xml:space="preserve"> labelled by chapter as there are numbers at the top of most pages that correspond to the chapter</w:t>
      </w:r>
      <w:r w:rsidR="00001F2B">
        <w:rPr/>
        <w:t xml:space="preserve"> (</w:t>
      </w:r>
      <w:r w:rsidR="00934606">
        <w:rPr/>
        <w:t>e.g</w:t>
      </w:r>
      <w:r w:rsidR="00001F2B">
        <w:rPr/>
        <w:t xml:space="preserve"> </w:t>
      </w:r>
      <w:r w:rsidR="00EC03CD">
        <w:rPr/>
        <w:t>I, II, III).</w:t>
      </w:r>
      <w:r w:rsidR="0067124F">
        <w:rPr/>
        <w:t xml:space="preserve"> </w:t>
      </w:r>
    </w:p>
    <w:p w:rsidR="00276461" w:rsidRDefault="00276461" w14:paraId="1E70622E" w14:textId="38AC45B7">
      <w:r>
        <w:t xml:space="preserve">I am unable to determine the complete collation code </w:t>
      </w:r>
      <w:r w:rsidR="006B6B6D">
        <w:t>or</w:t>
      </w:r>
      <w:r w:rsidR="0062218E">
        <w:t xml:space="preserve"> a</w:t>
      </w:r>
      <w:r w:rsidR="006B6B6D">
        <w:t xml:space="preserve"> complete statement of signing</w:t>
      </w:r>
      <w:r w:rsidR="0062218E">
        <w:t xml:space="preserve"> for</w:t>
      </w:r>
      <w:r>
        <w:t xml:space="preserve"> this manuscript due to the </w:t>
      </w:r>
      <w:r w:rsidR="00C6264E">
        <w:t>number</w:t>
      </w:r>
      <w:r>
        <w:t xml:space="preserve"> of missing </w:t>
      </w:r>
      <w:r w:rsidR="006B6B6D">
        <w:t>signatures</w:t>
      </w:r>
      <w:r w:rsidR="002C4DF6">
        <w:t xml:space="preserve"> on the pages</w:t>
      </w:r>
      <w:r w:rsidR="00482513">
        <w:t xml:space="preserve"> and possible missing pages</w:t>
      </w:r>
      <w:r w:rsidR="00DD10FC">
        <w:t>,</w:t>
      </w:r>
      <w:r w:rsidR="007204BF">
        <w:t xml:space="preserve"> and the variation between the chapters.</w:t>
      </w:r>
    </w:p>
    <w:p w:rsidR="009557EF" w:rsidP="00D11B65" w:rsidRDefault="009557EF" w14:paraId="540870C6" w14:textId="73B53F5A">
      <w:r>
        <w:t xml:space="preserve">In this manuscript there are a selection of </w:t>
      </w:r>
      <w:r w:rsidR="00E5260C">
        <w:t>illustrations</w:t>
      </w:r>
      <w:r>
        <w:t xml:space="preserve"> </w:t>
      </w:r>
      <w:r w:rsidR="007C6185">
        <w:t xml:space="preserve">that appear to be family trees, this would make sense as the book concerns </w:t>
      </w:r>
      <w:r w:rsidR="00E5260C">
        <w:t>‘</w:t>
      </w:r>
      <w:proofErr w:type="spellStart"/>
      <w:r w:rsidR="00E5260C">
        <w:t>genealogie</w:t>
      </w:r>
      <w:proofErr w:type="spellEnd"/>
      <w:r w:rsidR="00E5260C">
        <w:t>'</w:t>
      </w:r>
      <w:r w:rsidR="007214AD">
        <w:t xml:space="preserve">. In the modern era, genealogy is the study of families </w:t>
      </w:r>
      <w:r w:rsidR="00B13D41">
        <w:t>and</w:t>
      </w:r>
      <w:r w:rsidR="007214AD">
        <w:t xml:space="preserve"> is understood through </w:t>
      </w:r>
      <w:r w:rsidR="00B13D41">
        <w:t xml:space="preserve">focusing on </w:t>
      </w:r>
      <w:r w:rsidR="003E6980">
        <w:t>familial lineage.</w:t>
      </w:r>
      <w:r w:rsidR="000B4682">
        <w:t xml:space="preserve"> </w:t>
      </w:r>
      <w:r w:rsidR="00D11B65">
        <w:t>At the top of each of these trees is a large circle</w:t>
      </w:r>
      <w:r w:rsidR="00B13D41">
        <w:t xml:space="preserve"> </w:t>
      </w:r>
      <w:r w:rsidR="0021567A">
        <w:t>(</w:t>
      </w:r>
      <w:r w:rsidR="00B13D41">
        <w:t>that represents the first recorded ancestor</w:t>
      </w:r>
      <w:r w:rsidR="0021567A">
        <w:t>)</w:t>
      </w:r>
      <w:r w:rsidR="00D11B65">
        <w:t>, in which is written the name of a divinity</w:t>
      </w:r>
      <w:r w:rsidR="00B13C0D">
        <w:t>, from which</w:t>
      </w:r>
      <w:r w:rsidR="00D11B65">
        <w:t xml:space="preserve"> a stem expands into other lesser c</w:t>
      </w:r>
      <w:r w:rsidR="00B13C0D">
        <w:t>ircles</w:t>
      </w:r>
      <w:r w:rsidR="0021567A">
        <w:t xml:space="preserve"> (that represent the descendants)</w:t>
      </w:r>
      <w:r w:rsidR="00B13C0D">
        <w:t>, this is then repeated as many times as necessary</w:t>
      </w:r>
      <w:r w:rsidR="00EA4914">
        <w:t xml:space="preserve"> and the line continues to expand each generation.</w:t>
      </w:r>
      <w:r w:rsidR="00B13C0D">
        <w:t xml:space="preserve"> </w:t>
      </w:r>
      <w:r w:rsidR="003E6980">
        <w:t>T</w:t>
      </w:r>
      <w:r w:rsidR="00B13C0D">
        <w:t>here is a name at the centre of each circle</w:t>
      </w:r>
      <w:r w:rsidR="00EA4914">
        <w:t xml:space="preserve"> on these trees as this is how the </w:t>
      </w:r>
      <w:r w:rsidR="003D4A0A">
        <w:t>descendants would be identified</w:t>
      </w:r>
      <w:r w:rsidR="00B13C0D">
        <w:t xml:space="preserve">. These </w:t>
      </w:r>
      <w:r w:rsidR="004237C9">
        <w:t>family trees</w:t>
      </w:r>
      <w:r w:rsidR="003D4A0A">
        <w:t xml:space="preserve"> are incredibly intricate and</w:t>
      </w:r>
      <w:r w:rsidR="004237C9">
        <w:t xml:space="preserve"> detail the supposed descendants of different </w:t>
      </w:r>
      <w:r w:rsidR="00D77EF7">
        <w:t>Gods</w:t>
      </w:r>
      <w:r w:rsidR="00A51373">
        <w:t xml:space="preserve">. </w:t>
      </w:r>
      <w:r w:rsidR="003D4A0A">
        <w:t>These were incredibly important at the time as i</w:t>
      </w:r>
      <w:r w:rsidR="00D866DE">
        <w:t xml:space="preserve">t is suggested that </w:t>
      </w:r>
    </w:p>
    <w:p w:rsidR="00D866DE" w:rsidP="36EEB9D8" w:rsidRDefault="00D866DE" w14:paraId="30D3C03B" w14:textId="48C73683">
      <w:pPr>
        <w:ind w:left="567" w:right="567"/>
        <w:rPr>
          <w:i w:val="1"/>
          <w:iCs w:val="1"/>
        </w:rPr>
      </w:pPr>
      <w:r w:rsidRPr="36EEB9D8" w:rsidR="00D866DE">
        <w:rPr>
          <w:i w:val="1"/>
          <w:iCs w:val="1"/>
        </w:rPr>
        <w:t xml:space="preserve">Boccaccio's trees are the earliest secular genealogical trees properly so called: that is to say, the first non-biblical genealogical charts in which stems, branches, and leaves </w:t>
      </w:r>
      <w:r w:rsidRPr="36EEB9D8" w:rsidR="005D2CF3">
        <w:rPr>
          <w:i w:val="1"/>
          <w:iCs w:val="1"/>
        </w:rPr>
        <w:t>appear</w:t>
      </w:r>
      <w:r w:rsidRPr="36EEB9D8" w:rsidR="322A2371">
        <w:rPr>
          <w:i w:val="1"/>
          <w:iCs w:val="1"/>
        </w:rPr>
        <w:t>...</w:t>
      </w:r>
      <w:r w:rsidRPr="36EEB9D8" w:rsidR="00260F3C">
        <w:rPr>
          <w:rStyle w:val="FootnoteReference"/>
          <w:i w:val="1"/>
          <w:iCs w:val="1"/>
        </w:rPr>
        <w:footnoteReference w:id="8"/>
      </w:r>
    </w:p>
    <w:p w:rsidRPr="00A21524" w:rsidR="00A21524" w:rsidP="00A21524" w:rsidRDefault="00825F4C" w14:paraId="155DABDD" w14:textId="7D27F65B">
      <w:pPr>
        <w:ind w:right="567"/>
      </w:pPr>
      <w:r>
        <w:t>t</w:t>
      </w:r>
      <w:r w:rsidR="005D2CF3">
        <w:t xml:space="preserve">herefore, this </w:t>
      </w:r>
      <w:r>
        <w:t xml:space="preserve">book is key to this history of genealogy. </w:t>
      </w:r>
      <w:r w:rsidR="00403214">
        <w:t xml:space="preserve">These trees are essential to the book, as they were a way for Boccaccio to illustrate his ideas. </w:t>
      </w:r>
      <w:r w:rsidR="00B90092">
        <w:t xml:space="preserve">Within this book, Boccaccio uses </w:t>
      </w:r>
      <w:r w:rsidR="005539DF">
        <w:t>genealogy to ‘reunite the mythical pantheon’.</w:t>
      </w:r>
      <w:r w:rsidR="005539DF">
        <w:rPr>
          <w:rStyle w:val="FootnoteReference"/>
        </w:rPr>
        <w:footnoteReference w:id="9"/>
      </w:r>
      <w:r w:rsidR="00DA58A2">
        <w:t xml:space="preserve"> </w:t>
      </w:r>
      <w:r w:rsidR="00951D21">
        <w:t xml:space="preserve">Boccaccio is praised </w:t>
      </w:r>
      <w:r w:rsidR="00C735C8">
        <w:t xml:space="preserve">for recognising that </w:t>
      </w:r>
      <w:r w:rsidR="009F2D48">
        <w:t xml:space="preserve">mythology lies at the heart of classical </w:t>
      </w:r>
      <w:r w:rsidR="000A1CC2">
        <w:t>literature.</w:t>
      </w:r>
      <w:r w:rsidR="000A1CC2">
        <w:rPr>
          <w:rStyle w:val="FootnoteReference"/>
        </w:rPr>
        <w:footnoteReference w:id="10"/>
      </w:r>
    </w:p>
    <w:p w:rsidR="00537FF2" w:rsidRDefault="00C41663" w14:paraId="5E3BC109" w14:textId="51FDD174">
      <w:r w:rsidR="00C41663">
        <w:rPr/>
        <w:t xml:space="preserve">This book was printed in the era known </w:t>
      </w:r>
      <w:r w:rsidR="00C41663">
        <w:rPr/>
        <w:t>as</w:t>
      </w:r>
      <w:r w:rsidR="00010F2F">
        <w:rPr/>
        <w:t xml:space="preserve">  </w:t>
      </w:r>
      <w:r w:rsidR="00E94C38">
        <w:rPr/>
        <w:t>‘</w:t>
      </w:r>
      <w:r w:rsidR="0041390F">
        <w:rPr/>
        <w:t>incunabula</w:t>
      </w:r>
      <w:r w:rsidR="00E94C38">
        <w:rPr/>
        <w:t>'</w:t>
      </w:r>
      <w:r w:rsidR="00A845CA">
        <w:rPr/>
        <w:t xml:space="preserve"> </w:t>
      </w:r>
      <w:r w:rsidR="00BB6F34">
        <w:rPr/>
        <w:t xml:space="preserve">or the ‘cradle of printing' </w:t>
      </w:r>
      <w:r w:rsidR="00A845CA">
        <w:rPr/>
        <w:t>which was from 1</w:t>
      </w:r>
      <w:r w:rsidR="00CC7F78">
        <w:rPr/>
        <w:t>450</w:t>
      </w:r>
      <w:r w:rsidR="00E5260C">
        <w:rPr/>
        <w:t xml:space="preserve"> </w:t>
      </w:r>
      <w:r w:rsidR="00CC7F78">
        <w:rPr/>
        <w:t>to 1500, this was the first 50 years</w:t>
      </w:r>
      <w:r w:rsidR="00B30756">
        <w:rPr/>
        <w:t xml:space="preserve"> </w:t>
      </w:r>
      <w:r w:rsidR="00041F0D">
        <w:rPr/>
        <w:t>after the invention of</w:t>
      </w:r>
      <w:r w:rsidR="00B30756">
        <w:rPr/>
        <w:t xml:space="preserve"> </w:t>
      </w:r>
      <w:r w:rsidR="002A5355">
        <w:rPr/>
        <w:t xml:space="preserve">the </w:t>
      </w:r>
      <w:r w:rsidR="00F8115C">
        <w:rPr/>
        <w:t xml:space="preserve">moveable type printing in Europe in </w:t>
      </w:r>
      <w:r w:rsidR="002651BC">
        <w:rPr/>
        <w:t>1450</w:t>
      </w:r>
      <w:r w:rsidR="00E94C38">
        <w:rPr/>
        <w:t>.</w:t>
      </w:r>
      <w:r w:rsidR="00F3799D">
        <w:rPr>
          <w:rStyle w:val="FootnoteReference"/>
        </w:rPr>
        <w:footnoteReference w:id="11"/>
      </w:r>
      <w:r w:rsidR="00BF2046">
        <w:rPr/>
        <w:t xml:space="preserve"> The Gutenberg invention of the printing press </w:t>
      </w:r>
      <w:r w:rsidR="00006EF5">
        <w:rPr/>
        <w:t xml:space="preserve">in the fifteenth century marked the beginning of a new era of history </w:t>
      </w:r>
      <w:r w:rsidR="003A0922">
        <w:rPr/>
        <w:t>in terms of the production of texts.</w:t>
      </w:r>
      <w:r w:rsidR="009304F0">
        <w:rPr>
          <w:rStyle w:val="FootnoteReference"/>
        </w:rPr>
        <w:footnoteReference w:id="12"/>
      </w:r>
      <w:r w:rsidR="002A5355">
        <w:rPr/>
        <w:t xml:space="preserve"> </w:t>
      </w:r>
      <w:r w:rsidR="00267FCB">
        <w:rPr/>
        <w:t xml:space="preserve">Before printing was </w:t>
      </w:r>
      <w:r w:rsidR="00267FCB">
        <w:rPr/>
        <w:t xml:space="preserve">invented</w:t>
      </w:r>
      <w:r w:rsidR="3EE61B29">
        <w:rPr/>
        <w:t xml:space="preserve">,</w:t>
      </w:r>
      <w:r w:rsidR="00267FCB">
        <w:rPr/>
        <w:lastRenderedPageBreak/>
        <w:t xml:space="preserve"> </w:t>
      </w:r>
      <w:r w:rsidR="00DC067F">
        <w:rPr/>
        <w:t>manuscripts would be made through someone having to handwrite</w:t>
      </w:r>
      <w:r w:rsidR="008F10F1">
        <w:rPr/>
        <w:t xml:space="preserve"> the text </w:t>
      </w:r>
      <w:r w:rsidR="00322E29">
        <w:rPr/>
        <w:t>and then to make more copies, someone would transcribe the original work</w:t>
      </w:r>
      <w:r w:rsidR="00972AAA">
        <w:rPr/>
        <w:t>, this meant that producing manuscripts would take a long time.</w:t>
      </w:r>
      <w:r w:rsidR="00972AAA">
        <w:rPr>
          <w:rStyle w:val="FootnoteReference"/>
        </w:rPr>
        <w:footnoteReference w:id="13"/>
      </w:r>
      <w:r w:rsidR="00B15DF2">
        <w:rPr/>
        <w:t xml:space="preserve"> This invention was key to historians as it made it easier to record events and share information about the past.</w:t>
      </w:r>
      <w:r w:rsidR="00026E23">
        <w:rPr/>
        <w:t xml:space="preserve"> </w:t>
      </w:r>
      <w:r w:rsidR="022298CB">
        <w:rPr/>
        <w:t xml:space="preserve">It</w:t>
      </w:r>
      <w:r w:rsidR="00026E23">
        <w:rPr/>
        <w:t xml:space="preserve"> was </w:t>
      </w:r>
      <w:r w:rsidR="00B15DF2">
        <w:rPr/>
        <w:t xml:space="preserve">also </w:t>
      </w:r>
      <w:r w:rsidR="00CD32BB">
        <w:rPr/>
        <w:t>key to distributing ideas</w:t>
      </w:r>
      <w:r w:rsidR="00C965A7">
        <w:rPr/>
        <w:t xml:space="preserve"> </w:t>
      </w:r>
      <w:r w:rsidR="00380505">
        <w:rPr/>
        <w:t>that led to the development of society, this included movements such as Humanism and the Enlightenment</w:t>
      </w:r>
      <w:r w:rsidR="00CD32BB">
        <w:rPr/>
        <w:t>.</w:t>
      </w:r>
      <w:r w:rsidR="006F3FEA">
        <w:rPr/>
        <w:t xml:space="preserve"> </w:t>
      </w:r>
      <w:r w:rsidR="00337AD3">
        <w:rPr/>
        <w:t xml:space="preserve">There were many humanist writers who had developed </w:t>
      </w:r>
      <w:r w:rsidR="00610DDE">
        <w:rPr/>
        <w:t>manuscripts;</w:t>
      </w:r>
      <w:r w:rsidR="00337AD3">
        <w:rPr/>
        <w:t xml:space="preserve"> </w:t>
      </w:r>
      <w:r w:rsidR="005F0083">
        <w:rPr/>
        <w:t>however,</w:t>
      </w:r>
      <w:r w:rsidR="00337AD3">
        <w:rPr/>
        <w:t xml:space="preserve"> the printing press allowed them to reproduce their works much faster which furthered the spread of these ideas across Europe and the rest of the world. </w:t>
      </w:r>
      <w:r w:rsidR="00610DDE">
        <w:rPr/>
        <w:t xml:space="preserve">This was important for humanist writers such as </w:t>
      </w:r>
      <w:r w:rsidR="005E3B36">
        <w:rPr/>
        <w:t>Marsilio Ficino</w:t>
      </w:r>
      <w:r w:rsidR="00F44F03">
        <w:rPr/>
        <w:t>, Giovanni Pico Della Mir</w:t>
      </w:r>
      <w:r w:rsidR="00BA5BE2">
        <w:rPr/>
        <w:t>andola</w:t>
      </w:r>
      <w:r w:rsidR="002D2A3C">
        <w:rPr/>
        <w:t xml:space="preserve"> and </w:t>
      </w:r>
      <w:r w:rsidR="003C0D01">
        <w:rPr/>
        <w:t>Rene Descartes as it allowed them to share their ideas with contemporaries on a much larger scale.</w:t>
      </w:r>
      <w:r w:rsidR="00435F97">
        <w:rPr/>
        <w:t xml:space="preserve"> </w:t>
      </w:r>
      <w:r w:rsidR="001F3DFF">
        <w:rPr/>
        <w:t xml:space="preserve">Cities with printing presses derived many benefits from having them </w:t>
      </w:r>
      <w:r w:rsidR="00406047">
        <w:rPr/>
        <w:t xml:space="preserve">for example, </w:t>
      </w:r>
      <w:r w:rsidR="00C614AA">
        <w:rPr/>
        <w:t>the cost of information would be lower as transport of the presses a</w:t>
      </w:r>
      <w:r w:rsidR="0039436E">
        <w:rPr/>
        <w:t xml:space="preserve">nd the books was </w:t>
      </w:r>
      <w:r w:rsidR="0039436E">
        <w:rPr/>
        <w:t xml:space="preserve">a timely</w:t>
      </w:r>
      <w:r w:rsidR="0039436E">
        <w:rPr/>
        <w:t xml:space="preserve"> and costly </w:t>
      </w:r>
      <w:r w:rsidR="003621AA">
        <w:rPr/>
        <w:t>endeavour</w:t>
      </w:r>
      <w:r w:rsidR="0039436E">
        <w:rPr/>
        <w:t xml:space="preserve"> </w:t>
      </w:r>
      <w:r w:rsidR="003621AA">
        <w:rPr/>
        <w:t xml:space="preserve">at this point in history </w:t>
      </w:r>
      <w:r w:rsidR="0039436E">
        <w:rPr/>
        <w:t xml:space="preserve">due to the size, </w:t>
      </w:r>
      <w:r w:rsidR="0039436E">
        <w:rPr/>
        <w:t>weight</w:t>
      </w:r>
      <w:r w:rsidR="0039436E">
        <w:rPr/>
        <w:t xml:space="preserve"> and sensitivity to damp.</w:t>
      </w:r>
      <w:r w:rsidR="00047717">
        <w:rPr>
          <w:rStyle w:val="FootnoteReference"/>
        </w:rPr>
        <w:footnoteReference w:id="14"/>
      </w:r>
      <w:r w:rsidR="00047717">
        <w:rPr/>
        <w:t xml:space="preserve"> This was especially </w:t>
      </w:r>
      <w:r w:rsidR="00047717">
        <w:rPr/>
        <w:t xml:space="preserve">evident</w:t>
      </w:r>
      <w:r w:rsidR="00047717">
        <w:rPr/>
        <w:t xml:space="preserve"> in </w:t>
      </w:r>
      <w:r w:rsidR="00047717">
        <w:rPr/>
        <w:t xml:space="preserve">Venice</w:t>
      </w:r>
      <w:r w:rsidR="00047717">
        <w:rPr/>
        <w:t xml:space="preserve"> and </w:t>
      </w:r>
      <w:r w:rsidR="00DF6A2D">
        <w:rPr/>
        <w:t>this played a key role in the development of Venice as an educatio</w:t>
      </w:r>
      <w:r w:rsidR="005423A1">
        <w:rPr/>
        <w:t>nal hub</w:t>
      </w:r>
      <w:r w:rsidR="00B533D9">
        <w:rPr/>
        <w:t>.</w:t>
      </w:r>
      <w:r w:rsidR="00537FF2">
        <w:rPr/>
        <w:t xml:space="preserve"> Overall, the printing press was a key invention that marked a significant point in history.</w:t>
      </w:r>
    </w:p>
    <w:sdt>
      <w:sdtPr>
        <w:id w:val="593282330"/>
        <w:docPartObj>
          <w:docPartGallery w:val="Bibliographies"/>
          <w:docPartUnique/>
        </w:docPartObj>
      </w:sdtPr>
      <w:sdtEndPr>
        <w:rPr>
          <w:rFonts w:ascii="Aptos" w:hAnsi="Aptos" w:eastAsia="Aptos" w:cs="" w:asciiTheme="minorAscii" w:hAnsiTheme="minorAscii" w:eastAsiaTheme="minorAscii" w:cstheme="minorBidi"/>
          <w:color w:val="auto"/>
          <w:sz w:val="22"/>
          <w:szCs w:val="22"/>
        </w:rPr>
      </w:sdtEndPr>
      <w:sdtContent>
        <w:p w:rsidR="00537FF2" w:rsidRDefault="00537FF2" w14:paraId="31BF4EBD" w14:textId="0BB8EC1C">
          <w:pPr>
            <w:pStyle w:val="Heading1"/>
            <w:rPr>
              <w:sz w:val="28"/>
              <w:szCs w:val="28"/>
            </w:rPr>
          </w:pPr>
          <w:r w:rsidRPr="00537FF2">
            <w:rPr>
              <w:sz w:val="28"/>
              <w:szCs w:val="28"/>
            </w:rPr>
            <w:t>Bibliography</w:t>
          </w:r>
          <w:r>
            <w:rPr>
              <w:sz w:val="28"/>
              <w:szCs w:val="28"/>
            </w:rPr>
            <w:t>:</w:t>
          </w:r>
        </w:p>
        <w:p w:rsidRPr="00FD14B2" w:rsidR="00006970" w:rsidP="00006970" w:rsidRDefault="00006970" w14:paraId="310CF7A1" w14:textId="4DB55789">
          <w:pPr>
            <w:rPr>
              <w:sz w:val="18"/>
              <w:szCs w:val="18"/>
            </w:rPr>
          </w:pPr>
          <w:r w:rsidRPr="00FD14B2">
            <w:rPr>
              <w:sz w:val="18"/>
              <w:szCs w:val="18"/>
            </w:rPr>
            <w:t xml:space="preserve">Boccaccio, G., Phillips Thomas, &amp; Wendelin. (1472). </w:t>
          </w:r>
          <w:proofErr w:type="spellStart"/>
          <w:r w:rsidRPr="00FD14B2">
            <w:rPr>
              <w:sz w:val="18"/>
              <w:szCs w:val="18"/>
            </w:rPr>
            <w:t>Genealogie</w:t>
          </w:r>
          <w:proofErr w:type="spellEnd"/>
          <w:r w:rsidRPr="00FD14B2">
            <w:rPr>
              <w:sz w:val="18"/>
              <w:szCs w:val="18"/>
            </w:rPr>
            <w:t xml:space="preserve">̧ </w:t>
          </w:r>
          <w:proofErr w:type="spellStart"/>
          <w:r w:rsidRPr="00FD14B2">
            <w:rPr>
              <w:sz w:val="18"/>
              <w:szCs w:val="18"/>
            </w:rPr>
            <w:t>deorum</w:t>
          </w:r>
          <w:proofErr w:type="spellEnd"/>
          <w:r w:rsidRPr="00FD14B2">
            <w:rPr>
              <w:sz w:val="18"/>
              <w:szCs w:val="18"/>
            </w:rPr>
            <w:t xml:space="preserve"> </w:t>
          </w:r>
          <w:proofErr w:type="spellStart"/>
          <w:r w:rsidRPr="00FD14B2">
            <w:rPr>
              <w:sz w:val="18"/>
              <w:szCs w:val="18"/>
            </w:rPr>
            <w:t>gentilium</w:t>
          </w:r>
          <w:proofErr w:type="spellEnd"/>
          <w:r w:rsidRPr="00FD14B2">
            <w:rPr>
              <w:rFonts w:ascii="Arial" w:hAnsi="Arial" w:cs="Arial"/>
              <w:sz w:val="18"/>
              <w:szCs w:val="18"/>
            </w:rPr>
            <w:t> </w:t>
          </w:r>
          <w:r w:rsidRPr="00FD14B2">
            <w:rPr>
              <w:sz w:val="18"/>
              <w:szCs w:val="18"/>
            </w:rPr>
            <w:t xml:space="preserve">: ad </w:t>
          </w:r>
          <w:proofErr w:type="spellStart"/>
          <w:r w:rsidRPr="00FD14B2">
            <w:rPr>
              <w:sz w:val="18"/>
              <w:szCs w:val="18"/>
            </w:rPr>
            <w:t>Vgonem</w:t>
          </w:r>
          <w:proofErr w:type="spellEnd"/>
          <w:r w:rsidRPr="00FD14B2">
            <w:rPr>
              <w:sz w:val="18"/>
              <w:szCs w:val="18"/>
            </w:rPr>
            <w:t xml:space="preserve"> </w:t>
          </w:r>
          <w:proofErr w:type="spellStart"/>
          <w:r w:rsidRPr="00FD14B2">
            <w:rPr>
              <w:sz w:val="18"/>
              <w:szCs w:val="18"/>
            </w:rPr>
            <w:t>inclytum</w:t>
          </w:r>
          <w:proofErr w:type="spellEnd"/>
          <w:r w:rsidRPr="00FD14B2">
            <w:rPr>
              <w:sz w:val="18"/>
              <w:szCs w:val="18"/>
            </w:rPr>
            <w:t xml:space="preserve"> </w:t>
          </w:r>
          <w:proofErr w:type="spellStart"/>
          <w:r w:rsidRPr="00FD14B2">
            <w:rPr>
              <w:sz w:val="18"/>
              <w:szCs w:val="18"/>
            </w:rPr>
            <w:t>Hierusale</w:t>
          </w:r>
          <w:proofErr w:type="spellEnd"/>
          <w:r w:rsidRPr="00FD14B2">
            <w:rPr>
              <w:sz w:val="18"/>
              <w:szCs w:val="18"/>
            </w:rPr>
            <w:t xml:space="preserve">̃ &amp; </w:t>
          </w:r>
          <w:proofErr w:type="spellStart"/>
          <w:r w:rsidRPr="00FD14B2">
            <w:rPr>
              <w:sz w:val="18"/>
              <w:szCs w:val="18"/>
            </w:rPr>
            <w:t>Cypri</w:t>
          </w:r>
          <w:proofErr w:type="spellEnd"/>
          <w:r w:rsidRPr="00FD14B2">
            <w:rPr>
              <w:sz w:val="18"/>
              <w:szCs w:val="18"/>
            </w:rPr>
            <w:t xml:space="preserve"> </w:t>
          </w:r>
          <w:proofErr w:type="spellStart"/>
          <w:r w:rsidRPr="00FD14B2">
            <w:rPr>
              <w:sz w:val="18"/>
              <w:szCs w:val="18"/>
            </w:rPr>
            <w:t>regem</w:t>
          </w:r>
          <w:proofErr w:type="spellEnd"/>
          <w:r w:rsidRPr="00FD14B2">
            <w:rPr>
              <w:sz w:val="18"/>
              <w:szCs w:val="18"/>
            </w:rPr>
            <w:t xml:space="preserve"> secundum </w:t>
          </w:r>
          <w:proofErr w:type="spellStart"/>
          <w:r w:rsidRPr="00FD14B2">
            <w:rPr>
              <w:sz w:val="18"/>
              <w:szCs w:val="18"/>
            </w:rPr>
            <w:t>Iohannem</w:t>
          </w:r>
          <w:proofErr w:type="spellEnd"/>
          <w:r w:rsidRPr="00FD14B2">
            <w:rPr>
              <w:sz w:val="18"/>
              <w:szCs w:val="18"/>
            </w:rPr>
            <w:t xml:space="preserve"> Boccatiũ de </w:t>
          </w:r>
          <w:proofErr w:type="spellStart"/>
          <w:r w:rsidRPr="00FD14B2">
            <w:rPr>
              <w:sz w:val="18"/>
              <w:szCs w:val="18"/>
            </w:rPr>
            <w:t>Certaldo</w:t>
          </w:r>
          <w:proofErr w:type="spellEnd"/>
          <w:r w:rsidRPr="00FD14B2">
            <w:rPr>
              <w:sz w:val="18"/>
              <w:szCs w:val="18"/>
            </w:rPr>
            <w:t xml:space="preserve"> liber primus incipit feliciter. </w:t>
          </w:r>
          <w:proofErr w:type="spellStart"/>
          <w:r w:rsidRPr="00FD14B2">
            <w:rPr>
              <w:sz w:val="18"/>
              <w:szCs w:val="18"/>
            </w:rPr>
            <w:t>Vindelinus</w:t>
          </w:r>
          <w:proofErr w:type="spellEnd"/>
          <w:r w:rsidRPr="00FD14B2">
            <w:rPr>
              <w:sz w:val="18"/>
              <w:szCs w:val="18"/>
            </w:rPr>
            <w:t xml:space="preserve"> de Spira.</w:t>
          </w:r>
        </w:p>
        <w:p w:rsidRPr="00FD14B2" w:rsidR="0010668E" w:rsidP="00537FF2" w:rsidRDefault="00537FF2" w14:paraId="179A7813" w14:textId="723C6AFC">
          <w:pPr>
            <w:rPr>
              <w:sz w:val="18"/>
              <w:szCs w:val="18"/>
            </w:rPr>
          </w:pPr>
          <w:r w:rsidRPr="36EEB9D8" w:rsidR="00537FF2">
            <w:rPr>
              <w:sz w:val="18"/>
              <w:szCs w:val="18"/>
            </w:rPr>
            <w:t xml:space="preserve">Bosco, Umberto. </w:t>
          </w:r>
          <w:r w:rsidRPr="36EEB9D8" w:rsidR="7FFF2EA5">
            <w:rPr>
              <w:sz w:val="18"/>
              <w:szCs w:val="18"/>
            </w:rPr>
            <w:t xml:space="preserve">(2026) </w:t>
          </w:r>
          <w:r w:rsidRPr="36EEB9D8" w:rsidR="00537FF2">
            <w:rPr>
              <w:sz w:val="18"/>
              <w:szCs w:val="18"/>
            </w:rPr>
            <w:t xml:space="preserve">"Giovanni Boccaccio". </w:t>
          </w:r>
          <w:r w:rsidRPr="36EEB9D8" w:rsidR="00537FF2">
            <w:rPr>
              <w:i w:val="1"/>
              <w:iCs w:val="1"/>
              <w:sz w:val="18"/>
              <w:szCs w:val="18"/>
            </w:rPr>
            <w:t>Encyclopedia</w:t>
          </w:r>
          <w:r w:rsidRPr="36EEB9D8" w:rsidR="00537FF2">
            <w:rPr>
              <w:i w:val="1"/>
              <w:iCs w:val="1"/>
              <w:sz w:val="18"/>
              <w:szCs w:val="18"/>
            </w:rPr>
            <w:t xml:space="preserve"> Britannica</w:t>
          </w:r>
          <w:r w:rsidRPr="36EEB9D8" w:rsidR="00537FF2">
            <w:rPr>
              <w:sz w:val="18"/>
              <w:szCs w:val="18"/>
            </w:rPr>
            <w:t>, 1 Jan. https://www.britannica.com/biography/Giovanni-Boccaccio. Accessed 2 February 2026.</w:t>
          </w:r>
        </w:p>
        <w:p w:rsidR="0010668E" w:rsidP="00537FF2" w:rsidRDefault="0010668E" w14:paraId="07BB206A" w14:textId="393F0184">
          <w:pPr>
            <w:rPr>
              <w:sz w:val="18"/>
              <w:szCs w:val="18"/>
            </w:rPr>
          </w:pPr>
          <w:r w:rsidRPr="36EEB9D8" w:rsidR="0010668E">
            <w:rPr>
              <w:sz w:val="18"/>
              <w:szCs w:val="18"/>
            </w:rPr>
            <w:t>Brenni</w:t>
          </w:r>
          <w:r w:rsidRPr="36EEB9D8" w:rsidR="0010668E">
            <w:rPr>
              <w:sz w:val="18"/>
              <w:szCs w:val="18"/>
            </w:rPr>
            <w:t xml:space="preserve">, V. J. (1984). </w:t>
          </w:r>
          <w:r w:rsidRPr="36EEB9D8" w:rsidR="0010668E">
            <w:rPr>
              <w:i w:val="1"/>
              <w:iCs w:val="1"/>
              <w:sz w:val="18"/>
              <w:szCs w:val="18"/>
            </w:rPr>
            <w:t>T</w:t>
          </w:r>
          <w:r w:rsidRPr="36EEB9D8" w:rsidR="0010668E">
            <w:rPr>
              <w:i w:val="1"/>
              <w:iCs w:val="1"/>
              <w:sz w:val="18"/>
              <w:szCs w:val="18"/>
            </w:rPr>
            <w:t>he art and history of book printing</w:t>
          </w:r>
          <w:r w:rsidRPr="36EEB9D8" w:rsidR="61EE4C6F">
            <w:rPr>
              <w:i w:val="1"/>
              <w:iCs w:val="1"/>
              <w:sz w:val="18"/>
              <w:szCs w:val="18"/>
            </w:rPr>
            <w:t>:</w:t>
          </w:r>
          <w:r w:rsidRPr="36EEB9D8" w:rsidR="0010668E">
            <w:rPr>
              <w:i w:val="1"/>
              <w:iCs w:val="1"/>
              <w:sz w:val="18"/>
              <w:szCs w:val="18"/>
            </w:rPr>
            <w:t xml:space="preserve"> </w:t>
          </w:r>
          <w:r w:rsidRPr="36EEB9D8" w:rsidR="310C1652">
            <w:rPr>
              <w:i w:val="1"/>
              <w:iCs w:val="1"/>
              <w:sz w:val="18"/>
              <w:szCs w:val="18"/>
            </w:rPr>
            <w:t>A</w:t>
          </w:r>
          <w:r w:rsidRPr="36EEB9D8" w:rsidR="0010668E">
            <w:rPr>
              <w:i w:val="1"/>
              <w:iCs w:val="1"/>
              <w:sz w:val="18"/>
              <w:szCs w:val="18"/>
            </w:rPr>
            <w:t xml:space="preserve"> topical bibliography</w:t>
          </w:r>
          <w:r w:rsidRPr="36EEB9D8" w:rsidR="0010668E">
            <w:rPr>
              <w:sz w:val="18"/>
              <w:szCs w:val="18"/>
            </w:rPr>
            <w:t>. Greenwood Press.</w:t>
          </w:r>
        </w:p>
        <w:p w:rsidRPr="00FD14B2" w:rsidR="00FD14B2" w:rsidP="00537FF2" w:rsidRDefault="00FD14B2" w14:paraId="10D3E957" w14:textId="51D3CEC6">
          <w:pPr>
            <w:rPr>
              <w:sz w:val="18"/>
              <w:szCs w:val="18"/>
            </w:rPr>
          </w:pPr>
          <w:r w:rsidRPr="36EEB9D8" w:rsidR="00FD14B2">
            <w:rPr>
              <w:sz w:val="18"/>
              <w:szCs w:val="18"/>
            </w:rPr>
            <w:t xml:space="preserve">Dittmar, Jeremiah E. </w:t>
          </w:r>
          <w:r w:rsidRPr="36EEB9D8" w:rsidR="1FB66C77">
            <w:rPr>
              <w:sz w:val="18"/>
              <w:szCs w:val="18"/>
            </w:rPr>
            <w:t xml:space="preserve">(2011) </w:t>
          </w:r>
          <w:r w:rsidRPr="36EEB9D8" w:rsidR="00FD14B2">
            <w:rPr>
              <w:sz w:val="18"/>
              <w:szCs w:val="18"/>
            </w:rPr>
            <w:t xml:space="preserve">“Information technology and economic change: </w:t>
          </w:r>
          <w:r w:rsidRPr="36EEB9D8" w:rsidR="48C293D0">
            <w:rPr>
              <w:sz w:val="18"/>
              <w:szCs w:val="18"/>
            </w:rPr>
            <w:t>T</w:t>
          </w:r>
          <w:r w:rsidRPr="36EEB9D8" w:rsidR="00FD14B2">
            <w:rPr>
              <w:sz w:val="18"/>
              <w:szCs w:val="18"/>
            </w:rPr>
            <w:t>he impact of the printing press.”</w:t>
          </w:r>
          <w:r w:rsidRPr="36EEB9D8" w:rsidR="00FD14B2">
            <w:rPr>
              <w:i w:val="1"/>
              <w:iCs w:val="1"/>
              <w:sz w:val="18"/>
              <w:szCs w:val="18"/>
            </w:rPr>
            <w:t xml:space="preserve"> The Quarterly Journal of Economics</w:t>
          </w:r>
          <w:r w:rsidRPr="36EEB9D8" w:rsidR="00FD14B2">
            <w:rPr>
              <w:sz w:val="18"/>
              <w:szCs w:val="18"/>
            </w:rPr>
            <w:t>, vol. 126, no. 3, pp. 1133–72. JSTOR, http://www.jstor.org/stable/23015698. Accessed 7 Feb. 2026.</w:t>
          </w:r>
        </w:p>
        <w:p w:rsidRPr="00FD14B2" w:rsidR="0010668E" w:rsidP="00537FF2" w:rsidRDefault="0010668E" w14:paraId="37AEE953" w14:textId="77D99C99">
          <w:pPr>
            <w:rPr>
              <w:sz w:val="18"/>
              <w:szCs w:val="18"/>
            </w:rPr>
          </w:pPr>
          <w:r w:rsidRPr="36EEB9D8" w:rsidR="0010668E">
            <w:rPr>
              <w:sz w:val="18"/>
              <w:szCs w:val="18"/>
            </w:rPr>
            <w:t xml:space="preserve">Hyde, Thomas. </w:t>
          </w:r>
          <w:r w:rsidRPr="36EEB9D8" w:rsidR="50425841">
            <w:rPr>
              <w:sz w:val="18"/>
              <w:szCs w:val="18"/>
            </w:rPr>
            <w:t xml:space="preserve">(1985) </w:t>
          </w:r>
          <w:r w:rsidRPr="36EEB9D8" w:rsidR="0010668E">
            <w:rPr>
              <w:sz w:val="18"/>
              <w:szCs w:val="18"/>
            </w:rPr>
            <w:t xml:space="preserve">“Boccaccio: The Genealogies of Myth.” </w:t>
          </w:r>
          <w:r w:rsidRPr="36EEB9D8" w:rsidR="0010668E">
            <w:rPr>
              <w:i w:val="1"/>
              <w:iCs w:val="1"/>
              <w:sz w:val="18"/>
              <w:szCs w:val="18"/>
            </w:rPr>
            <w:t>PMLA</w:t>
          </w:r>
          <w:r w:rsidRPr="36EEB9D8" w:rsidR="0010668E">
            <w:rPr>
              <w:sz w:val="18"/>
              <w:szCs w:val="18"/>
            </w:rPr>
            <w:t>, vol. 100, no. 5, pp. 737–45. JSTOR, https://doi.org/10.2307/462094. Accessed 9 Feb. 2026.</w:t>
          </w:r>
        </w:p>
        <w:p w:rsidRPr="00FD14B2" w:rsidR="00537FF2" w:rsidP="00537FF2" w:rsidRDefault="00537FF2" w14:paraId="69BF8F2A" w14:textId="1A322EB3">
          <w:pPr>
            <w:rPr>
              <w:sz w:val="18"/>
              <w:szCs w:val="18"/>
            </w:rPr>
          </w:pPr>
          <w:r w:rsidRPr="00FD14B2">
            <w:rPr>
              <w:sz w:val="18"/>
              <w:szCs w:val="18"/>
            </w:rPr>
            <w:t xml:space="preserve">King, M. L. (Ed.). (2014). Renaissance </w:t>
          </w:r>
          <w:r w:rsidRPr="00FD14B2" w:rsidR="00006970">
            <w:rPr>
              <w:sz w:val="18"/>
              <w:szCs w:val="18"/>
            </w:rPr>
            <w:t>humanism</w:t>
          </w:r>
          <w:r w:rsidRPr="00FD14B2" w:rsidR="00006970">
            <w:rPr>
              <w:rFonts w:ascii="Arial" w:hAnsi="Arial" w:cs="Arial"/>
              <w:sz w:val="18"/>
              <w:szCs w:val="18"/>
            </w:rPr>
            <w:t>:</w:t>
          </w:r>
          <w:r w:rsidRPr="00FD14B2">
            <w:rPr>
              <w:sz w:val="18"/>
              <w:szCs w:val="18"/>
            </w:rPr>
            <w:t xml:space="preserve"> an anthology of sources. Hackett Publishing Company, Inc.</w:t>
          </w:r>
        </w:p>
        <w:p w:rsidRPr="00FD14B2" w:rsidR="00006970" w:rsidP="00537FF2" w:rsidRDefault="00006970" w14:paraId="0957C8E2" w14:textId="24912C59">
          <w:pPr>
            <w:rPr>
              <w:sz w:val="18"/>
              <w:szCs w:val="18"/>
            </w:rPr>
          </w:pPr>
          <w:proofErr w:type="spellStart"/>
          <w:r w:rsidRPr="00FD14B2">
            <w:rPr>
              <w:sz w:val="18"/>
              <w:szCs w:val="18"/>
            </w:rPr>
            <w:t>Kostylo</w:t>
          </w:r>
          <w:proofErr w:type="spellEnd"/>
          <w:r w:rsidRPr="00FD14B2">
            <w:rPr>
              <w:sz w:val="18"/>
              <w:szCs w:val="18"/>
            </w:rPr>
            <w:t>, J. (2008) ‘Commentary on Johannes of Speyer's Venetian monopoly (1469)', in Primary Sources on Copyright (1450-1900), eds L. Bently &amp; M. Kretschmer, www.copyrighthistory.org</w:t>
          </w:r>
        </w:p>
        <w:p w:rsidR="00537FF2" w:rsidP="00537FF2" w:rsidRDefault="00537FF2" w14:paraId="74E43BD6" w14:textId="45B48C08">
          <w:pPr>
            <w:rPr>
              <w:sz w:val="18"/>
              <w:szCs w:val="18"/>
            </w:rPr>
          </w:pPr>
          <w:r w:rsidRPr="36EEB9D8" w:rsidR="00537FF2">
            <w:rPr>
              <w:sz w:val="18"/>
              <w:szCs w:val="18"/>
            </w:rPr>
            <w:t>Lummus, David.</w:t>
          </w:r>
          <w:r w:rsidRPr="36EEB9D8" w:rsidR="2B32C041">
            <w:rPr>
              <w:sz w:val="18"/>
              <w:szCs w:val="18"/>
            </w:rPr>
            <w:t xml:space="preserve"> (2012)</w:t>
          </w:r>
          <w:r w:rsidRPr="36EEB9D8" w:rsidR="00537FF2">
            <w:rPr>
              <w:sz w:val="18"/>
              <w:szCs w:val="18"/>
            </w:rPr>
            <w:t xml:space="preserve"> “Boccaccio’s Poetic Anthropology: Allegories of History in the ‘</w:t>
          </w:r>
          <w:r w:rsidRPr="36EEB9D8" w:rsidR="00537FF2">
            <w:rPr>
              <w:sz w:val="18"/>
              <w:szCs w:val="18"/>
            </w:rPr>
            <w:t>Genealogie</w:t>
          </w:r>
          <w:r w:rsidRPr="36EEB9D8" w:rsidR="00537FF2">
            <w:rPr>
              <w:sz w:val="18"/>
              <w:szCs w:val="18"/>
            </w:rPr>
            <w:t xml:space="preserve"> </w:t>
          </w:r>
          <w:r w:rsidRPr="36EEB9D8" w:rsidR="00537FF2">
            <w:rPr>
              <w:sz w:val="18"/>
              <w:szCs w:val="18"/>
            </w:rPr>
            <w:t>Deorum</w:t>
          </w:r>
          <w:r w:rsidRPr="36EEB9D8" w:rsidR="00537FF2">
            <w:rPr>
              <w:sz w:val="18"/>
              <w:szCs w:val="18"/>
            </w:rPr>
            <w:t xml:space="preserve"> </w:t>
          </w:r>
          <w:r w:rsidRPr="36EEB9D8" w:rsidR="00537FF2">
            <w:rPr>
              <w:sz w:val="18"/>
              <w:szCs w:val="18"/>
            </w:rPr>
            <w:t>Gentilium</w:t>
          </w:r>
          <w:r w:rsidRPr="36EEB9D8" w:rsidR="00537FF2">
            <w:rPr>
              <w:sz w:val="18"/>
              <w:szCs w:val="18"/>
            </w:rPr>
            <w:t xml:space="preserve"> Libri.’” </w:t>
          </w:r>
          <w:r w:rsidRPr="36EEB9D8" w:rsidR="00537FF2">
            <w:rPr>
              <w:i w:val="1"/>
              <w:iCs w:val="1"/>
              <w:sz w:val="18"/>
              <w:szCs w:val="18"/>
            </w:rPr>
            <w:t>Speculum</w:t>
          </w:r>
          <w:r w:rsidRPr="36EEB9D8" w:rsidR="00537FF2">
            <w:rPr>
              <w:sz w:val="18"/>
              <w:szCs w:val="18"/>
            </w:rPr>
            <w:t xml:space="preserve">, vol. 87, no. 3, pp. 724–65. JSTOR, </w:t>
          </w:r>
          <w:hyperlink r:id="R16156a7fef6b4609">
            <w:r w:rsidRPr="36EEB9D8" w:rsidR="0010668E">
              <w:rPr>
                <w:rStyle w:val="Hyperlink"/>
                <w:sz w:val="18"/>
                <w:szCs w:val="18"/>
              </w:rPr>
              <w:t>http://www.jstor.org/stable/23488496. Accessed 9 Feb. 2026</w:t>
            </w:r>
          </w:hyperlink>
          <w:r w:rsidRPr="36EEB9D8" w:rsidR="00537FF2">
            <w:rPr>
              <w:sz w:val="18"/>
              <w:szCs w:val="18"/>
            </w:rPr>
            <w:t>.</w:t>
          </w:r>
        </w:p>
        <w:p w:rsidRPr="00FD14B2" w:rsidR="00FD14B2" w:rsidP="00537FF2" w:rsidRDefault="00FD14B2" w14:paraId="6FC035A2" w14:textId="243159FE">
          <w:pPr>
            <w:rPr>
              <w:sz w:val="18"/>
              <w:szCs w:val="18"/>
            </w:rPr>
          </w:pPr>
          <w:r w:rsidRPr="36EEB9D8" w:rsidR="00FD14B2">
            <w:rPr>
              <w:sz w:val="18"/>
              <w:szCs w:val="18"/>
            </w:rPr>
            <w:t xml:space="preserve">Twyman, M. (1999). </w:t>
          </w:r>
          <w:r w:rsidRPr="36EEB9D8" w:rsidR="00FD14B2">
            <w:rPr>
              <w:i w:val="1"/>
              <w:iCs w:val="1"/>
              <w:sz w:val="18"/>
              <w:szCs w:val="18"/>
            </w:rPr>
            <w:t>The British Library guide to printing</w:t>
          </w:r>
          <w:r w:rsidRPr="36EEB9D8" w:rsidR="00FD14B2">
            <w:rPr>
              <w:i w:val="1"/>
              <w:iCs w:val="1"/>
              <w:sz w:val="18"/>
              <w:szCs w:val="18"/>
            </w:rPr>
            <w:t xml:space="preserve">: </w:t>
          </w:r>
          <w:r w:rsidRPr="36EEB9D8" w:rsidR="009981AB">
            <w:rPr>
              <w:i w:val="1"/>
              <w:iCs w:val="1"/>
              <w:sz w:val="18"/>
              <w:szCs w:val="18"/>
            </w:rPr>
            <w:t>H</w:t>
          </w:r>
          <w:r w:rsidRPr="36EEB9D8" w:rsidR="00FD14B2">
            <w:rPr>
              <w:i w:val="1"/>
              <w:iCs w:val="1"/>
              <w:sz w:val="18"/>
              <w:szCs w:val="18"/>
            </w:rPr>
            <w:t>istory and techniques</w:t>
          </w:r>
          <w:r w:rsidRPr="36EEB9D8" w:rsidR="00FD14B2">
            <w:rPr>
              <w:sz w:val="18"/>
              <w:szCs w:val="18"/>
            </w:rPr>
            <w:t>. University of Toronto Press</w:t>
          </w:r>
        </w:p>
        <w:p w:rsidRPr="00FD14B2" w:rsidR="00FD14B2" w:rsidP="00537FF2" w:rsidRDefault="00FD14B2" w14:paraId="41F131F4" w14:textId="5C69120C">
          <w:pPr>
            <w:rPr>
              <w:sz w:val="18"/>
              <w:szCs w:val="18"/>
            </w:rPr>
          </w:pPr>
          <w:r w:rsidRPr="36EEB9D8" w:rsidR="00FD14B2">
            <w:rPr>
              <w:sz w:val="18"/>
              <w:szCs w:val="18"/>
            </w:rPr>
            <w:t>Unwin, G</w:t>
          </w:r>
          <w:r w:rsidRPr="36EEB9D8" w:rsidR="3F5D947C">
            <w:rPr>
              <w:sz w:val="18"/>
              <w:szCs w:val="18"/>
            </w:rPr>
            <w:t>.</w:t>
          </w:r>
          <w:r w:rsidRPr="36EEB9D8" w:rsidR="00FD14B2">
            <w:rPr>
              <w:sz w:val="18"/>
              <w:szCs w:val="18"/>
            </w:rPr>
            <w:t>, Tucker, D</w:t>
          </w:r>
          <w:r w:rsidRPr="36EEB9D8" w:rsidR="58AAB0E8">
            <w:rPr>
              <w:sz w:val="18"/>
              <w:szCs w:val="18"/>
            </w:rPr>
            <w:t xml:space="preserve">.H. and </w:t>
          </w:r>
          <w:r w:rsidRPr="36EEB9D8" w:rsidR="00FD14B2">
            <w:rPr>
              <w:sz w:val="18"/>
              <w:szCs w:val="18"/>
            </w:rPr>
            <w:t>Unwin, P</w:t>
          </w:r>
          <w:r w:rsidRPr="36EEB9D8" w:rsidR="50259904">
            <w:rPr>
              <w:sz w:val="18"/>
              <w:szCs w:val="18"/>
            </w:rPr>
            <w:t>.S</w:t>
          </w:r>
          <w:r w:rsidRPr="36EEB9D8" w:rsidR="00FD14B2">
            <w:rPr>
              <w:sz w:val="18"/>
              <w:szCs w:val="18"/>
            </w:rPr>
            <w:t>.</w:t>
          </w:r>
          <w:r w:rsidRPr="36EEB9D8" w:rsidR="3A554AAF">
            <w:rPr>
              <w:sz w:val="18"/>
              <w:szCs w:val="18"/>
            </w:rPr>
            <w:t xml:space="preserve"> (2026)</w:t>
          </w:r>
          <w:r w:rsidRPr="36EEB9D8" w:rsidR="00FD14B2">
            <w:rPr>
              <w:sz w:val="18"/>
              <w:szCs w:val="18"/>
            </w:rPr>
            <w:t xml:space="preserve"> “</w:t>
          </w:r>
          <w:r w:rsidRPr="36EEB9D8" w:rsidR="30C2DB23">
            <w:rPr>
              <w:sz w:val="18"/>
              <w:szCs w:val="18"/>
            </w:rPr>
            <w:t>History</w:t>
          </w:r>
          <w:r w:rsidRPr="36EEB9D8" w:rsidR="00FD14B2">
            <w:rPr>
              <w:sz w:val="18"/>
              <w:szCs w:val="18"/>
            </w:rPr>
            <w:t xml:space="preserve"> of publishing”. </w:t>
          </w:r>
          <w:r w:rsidRPr="36EEB9D8" w:rsidR="00FD14B2">
            <w:rPr>
              <w:i w:val="1"/>
              <w:iCs w:val="1"/>
              <w:sz w:val="18"/>
              <w:szCs w:val="18"/>
            </w:rPr>
            <w:t>Encyclopedia</w:t>
          </w:r>
          <w:r w:rsidRPr="36EEB9D8" w:rsidR="00FD14B2">
            <w:rPr>
              <w:i w:val="1"/>
              <w:iCs w:val="1"/>
              <w:sz w:val="18"/>
              <w:szCs w:val="18"/>
            </w:rPr>
            <w:t xml:space="preserve"> Britannica</w:t>
          </w:r>
          <w:r w:rsidRPr="36EEB9D8" w:rsidR="00FD14B2">
            <w:rPr>
              <w:sz w:val="18"/>
              <w:szCs w:val="18"/>
            </w:rPr>
            <w:t>, 16 Jan. https://www.britannica.com/topic/publishing. Accessed 2 February 2026.</w:t>
          </w:r>
        </w:p>
        <w:p w:rsidRPr="00CF7C48" w:rsidR="00F00D7F" w:rsidRDefault="0010668E" w14:paraId="1BEE27CD" w14:textId="4853B652">
          <w:pPr>
            <w:rPr>
              <w:sz w:val="18"/>
              <w:szCs w:val="18"/>
            </w:rPr>
          </w:pPr>
          <w:r w:rsidRPr="36EEB9D8" w:rsidR="0010668E">
            <w:rPr>
              <w:sz w:val="18"/>
              <w:szCs w:val="18"/>
            </w:rPr>
            <w:t xml:space="preserve">Wilkins, Ernest H. </w:t>
          </w:r>
          <w:r w:rsidRPr="36EEB9D8" w:rsidR="01C22488">
            <w:rPr>
              <w:sz w:val="18"/>
              <w:szCs w:val="18"/>
            </w:rPr>
            <w:t xml:space="preserve">(1925) </w:t>
          </w:r>
          <w:r w:rsidRPr="36EEB9D8" w:rsidR="0010668E">
            <w:rPr>
              <w:sz w:val="18"/>
              <w:szCs w:val="18"/>
            </w:rPr>
            <w:t>“The Genealogy of the Genealogical Trees of the ‘</w:t>
          </w:r>
          <w:r w:rsidRPr="36EEB9D8" w:rsidR="0010668E">
            <w:rPr>
              <w:sz w:val="18"/>
              <w:szCs w:val="18"/>
            </w:rPr>
            <w:t>Genealogia</w:t>
          </w:r>
          <w:r w:rsidRPr="36EEB9D8" w:rsidR="0010668E">
            <w:rPr>
              <w:sz w:val="18"/>
              <w:szCs w:val="18"/>
            </w:rPr>
            <w:t xml:space="preserve"> </w:t>
          </w:r>
          <w:r w:rsidRPr="36EEB9D8" w:rsidR="0010668E">
            <w:rPr>
              <w:sz w:val="18"/>
              <w:szCs w:val="18"/>
            </w:rPr>
            <w:t>Deorum</w:t>
          </w:r>
          <w:r w:rsidRPr="36EEB9D8" w:rsidR="0010668E">
            <w:rPr>
              <w:sz w:val="18"/>
              <w:szCs w:val="18"/>
            </w:rPr>
            <w:t xml:space="preserve">.’” </w:t>
          </w:r>
          <w:r w:rsidRPr="36EEB9D8" w:rsidR="0010668E">
            <w:rPr>
              <w:i w:val="1"/>
              <w:iCs w:val="1"/>
              <w:sz w:val="18"/>
              <w:szCs w:val="18"/>
            </w:rPr>
            <w:t>Modern Philology</w:t>
          </w:r>
          <w:r w:rsidRPr="36EEB9D8" w:rsidR="0010668E">
            <w:rPr>
              <w:sz w:val="18"/>
              <w:szCs w:val="18"/>
            </w:rPr>
            <w:t>, vol. 23, no. 1, pp. 61–65. JSTOR, http://www.jstor.org/stable/433851. Accessed 9 Feb. 2026.</w:t>
          </w:r>
        </w:p>
      </w:sdtContent>
    </w:sdt>
    <w:p w:rsidR="005F0083" w:rsidRDefault="005F0083" w14:paraId="73E67AB6" w14:textId="77777777"/>
    <w:sectPr w:rsidR="005F008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064B9" w:rsidP="00070CEA" w:rsidRDefault="00B064B9" w14:paraId="4B286A97" w14:textId="77777777">
      <w:pPr>
        <w:spacing w:after="0" w:line="240" w:lineRule="auto"/>
      </w:pPr>
      <w:r>
        <w:separator/>
      </w:r>
    </w:p>
  </w:endnote>
  <w:endnote w:type="continuationSeparator" w:id="0">
    <w:p w:rsidR="00B064B9" w:rsidP="00070CEA" w:rsidRDefault="00B064B9" w14:paraId="2A188AD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20C6" w:rsidRDefault="00BF20C6" w14:paraId="0F3B870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20C6" w:rsidRDefault="00BF20C6" w14:paraId="07EEEB9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20C6" w:rsidRDefault="00BF20C6" w14:paraId="3351D92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064B9" w:rsidP="00070CEA" w:rsidRDefault="00B064B9" w14:paraId="64F32386" w14:textId="77777777">
      <w:pPr>
        <w:spacing w:after="0" w:line="240" w:lineRule="auto"/>
      </w:pPr>
      <w:r>
        <w:separator/>
      </w:r>
    </w:p>
  </w:footnote>
  <w:footnote w:type="continuationSeparator" w:id="0">
    <w:p w:rsidR="00B064B9" w:rsidP="00070CEA" w:rsidRDefault="00B064B9" w14:paraId="3C8FD550" w14:textId="77777777">
      <w:pPr>
        <w:spacing w:after="0" w:line="240" w:lineRule="auto"/>
      </w:pPr>
      <w:r>
        <w:continuationSeparator/>
      </w:r>
    </w:p>
  </w:footnote>
  <w:footnote w:id="1">
    <w:p w:rsidR="00070CEA" w:rsidP="006033B1" w:rsidRDefault="00070CEA" w14:paraId="5BAEAB2E" w14:textId="62660EF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033B1">
        <w:t xml:space="preserve">Boccaccio, G., Phillips Thomas, &amp; Wendelin. (1472). </w:t>
      </w:r>
      <w:proofErr w:type="spellStart"/>
      <w:r w:rsidRPr="006033B1" w:rsidR="006033B1">
        <w:rPr>
          <w:i/>
          <w:iCs/>
        </w:rPr>
        <w:t>Genealogie</w:t>
      </w:r>
      <w:proofErr w:type="spellEnd"/>
      <w:r w:rsidRPr="006033B1" w:rsidR="006033B1">
        <w:rPr>
          <w:i/>
          <w:iCs/>
        </w:rPr>
        <w:t xml:space="preserve">̧ </w:t>
      </w:r>
      <w:proofErr w:type="spellStart"/>
      <w:r w:rsidRPr="006033B1" w:rsidR="006033B1">
        <w:rPr>
          <w:i/>
          <w:iCs/>
        </w:rPr>
        <w:t>deorum</w:t>
      </w:r>
      <w:proofErr w:type="spellEnd"/>
      <w:r w:rsidRPr="006033B1" w:rsidR="006033B1">
        <w:rPr>
          <w:i/>
          <w:iCs/>
        </w:rPr>
        <w:t xml:space="preserve"> </w:t>
      </w:r>
      <w:proofErr w:type="spellStart"/>
      <w:r w:rsidRPr="006033B1" w:rsidR="006033B1">
        <w:rPr>
          <w:i/>
          <w:iCs/>
        </w:rPr>
        <w:t>gentilium</w:t>
      </w:r>
      <w:proofErr w:type="spellEnd"/>
      <w:r w:rsidRPr="006033B1" w:rsidR="006033B1">
        <w:rPr>
          <w:rFonts w:ascii="Arial" w:hAnsi="Arial" w:cs="Arial"/>
          <w:i/>
          <w:iCs/>
        </w:rPr>
        <w:t> </w:t>
      </w:r>
      <w:r w:rsidRPr="006033B1" w:rsidR="006033B1">
        <w:rPr>
          <w:i/>
          <w:iCs/>
        </w:rPr>
        <w:t xml:space="preserve">: ad </w:t>
      </w:r>
      <w:proofErr w:type="spellStart"/>
      <w:r w:rsidRPr="006033B1" w:rsidR="006033B1">
        <w:rPr>
          <w:i/>
          <w:iCs/>
        </w:rPr>
        <w:t>Vgonem</w:t>
      </w:r>
      <w:proofErr w:type="spellEnd"/>
      <w:r w:rsidRPr="006033B1" w:rsidR="006033B1">
        <w:rPr>
          <w:i/>
          <w:iCs/>
        </w:rPr>
        <w:t xml:space="preserve"> </w:t>
      </w:r>
      <w:proofErr w:type="spellStart"/>
      <w:r w:rsidRPr="006033B1" w:rsidR="006033B1">
        <w:rPr>
          <w:i/>
          <w:iCs/>
        </w:rPr>
        <w:t>inclytum</w:t>
      </w:r>
      <w:proofErr w:type="spellEnd"/>
      <w:r w:rsidRPr="006033B1" w:rsidR="006033B1">
        <w:rPr>
          <w:i/>
          <w:iCs/>
        </w:rPr>
        <w:t xml:space="preserve"> </w:t>
      </w:r>
      <w:proofErr w:type="spellStart"/>
      <w:r w:rsidRPr="006033B1" w:rsidR="006033B1">
        <w:rPr>
          <w:i/>
          <w:iCs/>
        </w:rPr>
        <w:t>Hierusale</w:t>
      </w:r>
      <w:proofErr w:type="spellEnd"/>
      <w:r w:rsidRPr="006033B1" w:rsidR="006033B1">
        <w:rPr>
          <w:i/>
          <w:iCs/>
        </w:rPr>
        <w:t xml:space="preserve">̃ &amp; </w:t>
      </w:r>
      <w:proofErr w:type="spellStart"/>
      <w:r w:rsidRPr="006033B1" w:rsidR="006033B1">
        <w:rPr>
          <w:i/>
          <w:iCs/>
        </w:rPr>
        <w:t>Cypri</w:t>
      </w:r>
      <w:proofErr w:type="spellEnd"/>
      <w:r w:rsidRPr="006033B1" w:rsidR="006033B1">
        <w:rPr>
          <w:i/>
          <w:iCs/>
        </w:rPr>
        <w:t xml:space="preserve"> </w:t>
      </w:r>
      <w:proofErr w:type="spellStart"/>
      <w:r w:rsidRPr="006033B1" w:rsidR="006033B1">
        <w:rPr>
          <w:i/>
          <w:iCs/>
        </w:rPr>
        <w:t>regem</w:t>
      </w:r>
      <w:proofErr w:type="spellEnd"/>
      <w:r w:rsidRPr="006033B1" w:rsidR="006033B1">
        <w:rPr>
          <w:i/>
          <w:iCs/>
        </w:rPr>
        <w:t xml:space="preserve"> secundum </w:t>
      </w:r>
      <w:proofErr w:type="spellStart"/>
      <w:r w:rsidRPr="006033B1" w:rsidR="006033B1">
        <w:rPr>
          <w:i/>
          <w:iCs/>
        </w:rPr>
        <w:t>Iohannem</w:t>
      </w:r>
      <w:proofErr w:type="spellEnd"/>
      <w:r w:rsidRPr="006033B1" w:rsidR="006033B1">
        <w:rPr>
          <w:i/>
          <w:iCs/>
        </w:rPr>
        <w:t xml:space="preserve"> Boccatiũ de </w:t>
      </w:r>
      <w:proofErr w:type="spellStart"/>
      <w:r w:rsidRPr="006033B1" w:rsidR="006033B1">
        <w:rPr>
          <w:i/>
          <w:iCs/>
        </w:rPr>
        <w:t>Certaldo</w:t>
      </w:r>
      <w:proofErr w:type="spellEnd"/>
      <w:r w:rsidRPr="006033B1" w:rsidR="006033B1">
        <w:rPr>
          <w:i/>
          <w:iCs/>
        </w:rPr>
        <w:t xml:space="preserve"> liber primus incipit feliciter</w:t>
      </w:r>
      <w:r w:rsidR="006033B1">
        <w:t xml:space="preserve">. </w:t>
      </w:r>
      <w:proofErr w:type="spellStart"/>
      <w:r w:rsidR="006033B1">
        <w:t>Vindelinus</w:t>
      </w:r>
      <w:proofErr w:type="spellEnd"/>
      <w:r w:rsidR="006033B1">
        <w:t xml:space="preserve"> de Spira.</w:t>
      </w:r>
    </w:p>
  </w:footnote>
  <w:footnote w:id="2">
    <w:p w:rsidR="00E067FD" w:rsidRDefault="00E067FD" w14:paraId="6F54BC26" w14:textId="24CB73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D0F0D" w:rsidR="002D0F0D">
        <w:t>Bosco, Umberto. "</w:t>
      </w:r>
      <w:r w:rsidRPr="00D275FF" w:rsidR="002D0F0D">
        <w:rPr>
          <w:i/>
          <w:iCs/>
        </w:rPr>
        <w:t>Giovanni Boccaccio</w:t>
      </w:r>
      <w:r w:rsidRPr="002D0F0D" w:rsidR="002D0F0D">
        <w:t xml:space="preserve">". </w:t>
      </w:r>
      <w:proofErr w:type="spellStart"/>
      <w:r w:rsidRPr="002D0F0D" w:rsidR="002D0F0D">
        <w:t>Encyclopedia</w:t>
      </w:r>
      <w:proofErr w:type="spellEnd"/>
      <w:r w:rsidRPr="002D0F0D" w:rsidR="002D0F0D">
        <w:t xml:space="preserve"> Britannica, 1 Jan. 2026, https://www.britannica.com/biography/Giovanni-Boccaccio. Accessed 2 February 2026.</w:t>
      </w:r>
    </w:p>
  </w:footnote>
  <w:footnote w:id="3">
    <w:p w:rsidR="00361F90" w:rsidRDefault="00361F90" w14:paraId="7C2E2B0D" w14:textId="181917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E0893">
        <w:t>King, M. L. (Ed.). (2014). Renaissance humanism : an anthology of sources. Hackett Publishing Company, Inc.</w:t>
      </w:r>
    </w:p>
  </w:footnote>
  <w:footnote w:id="4">
    <w:p w:rsidR="00F864EB" w:rsidRDefault="00F864EB" w14:paraId="28C30185" w14:textId="304DE4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54A07" w:rsidR="00A54A07">
        <w:t>Lummus, David. “Boccaccio’s Poetic Anthropology: Allegories of History in the ‘</w:t>
      </w:r>
      <w:proofErr w:type="spellStart"/>
      <w:r w:rsidRPr="00A54A07" w:rsidR="00A54A07">
        <w:t>Genealogie</w:t>
      </w:r>
      <w:proofErr w:type="spellEnd"/>
      <w:r w:rsidRPr="00A54A07" w:rsidR="00A54A07">
        <w:t xml:space="preserve"> </w:t>
      </w:r>
      <w:proofErr w:type="spellStart"/>
      <w:r w:rsidRPr="00A54A07" w:rsidR="00A54A07">
        <w:t>Deorum</w:t>
      </w:r>
      <w:proofErr w:type="spellEnd"/>
      <w:r w:rsidRPr="00A54A07" w:rsidR="00A54A07">
        <w:t xml:space="preserve"> </w:t>
      </w:r>
      <w:proofErr w:type="spellStart"/>
      <w:r w:rsidRPr="00A54A07" w:rsidR="00A54A07">
        <w:t>Gentilium</w:t>
      </w:r>
      <w:proofErr w:type="spellEnd"/>
      <w:r w:rsidRPr="00A54A07" w:rsidR="00A54A07">
        <w:t xml:space="preserve"> Libri.’” Speculum, vol. 87, no. 3, 2012, pp. 724–65. JSTOR, http://www.jstor.org/stable/23488496. Accessed 9 Feb. 2026.</w:t>
      </w:r>
    </w:p>
  </w:footnote>
  <w:footnote w:id="5">
    <w:p w:rsidRPr="009E4FF6" w:rsidR="00700794" w:rsidRDefault="00700794" w14:paraId="441831E0" w14:textId="1FF14B1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275FF">
        <w:t xml:space="preserve">Boccaccio, G., Phillips Thomas, &amp; Wendelin. (1472). </w:t>
      </w:r>
      <w:proofErr w:type="spellStart"/>
      <w:r w:rsidRPr="00D275FF" w:rsidR="00D275FF">
        <w:rPr>
          <w:i/>
          <w:iCs/>
        </w:rPr>
        <w:t>Genealogie</w:t>
      </w:r>
      <w:proofErr w:type="spellEnd"/>
      <w:r w:rsidRPr="00D275FF" w:rsidR="00D275FF">
        <w:rPr>
          <w:i/>
          <w:iCs/>
        </w:rPr>
        <w:t xml:space="preserve">̧ </w:t>
      </w:r>
      <w:proofErr w:type="spellStart"/>
      <w:r w:rsidRPr="00D275FF" w:rsidR="00D275FF">
        <w:rPr>
          <w:i/>
          <w:iCs/>
        </w:rPr>
        <w:t>deorum</w:t>
      </w:r>
      <w:proofErr w:type="spellEnd"/>
      <w:r w:rsidRPr="00D275FF" w:rsidR="00D275FF">
        <w:rPr>
          <w:i/>
          <w:iCs/>
        </w:rPr>
        <w:t xml:space="preserve"> </w:t>
      </w:r>
      <w:proofErr w:type="spellStart"/>
      <w:r w:rsidRPr="00D275FF" w:rsidR="00D275FF">
        <w:rPr>
          <w:i/>
          <w:iCs/>
        </w:rPr>
        <w:t>gentilium</w:t>
      </w:r>
      <w:proofErr w:type="spellEnd"/>
      <w:r w:rsidRPr="00D275FF" w:rsidR="00D275FF">
        <w:rPr>
          <w:i/>
          <w:iCs/>
        </w:rPr>
        <w:t xml:space="preserve"> : ad </w:t>
      </w:r>
      <w:proofErr w:type="spellStart"/>
      <w:r w:rsidRPr="00D275FF" w:rsidR="00D275FF">
        <w:rPr>
          <w:i/>
          <w:iCs/>
        </w:rPr>
        <w:t>Vgonem</w:t>
      </w:r>
      <w:proofErr w:type="spellEnd"/>
      <w:r w:rsidRPr="00D275FF" w:rsidR="00D275FF">
        <w:rPr>
          <w:i/>
          <w:iCs/>
        </w:rPr>
        <w:t xml:space="preserve"> </w:t>
      </w:r>
      <w:proofErr w:type="spellStart"/>
      <w:r w:rsidRPr="00D275FF" w:rsidR="00D275FF">
        <w:rPr>
          <w:i/>
          <w:iCs/>
        </w:rPr>
        <w:t>inclytum</w:t>
      </w:r>
      <w:proofErr w:type="spellEnd"/>
      <w:r w:rsidRPr="00D275FF" w:rsidR="00D275FF">
        <w:rPr>
          <w:i/>
          <w:iCs/>
        </w:rPr>
        <w:t xml:space="preserve"> </w:t>
      </w:r>
      <w:proofErr w:type="spellStart"/>
      <w:r w:rsidRPr="00D275FF" w:rsidR="00D275FF">
        <w:rPr>
          <w:i/>
          <w:iCs/>
        </w:rPr>
        <w:t>Hierusale</w:t>
      </w:r>
      <w:proofErr w:type="spellEnd"/>
      <w:r w:rsidRPr="00D275FF" w:rsidR="00D275FF">
        <w:rPr>
          <w:i/>
          <w:iCs/>
        </w:rPr>
        <w:t xml:space="preserve">̃ &amp; </w:t>
      </w:r>
      <w:proofErr w:type="spellStart"/>
      <w:r w:rsidRPr="00D275FF" w:rsidR="00D275FF">
        <w:rPr>
          <w:i/>
          <w:iCs/>
        </w:rPr>
        <w:t>Cypri</w:t>
      </w:r>
      <w:proofErr w:type="spellEnd"/>
      <w:r w:rsidRPr="00D275FF" w:rsidR="00D275FF">
        <w:rPr>
          <w:i/>
          <w:iCs/>
        </w:rPr>
        <w:t xml:space="preserve"> </w:t>
      </w:r>
      <w:proofErr w:type="spellStart"/>
      <w:r w:rsidRPr="00D275FF" w:rsidR="00D275FF">
        <w:rPr>
          <w:i/>
          <w:iCs/>
        </w:rPr>
        <w:t>regem</w:t>
      </w:r>
      <w:proofErr w:type="spellEnd"/>
      <w:r w:rsidRPr="00D275FF" w:rsidR="00D275FF">
        <w:rPr>
          <w:i/>
          <w:iCs/>
        </w:rPr>
        <w:t xml:space="preserve"> secundum </w:t>
      </w:r>
      <w:proofErr w:type="spellStart"/>
      <w:r w:rsidRPr="00D275FF" w:rsidR="00D275FF">
        <w:rPr>
          <w:i/>
          <w:iCs/>
        </w:rPr>
        <w:t>Iohannem</w:t>
      </w:r>
      <w:proofErr w:type="spellEnd"/>
      <w:r w:rsidRPr="00D275FF" w:rsidR="00D275FF">
        <w:rPr>
          <w:i/>
          <w:iCs/>
        </w:rPr>
        <w:t xml:space="preserve"> Boccatiũ de </w:t>
      </w:r>
      <w:proofErr w:type="spellStart"/>
      <w:r w:rsidRPr="00D275FF" w:rsidR="00D275FF">
        <w:rPr>
          <w:i/>
          <w:iCs/>
        </w:rPr>
        <w:t>Certaldo</w:t>
      </w:r>
      <w:proofErr w:type="spellEnd"/>
      <w:r w:rsidRPr="00D275FF" w:rsidR="00D275FF">
        <w:rPr>
          <w:i/>
          <w:iCs/>
        </w:rPr>
        <w:t xml:space="preserve"> liber primus incipit feliciter. </w:t>
      </w:r>
      <w:proofErr w:type="spellStart"/>
      <w:r w:rsidRPr="009E4FF6" w:rsidR="00D275FF">
        <w:t>Vindelinus</w:t>
      </w:r>
      <w:proofErr w:type="spellEnd"/>
      <w:r w:rsidRPr="009E4FF6" w:rsidR="00D275FF">
        <w:t xml:space="preserve"> de Spira.</w:t>
      </w:r>
    </w:p>
  </w:footnote>
  <w:footnote w:id="6">
    <w:p w:rsidRPr="009E4FF6" w:rsidR="00A56AD2" w:rsidRDefault="00A56AD2" w14:paraId="01BB3A69" w14:textId="6FD3FF2A">
      <w:pPr>
        <w:pStyle w:val="FootnoteText"/>
      </w:pPr>
      <w:r>
        <w:rPr>
          <w:rStyle w:val="FootnoteReference"/>
        </w:rPr>
        <w:footnoteRef/>
      </w:r>
      <w:r>
        <w:t xml:space="preserve"> Boccaccio, G., Phillips Thomas, &amp; Wendelin. (1472). </w:t>
      </w:r>
      <w:proofErr w:type="spellStart"/>
      <w:r w:rsidRPr="00DC6BED">
        <w:rPr>
          <w:i/>
          <w:iCs/>
        </w:rPr>
        <w:t>Genealogie</w:t>
      </w:r>
      <w:proofErr w:type="spellEnd"/>
      <w:r w:rsidRPr="00DC6BED">
        <w:rPr>
          <w:i/>
          <w:iCs/>
        </w:rPr>
        <w:t xml:space="preserve">̧ </w:t>
      </w:r>
      <w:proofErr w:type="spellStart"/>
      <w:r w:rsidRPr="00DC6BED">
        <w:rPr>
          <w:i/>
          <w:iCs/>
        </w:rPr>
        <w:t>deorum</w:t>
      </w:r>
      <w:proofErr w:type="spellEnd"/>
      <w:r w:rsidRPr="00DC6BED">
        <w:rPr>
          <w:i/>
          <w:iCs/>
        </w:rPr>
        <w:t xml:space="preserve"> </w:t>
      </w:r>
      <w:proofErr w:type="spellStart"/>
      <w:r w:rsidRPr="00DC6BED">
        <w:rPr>
          <w:i/>
          <w:iCs/>
        </w:rPr>
        <w:t>gentilium</w:t>
      </w:r>
      <w:proofErr w:type="spellEnd"/>
      <w:r w:rsidRPr="00DC6BED">
        <w:rPr>
          <w:i/>
          <w:iCs/>
        </w:rPr>
        <w:t xml:space="preserve"> : ad </w:t>
      </w:r>
      <w:proofErr w:type="spellStart"/>
      <w:r w:rsidRPr="00DC6BED">
        <w:rPr>
          <w:i/>
          <w:iCs/>
        </w:rPr>
        <w:t>Vgonem</w:t>
      </w:r>
      <w:proofErr w:type="spellEnd"/>
      <w:r w:rsidRPr="00DC6BED">
        <w:rPr>
          <w:i/>
          <w:iCs/>
        </w:rPr>
        <w:t xml:space="preserve"> </w:t>
      </w:r>
      <w:proofErr w:type="spellStart"/>
      <w:r w:rsidRPr="00DC6BED">
        <w:rPr>
          <w:i/>
          <w:iCs/>
        </w:rPr>
        <w:t>inclytum</w:t>
      </w:r>
      <w:proofErr w:type="spellEnd"/>
      <w:r w:rsidRPr="00DC6BED">
        <w:rPr>
          <w:i/>
          <w:iCs/>
        </w:rPr>
        <w:t xml:space="preserve"> </w:t>
      </w:r>
      <w:proofErr w:type="spellStart"/>
      <w:r w:rsidRPr="00DC6BED">
        <w:rPr>
          <w:i/>
          <w:iCs/>
        </w:rPr>
        <w:t>Hierusale</w:t>
      </w:r>
      <w:proofErr w:type="spellEnd"/>
      <w:r w:rsidRPr="00DC6BED">
        <w:rPr>
          <w:i/>
          <w:iCs/>
        </w:rPr>
        <w:t xml:space="preserve">̃ &amp; </w:t>
      </w:r>
      <w:proofErr w:type="spellStart"/>
      <w:r w:rsidRPr="00DC6BED">
        <w:rPr>
          <w:i/>
          <w:iCs/>
        </w:rPr>
        <w:t>Cypri</w:t>
      </w:r>
      <w:proofErr w:type="spellEnd"/>
      <w:r w:rsidRPr="00DC6BED">
        <w:rPr>
          <w:i/>
          <w:iCs/>
        </w:rPr>
        <w:t xml:space="preserve"> </w:t>
      </w:r>
      <w:proofErr w:type="spellStart"/>
      <w:r w:rsidRPr="00DC6BED">
        <w:rPr>
          <w:i/>
          <w:iCs/>
        </w:rPr>
        <w:t>regem</w:t>
      </w:r>
      <w:proofErr w:type="spellEnd"/>
      <w:r w:rsidRPr="00DC6BED">
        <w:rPr>
          <w:i/>
          <w:iCs/>
        </w:rPr>
        <w:t xml:space="preserve"> secundum </w:t>
      </w:r>
      <w:proofErr w:type="spellStart"/>
      <w:r w:rsidRPr="00DC6BED">
        <w:rPr>
          <w:i/>
          <w:iCs/>
        </w:rPr>
        <w:t>Iohannem</w:t>
      </w:r>
      <w:proofErr w:type="spellEnd"/>
      <w:r w:rsidRPr="00DC6BED">
        <w:rPr>
          <w:i/>
          <w:iCs/>
        </w:rPr>
        <w:t xml:space="preserve"> Boccatiũ de </w:t>
      </w:r>
      <w:proofErr w:type="spellStart"/>
      <w:r w:rsidRPr="00DC6BED">
        <w:rPr>
          <w:i/>
          <w:iCs/>
        </w:rPr>
        <w:t>Certaldo</w:t>
      </w:r>
      <w:proofErr w:type="spellEnd"/>
      <w:r w:rsidRPr="00DC6BED">
        <w:rPr>
          <w:i/>
          <w:iCs/>
        </w:rPr>
        <w:t xml:space="preserve"> liber primus incipit feliciter. </w:t>
      </w:r>
      <w:proofErr w:type="spellStart"/>
      <w:r w:rsidRPr="009E4FF6">
        <w:t>Vindelinus</w:t>
      </w:r>
      <w:proofErr w:type="spellEnd"/>
      <w:r w:rsidRPr="009E4FF6">
        <w:t xml:space="preserve"> de Spira.</w:t>
      </w:r>
    </w:p>
  </w:footnote>
  <w:footnote w:id="7">
    <w:p w:rsidRPr="00BF20C6" w:rsidR="00403DFE" w:rsidRDefault="00403DFE" w14:paraId="63648279" w14:textId="2835052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BF20C6" w:rsidR="00781C91">
        <w:rPr>
          <w:rFonts w:ascii="Helvetica" w:hAnsi="Helvetica" w:eastAsia="Times New Roman"/>
          <w:color w:val="333333"/>
          <w:shd w:val="clear" w:color="auto" w:fill="FFFFFF"/>
        </w:rPr>
        <w:t>Kostylo</w:t>
      </w:r>
      <w:proofErr w:type="spellEnd"/>
      <w:r w:rsidRPr="00BF20C6" w:rsidR="00781C91">
        <w:rPr>
          <w:rFonts w:ascii="Helvetica" w:hAnsi="Helvetica" w:eastAsia="Times New Roman"/>
          <w:color w:val="333333"/>
          <w:shd w:val="clear" w:color="auto" w:fill="FFFFFF"/>
        </w:rPr>
        <w:t>, J. (2008) ‘</w:t>
      </w:r>
      <w:r w:rsidRPr="00BF20C6" w:rsidR="00781C91">
        <w:rPr>
          <w:rFonts w:ascii="Helvetica" w:hAnsi="Helvetica" w:eastAsia="Times New Roman"/>
          <w:i/>
          <w:iCs/>
          <w:color w:val="333333"/>
          <w:shd w:val="clear" w:color="auto" w:fill="FFFFFF"/>
        </w:rPr>
        <w:t>Commentary on Johannes of Speyer's Venetian monopoly (1469)'</w:t>
      </w:r>
      <w:r w:rsidRPr="00BF20C6" w:rsidR="00781C91">
        <w:rPr>
          <w:rFonts w:ascii="Helvetica" w:hAnsi="Helvetica" w:eastAsia="Times New Roman"/>
          <w:color w:val="333333"/>
          <w:shd w:val="clear" w:color="auto" w:fill="FFFFFF"/>
        </w:rPr>
        <w:t>, in </w:t>
      </w:r>
      <w:r w:rsidRPr="00BF20C6" w:rsidR="00781C91">
        <w:rPr>
          <w:rStyle w:val="Emphasis"/>
          <w:rFonts w:ascii="Helvetica" w:hAnsi="Helvetica" w:eastAsia="Times New Roman"/>
          <w:color w:val="333333"/>
          <w:shd w:val="clear" w:color="auto" w:fill="FFFFFF"/>
        </w:rPr>
        <w:t>Primary Sources on Copyright (1450-1900)</w:t>
      </w:r>
      <w:r w:rsidRPr="00BF20C6" w:rsidR="00781C91">
        <w:rPr>
          <w:rFonts w:ascii="Helvetica" w:hAnsi="Helvetica" w:eastAsia="Times New Roman"/>
          <w:color w:val="333333"/>
          <w:shd w:val="clear" w:color="auto" w:fill="FFFFFF"/>
        </w:rPr>
        <w:t>, eds L. Bently &amp; M. Kretschmer, </w:t>
      </w:r>
      <w:hyperlink w:history="1" r:id="rId1">
        <w:r w:rsidRPr="00BF20C6" w:rsidR="00781C91">
          <w:rPr>
            <w:rStyle w:val="Hyperlink"/>
            <w:rFonts w:ascii="Helvetica" w:hAnsi="Helvetica" w:eastAsia="Times New Roman"/>
            <w:color w:val="337AB7"/>
            <w:shd w:val="clear" w:color="auto" w:fill="FFFFFF"/>
          </w:rPr>
          <w:t>www.copyrighthistory.org</w:t>
        </w:r>
      </w:hyperlink>
    </w:p>
  </w:footnote>
  <w:footnote w:id="8">
    <w:p w:rsidR="00260F3C" w:rsidRDefault="00260F3C" w14:paraId="15B27091" w14:textId="77CD78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75D3A" w:rsidR="00675D3A">
        <w:t>Wilkins, Ernest H. “</w:t>
      </w:r>
      <w:r w:rsidRPr="00675D3A" w:rsidR="00675D3A">
        <w:rPr>
          <w:i/>
          <w:iCs/>
        </w:rPr>
        <w:t>The Genealogy of the Genealogical Trees of the ‘</w:t>
      </w:r>
      <w:proofErr w:type="spellStart"/>
      <w:r w:rsidRPr="00675D3A" w:rsidR="00675D3A">
        <w:rPr>
          <w:i/>
          <w:iCs/>
        </w:rPr>
        <w:t>Genealogia</w:t>
      </w:r>
      <w:proofErr w:type="spellEnd"/>
      <w:r w:rsidRPr="00675D3A" w:rsidR="00675D3A">
        <w:rPr>
          <w:i/>
          <w:iCs/>
        </w:rPr>
        <w:t xml:space="preserve"> </w:t>
      </w:r>
      <w:proofErr w:type="spellStart"/>
      <w:r w:rsidRPr="00675D3A" w:rsidR="00675D3A">
        <w:rPr>
          <w:i/>
          <w:iCs/>
        </w:rPr>
        <w:t>Deorum</w:t>
      </w:r>
      <w:proofErr w:type="spellEnd"/>
      <w:r w:rsidRPr="00675D3A" w:rsidR="00675D3A">
        <w:t>.’” Modern Philology, vol. 23, no. 1, 1925, pp. 61–65. JSTOR, http://www.jstor.org/stable/433851. Accessed 9 Feb. 2026.</w:t>
      </w:r>
    </w:p>
  </w:footnote>
  <w:footnote w:id="9">
    <w:p w:rsidR="005539DF" w:rsidRDefault="005539DF" w14:paraId="1566AE04" w14:textId="180B68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50410" w:rsidR="00F50410">
        <w:t>Hyde, Thomas. “</w:t>
      </w:r>
      <w:r w:rsidRPr="00F50410" w:rsidR="00F50410">
        <w:rPr>
          <w:i/>
          <w:iCs/>
        </w:rPr>
        <w:t>Boccaccio: The Genealogies of Myth.</w:t>
      </w:r>
      <w:r w:rsidRPr="00F50410" w:rsidR="00F50410">
        <w:t>” PMLA, vol. 100, no. 5, 1985, pp. 737–45. JSTOR, https://doi.org/10.2307/462094. Accessed 9 Feb. 2026.</w:t>
      </w:r>
    </w:p>
  </w:footnote>
  <w:footnote w:id="10">
    <w:p w:rsidR="000A1CC2" w:rsidRDefault="000A1CC2" w14:paraId="50AD8421" w14:textId="677CD66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26D79" w:rsidR="00F26D79">
        <w:t xml:space="preserve">King, M. L. (Ed.). (2014). </w:t>
      </w:r>
      <w:r w:rsidRPr="0021284D" w:rsidR="00F26D79">
        <w:rPr>
          <w:i/>
          <w:iCs/>
        </w:rPr>
        <w:t xml:space="preserve">Renaissance </w:t>
      </w:r>
      <w:r w:rsidRPr="0021284D" w:rsidR="00327148">
        <w:rPr>
          <w:i/>
          <w:iCs/>
        </w:rPr>
        <w:t>humanism</w:t>
      </w:r>
      <w:r w:rsidRPr="0021284D" w:rsidR="00327148">
        <w:rPr>
          <w:rFonts w:ascii="Arial" w:hAnsi="Arial" w:cs="Arial"/>
          <w:i/>
          <w:iCs/>
        </w:rPr>
        <w:t>:</w:t>
      </w:r>
      <w:r w:rsidRPr="0021284D" w:rsidR="00F26D79">
        <w:rPr>
          <w:i/>
          <w:iCs/>
        </w:rPr>
        <w:t xml:space="preserve"> an anthology of </w:t>
      </w:r>
      <w:r w:rsidRPr="0021284D" w:rsidR="007024F5">
        <w:rPr>
          <w:i/>
          <w:iCs/>
        </w:rPr>
        <w:t>sources</w:t>
      </w:r>
      <w:r w:rsidRPr="00F26D79" w:rsidR="007024F5">
        <w:t xml:space="preserve"> (</w:t>
      </w:r>
      <w:r w:rsidRPr="00F26D79" w:rsidR="00F26D79">
        <w:t>pp. xxiii, 352 pages ;). Hackett Publishing Company Inc.</w:t>
      </w:r>
    </w:p>
  </w:footnote>
  <w:footnote w:id="11">
    <w:p w:rsidRPr="00D275FF" w:rsidR="00F3799D" w:rsidRDefault="00F3799D" w14:paraId="7E35F266" w14:textId="4B7CCB85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 w:rsidR="00CF2811">
        <w:t>Unwin, George, Tucker, David H., Unwin, Philip Soundy. “</w:t>
      </w:r>
      <w:r w:rsidRPr="00CF2811" w:rsidR="00CF2811">
        <w:rPr>
          <w:i/>
          <w:iCs/>
        </w:rPr>
        <w:t>history of publishing</w:t>
      </w:r>
      <w:r w:rsidR="00CF2811">
        <w:t xml:space="preserve">”. </w:t>
      </w:r>
      <w:proofErr w:type="spellStart"/>
      <w:r w:rsidR="00CF2811">
        <w:t>Encyclopedia</w:t>
      </w:r>
      <w:proofErr w:type="spellEnd"/>
      <w:r w:rsidR="00CF2811">
        <w:t xml:space="preserve"> Britannica, 16 Jan. 2026, </w:t>
      </w:r>
      <w:hyperlink w:history="1" r:id="rId2">
        <w:r w:rsidRPr="00082DCE" w:rsidR="00CF2811">
          <w:rPr>
            <w:rStyle w:val="Hyperlink"/>
          </w:rPr>
          <w:t>https://www.britannica.com/topic/publishing</w:t>
        </w:r>
      </w:hyperlink>
      <w:r w:rsidR="00CF2811">
        <w:t>. Accessed 2 February 2026.</w:t>
      </w:r>
    </w:p>
  </w:footnote>
  <w:footnote w:id="12">
    <w:p w:rsidRPr="002F5242" w:rsidR="00A17653" w:rsidRDefault="009304F0" w14:paraId="6B498A1D" w14:textId="1FB7C57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F5242" w:rsidR="00A17653">
        <w:t>Brenni</w:t>
      </w:r>
      <w:proofErr w:type="spellEnd"/>
      <w:r w:rsidRPr="002F5242" w:rsidR="00A17653">
        <w:t xml:space="preserve">, V. J. (1984). </w:t>
      </w:r>
      <w:r w:rsidRPr="002F5242" w:rsidR="00A17653">
        <w:rPr>
          <w:i/>
          <w:iCs/>
        </w:rPr>
        <w:t>The art and history of book printing</w:t>
      </w:r>
      <w:r w:rsidRPr="002F5242" w:rsidR="00A17653">
        <w:rPr>
          <w:rFonts w:ascii="Arial" w:hAnsi="Arial" w:cs="Arial"/>
          <w:i/>
          <w:iCs/>
        </w:rPr>
        <w:t> </w:t>
      </w:r>
      <w:r w:rsidRPr="002F5242" w:rsidR="00A17653">
        <w:rPr>
          <w:i/>
          <w:iCs/>
        </w:rPr>
        <w:t>: a topical bibliography</w:t>
      </w:r>
      <w:r w:rsidRPr="002F5242" w:rsidR="00A17653">
        <w:t>. Greenwood Press.</w:t>
      </w:r>
    </w:p>
  </w:footnote>
  <w:footnote w:id="13">
    <w:p w:rsidRPr="00F26D79" w:rsidR="00F26D79" w:rsidP="002F5242" w:rsidRDefault="00972AAA" w14:paraId="09BFC998" w14:textId="5A7B3F6E">
      <w:pPr>
        <w:rPr>
          <w:rFonts w:eastAsia="Times New Roman"/>
          <w:sz w:val="20"/>
          <w:szCs w:val="20"/>
        </w:rPr>
      </w:pPr>
      <w:r w:rsidRPr="002F5242">
        <w:rPr>
          <w:rStyle w:val="FootnoteReference"/>
          <w:sz w:val="20"/>
          <w:szCs w:val="20"/>
        </w:rPr>
        <w:footnoteRef/>
      </w:r>
      <w:r w:rsidRPr="002F5242">
        <w:rPr>
          <w:sz w:val="20"/>
          <w:szCs w:val="20"/>
        </w:rPr>
        <w:t xml:space="preserve"> </w:t>
      </w:r>
      <w:r w:rsidRPr="002F5242" w:rsidR="0079552F">
        <w:rPr>
          <w:rFonts w:eastAsia="Times New Roman"/>
          <w:sz w:val="20"/>
          <w:szCs w:val="20"/>
        </w:rPr>
        <w:t xml:space="preserve">Twyman, M. (1999). </w:t>
      </w:r>
      <w:r w:rsidRPr="002F5242" w:rsidR="0079552F">
        <w:rPr>
          <w:rFonts w:eastAsia="Times New Roman"/>
          <w:i/>
          <w:iCs/>
          <w:sz w:val="20"/>
          <w:szCs w:val="20"/>
        </w:rPr>
        <w:t>The British Library guide to printing</w:t>
      </w:r>
      <w:r w:rsidRPr="002F5242" w:rsidR="0079552F">
        <w:rPr>
          <w:rFonts w:ascii="Arial" w:hAnsi="Arial" w:eastAsia="Times New Roman" w:cs="Arial"/>
          <w:i/>
          <w:iCs/>
          <w:sz w:val="20"/>
          <w:szCs w:val="20"/>
        </w:rPr>
        <w:t> </w:t>
      </w:r>
      <w:r w:rsidRPr="002F5242" w:rsidR="0079552F">
        <w:rPr>
          <w:rFonts w:eastAsia="Times New Roman"/>
          <w:i/>
          <w:iCs/>
          <w:sz w:val="20"/>
          <w:szCs w:val="20"/>
        </w:rPr>
        <w:t>: history and techniques</w:t>
      </w:r>
      <w:r w:rsidRPr="002F5242" w:rsidR="0079552F">
        <w:rPr>
          <w:rFonts w:eastAsia="Times New Roman"/>
          <w:sz w:val="20"/>
          <w:szCs w:val="20"/>
        </w:rPr>
        <w:t>. University of Toronto</w:t>
      </w:r>
      <w:r w:rsidR="00F26D79">
        <w:rPr>
          <w:rFonts w:eastAsia="Times New Roman"/>
          <w:sz w:val="20"/>
          <w:szCs w:val="20"/>
        </w:rPr>
        <w:t xml:space="preserve"> Press</w:t>
      </w:r>
    </w:p>
  </w:footnote>
  <w:footnote w:id="14">
    <w:p w:rsidR="00047717" w:rsidRDefault="00047717" w14:paraId="64FA267A" w14:textId="75FABA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47717">
        <w:t>Dittmar, Jeremiah E. “</w:t>
      </w:r>
      <w:r w:rsidRPr="00047717">
        <w:rPr>
          <w:i/>
          <w:iCs/>
        </w:rPr>
        <w:t>INFORMATION TECHNOLOGY AND ECONOMIC CHANGE: THE IMPACT OF THE PRINTING PRESS</w:t>
      </w:r>
      <w:r w:rsidRPr="00047717">
        <w:t xml:space="preserve">.” The Quarterly Journal of Economics, vol. 126, no. 3, 2011, pp. 1133–72. JSTOR, http://www.jstor.org/stable/23015698. Accessed </w:t>
      </w:r>
      <w:r>
        <w:t>7</w:t>
      </w:r>
      <w:r w:rsidRPr="00047717">
        <w:t xml:space="preserve"> Feb. 2026.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20C6" w:rsidRDefault="00BF20C6" w14:paraId="4D90C41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20C6" w:rsidRDefault="00BF20C6" w14:paraId="63A7D628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20C6" w:rsidRDefault="00BF20C6" w14:paraId="0B84633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717"/>
    <w:rsid w:val="00001F2B"/>
    <w:rsid w:val="00006970"/>
    <w:rsid w:val="00006EF5"/>
    <w:rsid w:val="00010F2F"/>
    <w:rsid w:val="00026E23"/>
    <w:rsid w:val="00041F0D"/>
    <w:rsid w:val="00043121"/>
    <w:rsid w:val="000450A3"/>
    <w:rsid w:val="00047717"/>
    <w:rsid w:val="00050EC3"/>
    <w:rsid w:val="000572DC"/>
    <w:rsid w:val="00060B2E"/>
    <w:rsid w:val="0006676F"/>
    <w:rsid w:val="000704E7"/>
    <w:rsid w:val="00070CEA"/>
    <w:rsid w:val="000A1CC2"/>
    <w:rsid w:val="000B00D9"/>
    <w:rsid w:val="000B4682"/>
    <w:rsid w:val="000D253F"/>
    <w:rsid w:val="000D4F7F"/>
    <w:rsid w:val="00104AF6"/>
    <w:rsid w:val="0010668E"/>
    <w:rsid w:val="00136D32"/>
    <w:rsid w:val="00182E24"/>
    <w:rsid w:val="00184CD2"/>
    <w:rsid w:val="0019023D"/>
    <w:rsid w:val="001F2FD3"/>
    <w:rsid w:val="001F3DFF"/>
    <w:rsid w:val="0021284D"/>
    <w:rsid w:val="002147BE"/>
    <w:rsid w:val="0021567A"/>
    <w:rsid w:val="002475B3"/>
    <w:rsid w:val="002538F5"/>
    <w:rsid w:val="00260F3C"/>
    <w:rsid w:val="002651BC"/>
    <w:rsid w:val="00267FCB"/>
    <w:rsid w:val="00276461"/>
    <w:rsid w:val="00286732"/>
    <w:rsid w:val="002A1B0D"/>
    <w:rsid w:val="002A5355"/>
    <w:rsid w:val="002C4DF6"/>
    <w:rsid w:val="002D0558"/>
    <w:rsid w:val="002D0F0D"/>
    <w:rsid w:val="002D2A3C"/>
    <w:rsid w:val="002F0717"/>
    <w:rsid w:val="002F2590"/>
    <w:rsid w:val="002F5242"/>
    <w:rsid w:val="002F55DF"/>
    <w:rsid w:val="00312D43"/>
    <w:rsid w:val="00322E29"/>
    <w:rsid w:val="00327148"/>
    <w:rsid w:val="00337AD3"/>
    <w:rsid w:val="00361F90"/>
    <w:rsid w:val="003621AA"/>
    <w:rsid w:val="0036589C"/>
    <w:rsid w:val="003726BE"/>
    <w:rsid w:val="00380505"/>
    <w:rsid w:val="0039436E"/>
    <w:rsid w:val="003A0922"/>
    <w:rsid w:val="003A4015"/>
    <w:rsid w:val="003C0D01"/>
    <w:rsid w:val="003D23E7"/>
    <w:rsid w:val="003D3AA0"/>
    <w:rsid w:val="003D4A0A"/>
    <w:rsid w:val="003D4F7E"/>
    <w:rsid w:val="003D7C9A"/>
    <w:rsid w:val="003E6980"/>
    <w:rsid w:val="003E6AAB"/>
    <w:rsid w:val="003E79A9"/>
    <w:rsid w:val="00403214"/>
    <w:rsid w:val="00403DFE"/>
    <w:rsid w:val="00406047"/>
    <w:rsid w:val="0041390F"/>
    <w:rsid w:val="004237C9"/>
    <w:rsid w:val="00435F97"/>
    <w:rsid w:val="00482513"/>
    <w:rsid w:val="004863A6"/>
    <w:rsid w:val="00487344"/>
    <w:rsid w:val="004D1080"/>
    <w:rsid w:val="004D2974"/>
    <w:rsid w:val="004D36DF"/>
    <w:rsid w:val="00537FF2"/>
    <w:rsid w:val="005423A1"/>
    <w:rsid w:val="005539DF"/>
    <w:rsid w:val="00563137"/>
    <w:rsid w:val="005D2CF3"/>
    <w:rsid w:val="005D3F9C"/>
    <w:rsid w:val="005E1013"/>
    <w:rsid w:val="005E3B36"/>
    <w:rsid w:val="005F0083"/>
    <w:rsid w:val="006033B1"/>
    <w:rsid w:val="00607BAE"/>
    <w:rsid w:val="00610DDE"/>
    <w:rsid w:val="00613E1B"/>
    <w:rsid w:val="0062218E"/>
    <w:rsid w:val="00622C42"/>
    <w:rsid w:val="00636663"/>
    <w:rsid w:val="00642BE5"/>
    <w:rsid w:val="00645100"/>
    <w:rsid w:val="0067124F"/>
    <w:rsid w:val="00675D3A"/>
    <w:rsid w:val="00683E66"/>
    <w:rsid w:val="006872A0"/>
    <w:rsid w:val="0069159E"/>
    <w:rsid w:val="00695917"/>
    <w:rsid w:val="006B190B"/>
    <w:rsid w:val="006B6768"/>
    <w:rsid w:val="006B6B6D"/>
    <w:rsid w:val="006D0B91"/>
    <w:rsid w:val="006D50A6"/>
    <w:rsid w:val="006F3FEA"/>
    <w:rsid w:val="006F4AF6"/>
    <w:rsid w:val="00700794"/>
    <w:rsid w:val="007024F5"/>
    <w:rsid w:val="00715C1E"/>
    <w:rsid w:val="007204BF"/>
    <w:rsid w:val="007214AD"/>
    <w:rsid w:val="00733C78"/>
    <w:rsid w:val="00736DA4"/>
    <w:rsid w:val="00781C91"/>
    <w:rsid w:val="00787DE1"/>
    <w:rsid w:val="00791F83"/>
    <w:rsid w:val="00794698"/>
    <w:rsid w:val="0079552F"/>
    <w:rsid w:val="007A751C"/>
    <w:rsid w:val="007C6185"/>
    <w:rsid w:val="00811317"/>
    <w:rsid w:val="00812E2E"/>
    <w:rsid w:val="00825F4C"/>
    <w:rsid w:val="00874D05"/>
    <w:rsid w:val="008856D9"/>
    <w:rsid w:val="00886695"/>
    <w:rsid w:val="008E0893"/>
    <w:rsid w:val="008E43E8"/>
    <w:rsid w:val="008E4917"/>
    <w:rsid w:val="008F10F1"/>
    <w:rsid w:val="009304F0"/>
    <w:rsid w:val="00934606"/>
    <w:rsid w:val="00943798"/>
    <w:rsid w:val="00951D21"/>
    <w:rsid w:val="00953D76"/>
    <w:rsid w:val="009557EF"/>
    <w:rsid w:val="00972AAA"/>
    <w:rsid w:val="00977320"/>
    <w:rsid w:val="00994082"/>
    <w:rsid w:val="009981AB"/>
    <w:rsid w:val="009D2FAE"/>
    <w:rsid w:val="009E30D1"/>
    <w:rsid w:val="009E4FF6"/>
    <w:rsid w:val="009F2D48"/>
    <w:rsid w:val="00A002E1"/>
    <w:rsid w:val="00A17653"/>
    <w:rsid w:val="00A21524"/>
    <w:rsid w:val="00A27383"/>
    <w:rsid w:val="00A51373"/>
    <w:rsid w:val="00A54A07"/>
    <w:rsid w:val="00A56AD2"/>
    <w:rsid w:val="00A734A3"/>
    <w:rsid w:val="00A73C10"/>
    <w:rsid w:val="00A845CA"/>
    <w:rsid w:val="00A90E98"/>
    <w:rsid w:val="00AA312A"/>
    <w:rsid w:val="00AD6240"/>
    <w:rsid w:val="00AF2687"/>
    <w:rsid w:val="00B064B9"/>
    <w:rsid w:val="00B13C0D"/>
    <w:rsid w:val="00B13D41"/>
    <w:rsid w:val="00B15DF2"/>
    <w:rsid w:val="00B30756"/>
    <w:rsid w:val="00B336B0"/>
    <w:rsid w:val="00B533D9"/>
    <w:rsid w:val="00B54B49"/>
    <w:rsid w:val="00B6379E"/>
    <w:rsid w:val="00B71080"/>
    <w:rsid w:val="00B75F30"/>
    <w:rsid w:val="00B77D17"/>
    <w:rsid w:val="00B90092"/>
    <w:rsid w:val="00BA5BE2"/>
    <w:rsid w:val="00BB6F34"/>
    <w:rsid w:val="00BF2046"/>
    <w:rsid w:val="00BF20C6"/>
    <w:rsid w:val="00C136B7"/>
    <w:rsid w:val="00C41663"/>
    <w:rsid w:val="00C614AA"/>
    <w:rsid w:val="00C6264E"/>
    <w:rsid w:val="00C735C8"/>
    <w:rsid w:val="00C77AE1"/>
    <w:rsid w:val="00C965A7"/>
    <w:rsid w:val="00CC7F78"/>
    <w:rsid w:val="00CD32BB"/>
    <w:rsid w:val="00CF2811"/>
    <w:rsid w:val="00CF4C71"/>
    <w:rsid w:val="00CF7C48"/>
    <w:rsid w:val="00D00025"/>
    <w:rsid w:val="00D10BCE"/>
    <w:rsid w:val="00D11B65"/>
    <w:rsid w:val="00D11F4E"/>
    <w:rsid w:val="00D11FB2"/>
    <w:rsid w:val="00D121A1"/>
    <w:rsid w:val="00D275FF"/>
    <w:rsid w:val="00D27A3B"/>
    <w:rsid w:val="00D33A6F"/>
    <w:rsid w:val="00D57D9F"/>
    <w:rsid w:val="00D652B3"/>
    <w:rsid w:val="00D77EF7"/>
    <w:rsid w:val="00D866DE"/>
    <w:rsid w:val="00D92820"/>
    <w:rsid w:val="00D967B9"/>
    <w:rsid w:val="00DA58A2"/>
    <w:rsid w:val="00DB35A1"/>
    <w:rsid w:val="00DC067F"/>
    <w:rsid w:val="00DC502E"/>
    <w:rsid w:val="00DC6BED"/>
    <w:rsid w:val="00DD10FC"/>
    <w:rsid w:val="00DE04EF"/>
    <w:rsid w:val="00DE1014"/>
    <w:rsid w:val="00DF6A2D"/>
    <w:rsid w:val="00E0092F"/>
    <w:rsid w:val="00E067FD"/>
    <w:rsid w:val="00E51E84"/>
    <w:rsid w:val="00E5260C"/>
    <w:rsid w:val="00E76660"/>
    <w:rsid w:val="00E82570"/>
    <w:rsid w:val="00E94C38"/>
    <w:rsid w:val="00EA25F6"/>
    <w:rsid w:val="00EA4914"/>
    <w:rsid w:val="00EB2006"/>
    <w:rsid w:val="00EB63BD"/>
    <w:rsid w:val="00EC03CD"/>
    <w:rsid w:val="00ED6C0D"/>
    <w:rsid w:val="00EE4525"/>
    <w:rsid w:val="00F00D7F"/>
    <w:rsid w:val="00F07812"/>
    <w:rsid w:val="00F26D79"/>
    <w:rsid w:val="00F31D95"/>
    <w:rsid w:val="00F3799D"/>
    <w:rsid w:val="00F44F03"/>
    <w:rsid w:val="00F50410"/>
    <w:rsid w:val="00F8115C"/>
    <w:rsid w:val="00F864EB"/>
    <w:rsid w:val="00FD14B2"/>
    <w:rsid w:val="00FD165A"/>
    <w:rsid w:val="00FF349B"/>
    <w:rsid w:val="01C22488"/>
    <w:rsid w:val="022298CB"/>
    <w:rsid w:val="02B9130B"/>
    <w:rsid w:val="0C96320A"/>
    <w:rsid w:val="139C544F"/>
    <w:rsid w:val="1C2D3275"/>
    <w:rsid w:val="1D2B636F"/>
    <w:rsid w:val="1FB66C77"/>
    <w:rsid w:val="2B32C041"/>
    <w:rsid w:val="2D239FD6"/>
    <w:rsid w:val="30C2DB23"/>
    <w:rsid w:val="310C1652"/>
    <w:rsid w:val="31CA0594"/>
    <w:rsid w:val="322A2371"/>
    <w:rsid w:val="3627FF8D"/>
    <w:rsid w:val="36EEB9D8"/>
    <w:rsid w:val="3A554AAF"/>
    <w:rsid w:val="3C1F73A3"/>
    <w:rsid w:val="3EE61B29"/>
    <w:rsid w:val="3F5D947C"/>
    <w:rsid w:val="420B2B3B"/>
    <w:rsid w:val="42D7618C"/>
    <w:rsid w:val="48C293D0"/>
    <w:rsid w:val="50259904"/>
    <w:rsid w:val="50425841"/>
    <w:rsid w:val="58AAB0E8"/>
    <w:rsid w:val="5B30977C"/>
    <w:rsid w:val="60FA01CF"/>
    <w:rsid w:val="61EE4C6F"/>
    <w:rsid w:val="64B590D1"/>
    <w:rsid w:val="71DE1B7C"/>
    <w:rsid w:val="7510BAE4"/>
    <w:rsid w:val="788A9364"/>
    <w:rsid w:val="7EAAE270"/>
    <w:rsid w:val="7EFDE851"/>
    <w:rsid w:val="7FFF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1162F"/>
  <w15:chartTrackingRefBased/>
  <w15:docId w15:val="{92771CFA-1098-441F-8EE0-047F2009E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71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071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07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07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07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07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07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07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07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F071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F071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F071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F071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F071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F071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F071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F071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F07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071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F071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07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F07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071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F07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07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07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071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F07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0717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70CEA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070C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70CE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D624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6240"/>
  </w:style>
  <w:style w:type="paragraph" w:styleId="Footer">
    <w:name w:val="footer"/>
    <w:basedOn w:val="Normal"/>
    <w:link w:val="FooterChar"/>
    <w:uiPriority w:val="99"/>
    <w:unhideWhenUsed/>
    <w:rsid w:val="00AD624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6240"/>
  </w:style>
  <w:style w:type="character" w:styleId="Hyperlink">
    <w:name w:val="Hyperlink"/>
    <w:basedOn w:val="DefaultParagraphFont"/>
    <w:uiPriority w:val="99"/>
    <w:unhideWhenUsed/>
    <w:rsid w:val="00CF28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2811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781C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Relationship Type="http://schemas.openxmlformats.org/officeDocument/2006/relationships/hyperlink" Target="http://www.jstor.org/stable/23488496.%20Accessed%209%20Feb.%202026" TargetMode="External" Id="R16156a7fef6b4609" 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britannica.com/topic/publishing" TargetMode="External"/><Relationship Id="rId1" Type="http://schemas.openxmlformats.org/officeDocument/2006/relationships/hyperlink" Target="https://www.copyrighthistory.org/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db2afc591fd09aa6907c0d70a09bc2b4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b12d06c91831a0146968f4e6b1954d1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F3C5D-4B22-499E-9808-6863EA897F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94A59A-9C08-4B7D-BCE7-2404595BD3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36CCF0-BC89-4637-8AD9-8C5FFAEDF50A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4.xml><?xml version="1.0" encoding="utf-8"?>
<ds:datastoreItem xmlns:ds="http://schemas.openxmlformats.org/officeDocument/2006/customXml" ds:itemID="{B99436F1-CC92-46D6-AD89-F39B596D781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Megan Dabell (2400501)</dc:creator>
  <keywords/>
  <dc:description/>
  <lastModifiedBy>Ian Showell</lastModifiedBy>
  <revision>210</revision>
  <dcterms:created xsi:type="dcterms:W3CDTF">2026-02-01T18:43:00.0000000Z</dcterms:created>
  <dcterms:modified xsi:type="dcterms:W3CDTF">2026-02-12T14:21:04.6538253Z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