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67E885BC" w:rsidR="006739A9" w:rsidRDefault="006C35FD">
      <w:pPr>
        <w:spacing w:before="0" w:after="160" w:line="259" w:lineRule="auto"/>
        <w:ind w:firstLine="0"/>
      </w:pPr>
      <w:r>
        <w:rPr>
          <w:noProof/>
        </w:rPr>
        <w:drawing>
          <wp:inline distT="0" distB="0" distL="0" distR="0" wp14:anchorId="0680EE60" wp14:editId="05CB6B85">
            <wp:extent cx="5175885" cy="1036320"/>
            <wp:effectExtent l="0" t="0" r="5715" b="0"/>
            <wp:docPr id="1972320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175885" cy="1036320"/>
                    </a:xfrm>
                    <a:prstGeom prst="rect">
                      <a:avLst/>
                    </a:prstGeom>
                    <a:noFill/>
                  </pic:spPr>
                </pic:pic>
              </a:graphicData>
            </a:graphic>
          </wp:inline>
        </w:drawing>
      </w:r>
      <w:r w:rsidR="00B66394">
        <w:t xml:space="preserve">                                     </w:t>
      </w:r>
    </w:p>
    <w:p w14:paraId="00000002" w14:textId="2F154748" w:rsidR="006739A9" w:rsidRDefault="006C35FD">
      <w:pPr>
        <w:spacing w:before="0" w:after="160" w:line="259" w:lineRule="auto"/>
        <w:ind w:firstLine="0"/>
      </w:pPr>
      <w:proofErr w:type="spellStart"/>
      <w:r w:rsidRPr="006C35FD">
        <w:t>Nilupa</w:t>
      </w:r>
      <w:proofErr w:type="spellEnd"/>
      <w:r w:rsidRPr="006C35FD">
        <w:t xml:space="preserve"> Begum - 2114298                          </w:t>
      </w:r>
    </w:p>
    <w:p w14:paraId="00000003" w14:textId="77777777" w:rsidR="006739A9" w:rsidRDefault="006739A9">
      <w:pPr>
        <w:spacing w:before="0" w:after="160" w:line="259" w:lineRule="auto"/>
        <w:ind w:firstLine="0"/>
      </w:pPr>
    </w:p>
    <w:p w14:paraId="00000004" w14:textId="77777777" w:rsidR="006739A9" w:rsidRDefault="006739A9">
      <w:pPr>
        <w:spacing w:before="0" w:after="160" w:line="259" w:lineRule="auto"/>
        <w:ind w:firstLine="0"/>
      </w:pPr>
    </w:p>
    <w:p w14:paraId="00000005" w14:textId="77777777" w:rsidR="006739A9" w:rsidRDefault="006739A9">
      <w:pPr>
        <w:spacing w:before="0" w:after="160" w:line="259" w:lineRule="auto"/>
        <w:ind w:firstLine="0"/>
      </w:pPr>
    </w:p>
    <w:p w14:paraId="00000006" w14:textId="77777777" w:rsidR="006739A9" w:rsidRDefault="006739A9">
      <w:pPr>
        <w:spacing w:before="0" w:after="160" w:line="259" w:lineRule="auto"/>
        <w:ind w:firstLine="0"/>
      </w:pPr>
    </w:p>
    <w:p w14:paraId="00000007" w14:textId="77777777" w:rsidR="006739A9" w:rsidRDefault="006739A9">
      <w:pPr>
        <w:spacing w:before="0" w:after="160" w:line="259" w:lineRule="auto"/>
        <w:ind w:firstLine="0"/>
      </w:pPr>
    </w:p>
    <w:p w14:paraId="00000008" w14:textId="77777777" w:rsidR="006739A9" w:rsidRDefault="006739A9">
      <w:pPr>
        <w:spacing w:before="0" w:after="160" w:line="259" w:lineRule="auto"/>
        <w:ind w:firstLine="0"/>
        <w:rPr>
          <w:sz w:val="32"/>
          <w:szCs w:val="32"/>
        </w:rPr>
      </w:pPr>
    </w:p>
    <w:p w14:paraId="00000009" w14:textId="77777777" w:rsidR="006739A9" w:rsidRDefault="00B66394">
      <w:pPr>
        <w:spacing w:before="0" w:after="160" w:line="259" w:lineRule="auto"/>
        <w:ind w:firstLine="0"/>
        <w:jc w:val="center"/>
        <w:rPr>
          <w:sz w:val="32"/>
          <w:szCs w:val="32"/>
        </w:rPr>
      </w:pPr>
      <w:r>
        <w:rPr>
          <w:sz w:val="32"/>
          <w:szCs w:val="32"/>
        </w:rPr>
        <w:t xml:space="preserve">Criminology and Policing               </w:t>
      </w:r>
    </w:p>
    <w:p w14:paraId="0000000A" w14:textId="77777777" w:rsidR="006739A9" w:rsidRDefault="00B66394">
      <w:pPr>
        <w:spacing w:before="0" w:after="160" w:line="259" w:lineRule="auto"/>
        <w:ind w:firstLine="0"/>
        <w:jc w:val="center"/>
        <w:rPr>
          <w:sz w:val="32"/>
          <w:szCs w:val="32"/>
        </w:rPr>
      </w:pPr>
      <w:r>
        <w:rPr>
          <w:sz w:val="32"/>
          <w:szCs w:val="32"/>
        </w:rPr>
        <w:t xml:space="preserve">Gender, Race, Religion and Crime </w:t>
      </w:r>
    </w:p>
    <w:p w14:paraId="0000000B" w14:textId="77777777" w:rsidR="006739A9" w:rsidRDefault="00B66394">
      <w:pPr>
        <w:spacing w:before="0" w:after="160" w:line="259" w:lineRule="auto"/>
        <w:ind w:firstLine="0"/>
        <w:jc w:val="center"/>
        <w:rPr>
          <w:sz w:val="32"/>
          <w:szCs w:val="32"/>
        </w:rPr>
      </w:pPr>
      <w:r>
        <w:rPr>
          <w:sz w:val="32"/>
          <w:szCs w:val="32"/>
        </w:rPr>
        <w:t xml:space="preserve">BMCP6001    </w:t>
      </w:r>
    </w:p>
    <w:p w14:paraId="0000000C" w14:textId="7FB64887" w:rsidR="006739A9" w:rsidRDefault="00B66394">
      <w:pPr>
        <w:spacing w:before="0" w:after="160" w:line="259" w:lineRule="auto"/>
        <w:ind w:firstLine="0"/>
        <w:jc w:val="center"/>
        <w:rPr>
          <w:sz w:val="32"/>
          <w:szCs w:val="32"/>
        </w:rPr>
      </w:pPr>
      <w:r>
        <w:rPr>
          <w:sz w:val="28"/>
          <w:szCs w:val="28"/>
        </w:rPr>
        <w:t xml:space="preserve">Critically Analyse </w:t>
      </w:r>
      <w:proofErr w:type="gramStart"/>
      <w:r>
        <w:rPr>
          <w:sz w:val="28"/>
          <w:szCs w:val="28"/>
        </w:rPr>
        <w:t>The</w:t>
      </w:r>
      <w:proofErr w:type="gramEnd"/>
      <w:r>
        <w:rPr>
          <w:sz w:val="28"/>
          <w:szCs w:val="28"/>
        </w:rPr>
        <w:t xml:space="preserve"> Effect Of UK Immigration And Criminal Behaviours.</w:t>
      </w:r>
      <w:r>
        <w:t xml:space="preserve"> </w:t>
      </w:r>
      <w:r>
        <w:br w:type="page"/>
      </w:r>
    </w:p>
    <w:p w14:paraId="0000000D" w14:textId="3AF5EEB4" w:rsidR="006739A9" w:rsidRPr="00F62751" w:rsidRDefault="00B66394" w:rsidP="00CB4163">
      <w:pPr>
        <w:rPr>
          <w:rFonts w:asciiTheme="majorHAnsi" w:hAnsiTheme="majorHAnsi" w:cstheme="majorHAnsi"/>
        </w:rPr>
      </w:pPr>
      <w:r w:rsidRPr="00F62751">
        <w:rPr>
          <w:rFonts w:asciiTheme="majorHAnsi" w:hAnsiTheme="majorHAnsi" w:cstheme="majorHAnsi"/>
        </w:rPr>
        <w:lastRenderedPageBreak/>
        <w:t xml:space="preserve">It is necessary to recognise that, in some areas, there may be a significant reciprocal relationship between crime rates and inequality indices. This is a result of the fact that complex social processes have the potential to spread the frequency of a certain occurrence (Parmar, 2020). The inquiry will concentrate on London and how the degree of social and cultural inequality in the city affects people’s perceptions and experiences of crime (Joyce and Laverick, 2022). The results are indicative of the fact that young and minority groups are disproportionately affected by social and cultural inequalities. In the areas of housing, labour, and education, inequality is particularly evident in the ways it functions; it deprives marginalised communities of opportunities, social networks, and financial assistance. This assessment will focus on crime and perception in London, </w:t>
      </w:r>
      <w:proofErr w:type="gramStart"/>
      <w:r w:rsidRPr="00F62751">
        <w:rPr>
          <w:rFonts w:asciiTheme="majorHAnsi" w:hAnsiTheme="majorHAnsi" w:cstheme="majorHAnsi"/>
        </w:rPr>
        <w:t>facts</w:t>
      </w:r>
      <w:proofErr w:type="gramEnd"/>
      <w:r w:rsidRPr="00F62751">
        <w:rPr>
          <w:rFonts w:asciiTheme="majorHAnsi" w:hAnsiTheme="majorHAnsi" w:cstheme="majorHAnsi"/>
        </w:rPr>
        <w:t xml:space="preserve"> and statistics on crime in England and Wales, inequality and crime and lastly an investigation of crimes in England and </w:t>
      </w:r>
      <w:r w:rsidR="00836516" w:rsidRPr="00F62751">
        <w:rPr>
          <w:rFonts w:asciiTheme="majorHAnsi" w:hAnsiTheme="majorHAnsi" w:cstheme="majorHAnsi"/>
        </w:rPr>
        <w:t>Wales</w:t>
      </w:r>
      <w:r w:rsidRPr="00F62751">
        <w:rPr>
          <w:rFonts w:asciiTheme="majorHAnsi" w:hAnsiTheme="majorHAnsi" w:cstheme="majorHAnsi"/>
        </w:rPr>
        <w:t xml:space="preserve"> by Bell et al. (2013).</w:t>
      </w:r>
    </w:p>
    <w:p w14:paraId="337E1E24" w14:textId="63BF964D" w:rsidR="00AE11F1" w:rsidRDefault="00B66394" w:rsidP="005E51EA">
      <w:pPr>
        <w:rPr>
          <w:rFonts w:asciiTheme="majorHAnsi" w:hAnsiTheme="majorHAnsi" w:cstheme="majorHAnsi"/>
          <w:color w:val="000000"/>
        </w:rPr>
      </w:pPr>
      <w:r w:rsidRPr="00CB4163">
        <w:rPr>
          <w:rFonts w:asciiTheme="majorHAnsi" w:hAnsiTheme="majorHAnsi" w:cstheme="majorHAnsi"/>
        </w:rPr>
        <w:t>London, one of the busiest and most populated capital cities in the United Kingdom, has high crime rates (</w:t>
      </w:r>
      <w:proofErr w:type="spellStart"/>
      <w:r w:rsidRPr="00CB4163">
        <w:rPr>
          <w:rFonts w:asciiTheme="majorHAnsi" w:hAnsiTheme="majorHAnsi" w:cstheme="majorHAnsi"/>
        </w:rPr>
        <w:t>Chouhy</w:t>
      </w:r>
      <w:proofErr w:type="spellEnd"/>
      <w:r w:rsidRPr="00CB4163">
        <w:rPr>
          <w:rFonts w:asciiTheme="majorHAnsi" w:hAnsiTheme="majorHAnsi" w:cstheme="majorHAnsi"/>
        </w:rPr>
        <w:t xml:space="preserve"> and Madero-Hernandez, 2020). It is crucial to look at the data itself before talking about the relationships between current crime numbers and social and cultural inequalities, crime perceptions, and the experiences of locals with crime (Day and Gill, 2020). According to official statistics from the Metropolitan Police (2021a), motor vehicle offences, theft, and crimes against people have been the most common types of criminal activity during the last two years. During that time, there were 180.87 crimes committed per 1000 people.</w:t>
      </w:r>
    </w:p>
    <w:p w14:paraId="423793F4" w14:textId="77777777" w:rsidR="005E51EA" w:rsidRPr="005E51EA" w:rsidRDefault="005E51EA" w:rsidP="005E51EA">
      <w:pPr>
        <w:rPr>
          <w:rFonts w:asciiTheme="majorHAnsi" w:hAnsiTheme="majorHAnsi" w:cstheme="majorHAnsi"/>
          <w:color w:val="000000"/>
        </w:rPr>
      </w:pPr>
    </w:p>
    <w:p w14:paraId="1B2F5564" w14:textId="0DC0AB73" w:rsidR="003E3E48" w:rsidRPr="00CB4163" w:rsidRDefault="00B91ECF" w:rsidP="00CB4163">
      <w:pPr>
        <w:rPr>
          <w:rFonts w:asciiTheme="majorHAnsi" w:hAnsiTheme="majorHAnsi" w:cstheme="majorHAnsi"/>
          <w:color w:val="000000" w:themeColor="text1"/>
        </w:rPr>
      </w:pPr>
      <w:r w:rsidRPr="00CB4163">
        <w:rPr>
          <w:rFonts w:asciiTheme="majorHAnsi" w:hAnsiTheme="majorHAnsi" w:cstheme="majorHAnsi"/>
          <w:color w:val="000000" w:themeColor="text1"/>
        </w:rPr>
        <w:t xml:space="preserve">The connection between immigration and crime rates in the UK especially within London is intricate one. It seems that property crimes such as burglary and theft are more common than violent ones, among the reported criminalities. The differences in the crime rates during 2019, This is important to note as these changes might have contributed towards the reported reduction of crime rates during this time. Though available statistics do not point to a </w:t>
      </w:r>
      <w:r w:rsidR="006F1151" w:rsidRPr="00CB4163">
        <w:rPr>
          <w:rFonts w:asciiTheme="majorHAnsi" w:hAnsiTheme="majorHAnsi" w:cstheme="majorHAnsi"/>
          <w:color w:val="000000" w:themeColor="text1"/>
        </w:rPr>
        <w:t>clear-cut</w:t>
      </w:r>
      <w:r w:rsidRPr="00CB4163">
        <w:rPr>
          <w:rFonts w:asciiTheme="majorHAnsi" w:hAnsiTheme="majorHAnsi" w:cstheme="majorHAnsi"/>
          <w:color w:val="000000" w:themeColor="text1"/>
        </w:rPr>
        <w:t xml:space="preserve"> rise or decrease of crime in relation with the immigration trends, it is important that we take into consideration other larger </w:t>
      </w:r>
      <w:r w:rsidR="00BE0DD1" w:rsidRPr="00CB4163">
        <w:rPr>
          <w:rFonts w:asciiTheme="majorHAnsi" w:hAnsiTheme="majorHAnsi" w:cstheme="majorHAnsi"/>
          <w:color w:val="000000" w:themeColor="text1"/>
        </w:rPr>
        <w:t>socio-economic</w:t>
      </w:r>
      <w:r w:rsidRPr="00CB4163">
        <w:rPr>
          <w:rFonts w:asciiTheme="majorHAnsi" w:hAnsiTheme="majorHAnsi" w:cstheme="majorHAnsi"/>
          <w:color w:val="000000" w:themeColor="text1"/>
        </w:rPr>
        <w:t xml:space="preserve"> factors and also potential biases toward reporting methodologies which could change these figures. To better understand how </w:t>
      </w:r>
      <w:r w:rsidRPr="00CB4163">
        <w:rPr>
          <w:rFonts w:asciiTheme="majorHAnsi" w:hAnsiTheme="majorHAnsi" w:cstheme="majorHAnsi"/>
          <w:color w:val="000000" w:themeColor="text1"/>
        </w:rPr>
        <w:lastRenderedPageBreak/>
        <w:t xml:space="preserve">immigrants relate to criminal </w:t>
      </w:r>
      <w:r w:rsidR="006F1151" w:rsidRPr="00CB4163">
        <w:rPr>
          <w:rFonts w:asciiTheme="majorHAnsi" w:hAnsiTheme="majorHAnsi" w:cstheme="majorHAnsi"/>
          <w:color w:val="000000" w:themeColor="text1"/>
        </w:rPr>
        <w:t>behaviours</w:t>
      </w:r>
      <w:r w:rsidRPr="00CB4163">
        <w:rPr>
          <w:rFonts w:asciiTheme="majorHAnsi" w:hAnsiTheme="majorHAnsi" w:cstheme="majorHAnsi"/>
          <w:color w:val="000000" w:themeColor="text1"/>
        </w:rPr>
        <w:t>, it is necessary to look more closely at the specific kinds of situations and variables that create crime rates over time.</w:t>
      </w:r>
    </w:p>
    <w:p w14:paraId="17252438" w14:textId="12FA0B1F" w:rsidR="005E51EA" w:rsidRDefault="005E51EA" w:rsidP="005E51EA">
      <w:pPr>
        <w:rPr>
          <w:rFonts w:asciiTheme="majorHAnsi" w:hAnsiTheme="majorHAnsi" w:cstheme="majorHAnsi"/>
          <w:color w:val="000000" w:themeColor="text1"/>
        </w:rPr>
      </w:pPr>
      <w:r>
        <w:rPr>
          <w:rFonts w:asciiTheme="majorHAnsi" w:hAnsiTheme="majorHAnsi" w:cstheme="majorHAnsi"/>
          <w:highlight w:val="lightGray"/>
        </w:rPr>
        <w:t>P</w:t>
      </w:r>
      <w:r w:rsidR="00B66394" w:rsidRPr="00820674">
        <w:rPr>
          <w:rFonts w:asciiTheme="majorHAnsi" w:hAnsiTheme="majorHAnsi" w:cstheme="majorHAnsi"/>
          <w:highlight w:val="lightGray"/>
        </w:rPr>
        <w:t xml:space="preserve">eople’s perception and </w:t>
      </w:r>
      <w:r w:rsidR="00F62751">
        <w:rPr>
          <w:rFonts w:asciiTheme="majorHAnsi" w:hAnsiTheme="majorHAnsi" w:cstheme="majorHAnsi"/>
          <w:highlight w:val="lightGray"/>
        </w:rPr>
        <w:t>experiences</w:t>
      </w:r>
      <w:r w:rsidR="00B66394" w:rsidRPr="00820674">
        <w:rPr>
          <w:rFonts w:asciiTheme="majorHAnsi" w:hAnsiTheme="majorHAnsi" w:cstheme="majorHAnsi"/>
          <w:highlight w:val="lightGray"/>
        </w:rPr>
        <w:t xml:space="preserve"> of crime are closely linked to socio-cultural inequalities in the city (Bowling and Westenra, 2020). Expert </w:t>
      </w:r>
      <w:r w:rsidR="00F62751">
        <w:rPr>
          <w:rFonts w:asciiTheme="majorHAnsi" w:hAnsiTheme="majorHAnsi" w:cstheme="majorHAnsi"/>
          <w:highlight w:val="lightGray"/>
        </w:rPr>
        <w:t>studies</w:t>
      </w:r>
      <w:r w:rsidR="00B66394" w:rsidRPr="00820674">
        <w:rPr>
          <w:rFonts w:asciiTheme="majorHAnsi" w:hAnsiTheme="majorHAnsi" w:cstheme="majorHAnsi"/>
          <w:highlight w:val="lightGray"/>
        </w:rPr>
        <w:t xml:space="preserve"> and observations show that there is no positive correlation between cities and crime, despite the fact that some may say differently. The Assistant Commissioner of the Metropolitan Police Department, Patricia Gallan, says that while the symptoms and effects of crime are being addressed, society as a whole has to think about possible ways to address the root causes of crime. “I do not believe that newborns are born with evil intentions. in opposition to my belief” (Dodd, 2018, para. 3). As a result, differences in social and cultural experiences and views, as well as the corresponding inequalities, are clearly correlated with the region’s crime rates</w:t>
      </w:r>
      <w:r w:rsidR="00B91ECF" w:rsidRPr="00820674">
        <w:rPr>
          <w:rFonts w:asciiTheme="majorHAnsi" w:hAnsiTheme="majorHAnsi" w:cstheme="majorHAnsi"/>
          <w:color w:val="000000" w:themeColor="text1"/>
          <w:highlight w:val="lightGray"/>
        </w:rPr>
        <w:t xml:space="preserve">. The perception and feeling of crime </w:t>
      </w:r>
      <w:proofErr w:type="gramStart"/>
      <w:r w:rsidR="00B91ECF" w:rsidRPr="00820674">
        <w:rPr>
          <w:rFonts w:asciiTheme="majorHAnsi" w:hAnsiTheme="majorHAnsi" w:cstheme="majorHAnsi"/>
          <w:color w:val="000000" w:themeColor="text1"/>
          <w:highlight w:val="lightGray"/>
        </w:rPr>
        <w:t>is</w:t>
      </w:r>
      <w:proofErr w:type="gramEnd"/>
      <w:r w:rsidR="00B91ECF" w:rsidRPr="00820674">
        <w:rPr>
          <w:rFonts w:asciiTheme="majorHAnsi" w:hAnsiTheme="majorHAnsi" w:cstheme="majorHAnsi"/>
          <w:color w:val="000000" w:themeColor="text1"/>
          <w:highlight w:val="lightGray"/>
        </w:rPr>
        <w:t xml:space="preserve"> influenced by the activity rates that note those inequalities</w:t>
      </w:r>
      <w:r>
        <w:rPr>
          <w:rFonts w:asciiTheme="majorHAnsi" w:hAnsiTheme="majorHAnsi" w:cstheme="majorHAnsi"/>
          <w:color w:val="000000" w:themeColor="text1"/>
        </w:rPr>
        <w:t>.</w:t>
      </w:r>
    </w:p>
    <w:p w14:paraId="00000013" w14:textId="77777777" w:rsidR="006739A9" w:rsidRPr="00CB4163" w:rsidRDefault="00B66394" w:rsidP="00CB4163">
      <w:pPr>
        <w:rPr>
          <w:rFonts w:asciiTheme="majorHAnsi" w:hAnsiTheme="majorHAnsi" w:cstheme="majorHAnsi"/>
        </w:rPr>
      </w:pPr>
      <w:r w:rsidRPr="00CB4163">
        <w:rPr>
          <w:rFonts w:asciiTheme="majorHAnsi" w:hAnsiTheme="majorHAnsi" w:cstheme="majorHAnsi"/>
        </w:rPr>
        <w:t>In England and Wales, the official measure of crime victimisation is the British Crime Survey (BCS). This information differs from recorded crime statistics since a large number of crimes go unreported to the police (Stansfield and Stone, 2018). People’s choice not to report crimes may be influenced by a number of circumstances, including fear of prosecution, a lack of legal standing, or the perception that the crime is not serious enough (Freedman et al., 2018). Despite the fact that only 1.2 million property crimes in England and Wales were officially reported to the police, the BCS asserts that 2.89 million property crimes took place in 2009 (Marie 2010). However, the long-term trajectories of the two indicators exhibit a remarkable resemblance.</w:t>
      </w:r>
    </w:p>
    <w:p w14:paraId="397119F9" w14:textId="00A854DE" w:rsidR="00DE21CE" w:rsidRPr="00CB4163" w:rsidRDefault="00B66394" w:rsidP="00CB4163">
      <w:pPr>
        <w:rPr>
          <w:rFonts w:asciiTheme="majorHAnsi" w:hAnsiTheme="majorHAnsi" w:cstheme="majorHAnsi"/>
        </w:rPr>
      </w:pPr>
      <w:r w:rsidRPr="00CB4163">
        <w:rPr>
          <w:rFonts w:asciiTheme="majorHAnsi" w:hAnsiTheme="majorHAnsi" w:cstheme="majorHAnsi"/>
        </w:rPr>
        <w:t>BCS survey includes a nationality variable makes it possible to conduct research of crime victimisation rates depending on nationality (Griffiths and Yeo, 2021</w:t>
      </w:r>
      <w:r w:rsidR="0016401A">
        <w:rPr>
          <w:rFonts w:asciiTheme="majorHAnsi" w:hAnsiTheme="majorHAnsi" w:cstheme="majorHAnsi"/>
        </w:rPr>
        <w:t>. F</w:t>
      </w:r>
      <w:r w:rsidRPr="00CB4163">
        <w:rPr>
          <w:rFonts w:asciiTheme="majorHAnsi" w:hAnsiTheme="majorHAnsi" w:cstheme="majorHAnsi"/>
        </w:rPr>
        <w:t>oreign nationals had a considerably lower probability of reporting being victims of crime than native British citizens (Bell et al., 2013). Differential victimisation rates or reporting patterns for crimes might account for this discrepancy</w:t>
      </w:r>
      <w:r w:rsidR="002C4A21" w:rsidRPr="00CB4163">
        <w:rPr>
          <w:rFonts w:asciiTheme="majorHAnsi" w:hAnsiTheme="majorHAnsi" w:cstheme="majorHAnsi"/>
        </w:rPr>
        <w:t>.</w:t>
      </w:r>
      <w:r w:rsidRPr="00CB4163">
        <w:rPr>
          <w:rFonts w:asciiTheme="majorHAnsi" w:hAnsiTheme="majorHAnsi" w:cstheme="majorHAnsi"/>
        </w:rPr>
        <w:t xml:space="preserve"> The experience and perception of crime may be significantly influenced and stimulated by crime activity rates, which serve as markers of inequality. High violent crime in London, one of the most unequal cities in the industrialised world, is closely connected with inequality, notably racial inequalities (Press Office, 2018). </w:t>
      </w:r>
      <w:r w:rsidR="00DE21CE" w:rsidRPr="00CB4163">
        <w:rPr>
          <w:rFonts w:asciiTheme="majorHAnsi" w:hAnsiTheme="majorHAnsi" w:cstheme="majorHAnsi"/>
        </w:rPr>
        <w:t xml:space="preserve">The relationship between crime rates, </w:t>
      </w:r>
      <w:r w:rsidR="00DE21CE" w:rsidRPr="00CB4163">
        <w:rPr>
          <w:rFonts w:asciiTheme="majorHAnsi" w:hAnsiTheme="majorHAnsi" w:cstheme="majorHAnsi"/>
        </w:rPr>
        <w:lastRenderedPageBreak/>
        <w:t xml:space="preserve">inequality and immigration becomes evident when looking at the location of criminal activity in London’s poorest boroughs along with its detrimental effects on various population segments. The perception and feeling of crime </w:t>
      </w:r>
      <w:proofErr w:type="gramStart"/>
      <w:r w:rsidR="00DE21CE" w:rsidRPr="00CB4163">
        <w:rPr>
          <w:rFonts w:asciiTheme="majorHAnsi" w:hAnsiTheme="majorHAnsi" w:cstheme="majorHAnsi"/>
        </w:rPr>
        <w:t>is</w:t>
      </w:r>
      <w:proofErr w:type="gramEnd"/>
      <w:r w:rsidR="00DE21CE" w:rsidRPr="00CB4163">
        <w:rPr>
          <w:rFonts w:asciiTheme="majorHAnsi" w:hAnsiTheme="majorHAnsi" w:cstheme="majorHAnsi"/>
        </w:rPr>
        <w:t xml:space="preserve"> influenced by the activity rates that note those inequalities. 2018, map showing increase of knife crimes especially near boroughs where destitution is high shows how crime and socio-economic inequalities meet.</w:t>
      </w:r>
    </w:p>
    <w:p w14:paraId="403ADDB5" w14:textId="58D87AA7" w:rsidR="00093084" w:rsidRDefault="00093084" w:rsidP="00093084">
      <w:pPr>
        <w:rPr>
          <w:rFonts w:asciiTheme="majorHAnsi" w:hAnsiTheme="majorHAnsi" w:cstheme="majorHAnsi"/>
        </w:rPr>
      </w:pPr>
      <w:r w:rsidRPr="00093084">
        <w:rPr>
          <w:rFonts w:asciiTheme="majorHAnsi" w:hAnsiTheme="majorHAnsi" w:cstheme="majorHAnsi"/>
        </w:rPr>
        <w:t>Criminalising immigrants is a simplification because it fails to consider the socio-economic factors that are underlying causes of criminal behaviours.</w:t>
      </w:r>
      <w:r>
        <w:rPr>
          <w:rFonts w:asciiTheme="majorHAnsi" w:hAnsiTheme="majorHAnsi" w:cstheme="majorHAnsi"/>
        </w:rPr>
        <w:t xml:space="preserve"> </w:t>
      </w:r>
      <w:r w:rsidRPr="00093084">
        <w:rPr>
          <w:rFonts w:asciiTheme="majorHAnsi" w:hAnsiTheme="majorHAnsi" w:cstheme="majorHAnsi"/>
        </w:rPr>
        <w:t xml:space="preserve">Immigrants are often living in poverty areas hence may experience hardships due to limited access of resources, </w:t>
      </w:r>
      <w:proofErr w:type="gramStart"/>
      <w:r w:rsidRPr="00093084">
        <w:rPr>
          <w:rFonts w:asciiTheme="majorHAnsi" w:hAnsiTheme="majorHAnsi" w:cstheme="majorHAnsi"/>
        </w:rPr>
        <w:t>education</w:t>
      </w:r>
      <w:proofErr w:type="gramEnd"/>
      <w:r w:rsidRPr="00093084">
        <w:rPr>
          <w:rFonts w:asciiTheme="majorHAnsi" w:hAnsiTheme="majorHAnsi" w:cstheme="majorHAnsi"/>
        </w:rPr>
        <w:t xml:space="preserve"> and employment opportunities.</w:t>
      </w:r>
      <w:r>
        <w:rPr>
          <w:rFonts w:asciiTheme="majorHAnsi" w:hAnsiTheme="majorHAnsi" w:cstheme="majorHAnsi"/>
        </w:rPr>
        <w:t xml:space="preserve"> </w:t>
      </w:r>
      <w:r w:rsidRPr="00093084">
        <w:rPr>
          <w:rFonts w:asciiTheme="majorHAnsi" w:hAnsiTheme="majorHAnsi" w:cstheme="majorHAnsi"/>
        </w:rPr>
        <w:t>It is necessary to avoid blaming immigrants and develop the understanding of a more intricate relationship between immigration, inequality and crime which will be useful for implementing effective policies as well social interventions.</w:t>
      </w:r>
    </w:p>
    <w:p w14:paraId="00000016" w14:textId="77E5A6BF" w:rsidR="006739A9" w:rsidRPr="00CB4163" w:rsidRDefault="00B66394" w:rsidP="00CB4163">
      <w:pPr>
        <w:rPr>
          <w:rFonts w:asciiTheme="majorHAnsi" w:hAnsiTheme="majorHAnsi" w:cstheme="majorHAnsi"/>
        </w:rPr>
      </w:pPr>
      <w:r w:rsidRPr="00CB4163">
        <w:rPr>
          <w:rFonts w:asciiTheme="majorHAnsi" w:hAnsiTheme="majorHAnsi" w:cstheme="majorHAnsi"/>
        </w:rPr>
        <w:t xml:space="preserve">It is important to keep in mind that inequality promotes crime. According to what is stated, "this finding holds up in many different contexts when looked at using different methodologies and after controlling for other determinants of crime, such as low income, unemployment, and teen birth rates," unequal societies had higher crime rates (Ousey and </w:t>
      </w:r>
      <w:proofErr w:type="spellStart"/>
      <w:r w:rsidRPr="00CB4163">
        <w:rPr>
          <w:rFonts w:asciiTheme="majorHAnsi" w:hAnsiTheme="majorHAnsi" w:cstheme="majorHAnsi"/>
        </w:rPr>
        <w:t>Kubrin</w:t>
      </w:r>
      <w:proofErr w:type="spellEnd"/>
      <w:r w:rsidRPr="00CB4163">
        <w:rPr>
          <w:rFonts w:asciiTheme="majorHAnsi" w:hAnsiTheme="majorHAnsi" w:cstheme="majorHAnsi"/>
        </w:rPr>
        <w:t xml:space="preserve">, 2018). Theoretically, </w:t>
      </w:r>
      <w:proofErr w:type="gramStart"/>
      <w:r w:rsidRPr="00CB4163">
        <w:rPr>
          <w:rFonts w:asciiTheme="majorHAnsi" w:hAnsiTheme="majorHAnsi" w:cstheme="majorHAnsi"/>
        </w:rPr>
        <w:t>social</w:t>
      </w:r>
      <w:proofErr w:type="gramEnd"/>
      <w:r w:rsidRPr="00CB4163">
        <w:rPr>
          <w:rFonts w:asciiTheme="majorHAnsi" w:hAnsiTheme="majorHAnsi" w:cstheme="majorHAnsi"/>
        </w:rPr>
        <w:t xml:space="preserve"> and cultural inequality have an influence on crime perception and city development for a number of reasons, including the likelihood that unequal societies lack the social skills required to avoid violence and build safe communities. If someone has already experienced emotions of inadequacy, they may be less likely to act in a way that is socially acceptable.</w:t>
      </w:r>
    </w:p>
    <w:p w14:paraId="00000017" w14:textId="77777777" w:rsidR="006739A9" w:rsidRPr="00CB4163" w:rsidRDefault="00B66394" w:rsidP="00CB4163">
      <w:pPr>
        <w:rPr>
          <w:rFonts w:asciiTheme="majorHAnsi" w:hAnsiTheme="majorHAnsi" w:cstheme="majorHAnsi"/>
        </w:rPr>
      </w:pPr>
      <w:r w:rsidRPr="00CB4163">
        <w:rPr>
          <w:rFonts w:asciiTheme="majorHAnsi" w:hAnsiTheme="majorHAnsi" w:cstheme="majorHAnsi"/>
        </w:rPr>
        <w:t>According to The Equality Trust (2019, paragraph 8), this has resulted in higher crime rates and more violent conduct. As a result, the causes of inequality disproportionately affect youth and minority groups, especially when it comes to housing, jobs, and education. This means that these groups are more vulnerable to negative consequences, such lower income, higher costs, and less opportunities, as a result of a lack of qualifications.</w:t>
      </w:r>
    </w:p>
    <w:p w14:paraId="00000019" w14:textId="3C43B9C0" w:rsidR="006739A9" w:rsidRPr="00CB4163" w:rsidRDefault="00B66394" w:rsidP="00CB4163">
      <w:pPr>
        <w:rPr>
          <w:rFonts w:asciiTheme="majorHAnsi" w:hAnsiTheme="majorHAnsi" w:cstheme="majorHAnsi"/>
          <w:color w:val="FF0000"/>
        </w:rPr>
      </w:pPr>
      <w:r w:rsidRPr="00CB4163">
        <w:rPr>
          <w:rFonts w:asciiTheme="majorHAnsi" w:hAnsiTheme="majorHAnsi" w:cstheme="majorHAnsi"/>
        </w:rPr>
        <w:t xml:space="preserve">Delinquent groups are forced to see criminal behaviour as a means of livelihood and nourishment, which motivates them to commit crimes due to their strong hostility and lack of resources. This is an example of how denying social aid, opportunities, and advancement to </w:t>
      </w:r>
      <w:r w:rsidRPr="00CB4163">
        <w:rPr>
          <w:rFonts w:asciiTheme="majorHAnsi" w:hAnsiTheme="majorHAnsi" w:cstheme="majorHAnsi"/>
        </w:rPr>
        <w:lastRenderedPageBreak/>
        <w:t xml:space="preserve">vulnerable groups, </w:t>
      </w:r>
      <w:proofErr w:type="gramStart"/>
      <w:r w:rsidRPr="00CB4163">
        <w:rPr>
          <w:rFonts w:asciiTheme="majorHAnsi" w:hAnsiTheme="majorHAnsi" w:cstheme="majorHAnsi"/>
        </w:rPr>
        <w:t>youth</w:t>
      </w:r>
      <w:proofErr w:type="gramEnd"/>
      <w:r w:rsidRPr="00CB4163">
        <w:rPr>
          <w:rFonts w:asciiTheme="majorHAnsi" w:hAnsiTheme="majorHAnsi" w:cstheme="majorHAnsi"/>
        </w:rPr>
        <w:t xml:space="preserve"> and ethnic minorities, for example leads to a system where crime is the only feasible alternative</w:t>
      </w:r>
      <w:r w:rsidR="005A33A9" w:rsidRPr="00CB4163">
        <w:rPr>
          <w:rFonts w:asciiTheme="majorHAnsi" w:hAnsiTheme="majorHAnsi" w:cstheme="majorHAnsi"/>
        </w:rPr>
        <w:t xml:space="preserve"> (Griffiths and Yeo, 2021)</w:t>
      </w:r>
      <w:r w:rsidRPr="00CB4163">
        <w:rPr>
          <w:rFonts w:asciiTheme="majorHAnsi" w:hAnsiTheme="majorHAnsi" w:cstheme="majorHAnsi"/>
        </w:rPr>
        <w:t>. Due to a lack of opportunities and support from these sectors, law enforcement usually treats symptoms and results rather than underlying causes (Atkinson and Millington, 2018). Regulation of social conduct is important in order to deter and prevent crime. Housing, political economy, and governance are important aspects that might help resolve the most problematic locations since they have an impact on how marginalised groups perceive and experience inequality, which in turn has an impact on crime rates.</w:t>
      </w:r>
    </w:p>
    <w:p w14:paraId="0000001A" w14:textId="77777777" w:rsidR="006739A9" w:rsidRPr="00CB4163" w:rsidRDefault="00B66394" w:rsidP="00CB4163">
      <w:pPr>
        <w:rPr>
          <w:rFonts w:asciiTheme="majorHAnsi" w:hAnsiTheme="majorHAnsi" w:cstheme="majorHAnsi"/>
        </w:rPr>
      </w:pPr>
      <w:r w:rsidRPr="00CB4163">
        <w:rPr>
          <w:rFonts w:asciiTheme="majorHAnsi" w:hAnsiTheme="majorHAnsi" w:cstheme="majorHAnsi"/>
        </w:rPr>
        <w:t xml:space="preserve">According to Becker’s (1968) conventional economic model of crime, people choose criminal activities over legitimate ones when weighing the expected net advantages associated with each. The essential fact or component of these models is the difference between the benefits of participating in criminal behaviour and the prospective legal profits from work, as well as the probability of getting caught and the consequences that follow. Criminal action is more likely to be perpetrated by people with restricted work opportunities, despite all other circumstances being comparable. For example, compared to seasoned professionals with PhD rates, young males who have dropped out of school are more prone to commit crimes. Machin and </w:t>
      </w:r>
      <w:proofErr w:type="spellStart"/>
      <w:r w:rsidRPr="00CB4163">
        <w:rPr>
          <w:rFonts w:asciiTheme="majorHAnsi" w:hAnsiTheme="majorHAnsi" w:cstheme="majorHAnsi"/>
        </w:rPr>
        <w:t>Meghir</w:t>
      </w:r>
      <w:proofErr w:type="spellEnd"/>
      <w:r w:rsidRPr="00CB4163">
        <w:rPr>
          <w:rFonts w:asciiTheme="majorHAnsi" w:hAnsiTheme="majorHAnsi" w:cstheme="majorHAnsi"/>
        </w:rPr>
        <w:t xml:space="preserve"> (2004) have shown that a substantial body of evidence supports this important result.</w:t>
      </w:r>
    </w:p>
    <w:p w14:paraId="0000001B" w14:textId="77777777" w:rsidR="006739A9" w:rsidRPr="00CB4163" w:rsidRDefault="00B66394" w:rsidP="00CB4163">
      <w:pPr>
        <w:rPr>
          <w:rFonts w:asciiTheme="majorHAnsi" w:hAnsiTheme="majorHAnsi" w:cstheme="majorHAnsi"/>
        </w:rPr>
      </w:pPr>
      <w:r w:rsidRPr="00CB4163">
        <w:rPr>
          <w:rFonts w:asciiTheme="majorHAnsi" w:hAnsiTheme="majorHAnsi" w:cstheme="majorHAnsi"/>
        </w:rPr>
        <w:t>It is important to understand that various migrant groups will almost certainly arrive at cost-benefit analyses that are entirely distinct in order to apply this theory to immigration and crime. Based on three factors, the model forecasts different rates of criminal behaviour: the relative differences between people born in the UK and those born outside. Think about the potential that people born outside of the UK had a perception that the chances of getting caught for a crime were much higher or that the penalties, such deportation, were more severe. If all other circumstances were the same, this would deter criminal activity more in people of foreign origin than in people of British heritage. Because of higher unemployment rates or lower income, immigrants may have much less opportunities on the legal job market than people who were born in the UK. As such, the likelihood of criminal activity among expats would be higher than that of native British residents.</w:t>
      </w:r>
    </w:p>
    <w:p w14:paraId="0000001C" w14:textId="3CD33CF7" w:rsidR="006739A9" w:rsidRPr="00CB4163" w:rsidRDefault="00B66394" w:rsidP="00CB4163">
      <w:pPr>
        <w:rPr>
          <w:rFonts w:asciiTheme="majorHAnsi" w:hAnsiTheme="majorHAnsi" w:cstheme="majorHAnsi"/>
          <w:highlight w:val="lightGray"/>
        </w:rPr>
      </w:pPr>
      <w:r w:rsidRPr="00CB4163">
        <w:rPr>
          <w:rFonts w:asciiTheme="majorHAnsi" w:hAnsiTheme="majorHAnsi" w:cstheme="majorHAnsi"/>
        </w:rPr>
        <w:lastRenderedPageBreak/>
        <w:t xml:space="preserve">The following categories are used to divide up the data: drug-related offences, theft and handling, robberies, fraud and forgeries, and foreign population share. In England and Wales, property crimes have steadily declined since 2002. A rise in the foreign-born population share has also occurred over this </w:t>
      </w:r>
      <w:r w:rsidR="000962CC">
        <w:rPr>
          <w:rFonts w:asciiTheme="majorHAnsi" w:hAnsiTheme="majorHAnsi" w:cstheme="majorHAnsi"/>
        </w:rPr>
        <w:t>period</w:t>
      </w:r>
      <w:r w:rsidRPr="00CB4163">
        <w:rPr>
          <w:rFonts w:asciiTheme="majorHAnsi" w:hAnsiTheme="majorHAnsi" w:cstheme="majorHAnsi"/>
        </w:rPr>
        <w:t xml:space="preserve">. </w:t>
      </w:r>
      <w:r w:rsidR="000962CC">
        <w:rPr>
          <w:rFonts w:asciiTheme="majorHAnsi" w:hAnsiTheme="majorHAnsi" w:cstheme="majorHAnsi"/>
        </w:rPr>
        <w:t>There</w:t>
      </w:r>
      <w:r w:rsidRPr="00CB4163">
        <w:rPr>
          <w:rFonts w:asciiTheme="majorHAnsi" w:hAnsiTheme="majorHAnsi" w:cstheme="majorHAnsi"/>
        </w:rPr>
        <w:t xml:space="preserve"> has been a negative association between the number of foreign crimes and the share of crimes committed by foreign people during the period. There is no evidence, despite substantial </w:t>
      </w:r>
      <w:r w:rsidR="000962CC">
        <w:rPr>
          <w:rFonts w:asciiTheme="majorHAnsi" w:hAnsiTheme="majorHAnsi" w:cstheme="majorHAnsi"/>
        </w:rPr>
        <w:t>studies</w:t>
      </w:r>
      <w:r w:rsidRPr="00CB4163">
        <w:rPr>
          <w:rFonts w:asciiTheme="majorHAnsi" w:hAnsiTheme="majorHAnsi" w:cstheme="majorHAnsi"/>
        </w:rPr>
        <w:t xml:space="preserve"> conducted in many nations, linking the rise in migration to the decrease in crime.</w:t>
      </w:r>
    </w:p>
    <w:p w14:paraId="0000001D" w14:textId="4B27FEE9" w:rsidR="006739A9" w:rsidRPr="00CB4163" w:rsidRDefault="00B66394" w:rsidP="00CB4163">
      <w:pPr>
        <w:rPr>
          <w:rFonts w:asciiTheme="majorHAnsi" w:hAnsiTheme="majorHAnsi" w:cstheme="majorHAnsi"/>
        </w:rPr>
      </w:pPr>
      <w:r w:rsidRPr="00CB4163">
        <w:rPr>
          <w:rFonts w:asciiTheme="majorHAnsi" w:hAnsiTheme="majorHAnsi" w:cstheme="majorHAnsi"/>
        </w:rPr>
        <w:t xml:space="preserve">Bell et al. (2013) investigated local crime trends in England and Wales from 2002 to 2009 </w:t>
      </w:r>
      <w:r w:rsidR="000962CC">
        <w:rPr>
          <w:rFonts w:asciiTheme="majorHAnsi" w:hAnsiTheme="majorHAnsi" w:cstheme="majorHAnsi"/>
        </w:rPr>
        <w:t>to</w:t>
      </w:r>
      <w:r w:rsidRPr="00CB4163">
        <w:rPr>
          <w:rFonts w:asciiTheme="majorHAnsi" w:hAnsiTheme="majorHAnsi" w:cstheme="majorHAnsi"/>
        </w:rPr>
        <w:t xml:space="preserve"> determine if there is a direct association between crime and the rise in the </w:t>
      </w:r>
      <w:r w:rsidR="000962CC">
        <w:rPr>
          <w:rFonts w:asciiTheme="majorHAnsi" w:hAnsiTheme="majorHAnsi" w:cstheme="majorHAnsi"/>
        </w:rPr>
        <w:t>foreign-born</w:t>
      </w:r>
      <w:r w:rsidRPr="00CB4163">
        <w:rPr>
          <w:rFonts w:asciiTheme="majorHAnsi" w:hAnsiTheme="majorHAnsi" w:cstheme="majorHAnsi"/>
        </w:rPr>
        <w:t xml:space="preserve"> population. During this period, two notable immigrant groups arrived in the United Kingdom. Asylum seekers first came from the former Yugoslavia and then settled in war-torn countries like Afghanistan and Iraq as refugees. In addition, significant migration flows from the A8 countries, Poland leading the way have occurred since 2004. The analysis found that causal estimates could be made for both immigrant groups: a rise in property crime was associated with a rise in the population of asylum seekers, while a drop in property crime was associated with an increase in the population of A8 migrants. Within each group, there were no statistically significant variations in violent crime. One may anticipate a 1.1% increase in property crime for every percentage point that the local population’s share of asylum seekers rises. For every percentage point rise in population in the A8, property crime fell by 0.4%, hence the effect was minimal. Asylum seekers made up just 0.1% of the population.</w:t>
      </w:r>
    </w:p>
    <w:p w14:paraId="0000001E" w14:textId="2BCFBD01" w:rsidR="006739A9" w:rsidRPr="00CB4163" w:rsidRDefault="00B66394" w:rsidP="00CB4163">
      <w:pPr>
        <w:rPr>
          <w:rFonts w:asciiTheme="majorHAnsi" w:hAnsiTheme="majorHAnsi" w:cstheme="majorHAnsi"/>
        </w:rPr>
      </w:pPr>
      <w:r w:rsidRPr="00CB4163">
        <w:rPr>
          <w:rFonts w:asciiTheme="majorHAnsi" w:hAnsiTheme="majorHAnsi" w:cstheme="majorHAnsi"/>
        </w:rPr>
        <w:t>According to Bell et al. (2013), there could be a connection between the expected outcomes for A8 migrants and asylum seekers and the differential work opportunities that are accessible to the two groups. As migrants arrived in the UK largely in pursuit of job, and their employment rates are higher than those of people who were born in the UK</w:t>
      </w:r>
      <w:r w:rsidR="00AF6B2C" w:rsidRPr="00CB4163">
        <w:rPr>
          <w:rFonts w:asciiTheme="majorHAnsi" w:hAnsiTheme="majorHAnsi" w:cstheme="majorHAnsi"/>
        </w:rPr>
        <w:t xml:space="preserve"> (</w:t>
      </w:r>
      <w:proofErr w:type="spellStart"/>
      <w:r w:rsidR="00AF6B2C" w:rsidRPr="00CB4163">
        <w:rPr>
          <w:rFonts w:asciiTheme="majorHAnsi" w:hAnsiTheme="majorHAnsi" w:cstheme="majorHAnsi"/>
        </w:rPr>
        <w:t>Guradinas</w:t>
      </w:r>
      <w:proofErr w:type="spellEnd"/>
      <w:r w:rsidR="00AF6B2C" w:rsidRPr="00CB4163">
        <w:rPr>
          <w:rFonts w:asciiTheme="majorHAnsi" w:hAnsiTheme="majorHAnsi" w:cstheme="majorHAnsi"/>
        </w:rPr>
        <w:t>, 2018)</w:t>
      </w:r>
      <w:r w:rsidRPr="00CB4163">
        <w:rPr>
          <w:rFonts w:asciiTheme="majorHAnsi" w:hAnsiTheme="majorHAnsi" w:cstheme="majorHAnsi"/>
        </w:rPr>
        <w:t>. For a number of reasons, asylum seekers are not allowed to work after they enter the nation and have limited access to humanitarian agencies. It is without dispute that this restriction has resulted in higher relative returns to crime due to the drawn-out process of deciding asylum claims.</w:t>
      </w:r>
    </w:p>
    <w:p w14:paraId="45111321" w14:textId="66DFD96A" w:rsidR="00E40BC0" w:rsidRPr="00CB4163" w:rsidRDefault="00E40BC0" w:rsidP="00CB4163">
      <w:pPr>
        <w:rPr>
          <w:rFonts w:asciiTheme="majorHAnsi" w:hAnsiTheme="majorHAnsi" w:cstheme="majorHAnsi"/>
        </w:rPr>
      </w:pPr>
      <w:r w:rsidRPr="00355801">
        <w:rPr>
          <w:rFonts w:asciiTheme="majorHAnsi" w:hAnsiTheme="majorHAnsi" w:cstheme="majorHAnsi"/>
        </w:rPr>
        <w:lastRenderedPageBreak/>
        <w:t>Salary analysis for immigrants, especially international students may show the economic aspects of immigration and thus patterns inequalities</w:t>
      </w:r>
      <w:r w:rsidR="00AF6B2C" w:rsidRPr="00355801">
        <w:rPr>
          <w:rFonts w:asciiTheme="majorHAnsi" w:hAnsiTheme="majorHAnsi" w:cstheme="majorHAnsi"/>
        </w:rPr>
        <w:t xml:space="preserve"> (Freedman et al., 2018)</w:t>
      </w:r>
      <w:r w:rsidRPr="00355801">
        <w:rPr>
          <w:rFonts w:asciiTheme="majorHAnsi" w:hAnsiTheme="majorHAnsi" w:cstheme="majorHAnsi"/>
        </w:rPr>
        <w:t>. The Immigration Observatory is a useful tool for understanding these processes.</w:t>
      </w:r>
      <w:r w:rsidR="00C607EA" w:rsidRPr="00355801">
        <w:rPr>
          <w:rFonts w:asciiTheme="majorHAnsi" w:hAnsiTheme="majorHAnsi" w:cstheme="majorHAnsi"/>
        </w:rPr>
        <w:t xml:space="preserve"> </w:t>
      </w:r>
      <w:r w:rsidRPr="00355801">
        <w:rPr>
          <w:rFonts w:asciiTheme="majorHAnsi" w:hAnsiTheme="majorHAnsi" w:cstheme="majorHAnsi"/>
        </w:rPr>
        <w:t>International students normally pay higher tuition fees compared to domestic This financial burden may certainly negatively impact on their overall economic well-being</w:t>
      </w:r>
      <w:r w:rsidR="000962CC" w:rsidRPr="00355801">
        <w:rPr>
          <w:rFonts w:asciiTheme="majorHAnsi" w:hAnsiTheme="majorHAnsi" w:cstheme="majorHAnsi"/>
        </w:rPr>
        <w:t>,</w:t>
      </w:r>
      <w:r w:rsidRPr="00355801">
        <w:rPr>
          <w:rFonts w:asciiTheme="majorHAnsi" w:hAnsiTheme="majorHAnsi" w:cstheme="majorHAnsi"/>
        </w:rPr>
        <w:t xml:space="preserve"> especially with the living costs and other related issues</w:t>
      </w:r>
      <w:r w:rsidR="00AF6B2C" w:rsidRPr="00355801">
        <w:rPr>
          <w:rFonts w:asciiTheme="majorHAnsi" w:hAnsiTheme="majorHAnsi" w:cstheme="majorHAnsi"/>
        </w:rPr>
        <w:t xml:space="preserve"> (Stansfield and Stone, 2018)</w:t>
      </w:r>
      <w:r w:rsidRPr="00355801">
        <w:rPr>
          <w:rFonts w:asciiTheme="majorHAnsi" w:hAnsiTheme="majorHAnsi" w:cstheme="majorHAnsi"/>
        </w:rPr>
        <w:t>. Pursuing a degree in another country is a good experience, but financial burdens put upon international students can only add to economic differentials.</w:t>
      </w:r>
      <w:r w:rsidR="00C607EA" w:rsidRPr="00355801">
        <w:rPr>
          <w:rFonts w:asciiTheme="majorHAnsi" w:hAnsiTheme="majorHAnsi" w:cstheme="majorHAnsi"/>
        </w:rPr>
        <w:t xml:space="preserve"> </w:t>
      </w:r>
      <w:r w:rsidRPr="00355801">
        <w:rPr>
          <w:rFonts w:asciiTheme="majorHAnsi" w:hAnsiTheme="majorHAnsi" w:cstheme="majorHAnsi"/>
        </w:rPr>
        <w:t>Immigration rules and restrictions on work may limit the jobs they can access, making it difficult to find well-paid positions</w:t>
      </w:r>
      <w:r w:rsidR="00AF6B2C" w:rsidRPr="00355801">
        <w:rPr>
          <w:rFonts w:asciiTheme="majorHAnsi" w:hAnsiTheme="majorHAnsi" w:cstheme="majorHAnsi"/>
        </w:rPr>
        <w:t xml:space="preserve"> (Bowling and Westenra, 2020)</w:t>
      </w:r>
      <w:r w:rsidRPr="00355801">
        <w:rPr>
          <w:rFonts w:asciiTheme="majorHAnsi" w:hAnsiTheme="majorHAnsi" w:cstheme="majorHAnsi"/>
        </w:rPr>
        <w:t>. This results in a cycle of economic disadvantage for some groups of immigrants, further perpetuating the larger socio-economic inequities.</w:t>
      </w:r>
      <w:r w:rsidR="00C607EA" w:rsidRPr="00355801">
        <w:rPr>
          <w:rFonts w:asciiTheme="majorHAnsi" w:hAnsiTheme="majorHAnsi" w:cstheme="majorHAnsi"/>
        </w:rPr>
        <w:t xml:space="preserve"> </w:t>
      </w:r>
      <w:r w:rsidRPr="00355801">
        <w:rPr>
          <w:rFonts w:asciiTheme="majorHAnsi" w:hAnsiTheme="majorHAnsi" w:cstheme="majorHAnsi"/>
        </w:rPr>
        <w:t>The Immigration Observatory can also reveal the differences in salaries and economic outcomes between immigrants from various backgrounds</w:t>
      </w:r>
      <w:r w:rsidR="00AF6B2C" w:rsidRPr="00355801">
        <w:rPr>
          <w:rFonts w:asciiTheme="majorHAnsi" w:hAnsiTheme="majorHAnsi" w:cstheme="majorHAnsi"/>
        </w:rPr>
        <w:t xml:space="preserve"> (Bosworth et al., 2018)</w:t>
      </w:r>
      <w:r w:rsidRPr="00355801">
        <w:rPr>
          <w:rFonts w:asciiTheme="majorHAnsi" w:hAnsiTheme="majorHAnsi" w:cstheme="majorHAnsi"/>
        </w:rPr>
        <w:t>. However, discriminatory practices in the job market can worsen these disparities and make it difficult for immigrants such as international students to reach economic parity with their non-immigrant counterparts.</w:t>
      </w:r>
    </w:p>
    <w:p w14:paraId="5CB442F8" w14:textId="0A1320E7" w:rsidR="006F5B5C" w:rsidRDefault="00E40BC0" w:rsidP="006F5B5C">
      <w:pPr>
        <w:rPr>
          <w:rFonts w:asciiTheme="majorHAnsi" w:hAnsiTheme="majorHAnsi" w:cstheme="majorHAnsi"/>
        </w:rPr>
      </w:pPr>
      <w:r w:rsidRPr="00CB4163">
        <w:rPr>
          <w:rFonts w:asciiTheme="majorHAnsi" w:hAnsiTheme="majorHAnsi" w:cstheme="majorHAnsi"/>
        </w:rPr>
        <w:t xml:space="preserve"> </w:t>
      </w:r>
      <w:r w:rsidR="007A5418">
        <w:rPr>
          <w:rFonts w:asciiTheme="majorHAnsi" w:hAnsiTheme="majorHAnsi" w:cstheme="majorHAnsi"/>
        </w:rPr>
        <w:t>T</w:t>
      </w:r>
      <w:r w:rsidRPr="00CB4163">
        <w:rPr>
          <w:rFonts w:asciiTheme="majorHAnsi" w:hAnsiTheme="majorHAnsi" w:cstheme="majorHAnsi"/>
        </w:rPr>
        <w:t xml:space="preserve">he financial sides of immigration processes including those with international students show a multi-layered interrelationship among policies, economic </w:t>
      </w:r>
      <w:proofErr w:type="gramStart"/>
      <w:r w:rsidRPr="00CB4163">
        <w:rPr>
          <w:rFonts w:asciiTheme="majorHAnsi" w:hAnsiTheme="majorHAnsi" w:cstheme="majorHAnsi"/>
        </w:rPr>
        <w:t>situation</w:t>
      </w:r>
      <w:proofErr w:type="gramEnd"/>
      <w:r w:rsidRPr="00CB4163">
        <w:rPr>
          <w:rFonts w:asciiTheme="majorHAnsi" w:hAnsiTheme="majorHAnsi" w:cstheme="majorHAnsi"/>
        </w:rPr>
        <w:t xml:space="preserve"> and public opinions</w:t>
      </w:r>
      <w:r w:rsidR="00AF6B2C" w:rsidRPr="00CB4163">
        <w:rPr>
          <w:rFonts w:asciiTheme="majorHAnsi" w:hAnsiTheme="majorHAnsi" w:cstheme="majorHAnsi"/>
        </w:rPr>
        <w:t xml:space="preserve"> (</w:t>
      </w:r>
      <w:proofErr w:type="spellStart"/>
      <w:r w:rsidR="00AF6B2C" w:rsidRPr="00CB4163">
        <w:rPr>
          <w:rFonts w:asciiTheme="majorHAnsi" w:hAnsiTheme="majorHAnsi" w:cstheme="majorHAnsi"/>
        </w:rPr>
        <w:t>Guradinas</w:t>
      </w:r>
      <w:proofErr w:type="spellEnd"/>
      <w:r w:rsidR="00AF6B2C" w:rsidRPr="00CB4163">
        <w:rPr>
          <w:rFonts w:asciiTheme="majorHAnsi" w:hAnsiTheme="majorHAnsi" w:cstheme="majorHAnsi"/>
        </w:rPr>
        <w:t>, 2018)</w:t>
      </w:r>
      <w:r w:rsidRPr="00CB4163">
        <w:rPr>
          <w:rFonts w:asciiTheme="majorHAnsi" w:hAnsiTheme="majorHAnsi" w:cstheme="majorHAnsi"/>
        </w:rPr>
        <w:t xml:space="preserve">. </w:t>
      </w:r>
      <w:r w:rsidR="006F5B5C" w:rsidRPr="006F5B5C">
        <w:rPr>
          <w:rFonts w:asciiTheme="majorHAnsi" w:hAnsiTheme="majorHAnsi" w:cstheme="majorHAnsi"/>
        </w:rPr>
        <w:t xml:space="preserve">Through </w:t>
      </w:r>
      <w:r w:rsidR="000962CC">
        <w:rPr>
          <w:rFonts w:asciiTheme="majorHAnsi" w:hAnsiTheme="majorHAnsi" w:cstheme="majorHAnsi"/>
        </w:rPr>
        <w:t>the</w:t>
      </w:r>
      <w:r w:rsidR="006F5B5C" w:rsidRPr="006F5B5C">
        <w:rPr>
          <w:rFonts w:asciiTheme="majorHAnsi" w:hAnsiTheme="majorHAnsi" w:cstheme="majorHAnsi"/>
        </w:rPr>
        <w:t xml:space="preserve"> salary data and associated issues, </w:t>
      </w:r>
      <w:r w:rsidR="000962CC">
        <w:rPr>
          <w:rFonts w:asciiTheme="majorHAnsi" w:hAnsiTheme="majorHAnsi" w:cstheme="majorHAnsi"/>
        </w:rPr>
        <w:t xml:space="preserve">the </w:t>
      </w:r>
      <w:r w:rsidR="006F5B5C" w:rsidRPr="006F5B5C">
        <w:rPr>
          <w:rFonts w:asciiTheme="majorHAnsi" w:hAnsiTheme="majorHAnsi" w:cstheme="majorHAnsi"/>
        </w:rPr>
        <w:t>Immigration Observatory gives a more detailed perspective on how immigration can either improve or worsen pre-existing disparities within the destination nation.</w:t>
      </w:r>
      <w:r w:rsidR="006F5B5C">
        <w:rPr>
          <w:rFonts w:asciiTheme="majorHAnsi" w:hAnsiTheme="majorHAnsi" w:cstheme="majorHAnsi"/>
        </w:rPr>
        <w:t xml:space="preserve"> </w:t>
      </w:r>
      <w:r w:rsidR="006F5B5C" w:rsidRPr="006F5B5C">
        <w:rPr>
          <w:rFonts w:asciiTheme="majorHAnsi" w:hAnsiTheme="majorHAnsi" w:cstheme="majorHAnsi"/>
        </w:rPr>
        <w:t>Overcoming these issues demands a holistic solution that goes beyond immigration policies into labour market dynamics and the drive for equal opportunities</w:t>
      </w:r>
      <w:r w:rsidR="000962CC">
        <w:rPr>
          <w:rFonts w:asciiTheme="majorHAnsi" w:hAnsiTheme="majorHAnsi" w:cstheme="majorHAnsi"/>
        </w:rPr>
        <w:t xml:space="preserve">. </w:t>
      </w:r>
    </w:p>
    <w:p w14:paraId="00000022" w14:textId="6BB3CAF3" w:rsidR="006739A9" w:rsidRPr="00CB4163" w:rsidRDefault="001C0194" w:rsidP="00CB4163">
      <w:pPr>
        <w:rPr>
          <w:rFonts w:asciiTheme="majorHAnsi" w:hAnsiTheme="majorHAnsi" w:cstheme="majorHAnsi"/>
        </w:rPr>
      </w:pPr>
      <w:r>
        <w:rPr>
          <w:rFonts w:asciiTheme="majorHAnsi" w:hAnsiTheme="majorHAnsi" w:cstheme="majorHAnsi"/>
        </w:rPr>
        <w:t>Overall</w:t>
      </w:r>
      <w:r w:rsidR="00B66394" w:rsidRPr="00CB4163">
        <w:rPr>
          <w:rFonts w:asciiTheme="majorHAnsi" w:hAnsiTheme="majorHAnsi" w:cstheme="majorHAnsi"/>
        </w:rPr>
        <w:t>, youth and ethnic minority groups are disproportionately impacted by social and cultural inequalities that have a detrimental impact on their surroundings and income because they lack access to housing, jobs, and educational opportunities. Crime is the sole means of sustenance for many groups because they live in dangerous neighbourhoods and are more likely to be ostracised. To put it another way, crime perception and experience are directly impacted by social and cultural inequalities, especially in the city of London.</w:t>
      </w:r>
    </w:p>
    <w:p w14:paraId="0E990872" w14:textId="77777777" w:rsidR="00C607EA" w:rsidRPr="00CB4163" w:rsidRDefault="00C607EA" w:rsidP="00FD500B">
      <w:pPr>
        <w:ind w:firstLine="0"/>
        <w:rPr>
          <w:rFonts w:asciiTheme="majorHAnsi" w:hAnsiTheme="majorHAnsi" w:cstheme="majorHAnsi"/>
        </w:rPr>
      </w:pPr>
    </w:p>
    <w:p w14:paraId="00000023" w14:textId="77777777" w:rsidR="006739A9" w:rsidRDefault="00B66394">
      <w:pPr>
        <w:pStyle w:val="Heading1"/>
      </w:pPr>
      <w:bookmarkStart w:id="0" w:name="_heading=h.gjdgxs" w:colFirst="0" w:colLast="0"/>
      <w:bookmarkEnd w:id="0"/>
      <w:r>
        <w:lastRenderedPageBreak/>
        <w:t>References</w:t>
      </w:r>
    </w:p>
    <w:p w14:paraId="2C42272E" w14:textId="77777777" w:rsidR="00595953" w:rsidRDefault="00595953">
      <w:pPr>
        <w:pBdr>
          <w:top w:val="nil"/>
          <w:left w:val="nil"/>
          <w:bottom w:val="nil"/>
          <w:right w:val="nil"/>
          <w:between w:val="nil"/>
        </w:pBdr>
        <w:spacing w:line="240" w:lineRule="auto"/>
        <w:ind w:left="720" w:hanging="720"/>
        <w:rPr>
          <w:color w:val="000000"/>
        </w:rPr>
      </w:pPr>
      <w:r>
        <w:rPr>
          <w:color w:val="000000"/>
        </w:rPr>
        <w:t>Atkinson, R., and Millington, G. (2018) </w:t>
      </w:r>
      <w:r>
        <w:rPr>
          <w:i/>
          <w:color w:val="000000"/>
        </w:rPr>
        <w:t xml:space="preserve">Urban criminology: the city, disorder, </w:t>
      </w:r>
      <w:proofErr w:type="gramStart"/>
      <w:r>
        <w:rPr>
          <w:i/>
          <w:color w:val="000000"/>
        </w:rPr>
        <w:t>harm</w:t>
      </w:r>
      <w:proofErr w:type="gramEnd"/>
      <w:r>
        <w:rPr>
          <w:i/>
          <w:color w:val="000000"/>
        </w:rPr>
        <w:t xml:space="preserve"> and social control</w:t>
      </w:r>
      <w:r>
        <w:rPr>
          <w:color w:val="000000"/>
        </w:rPr>
        <w:t>. Oxfordshire: Routledge.</w:t>
      </w:r>
    </w:p>
    <w:p w14:paraId="00E5D7A5" w14:textId="77777777" w:rsidR="00595953" w:rsidRDefault="00595953">
      <w:pPr>
        <w:pBdr>
          <w:top w:val="nil"/>
          <w:left w:val="nil"/>
          <w:bottom w:val="nil"/>
          <w:right w:val="nil"/>
          <w:between w:val="nil"/>
        </w:pBdr>
        <w:spacing w:line="240" w:lineRule="auto"/>
        <w:ind w:left="720" w:hanging="720"/>
        <w:rPr>
          <w:color w:val="000000"/>
        </w:rPr>
      </w:pPr>
      <w:r>
        <w:rPr>
          <w:color w:val="000000"/>
        </w:rPr>
        <w:t xml:space="preserve">Bell, B., </w:t>
      </w:r>
      <w:proofErr w:type="spellStart"/>
      <w:r>
        <w:rPr>
          <w:color w:val="000000"/>
        </w:rPr>
        <w:t>Fasani</w:t>
      </w:r>
      <w:proofErr w:type="spellEnd"/>
      <w:r>
        <w:rPr>
          <w:color w:val="000000"/>
        </w:rPr>
        <w:t>, F. and Machin, S., (2013). Crime and immigration: Evidence from large immigrant waves. </w:t>
      </w:r>
      <w:r>
        <w:rPr>
          <w:i/>
          <w:color w:val="000000"/>
        </w:rPr>
        <w:t>Review of Economics and statistics</w:t>
      </w:r>
      <w:r>
        <w:rPr>
          <w:color w:val="000000"/>
        </w:rPr>
        <w:t>, </w:t>
      </w:r>
      <w:r>
        <w:rPr>
          <w:i/>
          <w:color w:val="000000"/>
        </w:rPr>
        <w:t>95</w:t>
      </w:r>
      <w:r>
        <w:rPr>
          <w:color w:val="000000"/>
        </w:rPr>
        <w:t>(4), pp.1278-1290.</w:t>
      </w:r>
    </w:p>
    <w:p w14:paraId="553C29B6" w14:textId="77777777" w:rsidR="00595953" w:rsidRDefault="00595953">
      <w:pPr>
        <w:pBdr>
          <w:top w:val="nil"/>
          <w:left w:val="nil"/>
          <w:bottom w:val="nil"/>
          <w:right w:val="nil"/>
          <w:between w:val="nil"/>
        </w:pBdr>
        <w:spacing w:line="240" w:lineRule="auto"/>
        <w:ind w:left="720" w:hanging="720"/>
        <w:rPr>
          <w:color w:val="000000"/>
        </w:rPr>
      </w:pPr>
      <w:r>
        <w:rPr>
          <w:color w:val="000000"/>
        </w:rPr>
        <w:t xml:space="preserve">Bowling, B. and Westenra, S., 2020. ‘A really hostile environment’: </w:t>
      </w:r>
      <w:proofErr w:type="spellStart"/>
      <w:r>
        <w:rPr>
          <w:color w:val="000000"/>
        </w:rPr>
        <w:t>Adiaphorization</w:t>
      </w:r>
      <w:proofErr w:type="spellEnd"/>
      <w:r>
        <w:rPr>
          <w:color w:val="000000"/>
        </w:rPr>
        <w:t xml:space="preserve">, global policing and the </w:t>
      </w:r>
      <w:proofErr w:type="spellStart"/>
      <w:r>
        <w:rPr>
          <w:color w:val="000000"/>
        </w:rPr>
        <w:t>crimmigration</w:t>
      </w:r>
      <w:proofErr w:type="spellEnd"/>
      <w:r>
        <w:rPr>
          <w:color w:val="000000"/>
        </w:rPr>
        <w:t xml:space="preserve"> control system. </w:t>
      </w:r>
      <w:r>
        <w:rPr>
          <w:i/>
          <w:color w:val="000000"/>
        </w:rPr>
        <w:t>Theoretical criminology</w:t>
      </w:r>
      <w:r>
        <w:rPr>
          <w:color w:val="000000"/>
        </w:rPr>
        <w:t>, </w:t>
      </w:r>
      <w:r>
        <w:rPr>
          <w:i/>
          <w:color w:val="000000"/>
        </w:rPr>
        <w:t>24</w:t>
      </w:r>
      <w:r>
        <w:rPr>
          <w:color w:val="000000"/>
        </w:rPr>
        <w:t>(2), pp.163-183.</w:t>
      </w:r>
    </w:p>
    <w:p w14:paraId="00191E66" w14:textId="77777777" w:rsidR="00595953" w:rsidRDefault="00595953">
      <w:pPr>
        <w:pBdr>
          <w:top w:val="nil"/>
          <w:left w:val="nil"/>
          <w:bottom w:val="nil"/>
          <w:right w:val="nil"/>
          <w:between w:val="nil"/>
        </w:pBdr>
        <w:spacing w:line="240" w:lineRule="auto"/>
        <w:ind w:left="720" w:hanging="720"/>
        <w:rPr>
          <w:color w:val="000000"/>
        </w:rPr>
      </w:pPr>
      <w:proofErr w:type="spellStart"/>
      <w:r>
        <w:rPr>
          <w:color w:val="000000"/>
        </w:rPr>
        <w:t>Chouhy</w:t>
      </w:r>
      <w:proofErr w:type="spellEnd"/>
      <w:r>
        <w:rPr>
          <w:color w:val="000000"/>
        </w:rPr>
        <w:t>, C. and Madero-Hernandez, A., 2020. “Murderers, rapists, and bad hombres”: Deconstructing the immigration-crime myths. In </w:t>
      </w:r>
      <w:r>
        <w:rPr>
          <w:i/>
          <w:color w:val="000000"/>
        </w:rPr>
        <w:t>Crime and justice in the Trump era</w:t>
      </w:r>
      <w:r>
        <w:rPr>
          <w:color w:val="000000"/>
        </w:rPr>
        <w:t> (pp. 94-123). Routledge.</w:t>
      </w:r>
    </w:p>
    <w:p w14:paraId="5EAFE0CE" w14:textId="77777777" w:rsidR="00595953" w:rsidRDefault="00595953">
      <w:pPr>
        <w:pBdr>
          <w:top w:val="nil"/>
          <w:left w:val="nil"/>
          <w:bottom w:val="nil"/>
          <w:right w:val="nil"/>
          <w:between w:val="nil"/>
        </w:pBdr>
        <w:spacing w:line="240" w:lineRule="auto"/>
        <w:ind w:left="720" w:hanging="720"/>
        <w:rPr>
          <w:color w:val="000000"/>
        </w:rPr>
      </w:pPr>
      <w:r>
        <w:rPr>
          <w:color w:val="000000"/>
        </w:rPr>
        <w:t>Day, A.S. and Gill, A.K., 2020. Applying intersectionality to partnerships between women’s organizations and the criminal justice system in relation to domestic violence. </w:t>
      </w:r>
      <w:r>
        <w:rPr>
          <w:i/>
          <w:color w:val="000000"/>
        </w:rPr>
        <w:t>The British Journal of Criminology</w:t>
      </w:r>
      <w:r>
        <w:rPr>
          <w:color w:val="000000"/>
        </w:rPr>
        <w:t>, </w:t>
      </w:r>
      <w:r>
        <w:rPr>
          <w:i/>
          <w:color w:val="000000"/>
        </w:rPr>
        <w:t>60</w:t>
      </w:r>
      <w:r>
        <w:rPr>
          <w:color w:val="000000"/>
        </w:rPr>
        <w:t>(4), pp.830-850.</w:t>
      </w:r>
    </w:p>
    <w:p w14:paraId="1C50300E" w14:textId="77777777" w:rsidR="00595953" w:rsidRDefault="00595953">
      <w:pPr>
        <w:pBdr>
          <w:top w:val="nil"/>
          <w:left w:val="nil"/>
          <w:bottom w:val="nil"/>
          <w:right w:val="nil"/>
          <w:between w:val="nil"/>
        </w:pBdr>
        <w:spacing w:line="240" w:lineRule="auto"/>
        <w:ind w:left="720" w:hanging="720"/>
        <w:rPr>
          <w:color w:val="000000"/>
        </w:rPr>
      </w:pPr>
      <w:r>
        <w:rPr>
          <w:color w:val="000000"/>
        </w:rPr>
        <w:t>Dodd, V. (2018) ‘</w:t>
      </w:r>
      <w:hyperlink r:id="rId6">
        <w:r>
          <w:rPr>
            <w:color w:val="0563C1"/>
            <w:u w:val="single"/>
          </w:rPr>
          <w:t>Rising crime is symptom of inequality, says senior Met chief</w:t>
        </w:r>
      </w:hyperlink>
      <w:r>
        <w:rPr>
          <w:color w:val="000000"/>
        </w:rPr>
        <w:t>‘, </w:t>
      </w:r>
      <w:r>
        <w:rPr>
          <w:i/>
          <w:color w:val="000000"/>
        </w:rPr>
        <w:t>The Guardian</w:t>
      </w:r>
      <w:r>
        <w:rPr>
          <w:color w:val="000000"/>
        </w:rPr>
        <w:t>. Web.</w:t>
      </w:r>
    </w:p>
    <w:p w14:paraId="54ACE658" w14:textId="77777777" w:rsidR="00595953" w:rsidRDefault="00595953">
      <w:pPr>
        <w:pBdr>
          <w:top w:val="nil"/>
          <w:left w:val="nil"/>
          <w:bottom w:val="nil"/>
          <w:right w:val="nil"/>
          <w:between w:val="nil"/>
        </w:pBdr>
        <w:spacing w:line="240" w:lineRule="auto"/>
        <w:ind w:left="720" w:hanging="720"/>
        <w:rPr>
          <w:color w:val="000000"/>
        </w:rPr>
      </w:pPr>
      <w:r>
        <w:rPr>
          <w:color w:val="000000"/>
        </w:rPr>
        <w:t xml:space="preserve">Freedman, M., Owens, E. and Bohn, S., 2018. Immigration, employment opportunities, and criminal </w:t>
      </w:r>
      <w:proofErr w:type="spellStart"/>
      <w:r>
        <w:rPr>
          <w:color w:val="000000"/>
        </w:rPr>
        <w:t>behavior</w:t>
      </w:r>
      <w:proofErr w:type="spellEnd"/>
      <w:r>
        <w:rPr>
          <w:color w:val="000000"/>
        </w:rPr>
        <w:t>. </w:t>
      </w:r>
      <w:r>
        <w:rPr>
          <w:i/>
          <w:color w:val="000000"/>
        </w:rPr>
        <w:t>American Economic Journal: Economic Policy</w:t>
      </w:r>
      <w:r>
        <w:rPr>
          <w:color w:val="000000"/>
        </w:rPr>
        <w:t>, </w:t>
      </w:r>
      <w:r>
        <w:rPr>
          <w:i/>
          <w:color w:val="000000"/>
        </w:rPr>
        <w:t>10</w:t>
      </w:r>
      <w:r>
        <w:rPr>
          <w:color w:val="000000"/>
        </w:rPr>
        <w:t>(2), pp.117-151.</w:t>
      </w:r>
    </w:p>
    <w:p w14:paraId="080D8EF8" w14:textId="77777777" w:rsidR="00595953" w:rsidRDefault="00595953">
      <w:pPr>
        <w:pBdr>
          <w:top w:val="nil"/>
          <w:left w:val="nil"/>
          <w:bottom w:val="nil"/>
          <w:right w:val="nil"/>
          <w:between w:val="nil"/>
        </w:pBdr>
        <w:spacing w:line="240" w:lineRule="auto"/>
        <w:ind w:left="720" w:hanging="720"/>
        <w:rPr>
          <w:color w:val="000000"/>
        </w:rPr>
      </w:pPr>
      <w:r>
        <w:rPr>
          <w:color w:val="000000"/>
        </w:rPr>
        <w:t>Griffiths, M. and Yeo, C., 2021. The UK’s hostile environment: Deputising immigration control. </w:t>
      </w:r>
      <w:r>
        <w:rPr>
          <w:i/>
          <w:color w:val="000000"/>
        </w:rPr>
        <w:t>Critical Social Policy</w:t>
      </w:r>
      <w:r>
        <w:rPr>
          <w:color w:val="000000"/>
        </w:rPr>
        <w:t>, </w:t>
      </w:r>
      <w:r>
        <w:rPr>
          <w:i/>
          <w:color w:val="000000"/>
        </w:rPr>
        <w:t>41</w:t>
      </w:r>
      <w:r>
        <w:rPr>
          <w:color w:val="000000"/>
        </w:rPr>
        <w:t>(4), pp.521-544.</w:t>
      </w:r>
    </w:p>
    <w:p w14:paraId="0B328123" w14:textId="77777777" w:rsidR="00595953" w:rsidRDefault="00595953">
      <w:pPr>
        <w:pBdr>
          <w:top w:val="nil"/>
          <w:left w:val="nil"/>
          <w:bottom w:val="nil"/>
          <w:right w:val="nil"/>
          <w:between w:val="nil"/>
        </w:pBdr>
        <w:spacing w:line="240" w:lineRule="auto"/>
        <w:ind w:left="720" w:hanging="720"/>
        <w:rPr>
          <w:color w:val="000000"/>
        </w:rPr>
      </w:pPr>
      <w:r>
        <w:rPr>
          <w:color w:val="000000"/>
        </w:rPr>
        <w:t>Joyce, P. and Laverick, W., 2022. </w:t>
      </w:r>
      <w:r>
        <w:rPr>
          <w:i/>
          <w:color w:val="000000"/>
        </w:rPr>
        <w:t>Criminal justice: An introduction</w:t>
      </w:r>
      <w:r>
        <w:rPr>
          <w:color w:val="000000"/>
        </w:rPr>
        <w:t>. Routledge.</w:t>
      </w:r>
    </w:p>
    <w:p w14:paraId="6B7AF2B7" w14:textId="77777777" w:rsidR="00595953" w:rsidRDefault="00595953">
      <w:pPr>
        <w:pBdr>
          <w:top w:val="nil"/>
          <w:left w:val="nil"/>
          <w:bottom w:val="nil"/>
          <w:right w:val="nil"/>
          <w:between w:val="nil"/>
        </w:pBdr>
        <w:spacing w:line="240" w:lineRule="auto"/>
        <w:ind w:left="720" w:hanging="720"/>
        <w:rPr>
          <w:color w:val="000000"/>
        </w:rPr>
      </w:pPr>
      <w:r>
        <w:rPr>
          <w:color w:val="000000"/>
        </w:rPr>
        <w:t>Metropolitan Police. (2021a) </w:t>
      </w:r>
      <w:r>
        <w:rPr>
          <w:i/>
          <w:color w:val="000000"/>
        </w:rPr>
        <w:t>Offences and detection</w:t>
      </w:r>
      <w:r>
        <w:rPr>
          <w:color w:val="000000"/>
        </w:rPr>
        <w:t>. Web.</w:t>
      </w:r>
    </w:p>
    <w:p w14:paraId="66BE4227" w14:textId="77777777" w:rsidR="00595953" w:rsidRDefault="00595953">
      <w:pPr>
        <w:pBdr>
          <w:top w:val="nil"/>
          <w:left w:val="nil"/>
          <w:bottom w:val="nil"/>
          <w:right w:val="nil"/>
          <w:between w:val="nil"/>
        </w:pBdr>
        <w:spacing w:line="240" w:lineRule="auto"/>
        <w:ind w:left="720" w:hanging="720"/>
        <w:rPr>
          <w:color w:val="000000"/>
        </w:rPr>
      </w:pPr>
      <w:r>
        <w:rPr>
          <w:color w:val="000000"/>
        </w:rPr>
        <w:t>Metropolitan Police. (2021b) </w:t>
      </w:r>
      <w:r>
        <w:rPr>
          <w:i/>
          <w:color w:val="000000"/>
        </w:rPr>
        <w:t>MPS FY 2020/21 crime statistics</w:t>
      </w:r>
      <w:r>
        <w:rPr>
          <w:color w:val="000000"/>
        </w:rPr>
        <w:t>. Web.</w:t>
      </w:r>
    </w:p>
    <w:p w14:paraId="2BFCACC2" w14:textId="77777777" w:rsidR="00595953" w:rsidRPr="00FD3699" w:rsidRDefault="00595953" w:rsidP="00FD3699">
      <w:pPr>
        <w:pBdr>
          <w:top w:val="nil"/>
          <w:left w:val="nil"/>
          <w:bottom w:val="nil"/>
          <w:right w:val="nil"/>
          <w:between w:val="nil"/>
        </w:pBdr>
        <w:spacing w:line="240" w:lineRule="auto"/>
        <w:ind w:left="720" w:hanging="720"/>
        <w:rPr>
          <w:color w:val="000000"/>
        </w:rPr>
      </w:pPr>
      <w:r w:rsidRPr="00FD3699">
        <w:rPr>
          <w:color w:val="000000"/>
        </w:rPr>
        <w:t xml:space="preserve">National Crime Agency (2024). </w:t>
      </w:r>
      <w:r w:rsidRPr="00FD3699">
        <w:rPr>
          <w:i/>
          <w:iCs/>
          <w:color w:val="000000"/>
        </w:rPr>
        <w:t>Who we are</w:t>
      </w:r>
      <w:r>
        <w:rPr>
          <w:color w:val="000000"/>
        </w:rPr>
        <w:t xml:space="preserve">? </w:t>
      </w:r>
      <w:r w:rsidRPr="00FD3699">
        <w:rPr>
          <w:color w:val="000000"/>
        </w:rPr>
        <w:t xml:space="preserve">Available at: https://www.nationalcrimeagency.gov.uk/who-we-are (Accessed: 11 January 2024). </w:t>
      </w:r>
    </w:p>
    <w:p w14:paraId="177C591C" w14:textId="77777777" w:rsidR="00595953" w:rsidRDefault="00595953">
      <w:pPr>
        <w:pBdr>
          <w:top w:val="nil"/>
          <w:left w:val="nil"/>
          <w:bottom w:val="nil"/>
          <w:right w:val="nil"/>
          <w:between w:val="nil"/>
        </w:pBdr>
        <w:spacing w:line="240" w:lineRule="auto"/>
        <w:ind w:left="720" w:hanging="720"/>
        <w:rPr>
          <w:color w:val="000000"/>
        </w:rPr>
      </w:pPr>
      <w:r>
        <w:rPr>
          <w:color w:val="000000"/>
        </w:rPr>
        <w:t xml:space="preserve">Ousey, G.C. and </w:t>
      </w:r>
      <w:proofErr w:type="spellStart"/>
      <w:r>
        <w:rPr>
          <w:color w:val="000000"/>
        </w:rPr>
        <w:t>Kubrin</w:t>
      </w:r>
      <w:proofErr w:type="spellEnd"/>
      <w:r>
        <w:rPr>
          <w:color w:val="000000"/>
        </w:rPr>
        <w:t>, C.E., 2018. Immigration and crime: Assessing a contentious issue. </w:t>
      </w:r>
      <w:r>
        <w:rPr>
          <w:i/>
          <w:color w:val="000000"/>
        </w:rPr>
        <w:t>Annual Review of Criminology</w:t>
      </w:r>
      <w:r>
        <w:rPr>
          <w:color w:val="000000"/>
        </w:rPr>
        <w:t>, </w:t>
      </w:r>
      <w:r>
        <w:rPr>
          <w:i/>
          <w:color w:val="000000"/>
        </w:rPr>
        <w:t>1</w:t>
      </w:r>
      <w:r>
        <w:rPr>
          <w:color w:val="000000"/>
        </w:rPr>
        <w:t>, pp.63-84.</w:t>
      </w:r>
    </w:p>
    <w:p w14:paraId="171F49AB" w14:textId="77777777" w:rsidR="00595953" w:rsidRDefault="00595953">
      <w:pPr>
        <w:pBdr>
          <w:top w:val="nil"/>
          <w:left w:val="nil"/>
          <w:bottom w:val="nil"/>
          <w:right w:val="nil"/>
          <w:between w:val="nil"/>
        </w:pBdr>
        <w:spacing w:line="240" w:lineRule="auto"/>
        <w:ind w:left="720" w:hanging="720"/>
        <w:rPr>
          <w:color w:val="000000"/>
        </w:rPr>
      </w:pPr>
      <w:r>
        <w:rPr>
          <w:color w:val="000000"/>
        </w:rPr>
        <w:t>Parmar, A., 2020. Borders as mirrors: Racial hierarchies and policing migration. </w:t>
      </w:r>
      <w:r>
        <w:rPr>
          <w:i/>
          <w:color w:val="000000"/>
        </w:rPr>
        <w:t>Critical Criminology</w:t>
      </w:r>
      <w:r>
        <w:rPr>
          <w:color w:val="000000"/>
        </w:rPr>
        <w:t>, </w:t>
      </w:r>
      <w:r>
        <w:rPr>
          <w:i/>
          <w:color w:val="000000"/>
        </w:rPr>
        <w:t>28</w:t>
      </w:r>
      <w:r>
        <w:rPr>
          <w:color w:val="000000"/>
        </w:rPr>
        <w:t>(2), pp.175-192.</w:t>
      </w:r>
    </w:p>
    <w:p w14:paraId="2659F406" w14:textId="77777777" w:rsidR="00595953" w:rsidRDefault="00595953">
      <w:pPr>
        <w:pBdr>
          <w:top w:val="nil"/>
          <w:left w:val="nil"/>
          <w:bottom w:val="nil"/>
          <w:right w:val="nil"/>
          <w:between w:val="nil"/>
        </w:pBdr>
        <w:spacing w:line="240" w:lineRule="auto"/>
        <w:ind w:left="720" w:hanging="720"/>
        <w:rPr>
          <w:color w:val="000000"/>
        </w:rPr>
      </w:pPr>
      <w:r>
        <w:rPr>
          <w:color w:val="000000"/>
        </w:rPr>
        <w:t>Press Office. (2018) ‘Inequality must be tackled to stop London crime surge’, </w:t>
      </w:r>
      <w:r>
        <w:rPr>
          <w:i/>
          <w:color w:val="000000"/>
        </w:rPr>
        <w:t>University of Kent</w:t>
      </w:r>
      <w:r>
        <w:rPr>
          <w:color w:val="000000"/>
        </w:rPr>
        <w:t>. Web.</w:t>
      </w:r>
    </w:p>
    <w:p w14:paraId="63F347EB" w14:textId="77777777" w:rsidR="00595953" w:rsidRDefault="00595953">
      <w:pPr>
        <w:pBdr>
          <w:top w:val="nil"/>
          <w:left w:val="nil"/>
          <w:bottom w:val="nil"/>
          <w:right w:val="nil"/>
          <w:between w:val="nil"/>
        </w:pBdr>
        <w:spacing w:line="240" w:lineRule="auto"/>
        <w:ind w:left="720" w:hanging="720"/>
        <w:rPr>
          <w:color w:val="000000"/>
        </w:rPr>
      </w:pPr>
      <w:r>
        <w:rPr>
          <w:color w:val="000000"/>
        </w:rPr>
        <w:t>Stansfield, R. and Stone, B., 2018. Threat perceptions of migrants in Britain and support for policy. </w:t>
      </w:r>
      <w:r>
        <w:rPr>
          <w:i/>
          <w:color w:val="000000"/>
        </w:rPr>
        <w:t>Sociological Perspectives</w:t>
      </w:r>
      <w:r>
        <w:rPr>
          <w:color w:val="000000"/>
        </w:rPr>
        <w:t>, </w:t>
      </w:r>
      <w:r>
        <w:rPr>
          <w:i/>
          <w:color w:val="000000"/>
        </w:rPr>
        <w:t>61</w:t>
      </w:r>
      <w:r>
        <w:rPr>
          <w:color w:val="000000"/>
        </w:rPr>
        <w:t>(4), pp.592-609.</w:t>
      </w:r>
    </w:p>
    <w:p w14:paraId="5E397CDA" w14:textId="77777777" w:rsidR="00CB102F" w:rsidRPr="002838A9" w:rsidRDefault="00CB102F" w:rsidP="002838A9">
      <w:pPr>
        <w:pBdr>
          <w:top w:val="nil"/>
          <w:left w:val="nil"/>
          <w:bottom w:val="nil"/>
          <w:right w:val="nil"/>
          <w:between w:val="nil"/>
        </w:pBdr>
        <w:spacing w:line="240" w:lineRule="auto"/>
        <w:ind w:left="720" w:hanging="720"/>
        <w:rPr>
          <w:color w:val="000000"/>
        </w:rPr>
      </w:pPr>
    </w:p>
    <w:p w14:paraId="00000038" w14:textId="2FA5FE37" w:rsidR="006739A9" w:rsidRDefault="008D16DD" w:rsidP="008D16DD">
      <w:pPr>
        <w:ind w:firstLine="0"/>
      </w:pPr>
      <w:r>
        <w:t>The Guardian (2018). Rising crime is symptom of inequality, says senior met chief. Available at:</w:t>
      </w:r>
      <w:r>
        <w:t xml:space="preserve"> </w:t>
      </w:r>
      <w:r>
        <w:t>https://www.theguardian.com/uk-news/2018/jun/14/rising-is-symptom-of-inequality-says-senior-met-chief (Accessed: 11 January 2024).</w:t>
      </w:r>
    </w:p>
    <w:sectPr w:rsidR="006739A9">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9A9"/>
    <w:rsid w:val="00093084"/>
    <w:rsid w:val="000962CC"/>
    <w:rsid w:val="000A2F2C"/>
    <w:rsid w:val="000F5184"/>
    <w:rsid w:val="00145BFC"/>
    <w:rsid w:val="0016401A"/>
    <w:rsid w:val="001A1028"/>
    <w:rsid w:val="001A68C0"/>
    <w:rsid w:val="001C0194"/>
    <w:rsid w:val="002838A9"/>
    <w:rsid w:val="002C4A21"/>
    <w:rsid w:val="002E1DE3"/>
    <w:rsid w:val="00355801"/>
    <w:rsid w:val="003E3E48"/>
    <w:rsid w:val="00506C0F"/>
    <w:rsid w:val="00595953"/>
    <w:rsid w:val="005A33A9"/>
    <w:rsid w:val="005B0031"/>
    <w:rsid w:val="005B398D"/>
    <w:rsid w:val="005E51EA"/>
    <w:rsid w:val="006739A9"/>
    <w:rsid w:val="006C35FD"/>
    <w:rsid w:val="006F1151"/>
    <w:rsid w:val="006F5B5C"/>
    <w:rsid w:val="00703405"/>
    <w:rsid w:val="00725A49"/>
    <w:rsid w:val="00791054"/>
    <w:rsid w:val="007A5418"/>
    <w:rsid w:val="00820674"/>
    <w:rsid w:val="00836516"/>
    <w:rsid w:val="008D16DD"/>
    <w:rsid w:val="008E42E4"/>
    <w:rsid w:val="00AE11F1"/>
    <w:rsid w:val="00AF6B2C"/>
    <w:rsid w:val="00B238B5"/>
    <w:rsid w:val="00B66394"/>
    <w:rsid w:val="00B91ECF"/>
    <w:rsid w:val="00BD63EE"/>
    <w:rsid w:val="00BE0DD1"/>
    <w:rsid w:val="00C122C5"/>
    <w:rsid w:val="00C459D3"/>
    <w:rsid w:val="00C607EA"/>
    <w:rsid w:val="00CA55BC"/>
    <w:rsid w:val="00CB102F"/>
    <w:rsid w:val="00CB4163"/>
    <w:rsid w:val="00D52664"/>
    <w:rsid w:val="00D965CF"/>
    <w:rsid w:val="00DB23B6"/>
    <w:rsid w:val="00DD1D68"/>
    <w:rsid w:val="00DE21CE"/>
    <w:rsid w:val="00DE45BE"/>
    <w:rsid w:val="00DF15A1"/>
    <w:rsid w:val="00E40BC0"/>
    <w:rsid w:val="00F1001E"/>
    <w:rsid w:val="00F62751"/>
    <w:rsid w:val="00F97D7D"/>
    <w:rsid w:val="00FD3699"/>
    <w:rsid w:val="00FD50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1FB08E"/>
  <w15:docId w15:val="{9CCD6A11-BD27-4C66-AAE8-C3317653B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before="120" w:after="120" w:line="36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ind w:firstLine="0"/>
      <w:outlineLvl w:val="0"/>
    </w:pPr>
    <w:rPr>
      <w:b/>
      <w:color w:val="000000"/>
    </w:rPr>
  </w:style>
  <w:style w:type="paragraph" w:styleId="Heading2">
    <w:name w:val="heading 2"/>
    <w:basedOn w:val="Normal"/>
    <w:next w:val="Normal"/>
    <w:uiPriority w:val="9"/>
    <w:semiHidden/>
    <w:unhideWhenUsed/>
    <w:qFormat/>
    <w:pPr>
      <w:keepNext/>
      <w:keepLines/>
      <w:ind w:firstLine="0"/>
      <w:outlineLvl w:val="1"/>
    </w:pPr>
    <w:rPr>
      <w:b/>
      <w:i/>
    </w:rPr>
  </w:style>
  <w:style w:type="paragraph" w:styleId="Heading3">
    <w:name w:val="heading 3"/>
    <w:basedOn w:val="Normal"/>
    <w:next w:val="Normal"/>
    <w:uiPriority w:val="9"/>
    <w:semiHidden/>
    <w:unhideWhenUsed/>
    <w:qFormat/>
    <w:pPr>
      <w:keepNext/>
      <w:keepLines/>
      <w:ind w:firstLine="0"/>
      <w:outlineLvl w:val="2"/>
    </w:pPr>
    <w:rPr>
      <w:i/>
      <w:color w:val="00000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7060005">
      <w:bodyDiv w:val="1"/>
      <w:marLeft w:val="0"/>
      <w:marRight w:val="0"/>
      <w:marTop w:val="0"/>
      <w:marBottom w:val="0"/>
      <w:divBdr>
        <w:top w:val="none" w:sz="0" w:space="0" w:color="auto"/>
        <w:left w:val="none" w:sz="0" w:space="0" w:color="auto"/>
        <w:bottom w:val="none" w:sz="0" w:space="0" w:color="auto"/>
        <w:right w:val="none" w:sz="0" w:space="0" w:color="auto"/>
      </w:divBdr>
    </w:div>
    <w:div w:id="1146316737">
      <w:bodyDiv w:val="1"/>
      <w:marLeft w:val="0"/>
      <w:marRight w:val="0"/>
      <w:marTop w:val="0"/>
      <w:marBottom w:val="0"/>
      <w:divBdr>
        <w:top w:val="none" w:sz="0" w:space="0" w:color="auto"/>
        <w:left w:val="none" w:sz="0" w:space="0" w:color="auto"/>
        <w:bottom w:val="none" w:sz="0" w:space="0" w:color="auto"/>
        <w:right w:val="none" w:sz="0" w:space="0" w:color="auto"/>
      </w:divBdr>
    </w:div>
    <w:div w:id="114944076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theguardian.com/uk-news/2018/jun/14/rising-is-symptom-of-inequality-says-senior-met-chief"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j0N9brA8MFuFhFItVwoJUCnhrQ==">CgMxLjAyCGguZ2pkZ3hzOAByITE5VHhDYklDTTVXS3NPbXNIQktnR2NjbWNtNmMtU0NvaA==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106</TotalTime>
  <Pages>8</Pages>
  <Words>2611</Words>
  <Characters>14938</Characters>
  <Application>Microsoft Office Word</Application>
  <DocSecurity>0</DocSecurity>
  <Lines>222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nilufa</dc:creator>
  <cp:lastModifiedBy>nilufa begum</cp:lastModifiedBy>
  <cp:revision>32</cp:revision>
  <dcterms:created xsi:type="dcterms:W3CDTF">2024-01-12T16:51:00Z</dcterms:created>
  <dcterms:modified xsi:type="dcterms:W3CDTF">2024-01-12T23:17:00Z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d1ecf2a7c86d2e643eca2a2c8f3c3afad24cd9c7e197989cdacaf48d1ed356ef</vt:lpwstr>
  </property>
</Properties>
</file>