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2A96BA" w14:textId="77777777" w:rsidR="00C974D9" w:rsidRDefault="00C974D9" w:rsidP="00FD0D47">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17/12/18</w:t>
      </w:r>
    </w:p>
    <w:p w14:paraId="21582A58" w14:textId="77777777" w:rsidR="00C974D9" w:rsidRDefault="00C974D9" w:rsidP="00C974D9">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James. A. D. Cassels.</w:t>
      </w:r>
    </w:p>
    <w:p w14:paraId="25A086CE" w14:textId="1C51245B" w:rsidR="00C974D9" w:rsidRPr="00C974D9" w:rsidRDefault="00C974D9" w:rsidP="00C974D9">
      <w:pPr>
        <w:widowControl w:val="0"/>
        <w:autoSpaceDE w:val="0"/>
        <w:autoSpaceDN w:val="0"/>
        <w:adjustRightInd w:val="0"/>
        <w:spacing w:after="200" w:line="276" w:lineRule="auto"/>
        <w:rPr>
          <w:rFonts w:ascii="Calibri" w:eastAsiaTheme="minorEastAsia" w:hAnsi="Calibri" w:cs="Calibri"/>
          <w:lang w:val="en" w:eastAsia="en-GB"/>
        </w:rPr>
      </w:pPr>
      <w:r w:rsidRPr="00C974D9">
        <w:rPr>
          <w:rFonts w:ascii="Calibri" w:eastAsiaTheme="minorEastAsia" w:hAnsi="Calibri" w:cs="Calibri"/>
          <w:lang w:val="en" w:eastAsia="en-GB"/>
        </w:rPr>
        <w:t>UWTSD Lampeter- 1602332</w:t>
      </w:r>
    </w:p>
    <w:p w14:paraId="188E113E" w14:textId="189505A4" w:rsidR="00CF6D08" w:rsidRDefault="00F94ED6"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Christian-Theology. Assignment</w:t>
      </w:r>
      <w:proofErr w:type="gramStart"/>
      <w:r>
        <w:rPr>
          <w:rFonts w:ascii="Calibri" w:eastAsiaTheme="minorEastAsia" w:hAnsi="Calibri" w:cs="Calibri"/>
          <w:lang w:val="en" w:eastAsia="en-GB"/>
        </w:rPr>
        <w:t>;</w:t>
      </w:r>
      <w:r w:rsidR="00157E7E">
        <w:rPr>
          <w:rFonts w:ascii="Calibri" w:eastAsiaTheme="minorEastAsia" w:hAnsi="Calibri" w:cs="Calibri"/>
          <w:lang w:val="en" w:eastAsia="en-GB"/>
        </w:rPr>
        <w:t>1</w:t>
      </w:r>
      <w:proofErr w:type="gramEnd"/>
      <w:r w:rsidR="00157E7E">
        <w:rPr>
          <w:rFonts w:ascii="Calibri" w:eastAsiaTheme="minorEastAsia" w:hAnsi="Calibri" w:cs="Calibri"/>
          <w:lang w:val="en" w:eastAsia="en-GB"/>
        </w:rPr>
        <w:t xml:space="preserve"> </w:t>
      </w:r>
    </w:p>
    <w:p w14:paraId="1D3848D3" w14:textId="77777777" w:rsidR="00CF6D08" w:rsidRPr="00FD0D47"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bookmarkStart w:id="0" w:name="_Hlk532654175"/>
      <w:r w:rsidRPr="00FD0D47">
        <w:rPr>
          <w:rFonts w:ascii="Calibri" w:eastAsiaTheme="minorEastAsia" w:hAnsi="Calibri" w:cs="Calibri"/>
          <w:lang w:val="en" w:eastAsia="en-GB"/>
        </w:rPr>
        <w:t>What is the nature of theology as an academic discipline? is it a science? and if so, what kind of science is it?</w:t>
      </w:r>
    </w:p>
    <w:bookmarkEnd w:id="0"/>
    <w:p w14:paraId="134E7D34" w14:textId="77777777" w:rsidR="00CF6D08" w:rsidRPr="00C6790C"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Introduction;</w:t>
      </w:r>
    </w:p>
    <w:p w14:paraId="4525F05C" w14:textId="6242F385" w:rsidR="00CF6D08"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 xml:space="preserve">The aim of </w:t>
      </w:r>
      <w:r w:rsidRPr="00C6790C">
        <w:rPr>
          <w:rFonts w:ascii="Calibri" w:eastAsiaTheme="minorEastAsia" w:hAnsi="Calibri" w:cs="Calibri"/>
          <w:lang w:val="en" w:eastAsia="en-GB"/>
        </w:rPr>
        <w:t>Christian theology</w:t>
      </w:r>
      <w:r>
        <w:rPr>
          <w:rFonts w:ascii="Calibri" w:eastAsiaTheme="minorEastAsia" w:hAnsi="Calibri" w:cs="Calibri"/>
          <w:lang w:val="en" w:eastAsia="en-GB"/>
        </w:rPr>
        <w:t xml:space="preserve"> is towards distinguishing and interpreting divine truth by studying the works of God within the book of nature and the holy scriptures. </w:t>
      </w:r>
      <w:r>
        <w:rPr>
          <w:rStyle w:val="FootnoteReference"/>
          <w:rFonts w:ascii="Calibri" w:eastAsiaTheme="minorEastAsia" w:hAnsi="Calibri"/>
          <w:lang w:val="en" w:eastAsia="en-GB"/>
        </w:rPr>
        <w:footnoteReference w:id="1"/>
      </w:r>
      <w:r>
        <w:rPr>
          <w:rFonts w:ascii="Calibri" w:eastAsiaTheme="minorEastAsia" w:hAnsi="Calibri" w:cs="Calibri"/>
          <w:lang w:val="en" w:eastAsia="en-GB"/>
        </w:rPr>
        <w:t>,</w:t>
      </w:r>
      <w:r>
        <w:rPr>
          <w:rStyle w:val="EndnoteReference"/>
          <w:rFonts w:ascii="Calibri" w:eastAsiaTheme="minorEastAsia" w:hAnsi="Calibri" w:cs="Calibri"/>
          <w:lang w:val="en" w:eastAsia="en-GB"/>
        </w:rPr>
        <w:endnoteReference w:id="1"/>
      </w:r>
      <w:r>
        <w:rPr>
          <w:rFonts w:ascii="Calibri" w:eastAsiaTheme="minorEastAsia" w:hAnsi="Calibri" w:cs="Calibri"/>
          <w:lang w:val="en" w:eastAsia="en-GB"/>
        </w:rPr>
        <w:t xml:space="preserve"> Its history </w:t>
      </w:r>
      <w:r w:rsidRPr="00C6790C">
        <w:rPr>
          <w:rFonts w:ascii="Calibri" w:eastAsiaTheme="minorEastAsia" w:hAnsi="Calibri" w:cs="Calibri"/>
          <w:lang w:val="en" w:eastAsia="en-GB"/>
        </w:rPr>
        <w:t xml:space="preserve">parallels the </w:t>
      </w:r>
      <w:r>
        <w:rPr>
          <w:rFonts w:ascii="Calibri" w:eastAsiaTheme="minorEastAsia" w:hAnsi="Calibri" w:cs="Calibri"/>
          <w:lang w:val="en" w:eastAsia="en-GB"/>
        </w:rPr>
        <w:t>earliest</w:t>
      </w:r>
      <w:r w:rsidRPr="00C6790C">
        <w:rPr>
          <w:rFonts w:ascii="Calibri" w:eastAsiaTheme="minorEastAsia" w:hAnsi="Calibri" w:cs="Calibri"/>
          <w:lang w:val="en" w:eastAsia="en-GB"/>
        </w:rPr>
        <w:t xml:space="preserve"> </w:t>
      </w:r>
      <w:r w:rsidR="00245B82">
        <w:rPr>
          <w:rFonts w:ascii="Calibri" w:eastAsiaTheme="minorEastAsia" w:hAnsi="Calibri" w:cs="Calibri"/>
          <w:lang w:val="en" w:eastAsia="en-GB"/>
        </w:rPr>
        <w:t xml:space="preserve">New Testament </w:t>
      </w:r>
      <w:r>
        <w:rPr>
          <w:rFonts w:ascii="Calibri" w:eastAsiaTheme="minorEastAsia" w:hAnsi="Calibri" w:cs="Calibri"/>
          <w:lang w:val="en" w:eastAsia="en-GB"/>
        </w:rPr>
        <w:t xml:space="preserve">Bible </w:t>
      </w:r>
      <w:r w:rsidRPr="00C6790C">
        <w:rPr>
          <w:rFonts w:ascii="Calibri" w:eastAsiaTheme="minorEastAsia" w:hAnsi="Calibri" w:cs="Calibri"/>
          <w:lang w:val="en" w:eastAsia="en-GB"/>
        </w:rPr>
        <w:t>scriptures - the Philippians</w:t>
      </w:r>
      <w:r w:rsidR="00F94ED6">
        <w:rPr>
          <w:rFonts w:ascii="Calibri" w:eastAsiaTheme="minorEastAsia" w:hAnsi="Calibri" w:cs="Calibri"/>
          <w:lang w:val="en" w:eastAsia="en-GB"/>
        </w:rPr>
        <w:t xml:space="preserve"> (</w:t>
      </w:r>
      <w:r w:rsidRPr="00C6790C">
        <w:rPr>
          <w:rFonts w:ascii="Calibri" w:eastAsiaTheme="minorEastAsia" w:hAnsi="Calibri" w:cs="Calibri"/>
          <w:lang w:val="en" w:eastAsia="en-GB"/>
        </w:rPr>
        <w:t>51-AD</w:t>
      </w:r>
      <w:r w:rsidR="00F94ED6">
        <w:rPr>
          <w:rFonts w:ascii="Calibri" w:eastAsiaTheme="minorEastAsia" w:hAnsi="Calibri" w:cs="Calibri"/>
          <w:lang w:val="en" w:eastAsia="en-GB"/>
        </w:rPr>
        <w:t>)</w:t>
      </w:r>
      <w:r>
        <w:rPr>
          <w:rFonts w:ascii="Calibri" w:eastAsiaTheme="minorEastAsia" w:hAnsi="Calibri" w:cs="Calibri"/>
          <w:lang w:val="en" w:eastAsia="en-GB"/>
        </w:rPr>
        <w:t>.</w:t>
      </w:r>
      <w:r w:rsidRPr="00C6790C">
        <w:rPr>
          <w:rFonts w:ascii="Calibri" w:eastAsiaTheme="minorEastAsia" w:hAnsi="Calibri" w:cs="Calibri"/>
          <w:lang w:val="en" w:eastAsia="en-GB"/>
        </w:rPr>
        <w:t xml:space="preserve"> </w:t>
      </w:r>
      <w:r w:rsidRPr="00C6790C">
        <w:rPr>
          <w:rFonts w:ascii="Calibri" w:eastAsiaTheme="minorEastAsia" w:hAnsi="Calibri" w:cs="Calibri"/>
          <w:vertAlign w:val="superscript"/>
          <w:lang w:val="en" w:eastAsia="en-GB"/>
        </w:rPr>
        <w:footnoteReference w:id="2"/>
      </w:r>
      <w:r w:rsidRPr="00C6790C">
        <w:rPr>
          <w:rFonts w:ascii="Calibri" w:eastAsiaTheme="minorEastAsia" w:hAnsi="Calibri" w:cs="Calibri"/>
          <w:lang w:val="en" w:eastAsia="en-GB"/>
        </w:rPr>
        <w:t xml:space="preserve"> Since</w:t>
      </w:r>
      <w:r>
        <w:rPr>
          <w:rFonts w:ascii="Calibri" w:eastAsiaTheme="minorEastAsia" w:hAnsi="Calibri" w:cs="Calibri"/>
          <w:lang w:val="en" w:eastAsia="en-GB"/>
        </w:rPr>
        <w:t xml:space="preserve"> then,</w:t>
      </w:r>
      <w:r w:rsidRPr="00C6790C">
        <w:rPr>
          <w:rFonts w:ascii="Calibri" w:eastAsiaTheme="minorEastAsia" w:hAnsi="Calibri" w:cs="Calibri"/>
          <w:lang w:val="en" w:eastAsia="en-GB"/>
        </w:rPr>
        <w:t xml:space="preserve"> theological dogmas have evolved by</w:t>
      </w:r>
      <w:r>
        <w:rPr>
          <w:rFonts w:ascii="Calibri" w:eastAsiaTheme="minorEastAsia" w:hAnsi="Calibri" w:cs="Calibri"/>
          <w:lang w:val="en" w:eastAsia="en-GB"/>
        </w:rPr>
        <w:t xml:space="preserve"> </w:t>
      </w:r>
      <w:r w:rsidRPr="00C6790C">
        <w:rPr>
          <w:rFonts w:ascii="Calibri" w:eastAsiaTheme="minorEastAsia" w:hAnsi="Calibri" w:cs="Calibri"/>
          <w:lang w:val="en" w:eastAsia="en-GB"/>
        </w:rPr>
        <w:t>contention</w:t>
      </w:r>
      <w:r>
        <w:rPr>
          <w:rFonts w:ascii="Calibri" w:eastAsiaTheme="minorEastAsia" w:hAnsi="Calibri" w:cs="Calibri"/>
          <w:lang w:val="en" w:eastAsia="en-GB"/>
        </w:rPr>
        <w:t xml:space="preserve">s both within and between Christian </w:t>
      </w:r>
      <w:r w:rsidRPr="00C6790C">
        <w:rPr>
          <w:rFonts w:ascii="Calibri" w:eastAsiaTheme="minorEastAsia" w:hAnsi="Calibri" w:cs="Calibri"/>
          <w:lang w:val="en" w:eastAsia="en-GB"/>
        </w:rPr>
        <w:t>denomination</w:t>
      </w:r>
      <w:r>
        <w:rPr>
          <w:rFonts w:ascii="Calibri" w:eastAsiaTheme="minorEastAsia" w:hAnsi="Calibri" w:cs="Calibri"/>
          <w:lang w:val="en" w:eastAsia="en-GB"/>
        </w:rPr>
        <w:t>s</w:t>
      </w:r>
      <w:r w:rsidRPr="00C6790C">
        <w:rPr>
          <w:rFonts w:ascii="Calibri" w:eastAsiaTheme="minorEastAsia" w:hAnsi="Calibri" w:cs="Calibri"/>
          <w:lang w:val="en" w:eastAsia="en-GB"/>
        </w:rPr>
        <w:t>, however</w:t>
      </w:r>
      <w:r>
        <w:rPr>
          <w:rFonts w:ascii="Calibri" w:eastAsiaTheme="minorEastAsia" w:hAnsi="Calibri" w:cs="Calibri"/>
          <w:lang w:val="en" w:eastAsia="en-GB"/>
        </w:rPr>
        <w:t>, in contrast to modern-world science, theology’s</w:t>
      </w:r>
      <w:r w:rsidRPr="00C6790C">
        <w:rPr>
          <w:rFonts w:ascii="Calibri" w:eastAsiaTheme="minorEastAsia" w:hAnsi="Calibri" w:cs="Calibri"/>
          <w:lang w:val="en" w:eastAsia="en-GB"/>
        </w:rPr>
        <w:t xml:space="preserve"> methodology and orientation remain unchanged.</w:t>
      </w:r>
      <w:r>
        <w:rPr>
          <w:rFonts w:ascii="Calibri" w:eastAsiaTheme="minorEastAsia" w:hAnsi="Calibri" w:cs="Calibri"/>
          <w:lang w:val="en" w:eastAsia="en-GB"/>
        </w:rPr>
        <w:t xml:space="preserve"> </w:t>
      </w:r>
      <w:r>
        <w:rPr>
          <w:rStyle w:val="EndnoteReference"/>
          <w:rFonts w:ascii="Calibri" w:eastAsiaTheme="minorEastAsia" w:hAnsi="Calibri" w:cs="Calibri"/>
          <w:lang w:val="en" w:eastAsia="en-GB"/>
        </w:rPr>
        <w:endnoteReference w:id="2"/>
      </w:r>
    </w:p>
    <w:p w14:paraId="5B82C34D" w14:textId="1E813619" w:rsidR="00CF6D08" w:rsidRPr="00B03911"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 xml:space="preserve">Revered in the medieval-world as ‘the-Queen-of-Sciences’. </w:t>
      </w:r>
      <w:r>
        <w:rPr>
          <w:rStyle w:val="FootnoteReference"/>
          <w:rFonts w:ascii="Calibri" w:eastAsiaTheme="minorEastAsia" w:hAnsi="Calibri"/>
          <w:lang w:val="en" w:eastAsia="en-GB"/>
        </w:rPr>
        <w:footnoteReference w:id="3"/>
      </w:r>
      <w:r>
        <w:rPr>
          <w:rFonts w:ascii="Calibri" w:eastAsiaTheme="minorEastAsia" w:hAnsi="Calibri" w:cs="Calibri"/>
          <w:lang w:val="en" w:eastAsia="en-GB"/>
        </w:rPr>
        <w:t xml:space="preserve"> Theology - c</w:t>
      </w:r>
      <w:r w:rsidRPr="00B03911">
        <w:rPr>
          <w:rFonts w:ascii="Calibri" w:eastAsiaTheme="minorEastAsia" w:hAnsi="Calibri" w:cs="Calibri"/>
          <w:lang w:val="en" w:eastAsia="en-GB"/>
        </w:rPr>
        <w:t>onjunct</w:t>
      </w:r>
      <w:r>
        <w:rPr>
          <w:rFonts w:ascii="Calibri" w:eastAsiaTheme="minorEastAsia" w:hAnsi="Calibri" w:cs="Calibri"/>
          <w:lang w:val="en" w:eastAsia="en-GB"/>
        </w:rPr>
        <w:t>s</w:t>
      </w:r>
      <w:r w:rsidRPr="00B03911">
        <w:rPr>
          <w:rFonts w:ascii="Calibri" w:eastAsiaTheme="minorEastAsia" w:hAnsi="Calibri" w:cs="Calibri"/>
          <w:lang w:val="en" w:eastAsia="en-GB"/>
        </w:rPr>
        <w:t xml:space="preserve"> the Ancient Greek </w:t>
      </w:r>
      <w:r w:rsidRPr="00B03911">
        <w:rPr>
          <w:rFonts w:ascii="Calibri" w:eastAsiaTheme="minorEastAsia" w:hAnsi="Calibri" w:cs="Calibri"/>
          <w:i/>
          <w:iCs/>
          <w:lang w:val="en" w:eastAsia="en-GB"/>
        </w:rPr>
        <w:t>Theo</w:t>
      </w:r>
      <w:r w:rsidRPr="00B03911">
        <w:rPr>
          <w:rFonts w:ascii="Calibri" w:eastAsiaTheme="minorEastAsia" w:hAnsi="Calibri" w:cs="Calibri"/>
          <w:lang w:val="en" w:eastAsia="en-GB"/>
        </w:rPr>
        <w:t>, meaning God, with the suffix</w:t>
      </w:r>
      <w:r w:rsidRPr="00B03911">
        <w:rPr>
          <w:rFonts w:ascii="Calibri" w:eastAsiaTheme="minorEastAsia" w:hAnsi="Calibri" w:cs="Calibri"/>
          <w:i/>
          <w:iCs/>
          <w:lang w:val="en" w:eastAsia="en-GB"/>
        </w:rPr>
        <w:t>-logy</w:t>
      </w:r>
      <w:r w:rsidRPr="00B03911">
        <w:rPr>
          <w:rFonts w:ascii="Calibri" w:eastAsiaTheme="minorEastAsia" w:hAnsi="Calibri" w:cs="Calibri"/>
          <w:lang w:val="en" w:eastAsia="en-GB"/>
        </w:rPr>
        <w:t xml:space="preserve">, from the Greek - </w:t>
      </w:r>
      <w:r w:rsidRPr="00B03911">
        <w:rPr>
          <w:rFonts w:ascii="Calibri" w:eastAsiaTheme="minorEastAsia" w:hAnsi="Calibri" w:cs="Calibri"/>
          <w:i/>
          <w:iCs/>
          <w:lang w:val="en" w:eastAsia="en-GB"/>
        </w:rPr>
        <w:t>logia</w:t>
      </w:r>
      <w:r w:rsidRPr="00B03911">
        <w:rPr>
          <w:rFonts w:ascii="Calibri" w:eastAsiaTheme="minorEastAsia" w:hAnsi="Calibri" w:cs="Calibri"/>
          <w:lang w:val="en" w:eastAsia="en-GB"/>
        </w:rPr>
        <w:t>, meaning subject or branch of study</w:t>
      </w:r>
      <w:r>
        <w:rPr>
          <w:rFonts w:ascii="Calibri" w:eastAsiaTheme="minorEastAsia" w:hAnsi="Calibri" w:cs="Calibri"/>
          <w:lang w:val="en" w:eastAsia="en-GB"/>
        </w:rPr>
        <w:t xml:space="preserve"> and</w:t>
      </w:r>
      <w:r w:rsidRPr="00B03911">
        <w:rPr>
          <w:rFonts w:ascii="Calibri" w:eastAsiaTheme="minorEastAsia" w:hAnsi="Calibri" w:cs="Calibri"/>
          <w:lang w:val="en" w:eastAsia="en-GB"/>
        </w:rPr>
        <w:t xml:space="preserve"> stemming from </w:t>
      </w:r>
      <w:r w:rsidRPr="00B03911">
        <w:rPr>
          <w:rFonts w:ascii="Calibri" w:eastAsiaTheme="minorEastAsia" w:hAnsi="Calibri" w:cs="Calibri"/>
          <w:i/>
          <w:iCs/>
          <w:lang w:val="en" w:eastAsia="en-GB"/>
        </w:rPr>
        <w:t>logion</w:t>
      </w:r>
      <w:r w:rsidRPr="00B03911">
        <w:rPr>
          <w:rFonts w:ascii="Calibri" w:eastAsiaTheme="minorEastAsia" w:hAnsi="Calibri" w:cs="Calibri"/>
          <w:lang w:val="en" w:eastAsia="en-GB"/>
        </w:rPr>
        <w:t>,</w:t>
      </w:r>
      <w:r>
        <w:rPr>
          <w:rFonts w:ascii="Calibri" w:eastAsiaTheme="minorEastAsia" w:hAnsi="Calibri" w:cs="Calibri"/>
          <w:lang w:val="en" w:eastAsia="en-GB"/>
        </w:rPr>
        <w:t xml:space="preserve"> </w:t>
      </w:r>
      <w:r w:rsidRPr="00B03911">
        <w:rPr>
          <w:rFonts w:ascii="Calibri" w:eastAsiaTheme="minorEastAsia" w:hAnsi="Calibri" w:cs="Calibri"/>
          <w:lang w:val="en" w:eastAsia="en-GB"/>
        </w:rPr>
        <w:t>theologically ascribed</w:t>
      </w:r>
      <w:r>
        <w:rPr>
          <w:rFonts w:ascii="Calibri" w:eastAsiaTheme="minorEastAsia" w:hAnsi="Calibri" w:cs="Calibri"/>
          <w:lang w:val="en" w:eastAsia="en-GB"/>
        </w:rPr>
        <w:t xml:space="preserve"> to</w:t>
      </w:r>
      <w:r w:rsidRPr="00B03911">
        <w:rPr>
          <w:rFonts w:ascii="Calibri" w:eastAsiaTheme="minorEastAsia" w:hAnsi="Calibri" w:cs="Calibri"/>
          <w:lang w:val="en" w:eastAsia="en-GB"/>
        </w:rPr>
        <w:t xml:space="preserve"> </w:t>
      </w:r>
      <w:r>
        <w:rPr>
          <w:rFonts w:ascii="Calibri" w:eastAsiaTheme="minorEastAsia" w:hAnsi="Calibri" w:cs="Calibri"/>
          <w:lang w:val="en" w:eastAsia="en-GB"/>
        </w:rPr>
        <w:t>‘</w:t>
      </w:r>
      <w:r w:rsidRPr="00462B09">
        <w:rPr>
          <w:rFonts w:ascii="Calibri" w:eastAsiaTheme="minorEastAsia" w:hAnsi="Calibri" w:cs="Calibri"/>
          <w:lang w:val="en" w:eastAsia="en-GB"/>
        </w:rPr>
        <w:t>direct divine discourse</w:t>
      </w:r>
      <w:r>
        <w:rPr>
          <w:rFonts w:ascii="Calibri" w:eastAsiaTheme="minorEastAsia" w:hAnsi="Calibri" w:cs="Calibri"/>
          <w:lang w:val="en" w:eastAsia="en-GB"/>
        </w:rPr>
        <w:t xml:space="preserve">’ as the word-of-God-in-Christ. </w:t>
      </w:r>
      <w:r>
        <w:rPr>
          <w:rStyle w:val="FootnoteReference"/>
          <w:rFonts w:ascii="Calibri" w:eastAsiaTheme="minorEastAsia" w:hAnsi="Calibri"/>
          <w:lang w:val="en" w:eastAsia="en-GB"/>
        </w:rPr>
        <w:footnoteReference w:id="4"/>
      </w:r>
      <w:r>
        <w:rPr>
          <w:rFonts w:ascii="Calibri" w:eastAsiaTheme="minorEastAsia" w:hAnsi="Calibri" w:cs="Calibri"/>
          <w:lang w:val="en" w:eastAsia="en-GB"/>
        </w:rPr>
        <w:t xml:space="preserve"> Logion, in contrast to the word as recorded in the apostolic narrative canonicals of the </w:t>
      </w:r>
      <w:r w:rsidR="00157E7E">
        <w:rPr>
          <w:rFonts w:ascii="Calibri" w:eastAsiaTheme="minorEastAsia" w:hAnsi="Calibri" w:cs="Calibri"/>
          <w:lang w:val="en" w:eastAsia="en-GB"/>
        </w:rPr>
        <w:t>New Testament</w:t>
      </w:r>
      <w:r>
        <w:rPr>
          <w:rFonts w:ascii="Calibri" w:eastAsiaTheme="minorEastAsia" w:hAnsi="Calibri" w:cs="Calibri"/>
          <w:lang w:val="en" w:eastAsia="en-GB"/>
        </w:rPr>
        <w:t>, usually refers to the oral teachin</w:t>
      </w:r>
      <w:r w:rsidR="00F94ED6">
        <w:rPr>
          <w:rFonts w:ascii="Calibri" w:eastAsiaTheme="minorEastAsia" w:hAnsi="Calibri" w:cs="Calibri"/>
          <w:lang w:val="en" w:eastAsia="en-GB"/>
        </w:rPr>
        <w:t xml:space="preserve">gs of Christ, known as </w:t>
      </w:r>
      <w:proofErr w:type="spellStart"/>
      <w:r w:rsidR="00F94ED6">
        <w:rPr>
          <w:rFonts w:ascii="Calibri" w:eastAsiaTheme="minorEastAsia" w:hAnsi="Calibri" w:cs="Calibri"/>
          <w:lang w:val="en" w:eastAsia="en-GB"/>
        </w:rPr>
        <w:t>Agrapha</w:t>
      </w:r>
      <w:proofErr w:type="spellEnd"/>
      <w:r w:rsidR="00F94ED6">
        <w:rPr>
          <w:rFonts w:ascii="Calibri" w:eastAsiaTheme="minorEastAsia" w:hAnsi="Calibri" w:cs="Calibri"/>
          <w:lang w:val="en" w:eastAsia="en-GB"/>
        </w:rPr>
        <w:t xml:space="preserve"> (</w:t>
      </w:r>
      <w:r>
        <w:rPr>
          <w:rFonts w:ascii="Calibri" w:eastAsiaTheme="minorEastAsia" w:hAnsi="Calibri" w:cs="Calibri"/>
          <w:lang w:val="en" w:eastAsia="en-GB"/>
        </w:rPr>
        <w:t>La</w:t>
      </w:r>
      <w:r w:rsidR="00F94ED6">
        <w:rPr>
          <w:rFonts w:ascii="Calibri" w:eastAsiaTheme="minorEastAsia" w:hAnsi="Calibri" w:cs="Calibri"/>
          <w:lang w:val="en" w:eastAsia="en-GB"/>
        </w:rPr>
        <w:t>tin)</w:t>
      </w:r>
      <w:r>
        <w:rPr>
          <w:rFonts w:ascii="Calibri" w:eastAsiaTheme="minorEastAsia" w:hAnsi="Calibri" w:cs="Calibri"/>
          <w:lang w:val="en" w:eastAsia="en-GB"/>
        </w:rPr>
        <w:t xml:space="preserve">. </w:t>
      </w:r>
      <w:r>
        <w:rPr>
          <w:rStyle w:val="FootnoteReference"/>
          <w:rFonts w:ascii="Calibri" w:eastAsiaTheme="minorEastAsia" w:hAnsi="Calibri"/>
          <w:lang w:val="en" w:eastAsia="en-GB"/>
        </w:rPr>
        <w:footnoteReference w:id="5"/>
      </w:r>
      <w:r>
        <w:rPr>
          <w:rFonts w:ascii="Calibri" w:eastAsiaTheme="minorEastAsia" w:hAnsi="Calibri" w:cs="Calibri"/>
          <w:lang w:val="en" w:eastAsia="en-GB"/>
        </w:rPr>
        <w:t xml:space="preserve"> ‘</w:t>
      </w:r>
      <w:r w:rsidRPr="008B5DD8">
        <w:rPr>
          <w:rFonts w:ascii="Calibri" w:eastAsiaTheme="minorEastAsia" w:hAnsi="Calibri" w:cs="Calibri"/>
          <w:i/>
          <w:lang w:val="en" w:eastAsia="en-GB"/>
        </w:rPr>
        <w:t>logy</w:t>
      </w:r>
      <w:r>
        <w:rPr>
          <w:rFonts w:ascii="Calibri" w:eastAsiaTheme="minorEastAsia" w:hAnsi="Calibri" w:cs="Calibri"/>
          <w:lang w:val="en" w:eastAsia="en-GB"/>
        </w:rPr>
        <w:t xml:space="preserve"> is r</w:t>
      </w:r>
      <w:r w:rsidRPr="00B03911">
        <w:rPr>
          <w:rFonts w:ascii="Calibri" w:eastAsiaTheme="minorEastAsia" w:hAnsi="Calibri" w:cs="Calibri"/>
          <w:lang w:val="en" w:eastAsia="en-GB"/>
        </w:rPr>
        <w:t>elat</w:t>
      </w:r>
      <w:r>
        <w:rPr>
          <w:rFonts w:ascii="Calibri" w:eastAsiaTheme="minorEastAsia" w:hAnsi="Calibri" w:cs="Calibri"/>
          <w:lang w:val="en" w:eastAsia="en-GB"/>
        </w:rPr>
        <w:t>ive</w:t>
      </w:r>
      <w:r w:rsidRPr="00B03911">
        <w:rPr>
          <w:rFonts w:ascii="Calibri" w:eastAsiaTheme="minorEastAsia" w:hAnsi="Calibri" w:cs="Calibri"/>
          <w:lang w:val="en" w:eastAsia="en-GB"/>
        </w:rPr>
        <w:t xml:space="preserve"> to the Greek </w:t>
      </w:r>
      <w:r>
        <w:rPr>
          <w:rFonts w:ascii="Calibri" w:eastAsiaTheme="minorEastAsia" w:hAnsi="Calibri" w:cs="Calibri"/>
          <w:lang w:val="en" w:eastAsia="en-GB"/>
        </w:rPr>
        <w:t xml:space="preserve">noun </w:t>
      </w:r>
      <w:r w:rsidRPr="00B03911">
        <w:rPr>
          <w:rFonts w:ascii="Calibri" w:eastAsiaTheme="minorEastAsia" w:hAnsi="Calibri" w:cs="Calibri"/>
          <w:i/>
          <w:iCs/>
          <w:lang w:val="en" w:eastAsia="en-GB"/>
        </w:rPr>
        <w:t>logos,</w:t>
      </w:r>
      <w:r w:rsidRPr="00B03911">
        <w:rPr>
          <w:rFonts w:ascii="Calibri" w:eastAsiaTheme="minorEastAsia" w:hAnsi="Calibri" w:cs="Calibri"/>
          <w:lang w:val="en" w:eastAsia="en-GB"/>
        </w:rPr>
        <w:t xml:space="preserve"> meaning word, reason or plan</w:t>
      </w:r>
      <w:r>
        <w:rPr>
          <w:rFonts w:ascii="Calibri" w:eastAsiaTheme="minorEastAsia" w:hAnsi="Calibri" w:cs="Calibri"/>
          <w:lang w:val="en" w:eastAsia="en-GB"/>
        </w:rPr>
        <w:t>.</w:t>
      </w:r>
      <w:r w:rsidRPr="00B03911">
        <w:rPr>
          <w:rFonts w:ascii="Calibri" w:eastAsiaTheme="minorEastAsia" w:hAnsi="Calibri" w:cs="Calibri"/>
          <w:lang w:val="en" w:eastAsia="en-GB"/>
        </w:rPr>
        <w:t xml:space="preserve"> Ecclesiastically</w:t>
      </w:r>
      <w:r>
        <w:rPr>
          <w:rFonts w:ascii="Calibri" w:eastAsiaTheme="minorEastAsia" w:hAnsi="Calibri" w:cs="Calibri"/>
          <w:lang w:val="en" w:eastAsia="en-GB"/>
        </w:rPr>
        <w:t xml:space="preserve"> however,</w:t>
      </w:r>
      <w:r w:rsidRPr="00B03911">
        <w:rPr>
          <w:rFonts w:ascii="Calibri" w:eastAsiaTheme="minorEastAsia" w:hAnsi="Calibri" w:cs="Calibri"/>
          <w:lang w:val="en" w:eastAsia="en-GB"/>
        </w:rPr>
        <w:t xml:space="preserve"> logos </w:t>
      </w:r>
      <w:r>
        <w:rPr>
          <w:rFonts w:ascii="Calibri" w:eastAsiaTheme="minorEastAsia" w:hAnsi="Calibri" w:cs="Calibri"/>
          <w:lang w:val="en" w:eastAsia="en-GB"/>
        </w:rPr>
        <w:t>specifie</w:t>
      </w:r>
      <w:r w:rsidRPr="00B03911">
        <w:rPr>
          <w:rFonts w:ascii="Calibri" w:eastAsiaTheme="minorEastAsia" w:hAnsi="Calibri" w:cs="Calibri"/>
          <w:lang w:val="en" w:eastAsia="en-GB"/>
        </w:rPr>
        <w:t xml:space="preserve">s a far greater eminence, </w:t>
      </w:r>
      <w:r>
        <w:rPr>
          <w:rFonts w:ascii="Calibri" w:eastAsiaTheme="minorEastAsia" w:hAnsi="Calibri" w:cs="Calibri"/>
          <w:lang w:val="en" w:eastAsia="en-GB"/>
        </w:rPr>
        <w:t>exemplified in passage</w:t>
      </w:r>
      <w:r w:rsidRPr="00B03911">
        <w:rPr>
          <w:rFonts w:ascii="Calibri" w:eastAsiaTheme="minorEastAsia" w:hAnsi="Calibri" w:cs="Calibri"/>
          <w:lang w:val="en" w:eastAsia="en-GB"/>
        </w:rPr>
        <w:t xml:space="preserve"> 1</w:t>
      </w:r>
      <w:r>
        <w:rPr>
          <w:rFonts w:ascii="Calibri" w:eastAsiaTheme="minorEastAsia" w:hAnsi="Calibri" w:cs="Calibri"/>
          <w:lang w:val="en" w:eastAsia="en-GB"/>
        </w:rPr>
        <w:t>:</w:t>
      </w:r>
      <w:r w:rsidRPr="00B03911">
        <w:rPr>
          <w:rFonts w:ascii="Calibri" w:eastAsiaTheme="minorEastAsia" w:hAnsi="Calibri" w:cs="Calibri"/>
          <w:lang w:val="en" w:eastAsia="en-GB"/>
        </w:rPr>
        <w:t>14</w:t>
      </w:r>
      <w:r>
        <w:rPr>
          <w:rFonts w:ascii="Calibri" w:eastAsiaTheme="minorEastAsia" w:hAnsi="Calibri" w:cs="Calibri"/>
          <w:lang w:val="en" w:eastAsia="en-GB"/>
        </w:rPr>
        <w:t xml:space="preserve"> </w:t>
      </w:r>
      <w:r w:rsidRPr="00B03911">
        <w:rPr>
          <w:rFonts w:ascii="Calibri" w:eastAsiaTheme="minorEastAsia" w:hAnsi="Calibri" w:cs="Calibri"/>
          <w:lang w:val="en" w:eastAsia="en-GB"/>
        </w:rPr>
        <w:t>in the gospel of John</w:t>
      </w:r>
      <w:r>
        <w:rPr>
          <w:rFonts w:ascii="Calibri" w:eastAsiaTheme="minorEastAsia" w:hAnsi="Calibri" w:cs="Calibri"/>
          <w:lang w:val="en" w:eastAsia="en-GB"/>
        </w:rPr>
        <w:t>;</w:t>
      </w:r>
      <w:r w:rsidRPr="00EA205D">
        <w:rPr>
          <w:rFonts w:ascii="Calibri" w:eastAsiaTheme="minorEastAsia" w:hAnsi="Calibri" w:cs="Calibri"/>
          <w:b/>
          <w:lang w:val="en" w:eastAsia="en-GB"/>
        </w:rPr>
        <w:t xml:space="preserve"> </w:t>
      </w:r>
      <w:r>
        <w:rPr>
          <w:rFonts w:ascii="Calibri" w:eastAsiaTheme="minorEastAsia" w:hAnsi="Calibri" w:cs="Calibri"/>
          <w:b/>
          <w:lang w:val="en" w:eastAsia="en-GB"/>
        </w:rPr>
        <w:t>‘</w:t>
      </w:r>
      <w:r>
        <w:rPr>
          <w:rFonts w:ascii="Calibri" w:eastAsiaTheme="minorEastAsia" w:hAnsi="Calibri" w:cs="Calibri"/>
          <w:lang w:val="en" w:eastAsia="en-GB"/>
        </w:rPr>
        <w:t>I</w:t>
      </w:r>
      <w:r w:rsidRPr="00B03911">
        <w:rPr>
          <w:rFonts w:ascii="Calibri" w:eastAsiaTheme="minorEastAsia" w:hAnsi="Calibri" w:cs="Calibri"/>
          <w:lang w:val="en" w:eastAsia="en-GB"/>
        </w:rPr>
        <w:t>n the beginning there was logos, and the logos was made flesh</w:t>
      </w:r>
      <w:r>
        <w:rPr>
          <w:rFonts w:ascii="Calibri" w:eastAsiaTheme="minorEastAsia" w:hAnsi="Calibri" w:cs="Calibri"/>
          <w:lang w:val="en" w:eastAsia="en-GB"/>
        </w:rPr>
        <w:t xml:space="preserve">’. </w:t>
      </w:r>
      <w:r>
        <w:rPr>
          <w:rStyle w:val="FootnoteReference"/>
          <w:rFonts w:ascii="Calibri" w:eastAsiaTheme="minorEastAsia" w:hAnsi="Calibri"/>
          <w:lang w:val="en" w:eastAsia="en-GB"/>
        </w:rPr>
        <w:footnoteReference w:id="6"/>
      </w:r>
      <w:r>
        <w:rPr>
          <w:rFonts w:ascii="Calibri" w:eastAsiaTheme="minorEastAsia" w:hAnsi="Calibri" w:cs="Calibri"/>
          <w:lang w:val="en" w:eastAsia="en-GB"/>
        </w:rPr>
        <w:t xml:space="preserve"> Simplified, this </w:t>
      </w:r>
      <w:r w:rsidRPr="00B03911">
        <w:rPr>
          <w:rFonts w:ascii="Calibri" w:eastAsiaTheme="minorEastAsia" w:hAnsi="Calibri" w:cs="Calibri"/>
          <w:lang w:val="en" w:eastAsia="en-GB"/>
        </w:rPr>
        <w:t>denot</w:t>
      </w:r>
      <w:r>
        <w:rPr>
          <w:rFonts w:ascii="Calibri" w:eastAsiaTheme="minorEastAsia" w:hAnsi="Calibri" w:cs="Calibri"/>
          <w:lang w:val="en" w:eastAsia="en-GB"/>
        </w:rPr>
        <w:t>es</w:t>
      </w:r>
      <w:r w:rsidRPr="00B03911">
        <w:rPr>
          <w:rFonts w:ascii="Calibri" w:eastAsiaTheme="minorEastAsia" w:hAnsi="Calibri" w:cs="Calibri"/>
          <w:lang w:val="en" w:eastAsia="en-GB"/>
        </w:rPr>
        <w:t xml:space="preserve"> the word of God </w:t>
      </w:r>
      <w:r>
        <w:rPr>
          <w:rFonts w:ascii="Calibri" w:eastAsiaTheme="minorEastAsia" w:hAnsi="Calibri" w:cs="Calibri"/>
          <w:lang w:val="en" w:eastAsia="en-GB"/>
        </w:rPr>
        <w:t>dwelleth in the body of</w:t>
      </w:r>
      <w:r w:rsidRPr="00B03911">
        <w:rPr>
          <w:rFonts w:ascii="Calibri" w:eastAsiaTheme="minorEastAsia" w:hAnsi="Calibri" w:cs="Calibri"/>
          <w:lang w:val="en" w:eastAsia="en-GB"/>
        </w:rPr>
        <w:t xml:space="preserve"> Christ - the flesh of the trinity of God. </w:t>
      </w:r>
      <w:r>
        <w:rPr>
          <w:rStyle w:val="FootnoteReference"/>
          <w:rFonts w:ascii="Calibri" w:eastAsiaTheme="minorEastAsia" w:hAnsi="Calibri"/>
          <w:lang w:val="en" w:eastAsia="en-GB"/>
        </w:rPr>
        <w:footnoteReference w:id="7"/>
      </w:r>
      <w:r>
        <w:rPr>
          <w:rFonts w:ascii="Calibri" w:eastAsiaTheme="minorEastAsia" w:hAnsi="Calibri" w:cs="Calibri"/>
          <w:lang w:val="en" w:eastAsia="en-GB"/>
        </w:rPr>
        <w:t xml:space="preserve"> R</w:t>
      </w:r>
      <w:r w:rsidRPr="00B03911">
        <w:rPr>
          <w:rFonts w:ascii="Calibri" w:eastAsiaTheme="minorEastAsia" w:hAnsi="Calibri" w:cs="Calibri"/>
          <w:lang w:val="en" w:eastAsia="en-GB"/>
        </w:rPr>
        <w:t>espect</w:t>
      </w:r>
      <w:r>
        <w:rPr>
          <w:rFonts w:ascii="Calibri" w:eastAsiaTheme="minorEastAsia" w:hAnsi="Calibri" w:cs="Calibri"/>
          <w:lang w:val="en" w:eastAsia="en-GB"/>
        </w:rPr>
        <w:t>ively</w:t>
      </w:r>
      <w:r w:rsidRPr="00B03911">
        <w:rPr>
          <w:rFonts w:ascii="Calibri" w:eastAsiaTheme="minorEastAsia" w:hAnsi="Calibri" w:cs="Calibri"/>
          <w:lang w:val="en" w:eastAsia="en-GB"/>
        </w:rPr>
        <w:t xml:space="preserve">, theology is defined as the word-of-God, or </w:t>
      </w:r>
      <w:r w:rsidRPr="00B03911">
        <w:rPr>
          <w:rFonts w:ascii="Calibri" w:eastAsiaTheme="minorEastAsia" w:hAnsi="Calibri" w:cs="Calibri"/>
          <w:lang w:val="en" w:eastAsia="en-GB"/>
        </w:rPr>
        <w:lastRenderedPageBreak/>
        <w:t>the word-of-God-as-God-himself</w:t>
      </w:r>
      <w:r>
        <w:rPr>
          <w:rFonts w:ascii="Calibri" w:eastAsiaTheme="minorEastAsia" w:hAnsi="Calibri" w:cs="Calibri"/>
          <w:lang w:val="en" w:eastAsia="en-GB"/>
        </w:rPr>
        <w:t xml:space="preserve">, for as proclaimed in John </w:t>
      </w:r>
      <w:r w:rsidRPr="00B03911">
        <w:rPr>
          <w:rFonts w:ascii="Calibri" w:eastAsiaTheme="minorEastAsia" w:hAnsi="Calibri" w:cs="Calibri"/>
          <w:lang w:val="en" w:eastAsia="en-GB"/>
        </w:rPr>
        <w:t>1</w:t>
      </w:r>
      <w:r>
        <w:rPr>
          <w:rFonts w:ascii="Calibri" w:eastAsiaTheme="minorEastAsia" w:hAnsi="Calibri" w:cs="Calibri"/>
          <w:lang w:val="en" w:eastAsia="en-GB"/>
        </w:rPr>
        <w:t>:</w:t>
      </w:r>
      <w:r w:rsidRPr="00B03911">
        <w:rPr>
          <w:rFonts w:ascii="Calibri" w:eastAsiaTheme="minorEastAsia" w:hAnsi="Calibri" w:cs="Calibri"/>
          <w:lang w:val="en" w:eastAsia="en-GB"/>
        </w:rPr>
        <w:t>14</w:t>
      </w:r>
      <w:r>
        <w:rPr>
          <w:rFonts w:ascii="Calibri" w:eastAsiaTheme="minorEastAsia" w:hAnsi="Calibri" w:cs="Calibri"/>
          <w:lang w:val="en" w:eastAsia="en-GB"/>
        </w:rPr>
        <w:t xml:space="preserve">, </w:t>
      </w:r>
      <w:r w:rsidRPr="003D056D">
        <w:rPr>
          <w:rFonts w:ascii="Calibri" w:eastAsiaTheme="minorEastAsia" w:hAnsi="Calibri" w:cs="Calibri"/>
          <w:i/>
          <w:lang w:val="en" w:eastAsia="en-GB"/>
        </w:rPr>
        <w:t>Theo</w:t>
      </w:r>
      <w:r w:rsidRPr="00723820">
        <w:rPr>
          <w:rFonts w:ascii="Calibri" w:eastAsiaTheme="minorEastAsia" w:hAnsi="Calibri" w:cs="Calibri"/>
          <w:lang w:val="en" w:eastAsia="en-GB"/>
        </w:rPr>
        <w:t xml:space="preserve"> and </w:t>
      </w:r>
      <w:r w:rsidR="00F94ED6">
        <w:rPr>
          <w:rFonts w:ascii="Calibri" w:eastAsiaTheme="minorEastAsia" w:hAnsi="Calibri" w:cs="Calibri"/>
          <w:i/>
          <w:lang w:val="en" w:eastAsia="en-GB"/>
        </w:rPr>
        <w:t>L</w:t>
      </w:r>
      <w:r w:rsidRPr="003D056D">
        <w:rPr>
          <w:rFonts w:ascii="Calibri" w:eastAsiaTheme="minorEastAsia" w:hAnsi="Calibri" w:cs="Calibri"/>
          <w:i/>
          <w:lang w:val="en" w:eastAsia="en-GB"/>
        </w:rPr>
        <w:t>ogos</w:t>
      </w:r>
      <w:r>
        <w:rPr>
          <w:rFonts w:ascii="Calibri" w:eastAsiaTheme="minorEastAsia" w:hAnsi="Calibri" w:cs="Calibri"/>
          <w:lang w:val="en" w:eastAsia="en-GB"/>
        </w:rPr>
        <w:t xml:space="preserve"> are intrinsic. </w:t>
      </w:r>
      <w:r>
        <w:rPr>
          <w:rStyle w:val="FootnoteReference"/>
          <w:rFonts w:ascii="Calibri" w:eastAsiaTheme="minorEastAsia" w:hAnsi="Calibri"/>
          <w:lang w:val="en" w:eastAsia="en-GB"/>
        </w:rPr>
        <w:footnoteReference w:id="8"/>
      </w:r>
      <w:r w:rsidRPr="00B03911">
        <w:rPr>
          <w:rFonts w:ascii="Calibri" w:eastAsiaTheme="minorEastAsia" w:hAnsi="Calibri" w:cs="Calibri"/>
          <w:lang w:val="en" w:eastAsia="en-GB"/>
        </w:rPr>
        <w:t xml:space="preserve"> </w:t>
      </w:r>
      <w:r w:rsidR="007E08B2">
        <w:rPr>
          <w:rFonts w:ascii="Calibri" w:eastAsiaTheme="minorEastAsia" w:hAnsi="Calibri" w:cs="Calibri"/>
          <w:lang w:val="en" w:eastAsia="en-GB"/>
        </w:rPr>
        <w:t xml:space="preserve">These </w:t>
      </w:r>
      <w:r w:rsidR="00D85E79">
        <w:rPr>
          <w:rFonts w:ascii="Calibri" w:eastAsiaTheme="minorEastAsia" w:hAnsi="Calibri" w:cs="Calibri"/>
          <w:lang w:val="en" w:eastAsia="en-GB"/>
        </w:rPr>
        <w:t xml:space="preserve">are </w:t>
      </w:r>
      <w:r w:rsidR="007E08B2">
        <w:rPr>
          <w:rFonts w:ascii="Calibri" w:eastAsiaTheme="minorEastAsia" w:hAnsi="Calibri" w:cs="Calibri"/>
          <w:lang w:val="en" w:eastAsia="en-GB"/>
        </w:rPr>
        <w:t xml:space="preserve">terminologies </w:t>
      </w:r>
      <w:r w:rsidR="00D85E79">
        <w:rPr>
          <w:rFonts w:ascii="Calibri" w:eastAsiaTheme="minorEastAsia" w:hAnsi="Calibri" w:cs="Calibri"/>
          <w:lang w:val="en" w:eastAsia="en-GB"/>
        </w:rPr>
        <w:t xml:space="preserve">that </w:t>
      </w:r>
      <w:r w:rsidR="007E08B2">
        <w:rPr>
          <w:rFonts w:ascii="Calibri" w:eastAsiaTheme="minorEastAsia" w:hAnsi="Calibri" w:cs="Calibri"/>
          <w:lang w:val="en" w:eastAsia="en-GB"/>
        </w:rPr>
        <w:t>resound</w:t>
      </w:r>
      <w:r w:rsidRPr="00B03911">
        <w:rPr>
          <w:rFonts w:ascii="Calibri" w:eastAsiaTheme="minorEastAsia" w:hAnsi="Calibri" w:cs="Calibri"/>
          <w:lang w:val="en" w:eastAsia="en-GB"/>
        </w:rPr>
        <w:t xml:space="preserve"> </w:t>
      </w:r>
      <w:r>
        <w:rPr>
          <w:rFonts w:ascii="Calibri" w:eastAsiaTheme="minorEastAsia" w:hAnsi="Calibri" w:cs="Calibri"/>
          <w:lang w:val="en" w:eastAsia="en-GB"/>
        </w:rPr>
        <w:t>with</w:t>
      </w:r>
      <w:r w:rsidR="008112FF">
        <w:rPr>
          <w:rFonts w:ascii="Calibri" w:eastAsiaTheme="minorEastAsia" w:hAnsi="Calibri" w:cs="Calibri"/>
          <w:lang w:val="en" w:eastAsia="en-GB"/>
        </w:rPr>
        <w:t>in</w:t>
      </w:r>
      <w:r>
        <w:rPr>
          <w:rFonts w:ascii="Calibri" w:eastAsiaTheme="minorEastAsia" w:hAnsi="Calibri" w:cs="Calibri"/>
          <w:lang w:val="en" w:eastAsia="en-GB"/>
        </w:rPr>
        <w:t xml:space="preserve"> </w:t>
      </w:r>
      <w:r w:rsidRPr="00B03911">
        <w:rPr>
          <w:rFonts w:ascii="Calibri" w:eastAsiaTheme="minorEastAsia" w:hAnsi="Calibri" w:cs="Calibri"/>
          <w:lang w:val="en" w:eastAsia="en-GB"/>
        </w:rPr>
        <w:t xml:space="preserve">the </w:t>
      </w:r>
      <w:r>
        <w:rPr>
          <w:rFonts w:ascii="Calibri" w:eastAsiaTheme="minorEastAsia" w:hAnsi="Calibri" w:cs="Calibri"/>
          <w:lang w:val="en" w:eastAsia="en-GB"/>
        </w:rPr>
        <w:t xml:space="preserve">works of the </w:t>
      </w:r>
      <w:r w:rsidRPr="00B03911">
        <w:rPr>
          <w:rFonts w:ascii="Calibri" w:eastAsiaTheme="minorEastAsia" w:hAnsi="Calibri" w:cs="Calibri"/>
          <w:lang w:val="en" w:eastAsia="en-GB"/>
        </w:rPr>
        <w:t>Ancient</w:t>
      </w:r>
      <w:r>
        <w:rPr>
          <w:rFonts w:ascii="Calibri" w:eastAsiaTheme="minorEastAsia" w:hAnsi="Calibri" w:cs="Calibri"/>
          <w:lang w:val="en" w:eastAsia="en-GB"/>
        </w:rPr>
        <w:t>-</w:t>
      </w:r>
      <w:r w:rsidRPr="00B03911">
        <w:rPr>
          <w:rFonts w:ascii="Calibri" w:eastAsiaTheme="minorEastAsia" w:hAnsi="Calibri" w:cs="Calibri"/>
          <w:lang w:val="en" w:eastAsia="en-GB"/>
        </w:rPr>
        <w:t xml:space="preserve">Greek monist meta-physicist Heraclitus (c.535-475 </w:t>
      </w:r>
      <w:r w:rsidRPr="00D376B8">
        <w:rPr>
          <w:rFonts w:ascii="Calibri" w:eastAsiaTheme="minorEastAsia" w:hAnsi="Calibri" w:cs="Calibri"/>
          <w:sz w:val="18"/>
          <w:szCs w:val="18"/>
          <w:lang w:val="en" w:eastAsia="en-GB"/>
        </w:rPr>
        <w:t>BCE</w:t>
      </w:r>
      <w:r w:rsidRPr="00B03911">
        <w:rPr>
          <w:rFonts w:ascii="Calibri" w:eastAsiaTheme="minorEastAsia" w:hAnsi="Calibri" w:cs="Calibri"/>
          <w:lang w:val="en" w:eastAsia="en-GB"/>
        </w:rPr>
        <w:t>), who in contrast to the quo of his contemporaries in seeking and establishing scientific explanations for the</w:t>
      </w:r>
      <w:r>
        <w:rPr>
          <w:rFonts w:ascii="Calibri" w:eastAsiaTheme="minorEastAsia" w:hAnsi="Calibri" w:cs="Calibri"/>
          <w:lang w:val="en" w:eastAsia="en-GB"/>
        </w:rPr>
        <w:t xml:space="preserve"> </w:t>
      </w:r>
      <w:r w:rsidRPr="00B03911">
        <w:rPr>
          <w:rFonts w:ascii="Calibri" w:eastAsiaTheme="minorEastAsia" w:hAnsi="Calibri" w:cs="Calibri"/>
          <w:lang w:val="en" w:eastAsia="en-GB"/>
        </w:rPr>
        <w:t xml:space="preserve">cosmological and physical natures, theorized a universal authority of a </w:t>
      </w:r>
      <w:r>
        <w:rPr>
          <w:rFonts w:ascii="Calibri" w:eastAsiaTheme="minorEastAsia" w:hAnsi="Calibri" w:cs="Calibri"/>
          <w:lang w:val="en" w:eastAsia="en-GB"/>
        </w:rPr>
        <w:t>‘</w:t>
      </w:r>
      <w:r w:rsidRPr="00E5353F">
        <w:rPr>
          <w:rFonts w:ascii="Calibri" w:eastAsiaTheme="minorEastAsia" w:hAnsi="Calibri" w:cs="Calibri"/>
          <w:lang w:val="en" w:eastAsia="en-GB"/>
        </w:rPr>
        <w:t>divine logos</w:t>
      </w:r>
      <w:r>
        <w:rPr>
          <w:rFonts w:ascii="Calibri" w:eastAsiaTheme="minorEastAsia" w:hAnsi="Calibri" w:cs="Calibri"/>
          <w:lang w:val="en" w:eastAsia="en-GB"/>
        </w:rPr>
        <w:t>’ – the source of all existence.</w:t>
      </w:r>
      <w:r w:rsidRPr="00B03911">
        <w:rPr>
          <w:rFonts w:ascii="Calibri" w:eastAsiaTheme="minorEastAsia" w:hAnsi="Calibri" w:cs="Calibri"/>
          <w:lang w:val="en" w:eastAsia="en-GB"/>
        </w:rPr>
        <w:t xml:space="preserve"> </w:t>
      </w:r>
      <w:r w:rsidR="007E08B2">
        <w:rPr>
          <w:rFonts w:ascii="Calibri" w:eastAsiaTheme="minorEastAsia" w:hAnsi="Calibri" w:cs="Calibri"/>
          <w:lang w:val="en" w:eastAsia="en-GB"/>
        </w:rPr>
        <w:t xml:space="preserve">This provides </w:t>
      </w:r>
      <w:r>
        <w:rPr>
          <w:rFonts w:ascii="Calibri" w:eastAsiaTheme="minorEastAsia" w:hAnsi="Calibri" w:cs="Calibri"/>
          <w:lang w:val="en" w:eastAsia="en-GB"/>
        </w:rPr>
        <w:t>a relative insight into the practice of theology</w:t>
      </w:r>
      <w:r w:rsidR="007E08B2">
        <w:rPr>
          <w:rFonts w:ascii="Calibri" w:eastAsiaTheme="minorEastAsia" w:hAnsi="Calibri" w:cs="Calibri"/>
          <w:lang w:val="en" w:eastAsia="en-GB"/>
        </w:rPr>
        <w:t xml:space="preserve"> 500 years </w:t>
      </w:r>
      <w:r w:rsidR="008112FF">
        <w:rPr>
          <w:rFonts w:ascii="Calibri" w:eastAsiaTheme="minorEastAsia" w:hAnsi="Calibri" w:cs="Calibri"/>
          <w:lang w:val="en" w:eastAsia="en-GB"/>
        </w:rPr>
        <w:t>prior</w:t>
      </w:r>
      <w:r w:rsidR="007E08B2">
        <w:rPr>
          <w:rFonts w:ascii="Calibri" w:eastAsiaTheme="minorEastAsia" w:hAnsi="Calibri" w:cs="Calibri"/>
          <w:lang w:val="en" w:eastAsia="en-GB"/>
        </w:rPr>
        <w:t xml:space="preserve"> Christianity</w:t>
      </w:r>
      <w:r>
        <w:rPr>
          <w:rFonts w:ascii="Calibri" w:eastAsiaTheme="minorEastAsia" w:hAnsi="Calibri" w:cs="Calibri"/>
          <w:lang w:val="en" w:eastAsia="en-GB"/>
        </w:rPr>
        <w:t>, highlighting an important factor in our primary mode of enquiry.</w:t>
      </w:r>
      <w:r w:rsidRPr="00B03911">
        <w:rPr>
          <w:rFonts w:ascii="Calibri" w:eastAsiaTheme="minorEastAsia" w:hAnsi="Calibri" w:cs="Calibri"/>
          <w:lang w:val="en" w:eastAsia="en-GB"/>
        </w:rPr>
        <w:t xml:space="preserve"> </w:t>
      </w:r>
      <w:r w:rsidR="00D85E79">
        <w:rPr>
          <w:rStyle w:val="FootnoteReference"/>
          <w:rFonts w:ascii="Calibri" w:eastAsiaTheme="minorEastAsia" w:hAnsi="Calibri"/>
          <w:lang w:val="en" w:eastAsia="en-GB"/>
        </w:rPr>
        <w:footnoteReference w:id="9"/>
      </w:r>
    </w:p>
    <w:p w14:paraId="428B3E8F" w14:textId="77777777" w:rsidR="00CF6D08" w:rsidRDefault="00CF6D08" w:rsidP="00CF6D08">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Thesis statement; </w:t>
      </w:r>
    </w:p>
    <w:p w14:paraId="72EBC8C4" w14:textId="5520CB13" w:rsidR="00CF6D08" w:rsidRPr="00913027"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hAnsi="Calibri" w:cs="Calibri"/>
          <w:lang w:val="en"/>
        </w:rPr>
        <w:t>Before proceeding, I summarize my sources, stance and orientation. Study for this assignment has mainly focused on the New-Testament-Bible, and transcr</w:t>
      </w:r>
      <w:r w:rsidR="00F94ED6">
        <w:rPr>
          <w:rFonts w:ascii="Calibri" w:hAnsi="Calibri" w:cs="Calibri"/>
          <w:lang w:val="en"/>
        </w:rPr>
        <w:t>ipts of Saint Thomas Aquinas (</w:t>
      </w:r>
      <w:r w:rsidR="008112FF">
        <w:rPr>
          <w:rFonts w:ascii="Calibri" w:hAnsi="Calibri" w:cs="Calibri"/>
          <w:lang w:val="en"/>
        </w:rPr>
        <w:t>c.</w:t>
      </w:r>
      <w:r>
        <w:rPr>
          <w:rFonts w:ascii="Calibri" w:hAnsi="Calibri" w:cs="Calibri"/>
          <w:lang w:val="en"/>
        </w:rPr>
        <w:t xml:space="preserve">1225-1274 </w:t>
      </w:r>
      <w:r w:rsidR="00F94ED6">
        <w:rPr>
          <w:rFonts w:ascii="Calibri" w:hAnsi="Calibri" w:cs="Calibri"/>
          <w:sz w:val="16"/>
          <w:szCs w:val="16"/>
          <w:lang w:val="en"/>
        </w:rPr>
        <w:t>AD</w:t>
      </w:r>
      <w:r>
        <w:rPr>
          <w:rFonts w:ascii="Calibri" w:hAnsi="Calibri" w:cs="Calibri"/>
          <w:lang w:val="en"/>
        </w:rPr>
        <w:t xml:space="preserve">) and Aristotle (c384-322 </w:t>
      </w:r>
      <w:r w:rsidRPr="003D056D">
        <w:rPr>
          <w:rFonts w:ascii="Calibri" w:hAnsi="Calibri" w:cs="Calibri"/>
          <w:sz w:val="16"/>
          <w:szCs w:val="16"/>
          <w:lang w:val="en"/>
        </w:rPr>
        <w:t>BCE</w:t>
      </w:r>
      <w:r>
        <w:rPr>
          <w:rFonts w:ascii="Calibri" w:hAnsi="Calibri" w:cs="Calibri"/>
          <w:lang w:val="en"/>
        </w:rPr>
        <w:t xml:space="preserve">). In the process of study, I have come to understand faith as </w:t>
      </w:r>
      <w:r w:rsidRPr="00D95D61">
        <w:rPr>
          <w:rFonts w:ascii="Calibri" w:hAnsi="Calibri" w:cs="Calibri"/>
          <w:i/>
          <w:lang w:val="en"/>
        </w:rPr>
        <w:t>the</w:t>
      </w:r>
      <w:r>
        <w:rPr>
          <w:rFonts w:ascii="Calibri" w:hAnsi="Calibri" w:cs="Calibri"/>
          <w:lang w:val="en"/>
        </w:rPr>
        <w:t xml:space="preserve"> prerequisite factor in qualifying Christian-theology as a science. </w:t>
      </w:r>
      <w:r w:rsidR="008112FF">
        <w:rPr>
          <w:rFonts w:ascii="Calibri" w:hAnsi="Calibri" w:cs="Calibri"/>
          <w:lang w:val="en"/>
        </w:rPr>
        <w:t xml:space="preserve">There exist </w:t>
      </w:r>
      <w:r w:rsidR="008112FF">
        <w:rPr>
          <w:rFonts w:ascii="Calibri" w:hAnsi="Calibri" w:cs="Calibri"/>
          <w:lang w:val="en"/>
        </w:rPr>
        <w:t>problems in the question</w:t>
      </w:r>
      <w:r w:rsidR="008112FF">
        <w:rPr>
          <w:rFonts w:ascii="Calibri" w:eastAsiaTheme="minorEastAsia" w:hAnsi="Calibri" w:cs="Calibri"/>
          <w:lang w:val="en" w:eastAsia="en-GB"/>
        </w:rPr>
        <w:t>s</w:t>
      </w:r>
      <w:r w:rsidR="008112FF">
        <w:rPr>
          <w:rFonts w:ascii="Calibri" w:hAnsi="Calibri" w:cs="Calibri"/>
          <w:lang w:val="en"/>
        </w:rPr>
        <w:t xml:space="preserve"> d</w:t>
      </w:r>
      <w:r>
        <w:rPr>
          <w:rFonts w:ascii="Calibri" w:hAnsi="Calibri" w:cs="Calibri"/>
          <w:lang w:val="en"/>
        </w:rPr>
        <w:t>ue to the immateriality of the subject</w:t>
      </w:r>
      <w:r>
        <w:rPr>
          <w:rFonts w:ascii="Calibri" w:eastAsiaTheme="minorEastAsia" w:hAnsi="Calibri" w:cs="Calibri"/>
          <w:lang w:val="en" w:eastAsia="en-GB"/>
        </w:rPr>
        <w:t xml:space="preserve">. However, as the </w:t>
      </w:r>
      <w:r>
        <w:rPr>
          <w:rFonts w:ascii="Calibri" w:hAnsi="Calibri" w:cs="Calibri"/>
          <w:lang w:val="en"/>
        </w:rPr>
        <w:t>questionable relations between faith and science quickly become explicit, so does the key to their resolution. And I look to the</w:t>
      </w:r>
      <w:r w:rsidRPr="00AD00A9">
        <w:rPr>
          <w:rFonts w:ascii="Calibri" w:hAnsi="Calibri" w:cs="Calibri"/>
          <w:i/>
          <w:lang w:val="en"/>
        </w:rPr>
        <w:t xml:space="preserve"> activity</w:t>
      </w:r>
      <w:r>
        <w:rPr>
          <w:rFonts w:ascii="Calibri" w:hAnsi="Calibri" w:cs="Calibri"/>
          <w:lang w:val="en"/>
        </w:rPr>
        <w:t xml:space="preserve"> of the theologian, for </w:t>
      </w:r>
      <w:r w:rsidRPr="00AD00A9">
        <w:rPr>
          <w:rFonts w:ascii="Calibri" w:hAnsi="Calibri" w:cs="Calibri"/>
          <w:i/>
          <w:lang w:val="en"/>
        </w:rPr>
        <w:t>self</w:t>
      </w:r>
      <w:r>
        <w:rPr>
          <w:rFonts w:ascii="Calibri" w:hAnsi="Calibri" w:cs="Calibri"/>
          <w:lang w:val="en"/>
        </w:rPr>
        <w:t xml:space="preserve">-validation of his methodology, in its qualitative ability in constituting Christian-theology a science. I aim to answer these questions by presenting the reader with an outlay of my understanding of the modality of Christian-faith in general, and the significance of “the faith modality’s” relative play, within and between the Christian-agent and </w:t>
      </w:r>
      <w:r w:rsidR="00B620B9">
        <w:rPr>
          <w:rFonts w:ascii="Calibri" w:hAnsi="Calibri" w:cs="Calibri"/>
          <w:lang w:val="en"/>
        </w:rPr>
        <w:t xml:space="preserve">the absolute subject – God, and </w:t>
      </w:r>
      <w:r>
        <w:rPr>
          <w:rFonts w:ascii="Calibri" w:hAnsi="Calibri" w:cs="Calibri"/>
          <w:lang w:val="en"/>
        </w:rPr>
        <w:t>I aim</w:t>
      </w:r>
      <w:r w:rsidR="00B620B9">
        <w:rPr>
          <w:rFonts w:ascii="Calibri" w:hAnsi="Calibri" w:cs="Calibri"/>
          <w:lang w:val="en"/>
        </w:rPr>
        <w:t xml:space="preserve"> to do so from</w:t>
      </w:r>
      <w:r>
        <w:rPr>
          <w:rFonts w:ascii="Calibri" w:hAnsi="Calibri" w:cs="Calibri"/>
          <w:lang w:val="en"/>
        </w:rPr>
        <w:t xml:space="preserve"> a religiously neutral perspective. </w:t>
      </w:r>
    </w:p>
    <w:p w14:paraId="5A81F8B8" w14:textId="77777777" w:rsidR="00CF6D08" w:rsidRDefault="00CF6D08" w:rsidP="00CF6D08">
      <w:pPr>
        <w:widowControl w:val="0"/>
        <w:autoSpaceDE w:val="0"/>
        <w:autoSpaceDN w:val="0"/>
        <w:adjustRightInd w:val="0"/>
        <w:spacing w:after="200" w:line="276" w:lineRule="auto"/>
        <w:rPr>
          <w:rFonts w:ascii="Calibri" w:hAnsi="Calibri" w:cs="Calibri"/>
          <w:lang w:val="en"/>
        </w:rPr>
      </w:pPr>
      <w:r>
        <w:rPr>
          <w:rFonts w:ascii="Calibri" w:hAnsi="Calibri" w:cs="Calibri"/>
          <w:lang w:val="en"/>
        </w:rPr>
        <w:t>Can theology be classed as science?</w:t>
      </w:r>
    </w:p>
    <w:p w14:paraId="472F8BE0" w14:textId="77777777" w:rsidR="00CF6D08" w:rsidRPr="00D06DB0" w:rsidRDefault="00CF6D08" w:rsidP="00CF6D08">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Our first task is to establish whether theology can justly be classed “a science”. </w:t>
      </w:r>
      <w:r>
        <w:rPr>
          <w:rFonts w:ascii="Calibri" w:eastAsiaTheme="minorEastAsia" w:hAnsi="Calibri" w:cs="Calibri"/>
          <w:lang w:val="en" w:eastAsia="en-GB"/>
        </w:rPr>
        <w:t xml:space="preserve">As aforementioned, the methodologies and focuses of science have evolved considerably, and particularly with the rise of the Technological-Age. And combined with a history of theology from the Ancient-World, it makes sense to take our criterion for the constituents of science from that same era. </w:t>
      </w:r>
    </w:p>
    <w:p w14:paraId="0615F2D6" w14:textId="77777777" w:rsidR="00CF6D08" w:rsidRDefault="00CF6D08" w:rsidP="00CF6D08">
      <w:pPr>
        <w:rPr>
          <w:rFonts w:ascii="Calibri" w:hAnsi="Calibri" w:cs="Calibri"/>
          <w:lang w:val="en"/>
        </w:rPr>
      </w:pPr>
      <w:r>
        <w:rPr>
          <w:rFonts w:ascii="Calibri" w:hAnsi="Calibri" w:cs="Calibri"/>
          <w:lang w:val="en"/>
        </w:rPr>
        <w:t xml:space="preserve">The word science transliterates from Latin </w:t>
      </w:r>
      <w:r w:rsidRPr="004B13D9">
        <w:rPr>
          <w:rFonts w:ascii="Calibri" w:hAnsi="Calibri" w:cs="Calibri"/>
          <w:i/>
          <w:lang w:val="en"/>
        </w:rPr>
        <w:t>Scientia</w:t>
      </w:r>
      <w:r>
        <w:rPr>
          <w:rFonts w:ascii="Calibri" w:hAnsi="Calibri" w:cs="Calibri"/>
          <w:lang w:val="en"/>
        </w:rPr>
        <w:t xml:space="preserve"> as </w:t>
      </w:r>
      <w:r w:rsidRPr="00070718">
        <w:rPr>
          <w:rFonts w:ascii="Calibri" w:hAnsi="Calibri" w:cs="Calibri"/>
          <w:i/>
          <w:lang w:val="en"/>
        </w:rPr>
        <w:t>knowledge</w:t>
      </w:r>
      <w:r>
        <w:rPr>
          <w:rFonts w:ascii="Calibri" w:hAnsi="Calibri" w:cs="Calibri"/>
          <w:i/>
          <w:lang w:val="en"/>
        </w:rPr>
        <w:t xml:space="preserve">, </w:t>
      </w:r>
      <w:r>
        <w:rPr>
          <w:rFonts w:ascii="Calibri" w:hAnsi="Calibri" w:cs="Calibri"/>
          <w:lang w:val="en"/>
        </w:rPr>
        <w:t xml:space="preserve">hence its primary directive of epistemological acquisition. Definitionally then, we already begin to see relativity between science and theology in their primary aims of acquiring and systemizing knowledge, and we encounter the same aim in philosophy. This relative trinity of scholastic traditions principally seek to establish treatises of knowledge in given field(s) of study and are found unified in the works of Aristotle. </w:t>
      </w:r>
      <w:r>
        <w:rPr>
          <w:rStyle w:val="EndnoteReference"/>
          <w:rFonts w:ascii="Calibri" w:hAnsi="Calibri" w:cs="Calibri"/>
          <w:lang w:val="en"/>
        </w:rPr>
        <w:endnoteReference w:id="3"/>
      </w:r>
      <w:r>
        <w:rPr>
          <w:rFonts w:ascii="Calibri" w:hAnsi="Calibri" w:cs="Calibri"/>
          <w:lang w:val="en"/>
        </w:rPr>
        <w:t xml:space="preserve"> The founder of the Philosophy-of-Science and arguably the founding father of Science, Aristotle is renowned for the earliest western treatise on the nature of scientific enquiry. Based on observation and reasoning regarding the natural world, it considers the aims and methods of inquiry into nature. This quote from a paper titled ‘scientific method’ by </w:t>
      </w:r>
      <w:r w:rsidRPr="002F22A9">
        <w:rPr>
          <w:rFonts w:cstheme="minorHAnsi"/>
          <w:color w:val="1A1A1A"/>
        </w:rPr>
        <w:t>Andersen, Hanne and Hepburn</w:t>
      </w:r>
      <w:r>
        <w:rPr>
          <w:rFonts w:ascii="Calibri" w:hAnsi="Calibri" w:cs="Calibri"/>
          <w:lang w:val="en"/>
        </w:rPr>
        <w:t xml:space="preserve"> et-al, outlines the requisite criteria for a science in Aristotle. </w:t>
      </w:r>
      <w:r>
        <w:rPr>
          <w:rStyle w:val="FootnoteReference"/>
          <w:rFonts w:ascii="Calibri" w:hAnsi="Calibri"/>
          <w:lang w:val="en"/>
        </w:rPr>
        <w:footnoteReference w:id="10"/>
      </w:r>
    </w:p>
    <w:p w14:paraId="1311A2C8" w14:textId="77777777" w:rsidR="00CF6D08" w:rsidRDefault="00CF6D08" w:rsidP="00CF6D08">
      <w:pPr>
        <w:widowControl w:val="0"/>
        <w:autoSpaceDE w:val="0"/>
        <w:autoSpaceDN w:val="0"/>
        <w:adjustRightInd w:val="0"/>
        <w:spacing w:after="200" w:line="276" w:lineRule="auto"/>
        <w:ind w:left="720" w:right="855"/>
        <w:rPr>
          <w:rFonts w:eastAsiaTheme="minorEastAsia" w:cs="Times New Roman"/>
          <w:color w:val="1A1A1A"/>
          <w:sz w:val="25"/>
          <w:szCs w:val="25"/>
          <w:shd w:val="clear" w:color="auto" w:fill="FFFFFF"/>
          <w:lang w:eastAsia="en-GB"/>
        </w:rPr>
      </w:pPr>
      <w:r w:rsidRPr="005074D5">
        <w:rPr>
          <w:rFonts w:eastAsiaTheme="minorEastAsia" w:cs="Times New Roman"/>
          <w:color w:val="1A1A1A"/>
          <w:shd w:val="clear" w:color="auto" w:fill="FFFFFF"/>
          <w:lang w:eastAsia="en-GB"/>
        </w:rPr>
        <w:t xml:space="preserve">A number of features </w:t>
      </w:r>
      <w:proofErr w:type="gramStart"/>
      <w:r w:rsidRPr="005074D5">
        <w:rPr>
          <w:rFonts w:eastAsiaTheme="minorEastAsia" w:cs="Times New Roman"/>
          <w:color w:val="1A1A1A"/>
          <w:shd w:val="clear" w:color="auto" w:fill="FFFFFF"/>
          <w:lang w:eastAsia="en-GB"/>
        </w:rPr>
        <w:t>can be found</w:t>
      </w:r>
      <w:proofErr w:type="gramEnd"/>
      <w:r w:rsidRPr="005074D5">
        <w:rPr>
          <w:rFonts w:eastAsiaTheme="minorEastAsia" w:cs="Times New Roman"/>
          <w:color w:val="1A1A1A"/>
          <w:shd w:val="clear" w:color="auto" w:fill="FFFFFF"/>
          <w:lang w:eastAsia="en-GB"/>
        </w:rPr>
        <w:t xml:space="preserve"> which are still considered by most to be essential to science. For Aristotle, empiricism, careful observation (but passive </w:t>
      </w:r>
      <w:r w:rsidRPr="005074D5">
        <w:rPr>
          <w:rFonts w:eastAsiaTheme="minorEastAsia" w:cs="Times New Roman"/>
          <w:color w:val="1A1A1A"/>
          <w:shd w:val="clear" w:color="auto" w:fill="FFFFFF"/>
          <w:lang w:eastAsia="en-GB"/>
        </w:rPr>
        <w:lastRenderedPageBreak/>
        <w:t>observation, not controlled experiment), is the starting point, though the aim is not merely recording of facts. Science (</w:t>
      </w:r>
      <w:proofErr w:type="spellStart"/>
      <w:r w:rsidRPr="005074D5">
        <w:rPr>
          <w:rFonts w:eastAsiaTheme="minorEastAsia" w:cs="Times New Roman"/>
          <w:i/>
          <w:iCs/>
          <w:color w:val="1A1A1A"/>
          <w:shd w:val="clear" w:color="auto" w:fill="FFFFFF"/>
          <w:lang w:eastAsia="en-GB"/>
        </w:rPr>
        <w:t>epistêmê</w:t>
      </w:r>
      <w:proofErr w:type="spellEnd"/>
      <w:r w:rsidRPr="005074D5">
        <w:rPr>
          <w:rFonts w:eastAsiaTheme="minorEastAsia" w:cs="Times New Roman"/>
          <w:color w:val="1A1A1A"/>
          <w:shd w:val="clear" w:color="auto" w:fill="FFFFFF"/>
          <w:lang w:eastAsia="en-GB"/>
        </w:rPr>
        <w:t>), for</w:t>
      </w:r>
      <w:bookmarkStart w:id="8" w:name="_Hlk532330594"/>
      <w:r w:rsidRPr="005074D5">
        <w:rPr>
          <w:rFonts w:eastAsiaTheme="minorEastAsia" w:cs="Times New Roman"/>
          <w:color w:val="1A1A1A"/>
          <w:shd w:val="clear" w:color="auto" w:fill="FFFFFF"/>
          <w:lang w:eastAsia="en-GB"/>
        </w:rPr>
        <w:t xml:space="preserve"> Aristotle, is a body of properly arranged knowledge or learning</w:t>
      </w:r>
      <w:bookmarkStart w:id="9" w:name="_Hlk532330812"/>
      <w:bookmarkEnd w:id="8"/>
      <w:r w:rsidRPr="005074D5">
        <w:rPr>
          <w:rFonts w:eastAsiaTheme="minorEastAsia" w:cs="Times New Roman"/>
          <w:color w:val="1A1A1A"/>
          <w:shd w:val="clear" w:color="auto" w:fill="FFFFFF"/>
          <w:lang w:eastAsia="en-GB"/>
        </w:rPr>
        <w:t xml:space="preserve">—the empirical facts, but also their ordering and display are of crucial importance. The aims of discovery, ordering, and display of facts partly determine the methods required of successful scientific inquiry. </w:t>
      </w:r>
      <w:proofErr w:type="gramStart"/>
      <w:r w:rsidRPr="005074D5">
        <w:rPr>
          <w:rFonts w:eastAsiaTheme="minorEastAsia" w:cs="Times New Roman"/>
          <w:color w:val="1A1A1A"/>
          <w:shd w:val="clear" w:color="auto" w:fill="FFFFFF"/>
          <w:lang w:eastAsia="en-GB"/>
        </w:rPr>
        <w:t>Also</w:t>
      </w:r>
      <w:proofErr w:type="gramEnd"/>
      <w:r w:rsidRPr="005074D5">
        <w:rPr>
          <w:rFonts w:eastAsiaTheme="minorEastAsia" w:cs="Times New Roman"/>
          <w:color w:val="1A1A1A"/>
          <w:shd w:val="clear" w:color="auto" w:fill="FFFFFF"/>
          <w:lang w:eastAsia="en-GB"/>
        </w:rPr>
        <w:t xml:space="preserve"> determinant is the nature of the knowledge being sought, and the explanatory causes proper to that kind of knowledge</w:t>
      </w:r>
      <w:bookmarkEnd w:id="9"/>
      <w:r w:rsidRPr="005074D5">
        <w:rPr>
          <w:rFonts w:eastAsiaTheme="minorEastAsia" w:cs="Times New Roman"/>
          <w:color w:val="1A1A1A"/>
          <w:sz w:val="25"/>
          <w:szCs w:val="25"/>
          <w:shd w:val="clear" w:color="auto" w:fill="FFFFFF"/>
          <w:lang w:eastAsia="en-GB"/>
        </w:rPr>
        <w:t xml:space="preserve">. </w:t>
      </w:r>
      <w:r w:rsidRPr="005074D5">
        <w:rPr>
          <w:rFonts w:eastAsiaTheme="minorEastAsia" w:cs="Times New Roman"/>
          <w:color w:val="1A1A1A"/>
          <w:sz w:val="25"/>
          <w:szCs w:val="25"/>
          <w:shd w:val="clear" w:color="auto" w:fill="FFFFFF"/>
          <w:vertAlign w:val="superscript"/>
          <w:lang w:eastAsia="en-GB"/>
        </w:rPr>
        <w:footnoteReference w:id="11"/>
      </w:r>
    </w:p>
    <w:p w14:paraId="269E9E7C" w14:textId="77777777" w:rsidR="00CF6D08" w:rsidRDefault="00CF6D08" w:rsidP="00CF6D08">
      <w:pPr>
        <w:widowControl w:val="0"/>
        <w:autoSpaceDE w:val="0"/>
        <w:autoSpaceDN w:val="0"/>
        <w:adjustRightInd w:val="0"/>
        <w:spacing w:after="200" w:line="276" w:lineRule="auto"/>
        <w:ind w:right="855"/>
        <w:rPr>
          <w:rFonts w:eastAsiaTheme="minorEastAsia" w:cs="Times New Roman"/>
          <w:color w:val="1A1A1A"/>
          <w:shd w:val="clear" w:color="auto" w:fill="FFFFFF"/>
          <w:lang w:eastAsia="en-GB"/>
        </w:rPr>
      </w:pPr>
      <w:r>
        <w:rPr>
          <w:rFonts w:eastAsiaTheme="minorEastAsia" w:cs="Times New Roman"/>
          <w:color w:val="1A1A1A"/>
          <w:shd w:val="clear" w:color="auto" w:fill="FFFFFF"/>
          <w:lang w:eastAsia="en-GB"/>
        </w:rPr>
        <w:t>To summarize, theology needs to fulfil the following criteria;</w:t>
      </w:r>
    </w:p>
    <w:p w14:paraId="2E32CDFE" w14:textId="77777777" w:rsidR="00CF6D08" w:rsidRDefault="00CF6D08" w:rsidP="00CF6D08">
      <w:pPr>
        <w:pStyle w:val="ListParagraph"/>
        <w:widowControl w:val="0"/>
        <w:numPr>
          <w:ilvl w:val="0"/>
          <w:numId w:val="1"/>
        </w:numPr>
        <w:autoSpaceDE w:val="0"/>
        <w:autoSpaceDN w:val="0"/>
        <w:adjustRightInd w:val="0"/>
        <w:spacing w:after="200" w:line="276" w:lineRule="auto"/>
        <w:ind w:right="855"/>
        <w:rPr>
          <w:rFonts w:eastAsiaTheme="minorEastAsia" w:cs="Times New Roman"/>
          <w:color w:val="1A1A1A"/>
          <w:shd w:val="clear" w:color="auto" w:fill="FFFFFF"/>
          <w:lang w:eastAsia="en-GB"/>
        </w:rPr>
      </w:pPr>
      <w:r>
        <w:rPr>
          <w:rFonts w:eastAsiaTheme="minorEastAsia" w:cs="Times New Roman"/>
          <w:color w:val="1A1A1A"/>
          <w:shd w:val="clear" w:color="auto" w:fill="FFFFFF"/>
          <w:lang w:eastAsia="en-GB"/>
        </w:rPr>
        <w:t xml:space="preserve">‘Empiricism’ (the passive viewing of experienceable fact, </w:t>
      </w:r>
      <w:r>
        <w:rPr>
          <w:rFonts w:ascii="Calibri" w:hAnsi="Calibri" w:cs="Calibri"/>
          <w:lang w:val="en"/>
        </w:rPr>
        <w:t>empirical knowledge is derived from or guided by experience, however the mode of experience is arguable i.e. Aristotelian senses vs Platonic forms</w:t>
      </w:r>
      <w:r>
        <w:rPr>
          <w:rFonts w:eastAsiaTheme="minorEastAsia" w:cs="Times New Roman"/>
          <w:color w:val="1A1A1A"/>
          <w:shd w:val="clear" w:color="auto" w:fill="FFFFFF"/>
          <w:lang w:eastAsia="en-GB"/>
        </w:rPr>
        <w:t xml:space="preserve">). </w:t>
      </w:r>
      <w:r>
        <w:rPr>
          <w:rStyle w:val="EndnoteReference"/>
          <w:rFonts w:eastAsiaTheme="minorEastAsia" w:cs="Times New Roman"/>
          <w:color w:val="1A1A1A"/>
          <w:shd w:val="clear" w:color="auto" w:fill="FFFFFF"/>
          <w:lang w:eastAsia="en-GB"/>
        </w:rPr>
        <w:endnoteReference w:id="4"/>
      </w:r>
    </w:p>
    <w:p w14:paraId="6E156608" w14:textId="77777777" w:rsidR="00CF6D08" w:rsidRDefault="00CF6D08" w:rsidP="00CF6D08">
      <w:pPr>
        <w:pStyle w:val="ListParagraph"/>
        <w:widowControl w:val="0"/>
        <w:numPr>
          <w:ilvl w:val="0"/>
          <w:numId w:val="1"/>
        </w:numPr>
        <w:autoSpaceDE w:val="0"/>
        <w:autoSpaceDN w:val="0"/>
        <w:adjustRightInd w:val="0"/>
        <w:spacing w:after="200" w:line="276" w:lineRule="auto"/>
        <w:ind w:right="855"/>
        <w:rPr>
          <w:rFonts w:eastAsiaTheme="minorEastAsia" w:cs="Times New Roman"/>
          <w:color w:val="1A1A1A"/>
          <w:shd w:val="clear" w:color="auto" w:fill="FFFFFF"/>
          <w:lang w:eastAsia="en-GB"/>
        </w:rPr>
      </w:pPr>
      <w:r>
        <w:rPr>
          <w:rFonts w:eastAsiaTheme="minorEastAsia" w:cs="Times New Roman"/>
          <w:color w:val="1A1A1A"/>
          <w:shd w:val="clear" w:color="auto" w:fill="FFFFFF"/>
          <w:lang w:eastAsia="en-GB"/>
        </w:rPr>
        <w:t>‘The ordering and display of the empirical facts into a body of properly arranged knowledge’</w:t>
      </w:r>
      <w:r>
        <w:rPr>
          <w:rFonts w:eastAsiaTheme="minorEastAsia"/>
          <w:color w:val="1A1A1A"/>
          <w:shd w:val="clear" w:color="auto" w:fill="FFFFFF"/>
          <w:lang w:eastAsia="en-GB"/>
        </w:rPr>
        <w:t>.</w:t>
      </w:r>
    </w:p>
    <w:p w14:paraId="45F83C2A" w14:textId="77777777" w:rsidR="00CF6D08" w:rsidRDefault="00CF6D08" w:rsidP="00CF6D08">
      <w:pPr>
        <w:pStyle w:val="ListParagraph"/>
        <w:widowControl w:val="0"/>
        <w:numPr>
          <w:ilvl w:val="0"/>
          <w:numId w:val="1"/>
        </w:numPr>
        <w:autoSpaceDE w:val="0"/>
        <w:autoSpaceDN w:val="0"/>
        <w:adjustRightInd w:val="0"/>
        <w:spacing w:after="200" w:line="276" w:lineRule="auto"/>
        <w:ind w:right="855"/>
        <w:rPr>
          <w:rFonts w:eastAsiaTheme="minorEastAsia" w:cs="Times New Roman"/>
          <w:color w:val="1A1A1A"/>
          <w:shd w:val="clear" w:color="auto" w:fill="FFFFFF"/>
          <w:lang w:eastAsia="en-GB"/>
        </w:rPr>
      </w:pPr>
      <w:r>
        <w:rPr>
          <w:rFonts w:eastAsiaTheme="minorEastAsia" w:cs="Times New Roman"/>
          <w:color w:val="1A1A1A"/>
          <w:shd w:val="clear" w:color="auto" w:fill="FFFFFF"/>
          <w:lang w:eastAsia="en-GB"/>
        </w:rPr>
        <w:t>‘The aims of discovery’.</w:t>
      </w:r>
    </w:p>
    <w:p w14:paraId="5F28E974" w14:textId="77777777" w:rsidR="00CF6D08" w:rsidRDefault="00CF6D08" w:rsidP="00CF6D08">
      <w:pPr>
        <w:pStyle w:val="ListParagraph"/>
        <w:widowControl w:val="0"/>
        <w:numPr>
          <w:ilvl w:val="0"/>
          <w:numId w:val="1"/>
        </w:numPr>
        <w:autoSpaceDE w:val="0"/>
        <w:autoSpaceDN w:val="0"/>
        <w:adjustRightInd w:val="0"/>
        <w:spacing w:after="200" w:line="276" w:lineRule="auto"/>
        <w:ind w:right="855"/>
        <w:rPr>
          <w:rFonts w:eastAsiaTheme="minorEastAsia" w:cs="Times New Roman"/>
          <w:color w:val="1A1A1A"/>
          <w:shd w:val="clear" w:color="auto" w:fill="FFFFFF"/>
          <w:lang w:eastAsia="en-GB"/>
        </w:rPr>
      </w:pPr>
      <w:r>
        <w:rPr>
          <w:rFonts w:eastAsiaTheme="minorEastAsia" w:cs="Times New Roman"/>
          <w:color w:val="1A1A1A"/>
          <w:shd w:val="clear" w:color="auto" w:fill="FFFFFF"/>
          <w:lang w:eastAsia="en-GB"/>
        </w:rPr>
        <w:t>‘The nature of the knowledge sought’.</w:t>
      </w:r>
    </w:p>
    <w:p w14:paraId="3F90EAF2" w14:textId="77777777" w:rsidR="00CF6D08" w:rsidRDefault="00CF6D08" w:rsidP="00CF6D08">
      <w:pPr>
        <w:pStyle w:val="ListParagraph"/>
        <w:widowControl w:val="0"/>
        <w:numPr>
          <w:ilvl w:val="0"/>
          <w:numId w:val="1"/>
        </w:numPr>
        <w:autoSpaceDE w:val="0"/>
        <w:autoSpaceDN w:val="0"/>
        <w:adjustRightInd w:val="0"/>
        <w:spacing w:after="200" w:line="276" w:lineRule="auto"/>
        <w:ind w:right="855"/>
        <w:rPr>
          <w:rFonts w:eastAsiaTheme="minorEastAsia" w:cs="Times New Roman"/>
          <w:color w:val="1A1A1A"/>
          <w:shd w:val="clear" w:color="auto" w:fill="FFFFFF"/>
          <w:lang w:eastAsia="en-GB"/>
        </w:rPr>
      </w:pPr>
      <w:bookmarkStart w:id="10" w:name="_Hlk532557731"/>
      <w:r>
        <w:rPr>
          <w:rFonts w:eastAsiaTheme="minorEastAsia" w:cs="Times New Roman"/>
          <w:color w:val="1A1A1A"/>
          <w:shd w:val="clear" w:color="auto" w:fill="FFFFFF"/>
          <w:lang w:eastAsia="en-GB"/>
        </w:rPr>
        <w:t xml:space="preserve">‘Explanatory causes proper to that kind of knowledge’. </w:t>
      </w:r>
      <w:r>
        <w:rPr>
          <w:rStyle w:val="FootnoteReference"/>
          <w:rFonts w:eastAsiaTheme="minorEastAsia"/>
          <w:color w:val="1A1A1A"/>
          <w:shd w:val="clear" w:color="auto" w:fill="FFFFFF"/>
          <w:lang w:eastAsia="en-GB"/>
        </w:rPr>
        <w:footnoteReference w:id="12"/>
      </w:r>
    </w:p>
    <w:bookmarkEnd w:id="10"/>
    <w:p w14:paraId="35921DA8" w14:textId="4DB7482A" w:rsidR="00CF6D08" w:rsidRDefault="00CF6D08" w:rsidP="00CF6D08">
      <w:pPr>
        <w:widowControl w:val="0"/>
        <w:autoSpaceDE w:val="0"/>
        <w:autoSpaceDN w:val="0"/>
        <w:adjustRightInd w:val="0"/>
        <w:spacing w:after="200" w:line="276" w:lineRule="auto"/>
        <w:ind w:right="855"/>
        <w:rPr>
          <w:rFonts w:ascii="Calibri" w:hAnsi="Calibri" w:cs="Calibri"/>
          <w:lang w:val="en"/>
        </w:rPr>
      </w:pPr>
      <w:r>
        <w:rPr>
          <w:rFonts w:eastAsiaTheme="minorEastAsia" w:cs="Times New Roman"/>
          <w:color w:val="1A1A1A"/>
          <w:shd w:val="clear" w:color="auto" w:fill="FFFFFF"/>
          <w:lang w:eastAsia="en-GB"/>
        </w:rPr>
        <w:t xml:space="preserve">The first of two apparent problems lay in </w:t>
      </w:r>
      <w:r>
        <w:rPr>
          <w:rFonts w:ascii="Calibri" w:hAnsi="Calibri" w:cs="Calibri"/>
          <w:lang w:val="en"/>
        </w:rPr>
        <w:t xml:space="preserve">theology’s questionability of empirical fact. As captioned in the summary, </w:t>
      </w:r>
      <w:r w:rsidR="00B620B9">
        <w:rPr>
          <w:rFonts w:ascii="Calibri" w:hAnsi="Calibri" w:cs="Calibri"/>
          <w:lang w:val="en"/>
        </w:rPr>
        <w:t xml:space="preserve">scholastic </w:t>
      </w:r>
      <w:r>
        <w:rPr>
          <w:rFonts w:ascii="Calibri" w:hAnsi="Calibri" w:cs="Calibri"/>
          <w:lang w:val="en"/>
        </w:rPr>
        <w:t xml:space="preserve">contention exists over the nature of the modes of human-experience. In brief, Plato’s nature of human experience </w:t>
      </w:r>
      <w:proofErr w:type="gramStart"/>
      <w:r>
        <w:rPr>
          <w:rFonts w:ascii="Calibri" w:hAnsi="Calibri" w:cs="Calibri"/>
          <w:lang w:val="en"/>
        </w:rPr>
        <w:t>is primarily attrib</w:t>
      </w:r>
      <w:r w:rsidR="00B620B9">
        <w:rPr>
          <w:rFonts w:ascii="Calibri" w:hAnsi="Calibri" w:cs="Calibri"/>
          <w:lang w:val="en"/>
        </w:rPr>
        <w:t>uted</w:t>
      </w:r>
      <w:proofErr w:type="gramEnd"/>
      <w:r w:rsidR="00B620B9">
        <w:rPr>
          <w:rFonts w:ascii="Calibri" w:hAnsi="Calibri" w:cs="Calibri"/>
          <w:lang w:val="en"/>
        </w:rPr>
        <w:t xml:space="preserve"> to the pre-existent </w:t>
      </w:r>
      <w:bookmarkStart w:id="11" w:name="_GoBack"/>
      <w:r w:rsidR="00B620B9" w:rsidRPr="00B620B9">
        <w:rPr>
          <w:rFonts w:ascii="Calibri" w:hAnsi="Calibri" w:cs="Calibri"/>
          <w:lang w:val="en"/>
        </w:rPr>
        <w:t>forms</w:t>
      </w:r>
      <w:bookmarkEnd w:id="11"/>
      <w:r w:rsidR="00B620B9">
        <w:rPr>
          <w:rFonts w:ascii="Calibri" w:hAnsi="Calibri" w:cs="Calibri"/>
          <w:lang w:val="en"/>
        </w:rPr>
        <w:t xml:space="preserve">, with deceptiveness </w:t>
      </w:r>
      <w:r>
        <w:rPr>
          <w:rFonts w:ascii="Calibri" w:hAnsi="Calibri" w:cs="Calibri"/>
          <w:lang w:val="en"/>
        </w:rPr>
        <w:t xml:space="preserve">attributed to the senses. </w:t>
      </w:r>
      <w:r>
        <w:rPr>
          <w:rStyle w:val="FootnoteReference"/>
          <w:rFonts w:ascii="Calibri" w:hAnsi="Calibri"/>
          <w:lang w:val="en"/>
        </w:rPr>
        <w:footnoteReference w:id="13"/>
      </w:r>
      <w:r w:rsidR="00B620B9">
        <w:rPr>
          <w:rFonts w:ascii="Calibri" w:hAnsi="Calibri" w:cs="Calibri"/>
          <w:lang w:val="en"/>
        </w:rPr>
        <w:t xml:space="preserve"> Meanwhile,</w:t>
      </w:r>
      <w:r>
        <w:rPr>
          <w:rFonts w:ascii="Calibri" w:hAnsi="Calibri" w:cs="Calibri"/>
          <w:lang w:val="en"/>
        </w:rPr>
        <w:t xml:space="preserve"> the human </w:t>
      </w:r>
      <w:r w:rsidRPr="00B620B9">
        <w:rPr>
          <w:rFonts w:ascii="Calibri" w:hAnsi="Calibri" w:cs="Calibri"/>
          <w:lang w:val="en"/>
        </w:rPr>
        <w:t>senses</w:t>
      </w:r>
      <w:r>
        <w:rPr>
          <w:rFonts w:ascii="Calibri" w:hAnsi="Calibri" w:cs="Calibri"/>
          <w:lang w:val="en"/>
        </w:rPr>
        <w:t xml:space="preserve"> are the paramount Aristotelian modality to empirical knowledge. </w:t>
      </w:r>
      <w:r>
        <w:rPr>
          <w:rStyle w:val="FootnoteReference"/>
          <w:rFonts w:ascii="Calibri" w:hAnsi="Calibri"/>
          <w:lang w:val="en"/>
        </w:rPr>
        <w:footnoteReference w:id="14"/>
      </w:r>
      <w:r>
        <w:rPr>
          <w:rFonts w:ascii="Calibri" w:hAnsi="Calibri" w:cs="Calibri"/>
          <w:lang w:val="en"/>
        </w:rPr>
        <w:t xml:space="preserve"> Whether sensorial or otherwise, the question posed is to ascertain the theologian’s mode of “religious” experience? Once ascertained, and if theological empiricism can indeed be established, then criteria number two; ‘</w:t>
      </w:r>
      <w:r w:rsidRPr="001F34BF">
        <w:rPr>
          <w:rFonts w:ascii="Calibri" w:hAnsi="Calibri" w:cs="Calibri"/>
          <w:lang w:val="en"/>
        </w:rPr>
        <w:t>a body of properly arranged knowledge</w:t>
      </w:r>
      <w:r>
        <w:rPr>
          <w:rFonts w:ascii="Calibri" w:hAnsi="Calibri" w:cs="Calibri"/>
          <w:lang w:val="en"/>
        </w:rPr>
        <w:t xml:space="preserve">’ is sufficiently fulfilled by the New-Testament-Bible and the Creeds. </w:t>
      </w:r>
      <w:r>
        <w:rPr>
          <w:rStyle w:val="EndnoteReference"/>
          <w:rFonts w:ascii="Calibri" w:hAnsi="Calibri" w:cs="Calibri"/>
          <w:lang w:val="en"/>
        </w:rPr>
        <w:endnoteReference w:id="5"/>
      </w:r>
      <w:r>
        <w:rPr>
          <w:rFonts w:ascii="Calibri" w:hAnsi="Calibri" w:cs="Calibri"/>
          <w:lang w:val="en"/>
        </w:rPr>
        <w:t xml:space="preserve"> And three; ‘</w:t>
      </w:r>
      <w:r w:rsidRPr="001F34BF">
        <w:rPr>
          <w:rFonts w:ascii="Calibri" w:hAnsi="Calibri" w:cs="Calibri"/>
          <w:lang w:val="en"/>
        </w:rPr>
        <w:t>the aims of discover</w:t>
      </w:r>
      <w:r>
        <w:rPr>
          <w:rFonts w:ascii="Calibri" w:hAnsi="Calibri" w:cs="Calibri"/>
          <w:lang w:val="en"/>
        </w:rPr>
        <w:t xml:space="preserve">y’ unquestionably orient towards ultimate truth. The Divine truth that underpins and permeates every aspect of Christian existence. And four </w:t>
      </w:r>
      <w:r w:rsidRPr="00785355">
        <w:rPr>
          <w:rFonts w:ascii="Calibri" w:hAnsi="Calibri" w:cs="Calibri"/>
          <w:lang w:val="en"/>
        </w:rPr>
        <w:t>‘the nature of the knowledge sought’</w:t>
      </w:r>
      <w:r>
        <w:rPr>
          <w:rFonts w:ascii="Calibri" w:hAnsi="Calibri" w:cs="Calibri"/>
          <w:lang w:val="en"/>
        </w:rPr>
        <w:t xml:space="preserve">, is epistemological and metaphysical, existential and phenomenological, cosmological and physical, in fact the nature of the knowledge sought, is of the principal causality of not just </w:t>
      </w:r>
      <w:r w:rsidRPr="00EA205D">
        <w:rPr>
          <w:rFonts w:ascii="Calibri" w:hAnsi="Calibri" w:cs="Calibri"/>
          <w:i/>
          <w:lang w:val="en"/>
        </w:rPr>
        <w:t>all</w:t>
      </w:r>
      <w:r>
        <w:rPr>
          <w:rFonts w:ascii="Calibri" w:hAnsi="Calibri" w:cs="Calibri"/>
          <w:lang w:val="en"/>
        </w:rPr>
        <w:t xml:space="preserve"> sciences, but </w:t>
      </w:r>
      <w:r w:rsidRPr="00763CFE">
        <w:rPr>
          <w:rFonts w:ascii="Calibri" w:hAnsi="Calibri" w:cs="Calibri"/>
          <w:i/>
          <w:lang w:val="en"/>
        </w:rPr>
        <w:t>all</w:t>
      </w:r>
      <w:r>
        <w:rPr>
          <w:rFonts w:ascii="Calibri" w:hAnsi="Calibri" w:cs="Calibri"/>
          <w:lang w:val="en"/>
        </w:rPr>
        <w:t xml:space="preserve"> existence. And finally, five, the second potentially problematic criterion, ‘</w:t>
      </w:r>
      <w:r w:rsidRPr="00785355">
        <w:rPr>
          <w:rFonts w:ascii="Calibri" w:hAnsi="Calibri" w:cs="Calibri"/>
          <w:lang w:val="en"/>
        </w:rPr>
        <w:t>the explanatory causes proper to this kind of knowledge’</w:t>
      </w:r>
      <w:r>
        <w:rPr>
          <w:rFonts w:ascii="Calibri" w:hAnsi="Calibri" w:cs="Calibri"/>
          <w:lang w:val="en"/>
        </w:rPr>
        <w:t xml:space="preserve"> - problematic - for the question of what causes </w:t>
      </w:r>
      <w:r w:rsidRPr="006A2EBA">
        <w:rPr>
          <w:rFonts w:ascii="Calibri" w:hAnsi="Calibri" w:cs="Calibri"/>
          <w:i/>
          <w:lang w:val="en"/>
        </w:rPr>
        <w:t>Gods</w:t>
      </w:r>
      <w:r>
        <w:rPr>
          <w:rFonts w:ascii="Calibri" w:hAnsi="Calibri" w:cs="Calibri"/>
          <w:lang w:val="en"/>
        </w:rPr>
        <w:t xml:space="preserve"> existence, resigns the cognitive faculty into a loop of circular inconceivability, serving in-itself to elucidate some knowledge of Gods nature, in inconceivableness. </w:t>
      </w:r>
      <w:r>
        <w:rPr>
          <w:rStyle w:val="EndnoteReference"/>
          <w:rFonts w:ascii="Calibri" w:hAnsi="Calibri" w:cs="Calibri"/>
          <w:lang w:val="en"/>
        </w:rPr>
        <w:endnoteReference w:id="6"/>
      </w:r>
      <w:r>
        <w:rPr>
          <w:rFonts w:ascii="Calibri" w:hAnsi="Calibri" w:cs="Calibri"/>
          <w:lang w:val="en"/>
        </w:rPr>
        <w:t xml:space="preserve"> The sole explanatory cause proper to divine knowledge can only be divinity itself, exemplified in the attributes of Gods infinitude, </w:t>
      </w:r>
      <w:r>
        <w:rPr>
          <w:rFonts w:ascii="Calibri" w:hAnsi="Calibri" w:cs="Calibri"/>
          <w:lang w:val="en"/>
        </w:rPr>
        <w:lastRenderedPageBreak/>
        <w:t xml:space="preserve">immutability and self-existentiality. </w:t>
      </w:r>
      <w:r>
        <w:rPr>
          <w:rStyle w:val="FootnoteReference"/>
          <w:rFonts w:ascii="Calibri" w:hAnsi="Calibri"/>
          <w:lang w:val="en"/>
        </w:rPr>
        <w:footnoteReference w:id="15"/>
      </w:r>
      <w:r>
        <w:rPr>
          <w:rFonts w:ascii="Calibri" w:hAnsi="Calibri" w:cs="Calibri"/>
          <w:lang w:val="en"/>
        </w:rPr>
        <w:t xml:space="preserve"> From these considerations, it is possible to recognize the validity of the term Queen-of-Sciences, but only if we can justly establish theological empiricism as our starting point.</w:t>
      </w:r>
    </w:p>
    <w:p w14:paraId="41888468" w14:textId="77777777" w:rsidR="00CF6D08" w:rsidRDefault="00CF6D08" w:rsidP="00CF6D08">
      <w:pPr>
        <w:widowControl w:val="0"/>
        <w:autoSpaceDE w:val="0"/>
        <w:autoSpaceDN w:val="0"/>
        <w:adjustRightInd w:val="0"/>
        <w:spacing w:after="200" w:line="276" w:lineRule="auto"/>
        <w:ind w:right="855"/>
        <w:rPr>
          <w:rFonts w:ascii="Calibri" w:hAnsi="Calibri" w:cs="Calibri"/>
          <w:lang w:val="en"/>
        </w:rPr>
      </w:pPr>
      <w:r>
        <w:rPr>
          <w:rFonts w:ascii="Calibri" w:hAnsi="Calibri" w:cs="Calibri"/>
          <w:lang w:val="en"/>
        </w:rPr>
        <w:t xml:space="preserve">From the Greek - </w:t>
      </w:r>
      <w:proofErr w:type="spellStart"/>
      <w:r w:rsidRPr="006241F3">
        <w:rPr>
          <w:rFonts w:ascii="Calibri" w:hAnsi="Calibri" w:cs="Calibri"/>
          <w:i/>
          <w:lang w:val="en"/>
        </w:rPr>
        <w:t>empeiria</w:t>
      </w:r>
      <w:proofErr w:type="spellEnd"/>
      <w:r>
        <w:rPr>
          <w:rFonts w:ascii="Calibri" w:hAnsi="Calibri" w:cs="Calibri"/>
          <w:lang w:val="en"/>
        </w:rPr>
        <w:t xml:space="preserve">, meaning experience, </w:t>
      </w:r>
      <w:r w:rsidRPr="001C442C">
        <w:rPr>
          <w:rFonts w:ascii="Calibri" w:hAnsi="Calibri" w:cs="Calibri"/>
          <w:i/>
          <w:lang w:val="en"/>
        </w:rPr>
        <w:t>empiricism</w:t>
      </w:r>
      <w:r>
        <w:rPr>
          <w:rFonts w:ascii="Calibri" w:hAnsi="Calibri" w:cs="Calibri"/>
          <w:i/>
          <w:lang w:val="en"/>
        </w:rPr>
        <w:t>,</w:t>
      </w:r>
      <w:r>
        <w:rPr>
          <w:rFonts w:ascii="Calibri" w:hAnsi="Calibri" w:cs="Calibri"/>
          <w:lang w:val="en"/>
        </w:rPr>
        <w:t xml:space="preserve"> relative to theology, is subjective and contingent, viz; it depends upon factors within the agent relative to the modality of his interpersonal relations with the absolute-subject – God. Although scripturally acclaimed as universally accessible, the experience of Gods existence is not necessarily conceivable, and so it is not universally held as empirical. Were this the case, religion would be mono, and atheism could not exist in the face of universal knowledge of God. </w:t>
      </w:r>
      <w:r>
        <w:rPr>
          <w:rStyle w:val="FootnoteReference"/>
          <w:rFonts w:ascii="Calibri" w:hAnsi="Calibri"/>
          <w:lang w:val="en"/>
        </w:rPr>
        <w:footnoteReference w:id="16"/>
      </w:r>
      <w:r>
        <w:rPr>
          <w:rFonts w:ascii="Calibri" w:hAnsi="Calibri" w:cs="Calibri"/>
          <w:lang w:val="en"/>
        </w:rPr>
        <w:t xml:space="preserve"> How then does the theologian establish empiricism within Christian-doctrines and God-based-natural-order?</w:t>
      </w:r>
    </w:p>
    <w:p w14:paraId="2D4C6379" w14:textId="77777777" w:rsidR="00CF6D08"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hAnsi="Calibri" w:cs="Calibri"/>
          <w:lang w:val="en"/>
        </w:rPr>
        <w:t xml:space="preserve">Knowledge of the natural-world is consensually understood as empirical-knowledge as it is directly experienceable. However, knowledge of </w:t>
      </w:r>
      <w:r w:rsidRPr="00EF68CF">
        <w:rPr>
          <w:rFonts w:ascii="Calibri" w:hAnsi="Calibri" w:cs="Calibri"/>
          <w:i/>
          <w:lang w:val="en"/>
        </w:rPr>
        <w:t>God</w:t>
      </w:r>
      <w:r>
        <w:rPr>
          <w:rFonts w:ascii="Calibri" w:hAnsi="Calibri" w:cs="Calibri"/>
          <w:i/>
          <w:lang w:val="en"/>
        </w:rPr>
        <w:t>-</w:t>
      </w:r>
      <w:r w:rsidRPr="00EF68CF">
        <w:rPr>
          <w:rFonts w:ascii="Calibri" w:hAnsi="Calibri" w:cs="Calibri"/>
          <w:i/>
          <w:lang w:val="en"/>
        </w:rPr>
        <w:t>based</w:t>
      </w:r>
      <w:r>
        <w:rPr>
          <w:rFonts w:ascii="Calibri" w:hAnsi="Calibri" w:cs="Calibri"/>
          <w:lang w:val="en"/>
        </w:rPr>
        <w:t xml:space="preserve">-natural-order is contingent, as it depends upon “attribute(s)” that the theologian “has” that cannot, for example, be found in the atheist. The same stands for </w:t>
      </w:r>
      <w:r w:rsidRPr="006B1CB0">
        <w:rPr>
          <w:rFonts w:ascii="Calibri" w:eastAsiaTheme="minorEastAsia" w:hAnsi="Calibri" w:cs="Calibri"/>
          <w:lang w:val="en" w:eastAsia="en-GB"/>
        </w:rPr>
        <w:t>Christian</w:t>
      </w:r>
      <w:r>
        <w:rPr>
          <w:rFonts w:ascii="Calibri" w:eastAsiaTheme="minorEastAsia" w:hAnsi="Calibri" w:cs="Calibri"/>
          <w:lang w:val="en" w:eastAsia="en-GB"/>
        </w:rPr>
        <w:t>-</w:t>
      </w:r>
      <w:r w:rsidRPr="006B1CB0">
        <w:rPr>
          <w:rFonts w:ascii="Calibri" w:eastAsiaTheme="minorEastAsia" w:hAnsi="Calibri" w:cs="Calibri"/>
          <w:lang w:val="en" w:eastAsia="en-GB"/>
        </w:rPr>
        <w:t xml:space="preserve">doctrine, from the Latin – </w:t>
      </w:r>
      <w:proofErr w:type="spellStart"/>
      <w:r w:rsidRPr="006B1CB0">
        <w:rPr>
          <w:rFonts w:ascii="Calibri" w:eastAsiaTheme="minorEastAsia" w:hAnsi="Calibri" w:cs="Calibri"/>
          <w:i/>
          <w:lang w:val="en" w:eastAsia="en-GB"/>
        </w:rPr>
        <w:t>doctrina</w:t>
      </w:r>
      <w:proofErr w:type="spellEnd"/>
      <w:r w:rsidRPr="006B1CB0">
        <w:rPr>
          <w:rFonts w:ascii="Calibri" w:eastAsiaTheme="minorEastAsia" w:hAnsi="Calibri" w:cs="Calibri"/>
          <w:lang w:val="en" w:eastAsia="en-GB"/>
        </w:rPr>
        <w:t>, meaning teaching</w:t>
      </w:r>
      <w:r>
        <w:rPr>
          <w:rFonts w:ascii="Calibri" w:eastAsiaTheme="minorEastAsia" w:hAnsi="Calibri" w:cs="Calibri"/>
          <w:lang w:val="en" w:eastAsia="en-GB"/>
        </w:rPr>
        <w:t>. C</w:t>
      </w:r>
      <w:r w:rsidRPr="006B1CB0">
        <w:rPr>
          <w:rFonts w:ascii="Calibri" w:eastAsiaTheme="minorEastAsia" w:hAnsi="Calibri" w:cs="Calibri"/>
          <w:lang w:val="en" w:eastAsia="en-GB"/>
        </w:rPr>
        <w:t xml:space="preserve">ompiled predominantly from </w:t>
      </w:r>
      <w:r>
        <w:rPr>
          <w:rFonts w:ascii="Calibri" w:eastAsiaTheme="minorEastAsia" w:hAnsi="Calibri" w:cs="Calibri"/>
          <w:lang w:val="en" w:eastAsia="en-GB"/>
        </w:rPr>
        <w:t xml:space="preserve">the </w:t>
      </w:r>
      <w:r w:rsidRPr="006B1CB0">
        <w:rPr>
          <w:rFonts w:ascii="Calibri" w:eastAsiaTheme="minorEastAsia" w:hAnsi="Calibri" w:cs="Calibri"/>
          <w:lang w:val="en" w:eastAsia="en-GB"/>
        </w:rPr>
        <w:t>experiential accounts of Christ</w:t>
      </w:r>
      <w:r>
        <w:rPr>
          <w:rFonts w:ascii="Calibri" w:eastAsiaTheme="minorEastAsia" w:hAnsi="Calibri" w:cs="Calibri"/>
          <w:lang w:val="en" w:eastAsia="en-GB"/>
        </w:rPr>
        <w:t xml:space="preserve">’s life </w:t>
      </w:r>
      <w:r w:rsidRPr="006B1CB0">
        <w:rPr>
          <w:rFonts w:ascii="Calibri" w:eastAsiaTheme="minorEastAsia" w:hAnsi="Calibri" w:cs="Calibri"/>
          <w:lang w:val="en" w:eastAsia="en-GB"/>
        </w:rPr>
        <w:t>narrated by the apostles</w:t>
      </w:r>
      <w:r>
        <w:rPr>
          <w:rFonts w:ascii="Calibri" w:eastAsiaTheme="minorEastAsia" w:hAnsi="Calibri" w:cs="Calibri"/>
          <w:lang w:val="en" w:eastAsia="en-GB"/>
        </w:rPr>
        <w:t xml:space="preserve"> who experienced Christ’s personage. To those of Christian-faith, B</w:t>
      </w:r>
      <w:r w:rsidRPr="006B1CB0">
        <w:rPr>
          <w:rFonts w:ascii="Calibri" w:eastAsiaTheme="minorEastAsia" w:hAnsi="Calibri" w:cs="Calibri"/>
          <w:lang w:val="en" w:eastAsia="en-GB"/>
        </w:rPr>
        <w:t xml:space="preserve">iblical </w:t>
      </w:r>
      <w:r>
        <w:rPr>
          <w:rFonts w:ascii="Calibri" w:eastAsiaTheme="minorEastAsia" w:hAnsi="Calibri" w:cs="Calibri"/>
          <w:lang w:val="en" w:eastAsia="en-GB"/>
        </w:rPr>
        <w:t xml:space="preserve">knowledge </w:t>
      </w:r>
      <w:r w:rsidRPr="004E3CE8">
        <w:rPr>
          <w:rFonts w:ascii="Calibri" w:eastAsiaTheme="minorEastAsia" w:hAnsi="Calibri" w:cs="Calibri"/>
          <w:i/>
          <w:lang w:val="en" w:eastAsia="en-GB"/>
        </w:rPr>
        <w:t>is</w:t>
      </w:r>
      <w:r>
        <w:rPr>
          <w:rFonts w:ascii="Calibri" w:eastAsiaTheme="minorEastAsia" w:hAnsi="Calibri" w:cs="Calibri"/>
          <w:lang w:val="en" w:eastAsia="en-GB"/>
        </w:rPr>
        <w:t xml:space="preserve"> empirical</w:t>
      </w:r>
      <w:r w:rsidRPr="006B1CB0">
        <w:rPr>
          <w:rFonts w:ascii="Calibri" w:eastAsiaTheme="minorEastAsia" w:hAnsi="Calibri" w:cs="Calibri"/>
          <w:lang w:val="en" w:eastAsia="en-GB"/>
        </w:rPr>
        <w:t xml:space="preserve"> </w:t>
      </w:r>
      <w:r>
        <w:rPr>
          <w:rFonts w:ascii="Calibri" w:eastAsiaTheme="minorEastAsia" w:hAnsi="Calibri" w:cs="Calibri"/>
          <w:lang w:val="en" w:eastAsia="en-GB"/>
        </w:rPr>
        <w:t xml:space="preserve">knowledge, the comprehension of which depends upon the agent’s Christian-faith. </w:t>
      </w:r>
      <w:r>
        <w:rPr>
          <w:rStyle w:val="FootnoteReference"/>
          <w:rFonts w:ascii="Calibri" w:eastAsiaTheme="minorEastAsia" w:hAnsi="Calibri"/>
          <w:lang w:val="en" w:eastAsia="en-GB"/>
        </w:rPr>
        <w:footnoteReference w:id="17"/>
      </w:r>
      <w:r>
        <w:rPr>
          <w:rFonts w:ascii="Calibri" w:eastAsiaTheme="minorEastAsia" w:hAnsi="Calibri" w:cs="Calibri"/>
          <w:lang w:val="en" w:eastAsia="en-GB"/>
        </w:rPr>
        <w:t xml:space="preserve"> Only with the employment of Christian-faith does Christian-theology begin to appear more like a science. Without this medium, it is a study rooted in speculative observations, which in themselves, cannot grow to produce the fruits of empirical knowledge. </w:t>
      </w:r>
      <w:r>
        <w:rPr>
          <w:rStyle w:val="FootnoteReference"/>
          <w:rFonts w:ascii="Calibri" w:eastAsiaTheme="minorEastAsia" w:hAnsi="Calibri"/>
          <w:lang w:val="en" w:eastAsia="en-GB"/>
        </w:rPr>
        <w:footnoteReference w:id="18"/>
      </w:r>
    </w:p>
    <w:p w14:paraId="6690DCB1" w14:textId="77777777" w:rsidR="00CF6D08"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 xml:space="preserve">Faith is the key that unlocks the door to the theologian’s laboratory. Often simply interpreted as “belief”, however, theologically, faith is deemed considerably more than the cognitive function of simple belief. Faith is of paramount necessity as intermediary between man and divinity. </w:t>
      </w:r>
      <w:r>
        <w:rPr>
          <w:rStyle w:val="FootnoteReference"/>
          <w:rFonts w:ascii="Calibri" w:eastAsiaTheme="minorEastAsia" w:hAnsi="Calibri"/>
          <w:lang w:val="en" w:eastAsia="en-GB"/>
        </w:rPr>
        <w:footnoteReference w:id="19"/>
      </w:r>
      <w:r>
        <w:rPr>
          <w:rFonts w:ascii="Calibri" w:eastAsiaTheme="minorEastAsia" w:hAnsi="Calibri" w:cs="Calibri"/>
          <w:lang w:val="en" w:eastAsia="en-GB"/>
        </w:rPr>
        <w:t xml:space="preserve"> It is the bridge spanning the gulf of otherwise speculative ideology delivering one into the realms of divine knowledge and serves to conjoin the criteria of Aristotle’s scientific process with theology. It is the scientific method </w:t>
      </w:r>
      <w:r w:rsidRPr="008133B9">
        <w:rPr>
          <w:rFonts w:ascii="Calibri" w:eastAsiaTheme="minorEastAsia" w:hAnsi="Calibri" w:cs="Calibri"/>
          <w:i/>
          <w:lang w:val="en" w:eastAsia="en-GB"/>
        </w:rPr>
        <w:t>embodied</w:t>
      </w:r>
      <w:r>
        <w:rPr>
          <w:rFonts w:ascii="Calibri" w:eastAsiaTheme="minorEastAsia" w:hAnsi="Calibri" w:cs="Calibri"/>
          <w:lang w:val="en" w:eastAsia="en-GB"/>
        </w:rPr>
        <w:t xml:space="preserve"> by the theologian, allowing him insight in a way unknowable to the atheist. The nature of theology then, is conjunctively the nature of faith, and the nature of faith, is the nature of theology </w:t>
      </w:r>
      <w:r w:rsidRPr="001B4A75">
        <w:rPr>
          <w:rFonts w:ascii="Calibri" w:eastAsiaTheme="minorEastAsia" w:hAnsi="Calibri" w:cs="Calibri"/>
          <w:i/>
          <w:lang w:val="en" w:eastAsia="en-GB"/>
        </w:rPr>
        <w:t>and</w:t>
      </w:r>
      <w:r>
        <w:rPr>
          <w:rFonts w:ascii="Calibri" w:eastAsiaTheme="minorEastAsia" w:hAnsi="Calibri" w:cs="Calibri"/>
          <w:lang w:val="en" w:eastAsia="en-GB"/>
        </w:rPr>
        <w:t xml:space="preserve"> the medium to theology’s relativity as a science. </w:t>
      </w:r>
    </w:p>
    <w:p w14:paraId="5E6F53EE" w14:textId="77777777" w:rsidR="00CF6D08"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 xml:space="preserve">And in order to better understand the nature of Christian-theology </w:t>
      </w:r>
      <w:r w:rsidRPr="00884828">
        <w:rPr>
          <w:rFonts w:ascii="Calibri" w:eastAsiaTheme="minorEastAsia" w:hAnsi="Calibri" w:cs="Calibri"/>
          <w:i/>
          <w:lang w:val="en" w:eastAsia="en-GB"/>
        </w:rPr>
        <w:t>and</w:t>
      </w:r>
      <w:r>
        <w:rPr>
          <w:rFonts w:ascii="Calibri" w:eastAsiaTheme="minorEastAsia" w:hAnsi="Calibri" w:cs="Calibri"/>
          <w:lang w:val="en" w:eastAsia="en-GB"/>
        </w:rPr>
        <w:t xml:space="preserve"> its relativity to science, the </w:t>
      </w:r>
      <w:r>
        <w:rPr>
          <w:rFonts w:ascii="Calibri" w:eastAsiaTheme="minorEastAsia" w:hAnsi="Calibri" w:cs="Calibri"/>
          <w:lang w:val="en" w:eastAsia="en-GB"/>
        </w:rPr>
        <w:lastRenderedPageBreak/>
        <w:t xml:space="preserve">necessary progression is to better understand the nature of faith. </w:t>
      </w:r>
      <w:r w:rsidRPr="00AC3C93">
        <w:rPr>
          <w:rFonts w:ascii="Calibri" w:eastAsiaTheme="minorEastAsia" w:hAnsi="Calibri" w:cs="Calibri"/>
          <w:lang w:val="en" w:eastAsia="en-GB"/>
        </w:rPr>
        <w:t>In Saint Thomas Aquinas, we are directed to</w:t>
      </w:r>
      <w:r>
        <w:rPr>
          <w:rFonts w:ascii="Calibri" w:eastAsiaTheme="minorEastAsia" w:hAnsi="Calibri" w:cs="Calibri"/>
          <w:lang w:val="en" w:eastAsia="en-GB"/>
        </w:rPr>
        <w:t xml:space="preserve"> ‘Habitus’, from the </w:t>
      </w:r>
      <w:r w:rsidRPr="00AC3C93">
        <w:rPr>
          <w:rFonts w:ascii="Calibri" w:eastAsiaTheme="minorEastAsia" w:hAnsi="Calibri" w:cs="Calibri"/>
          <w:lang w:val="en" w:eastAsia="en-GB"/>
        </w:rPr>
        <w:t xml:space="preserve">Greek </w:t>
      </w:r>
      <w:proofErr w:type="spellStart"/>
      <w:r w:rsidRPr="00AC3C93">
        <w:rPr>
          <w:rFonts w:ascii="Calibri" w:eastAsiaTheme="minorEastAsia" w:hAnsi="Calibri" w:cs="Calibri"/>
          <w:lang w:val="en" w:eastAsia="en-GB"/>
        </w:rPr>
        <w:t>Hexis</w:t>
      </w:r>
      <w:proofErr w:type="spellEnd"/>
      <w:r>
        <w:rPr>
          <w:rFonts w:ascii="Calibri" w:eastAsiaTheme="minorEastAsia" w:hAnsi="Calibri" w:cs="Calibri"/>
          <w:lang w:val="en" w:eastAsia="en-GB"/>
        </w:rPr>
        <w:t xml:space="preserve">. Defined by Thomas as an inherent faculty ‘lying </w:t>
      </w:r>
      <w:r w:rsidRPr="001B4A75">
        <w:rPr>
          <w:rFonts w:ascii="Calibri" w:eastAsiaTheme="minorEastAsia" w:hAnsi="Calibri" w:cs="Calibri"/>
          <w:lang w:val="en" w:eastAsia="en-GB"/>
        </w:rPr>
        <w:t>midway between a nature and its action, a skill or know how of a particular natural knowled</w:t>
      </w:r>
      <w:r>
        <w:rPr>
          <w:rFonts w:ascii="Calibri" w:eastAsiaTheme="minorEastAsia" w:hAnsi="Calibri" w:cs="Calibri"/>
          <w:lang w:val="en" w:eastAsia="en-GB"/>
        </w:rPr>
        <w:t xml:space="preserve">ge’, such as that of a scientist or surgeon, philosopher or theologian, </w:t>
      </w:r>
      <w:r w:rsidRPr="00AC3C93">
        <w:rPr>
          <w:rFonts w:ascii="Calibri" w:eastAsiaTheme="minorEastAsia" w:hAnsi="Calibri" w:cs="Calibri"/>
          <w:lang w:val="en" w:eastAsia="en-GB"/>
        </w:rPr>
        <w:t xml:space="preserve">seen in Thomas as a given of divine gratuitousness and seat to the </w:t>
      </w:r>
      <w:r>
        <w:rPr>
          <w:rFonts w:ascii="Calibri" w:eastAsiaTheme="minorEastAsia" w:hAnsi="Calibri" w:cs="Calibri"/>
          <w:lang w:val="en" w:eastAsia="en-GB"/>
        </w:rPr>
        <w:t>‘</w:t>
      </w:r>
      <w:proofErr w:type="spellStart"/>
      <w:r>
        <w:rPr>
          <w:rFonts w:ascii="Calibri" w:eastAsiaTheme="minorEastAsia" w:hAnsi="Calibri" w:cs="Calibri"/>
          <w:i/>
          <w:lang w:val="en" w:eastAsia="en-GB"/>
        </w:rPr>
        <w:t>S</w:t>
      </w:r>
      <w:r w:rsidRPr="00AC3C93">
        <w:rPr>
          <w:rFonts w:ascii="Calibri" w:eastAsiaTheme="minorEastAsia" w:hAnsi="Calibri" w:cs="Calibri"/>
          <w:i/>
          <w:lang w:val="en" w:eastAsia="en-GB"/>
        </w:rPr>
        <w:t>ensus</w:t>
      </w:r>
      <w:proofErr w:type="spellEnd"/>
      <w:r w:rsidRPr="00AC3C93">
        <w:rPr>
          <w:rFonts w:ascii="Calibri" w:eastAsiaTheme="minorEastAsia" w:hAnsi="Calibri" w:cs="Calibri"/>
          <w:i/>
          <w:lang w:val="en" w:eastAsia="en-GB"/>
        </w:rPr>
        <w:t xml:space="preserve"> </w:t>
      </w:r>
      <w:proofErr w:type="spellStart"/>
      <w:r>
        <w:rPr>
          <w:rFonts w:ascii="Calibri" w:eastAsiaTheme="minorEastAsia" w:hAnsi="Calibri" w:cs="Calibri"/>
          <w:i/>
          <w:lang w:val="en" w:eastAsia="en-GB"/>
        </w:rPr>
        <w:t>F</w:t>
      </w:r>
      <w:r w:rsidRPr="00AC3C93">
        <w:rPr>
          <w:rFonts w:ascii="Calibri" w:eastAsiaTheme="minorEastAsia" w:hAnsi="Calibri" w:cs="Calibri"/>
          <w:i/>
          <w:lang w:val="en" w:eastAsia="en-GB"/>
        </w:rPr>
        <w:t>idei</w:t>
      </w:r>
      <w:proofErr w:type="spellEnd"/>
      <w:r>
        <w:rPr>
          <w:rFonts w:ascii="Calibri" w:eastAsiaTheme="minorEastAsia" w:hAnsi="Calibri" w:cs="Calibri"/>
          <w:i/>
          <w:lang w:val="en" w:eastAsia="en-GB"/>
        </w:rPr>
        <w:t>’</w:t>
      </w:r>
      <w:r>
        <w:rPr>
          <w:rFonts w:ascii="Calibri" w:eastAsiaTheme="minorEastAsia" w:hAnsi="Calibri" w:cs="Calibri"/>
          <w:lang w:val="en" w:eastAsia="en-GB"/>
        </w:rPr>
        <w:t xml:space="preserve"> [Latin], meaning </w:t>
      </w:r>
      <w:r w:rsidRPr="00B34DFA">
        <w:rPr>
          <w:rFonts w:ascii="Calibri" w:eastAsiaTheme="minorEastAsia" w:hAnsi="Calibri" w:cs="Calibri"/>
          <w:i/>
          <w:lang w:val="en" w:eastAsia="en-GB"/>
        </w:rPr>
        <w:t>sense</w:t>
      </w:r>
      <w:r w:rsidRPr="00AC3C93">
        <w:rPr>
          <w:rFonts w:ascii="Calibri" w:eastAsiaTheme="minorEastAsia" w:hAnsi="Calibri" w:cs="Calibri"/>
          <w:lang w:val="en" w:eastAsia="en-GB"/>
        </w:rPr>
        <w:t xml:space="preserve"> of faith</w:t>
      </w:r>
      <w:r>
        <w:rPr>
          <w:rFonts w:ascii="Calibri" w:eastAsiaTheme="minorEastAsia" w:hAnsi="Calibri" w:cs="Calibri"/>
          <w:lang w:val="en" w:eastAsia="en-GB"/>
        </w:rPr>
        <w:t xml:space="preserve">. </w:t>
      </w:r>
      <w:r>
        <w:rPr>
          <w:rStyle w:val="FootnoteReference"/>
          <w:rFonts w:ascii="Calibri" w:eastAsiaTheme="minorEastAsia" w:hAnsi="Calibri"/>
          <w:lang w:val="en" w:eastAsia="en-GB"/>
        </w:rPr>
        <w:footnoteReference w:id="20"/>
      </w:r>
      <w:r w:rsidRPr="00AC3C93">
        <w:rPr>
          <w:rFonts w:ascii="Calibri" w:eastAsiaTheme="minorEastAsia" w:hAnsi="Calibri" w:cs="Calibri"/>
          <w:lang w:val="en" w:eastAsia="en-GB"/>
        </w:rPr>
        <w:t xml:space="preserve"> </w:t>
      </w:r>
      <w:r>
        <w:rPr>
          <w:rFonts w:ascii="Calibri" w:eastAsiaTheme="minorEastAsia" w:hAnsi="Calibri" w:cs="Calibri"/>
          <w:lang w:val="en" w:eastAsia="en-GB"/>
        </w:rPr>
        <w:t>U</w:t>
      </w:r>
      <w:r w:rsidRPr="00AC3C93">
        <w:rPr>
          <w:rFonts w:ascii="Calibri" w:eastAsiaTheme="minorEastAsia" w:hAnsi="Calibri" w:cs="Calibri"/>
          <w:lang w:val="en" w:eastAsia="en-GB"/>
        </w:rPr>
        <w:t xml:space="preserve">nified within the </w:t>
      </w:r>
      <w:r>
        <w:rPr>
          <w:rFonts w:ascii="Calibri" w:eastAsiaTheme="minorEastAsia" w:hAnsi="Calibri" w:cs="Calibri"/>
          <w:lang w:val="en" w:eastAsia="en-GB"/>
        </w:rPr>
        <w:t>agen</w:t>
      </w:r>
      <w:r w:rsidRPr="00AC3C93">
        <w:rPr>
          <w:rFonts w:ascii="Calibri" w:eastAsiaTheme="minorEastAsia" w:hAnsi="Calibri" w:cs="Calibri"/>
          <w:lang w:val="en" w:eastAsia="en-GB"/>
        </w:rPr>
        <w:t xml:space="preserve">t, </w:t>
      </w:r>
      <w:r>
        <w:rPr>
          <w:rFonts w:ascii="Calibri" w:eastAsiaTheme="minorEastAsia" w:hAnsi="Calibri" w:cs="Calibri"/>
          <w:lang w:val="en" w:eastAsia="en-GB"/>
        </w:rPr>
        <w:t xml:space="preserve">habitus and </w:t>
      </w:r>
      <w:proofErr w:type="spellStart"/>
      <w:r w:rsidRPr="002652BE">
        <w:rPr>
          <w:rFonts w:ascii="Calibri" w:eastAsiaTheme="minorEastAsia" w:hAnsi="Calibri" w:cs="Calibri"/>
          <w:i/>
          <w:lang w:val="en" w:eastAsia="en-GB"/>
        </w:rPr>
        <w:t>sensus</w:t>
      </w:r>
      <w:proofErr w:type="spellEnd"/>
      <w:r w:rsidRPr="002652BE">
        <w:rPr>
          <w:rFonts w:ascii="Calibri" w:eastAsiaTheme="minorEastAsia" w:hAnsi="Calibri" w:cs="Calibri"/>
          <w:i/>
          <w:lang w:val="en" w:eastAsia="en-GB"/>
        </w:rPr>
        <w:t xml:space="preserve"> </w:t>
      </w:r>
      <w:proofErr w:type="spellStart"/>
      <w:r w:rsidRPr="002652BE">
        <w:rPr>
          <w:rFonts w:ascii="Calibri" w:eastAsiaTheme="minorEastAsia" w:hAnsi="Calibri" w:cs="Calibri"/>
          <w:i/>
          <w:lang w:val="en" w:eastAsia="en-GB"/>
        </w:rPr>
        <w:t>fidei</w:t>
      </w:r>
      <w:proofErr w:type="spellEnd"/>
      <w:r>
        <w:rPr>
          <w:rFonts w:ascii="Calibri" w:eastAsiaTheme="minorEastAsia" w:hAnsi="Calibri" w:cs="Calibri"/>
          <w:lang w:val="en" w:eastAsia="en-GB"/>
        </w:rPr>
        <w:t xml:space="preserve"> </w:t>
      </w:r>
      <w:r w:rsidRPr="00AC3C93">
        <w:rPr>
          <w:rFonts w:ascii="Calibri" w:eastAsiaTheme="minorEastAsia" w:hAnsi="Calibri" w:cs="Calibri"/>
          <w:lang w:val="en" w:eastAsia="en-GB"/>
        </w:rPr>
        <w:t xml:space="preserve">constitute the </w:t>
      </w:r>
      <w:r>
        <w:rPr>
          <w:rFonts w:ascii="Calibri" w:eastAsiaTheme="minorEastAsia" w:hAnsi="Calibri" w:cs="Calibri"/>
          <w:lang w:val="en" w:eastAsia="en-GB"/>
        </w:rPr>
        <w:t xml:space="preserve">sensorial </w:t>
      </w:r>
      <w:r w:rsidRPr="00AC3C93">
        <w:rPr>
          <w:rFonts w:ascii="Calibri" w:eastAsiaTheme="minorEastAsia" w:hAnsi="Calibri" w:cs="Calibri"/>
          <w:lang w:val="en" w:eastAsia="en-GB"/>
        </w:rPr>
        <w:t>plateau</w:t>
      </w:r>
      <w:r>
        <w:rPr>
          <w:rFonts w:ascii="Calibri" w:eastAsiaTheme="minorEastAsia" w:hAnsi="Calibri" w:cs="Calibri"/>
          <w:lang w:val="en" w:eastAsia="en-GB"/>
        </w:rPr>
        <w:t xml:space="preserve"> </w:t>
      </w:r>
      <w:r w:rsidRPr="00AC3C93">
        <w:rPr>
          <w:rFonts w:ascii="Calibri" w:eastAsiaTheme="minorEastAsia" w:hAnsi="Calibri" w:cs="Calibri"/>
          <w:lang w:val="en" w:eastAsia="en-GB"/>
        </w:rPr>
        <w:t>from which theological enquiry embark</w:t>
      </w:r>
      <w:r>
        <w:rPr>
          <w:rFonts w:ascii="Calibri" w:eastAsiaTheme="minorEastAsia" w:hAnsi="Calibri" w:cs="Calibri"/>
          <w:lang w:val="en" w:eastAsia="en-GB"/>
        </w:rPr>
        <w:t>s. T</w:t>
      </w:r>
      <w:r w:rsidRPr="00AC3C93">
        <w:rPr>
          <w:rFonts w:ascii="Calibri" w:eastAsiaTheme="minorEastAsia" w:hAnsi="Calibri" w:cs="Calibri"/>
          <w:lang w:val="en" w:eastAsia="en-GB"/>
        </w:rPr>
        <w:t xml:space="preserve">he culmination of </w:t>
      </w:r>
      <w:r>
        <w:rPr>
          <w:rFonts w:ascii="Calibri" w:eastAsiaTheme="minorEastAsia" w:hAnsi="Calibri" w:cs="Calibri"/>
          <w:lang w:val="en" w:eastAsia="en-GB"/>
        </w:rPr>
        <w:t>the theologian’s</w:t>
      </w:r>
      <w:r w:rsidRPr="00AC3C93">
        <w:rPr>
          <w:rFonts w:ascii="Calibri" w:eastAsiaTheme="minorEastAsia" w:hAnsi="Calibri" w:cs="Calibri"/>
          <w:lang w:val="en" w:eastAsia="en-GB"/>
        </w:rPr>
        <w:t xml:space="preserve"> faith serves as the hypothesis from which furthermore skilled enquiry is rendered possible</w:t>
      </w:r>
      <w:r>
        <w:rPr>
          <w:rFonts w:ascii="Calibri" w:eastAsiaTheme="minorEastAsia" w:hAnsi="Calibri" w:cs="Calibri"/>
          <w:lang w:val="en" w:eastAsia="en-GB"/>
        </w:rPr>
        <w:t xml:space="preserve">, whilst equipping him subjectively with the tools required to progress in his field of study. Faith is the theologians starting point </w:t>
      </w:r>
      <w:r w:rsidRPr="008133B9">
        <w:rPr>
          <w:rFonts w:ascii="Calibri" w:eastAsiaTheme="minorEastAsia" w:hAnsi="Calibri" w:cs="Calibri"/>
          <w:i/>
          <w:lang w:val="en" w:eastAsia="en-GB"/>
        </w:rPr>
        <w:t>and</w:t>
      </w:r>
      <w:r>
        <w:rPr>
          <w:rFonts w:ascii="Calibri" w:eastAsiaTheme="minorEastAsia" w:hAnsi="Calibri" w:cs="Calibri"/>
          <w:lang w:val="en" w:eastAsia="en-GB"/>
        </w:rPr>
        <w:t xml:space="preserve"> his mode of propulsion towards his theological ends, and so faith becomes his mode of existence. </w:t>
      </w:r>
      <w:r>
        <w:rPr>
          <w:rStyle w:val="FootnoteReference"/>
          <w:rFonts w:ascii="Calibri" w:eastAsiaTheme="minorEastAsia" w:hAnsi="Calibri"/>
          <w:lang w:val="en" w:eastAsia="en-GB"/>
        </w:rPr>
        <w:footnoteReference w:id="21"/>
      </w:r>
      <w:r>
        <w:rPr>
          <w:rFonts w:ascii="Calibri" w:eastAsiaTheme="minorEastAsia" w:hAnsi="Calibri" w:cs="Calibri"/>
          <w:lang w:val="en" w:eastAsia="en-GB"/>
        </w:rPr>
        <w:t xml:space="preserve"> In respect of habitus and </w:t>
      </w:r>
      <w:proofErr w:type="spellStart"/>
      <w:r>
        <w:rPr>
          <w:rFonts w:ascii="Calibri" w:eastAsiaTheme="minorEastAsia" w:hAnsi="Calibri" w:cs="Calibri"/>
          <w:lang w:val="en" w:eastAsia="en-GB"/>
        </w:rPr>
        <w:t>sensus</w:t>
      </w:r>
      <w:proofErr w:type="spellEnd"/>
      <w:r>
        <w:rPr>
          <w:rFonts w:ascii="Calibri" w:eastAsiaTheme="minorEastAsia" w:hAnsi="Calibri" w:cs="Calibri"/>
          <w:lang w:val="en" w:eastAsia="en-GB"/>
        </w:rPr>
        <w:t xml:space="preserve"> </w:t>
      </w:r>
      <w:proofErr w:type="spellStart"/>
      <w:r>
        <w:rPr>
          <w:rFonts w:ascii="Calibri" w:eastAsiaTheme="minorEastAsia" w:hAnsi="Calibri" w:cs="Calibri"/>
          <w:lang w:val="en" w:eastAsia="en-GB"/>
        </w:rPr>
        <w:t>fidei</w:t>
      </w:r>
      <w:proofErr w:type="spellEnd"/>
      <w:r>
        <w:rPr>
          <w:rFonts w:ascii="Calibri" w:eastAsiaTheme="minorEastAsia" w:hAnsi="Calibri" w:cs="Calibri"/>
          <w:lang w:val="en" w:eastAsia="en-GB"/>
        </w:rPr>
        <w:t xml:space="preserve"> being </w:t>
      </w:r>
      <w:r w:rsidRPr="00E16DC9">
        <w:rPr>
          <w:rFonts w:ascii="Calibri" w:eastAsiaTheme="minorEastAsia" w:hAnsi="Calibri" w:cs="Calibri"/>
          <w:i/>
          <w:lang w:val="en" w:eastAsia="en-GB"/>
        </w:rPr>
        <w:t>the</w:t>
      </w:r>
      <w:r>
        <w:rPr>
          <w:rFonts w:ascii="Calibri" w:eastAsiaTheme="minorEastAsia" w:hAnsi="Calibri" w:cs="Calibri"/>
          <w:lang w:val="en" w:eastAsia="en-GB"/>
        </w:rPr>
        <w:t xml:space="preserve"> modes of theological instrumentation, the theologian, intrinsic bearer of the habitus/</w:t>
      </w:r>
      <w:proofErr w:type="spellStart"/>
      <w:r>
        <w:rPr>
          <w:rFonts w:ascii="Calibri" w:eastAsiaTheme="minorEastAsia" w:hAnsi="Calibri" w:cs="Calibri"/>
          <w:lang w:val="en" w:eastAsia="en-GB"/>
        </w:rPr>
        <w:t>sensus</w:t>
      </w:r>
      <w:proofErr w:type="spellEnd"/>
      <w:r>
        <w:rPr>
          <w:rFonts w:ascii="Calibri" w:eastAsiaTheme="minorEastAsia" w:hAnsi="Calibri" w:cs="Calibri"/>
          <w:lang w:val="en" w:eastAsia="en-GB"/>
        </w:rPr>
        <w:t xml:space="preserve"> </w:t>
      </w:r>
      <w:proofErr w:type="spellStart"/>
      <w:r>
        <w:rPr>
          <w:rFonts w:ascii="Calibri" w:eastAsiaTheme="minorEastAsia" w:hAnsi="Calibri" w:cs="Calibri"/>
          <w:lang w:val="en" w:eastAsia="en-GB"/>
        </w:rPr>
        <w:t>fidei</w:t>
      </w:r>
      <w:proofErr w:type="spellEnd"/>
      <w:r>
        <w:rPr>
          <w:rFonts w:ascii="Calibri" w:eastAsiaTheme="minorEastAsia" w:hAnsi="Calibri" w:cs="Calibri"/>
          <w:lang w:val="en" w:eastAsia="en-GB"/>
        </w:rPr>
        <w:t xml:space="preserve"> relation, becomes the </w:t>
      </w:r>
      <w:r w:rsidRPr="00E16DC9">
        <w:rPr>
          <w:rFonts w:ascii="Calibri" w:eastAsiaTheme="minorEastAsia" w:hAnsi="Calibri" w:cs="Calibri"/>
          <w:i/>
          <w:lang w:val="en" w:eastAsia="en-GB"/>
        </w:rPr>
        <w:t>embodiment</w:t>
      </w:r>
      <w:r>
        <w:rPr>
          <w:rFonts w:ascii="Calibri" w:eastAsiaTheme="minorEastAsia" w:hAnsi="Calibri" w:cs="Calibri"/>
          <w:lang w:val="en" w:eastAsia="en-GB"/>
        </w:rPr>
        <w:t xml:space="preserve"> of his science. And the procession of his life-and-afterlife relative to his faith in the holy trinity, become his focused experiment. It is the very-process of science principally rooted in the agent’s faith faculty that empirically confirms theology’s majestic scientific qualities to him. In Thomas, </w:t>
      </w:r>
      <w:r w:rsidRPr="00C74F2F">
        <w:rPr>
          <w:rFonts w:ascii="Calibri" w:eastAsiaTheme="minorEastAsia" w:hAnsi="Calibri" w:cs="Calibri"/>
          <w:i/>
          <w:lang w:val="en" w:eastAsia="en-GB"/>
        </w:rPr>
        <w:t>sense of faith</w:t>
      </w:r>
      <w:r>
        <w:rPr>
          <w:rFonts w:ascii="Calibri" w:eastAsiaTheme="minorEastAsia" w:hAnsi="Calibri" w:cs="Calibri"/>
          <w:lang w:val="en" w:eastAsia="en-GB"/>
        </w:rPr>
        <w:t xml:space="preserve"> corresponds to </w:t>
      </w:r>
      <w:r w:rsidRPr="00C74F2F">
        <w:rPr>
          <w:rFonts w:ascii="Calibri" w:eastAsiaTheme="minorEastAsia" w:hAnsi="Calibri" w:cs="Calibri"/>
          <w:i/>
          <w:lang w:val="en" w:eastAsia="en-GB"/>
        </w:rPr>
        <w:t>habitus</w:t>
      </w:r>
      <w:r>
        <w:rPr>
          <w:rFonts w:ascii="Calibri" w:eastAsiaTheme="minorEastAsia" w:hAnsi="Calibri" w:cs="Calibri"/>
          <w:lang w:val="en" w:eastAsia="en-GB"/>
        </w:rPr>
        <w:t xml:space="preserve">, and conjunctively enable one to comprehend the principles of theology. </w:t>
      </w:r>
      <w:r>
        <w:rPr>
          <w:rStyle w:val="FootnoteReference"/>
          <w:rFonts w:ascii="Calibri" w:eastAsiaTheme="minorEastAsia" w:hAnsi="Calibri"/>
          <w:lang w:val="en" w:eastAsia="en-GB"/>
        </w:rPr>
        <w:footnoteReference w:id="22"/>
      </w:r>
      <w:r>
        <w:rPr>
          <w:rFonts w:ascii="Calibri" w:eastAsiaTheme="minorEastAsia" w:hAnsi="Calibri" w:cs="Calibri"/>
          <w:lang w:val="en" w:eastAsia="en-GB"/>
        </w:rPr>
        <w:t xml:space="preserve"> </w:t>
      </w:r>
    </w:p>
    <w:p w14:paraId="6FF3C54C" w14:textId="77777777" w:rsidR="00CF6D08"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 xml:space="preserve">The principles are simply the primary truths that faith discovers from which theology instigates elaboration. </w:t>
      </w:r>
      <w:r>
        <w:rPr>
          <w:rStyle w:val="FootnoteReference"/>
          <w:rFonts w:ascii="Calibri" w:eastAsiaTheme="minorEastAsia" w:hAnsi="Calibri"/>
          <w:lang w:val="en" w:eastAsia="en-GB"/>
        </w:rPr>
        <w:footnoteReference w:id="23"/>
      </w:r>
      <w:r>
        <w:rPr>
          <w:rFonts w:ascii="Calibri" w:eastAsiaTheme="minorEastAsia" w:hAnsi="Calibri" w:cs="Calibri"/>
          <w:lang w:val="en" w:eastAsia="en-GB"/>
        </w:rPr>
        <w:t xml:space="preserve"> </w:t>
      </w:r>
      <w:proofErr w:type="spellStart"/>
      <w:r>
        <w:rPr>
          <w:rFonts w:ascii="Calibri" w:eastAsiaTheme="minorEastAsia" w:hAnsi="Calibri" w:cs="Calibri"/>
          <w:lang w:val="en" w:eastAsia="en-GB"/>
        </w:rPr>
        <w:t>Torrell</w:t>
      </w:r>
      <w:proofErr w:type="spellEnd"/>
      <w:r>
        <w:rPr>
          <w:rFonts w:ascii="Calibri" w:eastAsiaTheme="minorEastAsia" w:hAnsi="Calibri" w:cs="Calibri"/>
          <w:lang w:val="en" w:eastAsia="en-GB"/>
        </w:rPr>
        <w:t xml:space="preserve"> (2003</w:t>
      </w:r>
      <w:proofErr w:type="gramStart"/>
      <w:r>
        <w:rPr>
          <w:rFonts w:ascii="Calibri" w:eastAsiaTheme="minorEastAsia" w:hAnsi="Calibri" w:cs="Calibri"/>
          <w:lang w:val="en" w:eastAsia="en-GB"/>
        </w:rPr>
        <w:t>),</w:t>
      </w:r>
      <w:proofErr w:type="gramEnd"/>
      <w:r>
        <w:rPr>
          <w:rFonts w:ascii="Calibri" w:eastAsiaTheme="minorEastAsia" w:hAnsi="Calibri" w:cs="Calibri"/>
          <w:lang w:val="en" w:eastAsia="en-GB"/>
        </w:rPr>
        <w:t xml:space="preserve"> capitulates Thomas’s scientific methodology nicely, wherein Thomas concludes two principle truths from the creeds ‘by means of the play of relations between principles and conclusions that make up the scientific process’, he concludes that ‘God exists, and He loves us.’ </w:t>
      </w:r>
      <w:r>
        <w:rPr>
          <w:rStyle w:val="FootnoteReference"/>
          <w:rFonts w:ascii="Calibri" w:eastAsiaTheme="minorEastAsia" w:hAnsi="Calibri"/>
          <w:lang w:val="en" w:eastAsia="en-GB"/>
        </w:rPr>
        <w:footnoteReference w:id="24"/>
      </w:r>
      <w:r>
        <w:rPr>
          <w:rFonts w:ascii="Calibri" w:eastAsiaTheme="minorEastAsia" w:hAnsi="Calibri" w:cs="Calibri"/>
          <w:lang w:val="en" w:eastAsia="en-GB"/>
        </w:rPr>
        <w:t xml:space="preserve"> Applying </w:t>
      </w:r>
      <w:proofErr w:type="gramStart"/>
      <w:r>
        <w:rPr>
          <w:rFonts w:ascii="Calibri" w:eastAsiaTheme="minorEastAsia" w:hAnsi="Calibri" w:cs="Calibri"/>
          <w:lang w:val="en" w:eastAsia="en-GB"/>
        </w:rPr>
        <w:t>This</w:t>
      </w:r>
      <w:proofErr w:type="gramEnd"/>
      <w:r>
        <w:rPr>
          <w:rFonts w:ascii="Calibri" w:eastAsiaTheme="minorEastAsia" w:hAnsi="Calibri" w:cs="Calibri"/>
          <w:lang w:val="en" w:eastAsia="en-GB"/>
        </w:rPr>
        <w:t xml:space="preserve"> methodology somewhat analogously to the principles and conclusions, or in Thomas’s expression - the ‘means and ends’ of the aims of theology in agency. </w:t>
      </w:r>
      <w:r>
        <w:rPr>
          <w:rStyle w:val="FootnoteReference"/>
          <w:rFonts w:ascii="Calibri" w:eastAsiaTheme="minorEastAsia" w:hAnsi="Calibri"/>
          <w:lang w:val="en" w:eastAsia="en-GB"/>
        </w:rPr>
        <w:footnoteReference w:id="25"/>
      </w:r>
      <w:r>
        <w:rPr>
          <w:rFonts w:ascii="Calibri" w:eastAsiaTheme="minorEastAsia" w:hAnsi="Calibri" w:cs="Calibri"/>
          <w:lang w:val="en" w:eastAsia="en-GB"/>
        </w:rPr>
        <w:t xml:space="preserve"> The scientific process can be seen to occur </w:t>
      </w:r>
      <w:r w:rsidRPr="008937A4">
        <w:rPr>
          <w:rFonts w:ascii="Calibri" w:eastAsiaTheme="minorEastAsia" w:hAnsi="Calibri" w:cs="Calibri"/>
          <w:i/>
          <w:lang w:val="en" w:eastAsia="en-GB"/>
        </w:rPr>
        <w:t>within</w:t>
      </w:r>
      <w:r>
        <w:rPr>
          <w:rFonts w:ascii="Calibri" w:eastAsiaTheme="minorEastAsia" w:hAnsi="Calibri" w:cs="Calibri"/>
          <w:lang w:val="en" w:eastAsia="en-GB"/>
        </w:rPr>
        <w:t xml:space="preserve"> </w:t>
      </w:r>
      <w:r w:rsidRPr="008937A4">
        <w:rPr>
          <w:rFonts w:ascii="Calibri" w:eastAsiaTheme="minorEastAsia" w:hAnsi="Calibri" w:cs="Calibri"/>
          <w:i/>
          <w:lang w:val="en" w:eastAsia="en-GB"/>
        </w:rPr>
        <w:t>the agent</w:t>
      </w:r>
      <w:r>
        <w:rPr>
          <w:rFonts w:ascii="Calibri" w:eastAsiaTheme="minorEastAsia" w:hAnsi="Calibri" w:cs="Calibri"/>
          <w:lang w:val="en" w:eastAsia="en-GB"/>
        </w:rPr>
        <w:t xml:space="preserve"> in the ‘play of relations’ between his principles/means, and his conclusions/ends. Namely, the culmination of his life from the initiation of faith, to Christian procession and unto the heavenly abode. Piety is his becoming.</w:t>
      </w:r>
    </w:p>
    <w:p w14:paraId="75E4EDC4" w14:textId="77777777" w:rsidR="00CF6D08"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Conclusion;</w:t>
      </w:r>
    </w:p>
    <w:p w14:paraId="70D365A1" w14:textId="585816F2" w:rsidR="000817D2" w:rsidRDefault="00CF6D08"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 xml:space="preserve">To adopt </w:t>
      </w:r>
      <w:proofErr w:type="spellStart"/>
      <w:r>
        <w:rPr>
          <w:rFonts w:ascii="Calibri" w:eastAsiaTheme="minorEastAsia" w:hAnsi="Calibri" w:cs="Calibri"/>
          <w:lang w:val="en" w:eastAsia="en-GB"/>
        </w:rPr>
        <w:t>Torrells</w:t>
      </w:r>
      <w:proofErr w:type="spellEnd"/>
      <w:r>
        <w:rPr>
          <w:rFonts w:ascii="Calibri" w:eastAsiaTheme="minorEastAsia" w:hAnsi="Calibri" w:cs="Calibri"/>
          <w:lang w:val="en" w:eastAsia="en-GB"/>
        </w:rPr>
        <w:t xml:space="preserve"> logos, theology is a ‘pious science’, in which faith is apparent at every stage of research. </w:t>
      </w:r>
      <w:r>
        <w:rPr>
          <w:rStyle w:val="FootnoteReference"/>
          <w:rFonts w:ascii="Calibri" w:eastAsiaTheme="minorEastAsia" w:hAnsi="Calibri"/>
          <w:lang w:val="en" w:eastAsia="en-GB"/>
        </w:rPr>
        <w:footnoteReference w:id="26"/>
      </w:r>
      <w:r>
        <w:rPr>
          <w:rFonts w:ascii="Calibri" w:eastAsiaTheme="minorEastAsia" w:hAnsi="Calibri" w:cs="Calibri"/>
          <w:lang w:val="en" w:eastAsia="en-GB"/>
        </w:rPr>
        <w:t xml:space="preserve"> And with Aquinas presenting faith as an innate subjective function, the theologian, therefore, becomes not only the embodiment </w:t>
      </w:r>
      <w:r w:rsidRPr="00C85606">
        <w:rPr>
          <w:rFonts w:ascii="Calibri" w:eastAsiaTheme="minorEastAsia" w:hAnsi="Calibri" w:cs="Calibri"/>
          <w:i/>
          <w:lang w:val="en" w:eastAsia="en-GB"/>
        </w:rPr>
        <w:t xml:space="preserve">of </w:t>
      </w:r>
      <w:r>
        <w:rPr>
          <w:rFonts w:ascii="Calibri" w:eastAsiaTheme="minorEastAsia" w:hAnsi="Calibri" w:cs="Calibri"/>
          <w:lang w:val="en" w:eastAsia="en-GB"/>
        </w:rPr>
        <w:t xml:space="preserve">his science, but the embodiment of a science </w:t>
      </w:r>
      <w:r w:rsidRPr="0032316A">
        <w:rPr>
          <w:rFonts w:ascii="Calibri" w:eastAsiaTheme="minorEastAsia" w:hAnsi="Calibri" w:cs="Calibri"/>
          <w:i/>
          <w:lang w:val="en" w:eastAsia="en-GB"/>
        </w:rPr>
        <w:t>of</w:t>
      </w:r>
      <w:r>
        <w:rPr>
          <w:rFonts w:ascii="Calibri" w:eastAsiaTheme="minorEastAsia" w:hAnsi="Calibri" w:cs="Calibri"/>
          <w:lang w:val="en" w:eastAsia="en-GB"/>
        </w:rPr>
        <w:t xml:space="preserve"> embodiment. And furthermore, relative to his faith, he embodies a science of </w:t>
      </w:r>
      <w:r w:rsidRPr="00E7738A">
        <w:rPr>
          <w:rFonts w:ascii="Calibri" w:eastAsiaTheme="minorEastAsia" w:hAnsi="Calibri" w:cs="Calibri"/>
          <w:i/>
          <w:lang w:val="en" w:eastAsia="en-GB"/>
        </w:rPr>
        <w:t>post</w:t>
      </w:r>
      <w:r>
        <w:rPr>
          <w:rFonts w:ascii="Calibri" w:eastAsiaTheme="minorEastAsia" w:hAnsi="Calibri" w:cs="Calibri"/>
          <w:lang w:val="en" w:eastAsia="en-GB"/>
        </w:rPr>
        <w:t xml:space="preserve">-embodiment and infinitude, transcendence and eternity, a science of ontology, of alpha-omega, who’s orient is the absolute in </w:t>
      </w:r>
      <w:r w:rsidRPr="00125B48">
        <w:rPr>
          <w:rFonts w:ascii="Calibri" w:eastAsiaTheme="minorEastAsia" w:hAnsi="Calibri" w:cs="Calibri"/>
          <w:i/>
          <w:lang w:val="en" w:eastAsia="en-GB"/>
        </w:rPr>
        <w:t xml:space="preserve">knowledge and reality </w:t>
      </w:r>
      <w:r>
        <w:rPr>
          <w:rFonts w:ascii="Calibri" w:eastAsiaTheme="minorEastAsia" w:hAnsi="Calibri" w:cs="Calibri"/>
          <w:lang w:val="en" w:eastAsia="en-GB"/>
        </w:rPr>
        <w:t xml:space="preserve">and </w:t>
      </w:r>
      <w:r w:rsidRPr="00125B48">
        <w:rPr>
          <w:rFonts w:ascii="Calibri" w:eastAsiaTheme="minorEastAsia" w:hAnsi="Calibri" w:cs="Calibri"/>
          <w:i/>
          <w:lang w:val="en" w:eastAsia="en-GB"/>
        </w:rPr>
        <w:t>existentialism and phenomenology.</w:t>
      </w:r>
      <w:r>
        <w:rPr>
          <w:rFonts w:ascii="Calibri" w:eastAsiaTheme="minorEastAsia" w:hAnsi="Calibri" w:cs="Calibri"/>
          <w:lang w:val="en" w:eastAsia="en-GB"/>
        </w:rPr>
        <w:t xml:space="preserve"> Theology is a science </w:t>
      </w:r>
      <w:r>
        <w:rPr>
          <w:rFonts w:ascii="Calibri" w:eastAsiaTheme="minorEastAsia" w:hAnsi="Calibri" w:cs="Calibri"/>
          <w:lang w:val="en" w:eastAsia="en-GB"/>
        </w:rPr>
        <w:lastRenderedPageBreak/>
        <w:t xml:space="preserve">processing in relations between subject, object and absolute-subject, whilst simultaneously being a science of purely subjective observation, consecrating purely subjective interrelations between the becoming subject and the absolute-subject – God. It is also a science of systematized methodology of Christian-agency, in one’s procession of coming to understand God. And therefore, it is a science of redemption and salvation. And in coming to better understand God, the theologian better understands existence and his place in it, and so in its concern with basic human psychological and spiritual need, in establishing understanding of our cause, purpose and ends, it is a science of psychology and of spirituality. It is a science of physics in the accounts of creation, and a science of nature, geology, geometry and cosmology on the same accounts. </w:t>
      </w:r>
      <w:r>
        <w:rPr>
          <w:rStyle w:val="FootnoteReference"/>
          <w:rFonts w:ascii="Calibri" w:eastAsiaTheme="minorEastAsia" w:hAnsi="Calibri"/>
          <w:lang w:val="en" w:eastAsia="en-GB"/>
        </w:rPr>
        <w:footnoteReference w:id="27"/>
      </w:r>
      <w:r>
        <w:rPr>
          <w:rFonts w:ascii="Calibri" w:eastAsiaTheme="minorEastAsia" w:hAnsi="Calibri" w:cs="Calibri"/>
          <w:lang w:val="en" w:eastAsia="en-GB"/>
        </w:rPr>
        <w:t xml:space="preserve"> Additionally, the laws of chemistry inevitably bequeath to the consequence of the God principle when viewed through the theologian’s faithful macro-scope. From these perspectives, Christian-theology, particular to the agency of Christian-faith, regally qualifies as a science befitting to reign supreme and reside upon the throne of the </w:t>
      </w:r>
      <w:r w:rsidRPr="009A1DD0">
        <w:rPr>
          <w:rFonts w:ascii="Calibri" w:eastAsiaTheme="minorEastAsia" w:hAnsi="Calibri" w:cs="Calibri"/>
          <w:lang w:val="en" w:eastAsia="en-GB"/>
        </w:rPr>
        <w:t>Queen-of-Sciences</w:t>
      </w:r>
      <w:r>
        <w:rPr>
          <w:rFonts w:ascii="Calibri" w:eastAsiaTheme="minorEastAsia" w:hAnsi="Calibri" w:cs="Calibri"/>
          <w:lang w:val="en" w:eastAsia="en-GB"/>
        </w:rPr>
        <w:t xml:space="preserve">. And one who’s sovereignty is eternally indivisible from her majestic subject - </w:t>
      </w:r>
      <w:r w:rsidRPr="00C974D9">
        <w:rPr>
          <w:rFonts w:ascii="Calibri" w:eastAsiaTheme="minorEastAsia" w:hAnsi="Calibri" w:cs="Calibri"/>
          <w:lang w:val="en" w:eastAsia="en-GB"/>
        </w:rPr>
        <w:t>God</w:t>
      </w:r>
      <w:r>
        <w:rPr>
          <w:rFonts w:ascii="Calibri" w:eastAsiaTheme="minorEastAsia" w:hAnsi="Calibri" w:cs="Calibri"/>
          <w:lang w:val="en" w:eastAsia="en-GB"/>
        </w:rPr>
        <w:t xml:space="preserve">. </w:t>
      </w:r>
      <w:r>
        <w:rPr>
          <w:rStyle w:val="FootnoteReference"/>
          <w:rFonts w:ascii="Calibri" w:eastAsiaTheme="minorEastAsia" w:hAnsi="Calibri"/>
          <w:lang w:val="en" w:eastAsia="en-GB"/>
        </w:rPr>
        <w:footnoteReference w:id="28"/>
      </w:r>
      <w:r>
        <w:rPr>
          <w:rFonts w:ascii="Calibri" w:eastAsiaTheme="minorEastAsia" w:hAnsi="Calibri" w:cs="Calibri"/>
          <w:lang w:val="en" w:eastAsia="en-GB"/>
        </w:rPr>
        <w:t xml:space="preserve"> Thus, concluding on</w:t>
      </w:r>
      <w:r w:rsidRPr="00B0210F">
        <w:rPr>
          <w:rFonts w:ascii="Calibri" w:eastAsiaTheme="minorEastAsia" w:hAnsi="Calibri" w:cs="Calibri"/>
          <w:lang w:val="en" w:eastAsia="en-GB"/>
        </w:rPr>
        <w:t xml:space="preserve"> </w:t>
      </w:r>
      <w:r>
        <w:rPr>
          <w:rFonts w:ascii="Calibri" w:eastAsiaTheme="minorEastAsia" w:hAnsi="Calibri" w:cs="Calibri"/>
          <w:lang w:val="en" w:eastAsia="en-GB"/>
        </w:rPr>
        <w:t>the question of</w:t>
      </w:r>
      <w:r w:rsidRPr="00FD0D47">
        <w:rPr>
          <w:rFonts w:ascii="Calibri" w:eastAsiaTheme="minorEastAsia" w:hAnsi="Calibri" w:cs="Calibri"/>
          <w:lang w:val="en" w:eastAsia="en-GB"/>
        </w:rPr>
        <w:t xml:space="preserve"> the nature of theology as an academic discipline</w:t>
      </w:r>
      <w:r>
        <w:rPr>
          <w:rFonts w:ascii="Calibri" w:eastAsiaTheme="minorEastAsia" w:hAnsi="Calibri" w:cs="Calibri"/>
          <w:lang w:val="en" w:eastAsia="en-GB"/>
        </w:rPr>
        <w:t>, whether</w:t>
      </w:r>
      <w:r w:rsidRPr="00FD0D47">
        <w:rPr>
          <w:rFonts w:ascii="Calibri" w:eastAsiaTheme="minorEastAsia" w:hAnsi="Calibri" w:cs="Calibri"/>
          <w:lang w:val="en" w:eastAsia="en-GB"/>
        </w:rPr>
        <w:t xml:space="preserve"> it</w:t>
      </w:r>
      <w:r>
        <w:rPr>
          <w:rFonts w:ascii="Calibri" w:eastAsiaTheme="minorEastAsia" w:hAnsi="Calibri" w:cs="Calibri"/>
          <w:lang w:val="en" w:eastAsia="en-GB"/>
        </w:rPr>
        <w:t xml:space="preserve"> is</w:t>
      </w:r>
      <w:r w:rsidRPr="00FD0D47">
        <w:rPr>
          <w:rFonts w:ascii="Calibri" w:eastAsiaTheme="minorEastAsia" w:hAnsi="Calibri" w:cs="Calibri"/>
          <w:lang w:val="en" w:eastAsia="en-GB"/>
        </w:rPr>
        <w:t xml:space="preserve"> a science</w:t>
      </w:r>
      <w:r>
        <w:rPr>
          <w:rFonts w:ascii="Calibri" w:eastAsiaTheme="minorEastAsia" w:hAnsi="Calibri" w:cs="Calibri"/>
          <w:lang w:val="en" w:eastAsia="en-GB"/>
        </w:rPr>
        <w:t>,</w:t>
      </w:r>
      <w:r w:rsidRPr="00FD0D47">
        <w:rPr>
          <w:rFonts w:ascii="Calibri" w:eastAsiaTheme="minorEastAsia" w:hAnsi="Calibri" w:cs="Calibri"/>
          <w:lang w:val="en" w:eastAsia="en-GB"/>
        </w:rPr>
        <w:t xml:space="preserve"> and if so, what kind</w:t>
      </w:r>
      <w:r>
        <w:rPr>
          <w:rFonts w:ascii="Calibri" w:eastAsiaTheme="minorEastAsia" w:hAnsi="Calibri" w:cs="Calibri"/>
          <w:lang w:val="en" w:eastAsia="en-GB"/>
        </w:rPr>
        <w:t>? These are clearly significant questions in the preliminary study of theology, indispensable in instrumenting progressive theological thinking, whilst deepening understanding to practical Christian agency. Scholastically, the questions serve to instigate a wide range of preliminary understanding from a comparatively narrow theological topic and transpire as a necessary contemplation in the progression of theology as an academic discipline.</w:t>
      </w:r>
    </w:p>
    <w:p w14:paraId="4675342E" w14:textId="4999FAFB" w:rsidR="00CF6D08" w:rsidRDefault="00D85E79" w:rsidP="00CF6D08">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 xml:space="preserve"> </w:t>
      </w:r>
    </w:p>
    <w:p w14:paraId="15A12AA5" w14:textId="22276274" w:rsidR="00AC3C93" w:rsidRDefault="000817D2" w:rsidP="006B1CB0">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Word count</w:t>
      </w:r>
      <w:r w:rsidR="009A1DD0">
        <w:rPr>
          <w:rFonts w:ascii="Calibri" w:eastAsiaTheme="minorEastAsia" w:hAnsi="Calibri" w:cs="Calibri"/>
          <w:lang w:val="en" w:eastAsia="en-GB"/>
        </w:rPr>
        <w:t>; (</w:t>
      </w:r>
      <w:r w:rsidR="008112FF">
        <w:rPr>
          <w:rFonts w:ascii="Calibri" w:eastAsiaTheme="minorEastAsia" w:hAnsi="Calibri" w:cs="Calibri"/>
          <w:lang w:val="en" w:eastAsia="en-GB"/>
        </w:rPr>
        <w:t>2218</w:t>
      </w:r>
      <w:r w:rsidR="009A1DD0">
        <w:rPr>
          <w:rFonts w:ascii="Calibri" w:eastAsiaTheme="minorEastAsia" w:hAnsi="Calibri" w:cs="Calibri"/>
          <w:lang w:val="en" w:eastAsia="en-GB"/>
        </w:rPr>
        <w:t>)</w:t>
      </w:r>
      <w:r w:rsidR="009D40E4">
        <w:rPr>
          <w:rFonts w:ascii="Calibri" w:eastAsiaTheme="minorEastAsia" w:hAnsi="Calibri" w:cs="Calibri"/>
          <w:lang w:val="en" w:eastAsia="en-GB"/>
        </w:rPr>
        <w:t xml:space="preserve"> </w:t>
      </w:r>
    </w:p>
    <w:p w14:paraId="0DC47C57" w14:textId="27237563" w:rsidR="00084054" w:rsidRPr="00084054" w:rsidRDefault="009A1DD0" w:rsidP="00084054">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Bibliography;</w:t>
      </w:r>
      <w:r w:rsidR="00084054" w:rsidRPr="00084054">
        <w:rPr>
          <w:rFonts w:ascii="Calibri" w:eastAsiaTheme="minorEastAsia" w:hAnsi="Calibri" w:cs="Calibri"/>
          <w:lang w:val="en" w:eastAsia="en-GB"/>
        </w:rPr>
        <w:t xml:space="preserve"> </w:t>
      </w:r>
    </w:p>
    <w:p w14:paraId="42D169D5" w14:textId="79AC3E60" w:rsidR="00084054" w:rsidRDefault="00084054" w:rsidP="00084054">
      <w:pPr>
        <w:pStyle w:val="FootnoteText"/>
        <w:numPr>
          <w:ilvl w:val="0"/>
          <w:numId w:val="5"/>
        </w:numPr>
      </w:pPr>
      <w:r>
        <w:t xml:space="preserve">Thomas. Nelson &amp; Sons (publisher), </w:t>
      </w:r>
      <w:r w:rsidRPr="00575B2A">
        <w:rPr>
          <w:i/>
        </w:rPr>
        <w:t>The New Testament of our Lord and Saviour Jesus Christ</w:t>
      </w:r>
      <w:r>
        <w:t>. Revised standard version (</w:t>
      </w:r>
      <w:r w:rsidRPr="00953FCC">
        <w:rPr>
          <w:sz w:val="18"/>
          <w:szCs w:val="18"/>
        </w:rPr>
        <w:t>translated from the Greek, being the version set forth A. D. 1611</w:t>
      </w:r>
      <w:r>
        <w:t xml:space="preserve">) The PHILLIPPIANS: (Massachusetts: Norwood Press, 1946) </w:t>
      </w:r>
    </w:p>
    <w:p w14:paraId="7A21A5B7" w14:textId="0452B9CB" w:rsidR="00953FCC" w:rsidRPr="00953FCC" w:rsidRDefault="00953FCC" w:rsidP="00084054">
      <w:pPr>
        <w:pStyle w:val="ListParagraph"/>
        <w:numPr>
          <w:ilvl w:val="0"/>
          <w:numId w:val="5"/>
        </w:numPr>
        <w:shd w:val="clear" w:color="auto" w:fill="FFFFFF"/>
        <w:spacing w:after="0" w:line="240" w:lineRule="auto"/>
        <w:rPr>
          <w:rFonts w:eastAsia="Times New Roman" w:cstheme="minorHAnsi"/>
          <w:color w:val="333333"/>
          <w:sz w:val="20"/>
          <w:szCs w:val="20"/>
          <w:lang w:eastAsia="en-GB"/>
        </w:rPr>
      </w:pPr>
      <w:r>
        <w:rPr>
          <w:rFonts w:ascii="Calibri" w:hAnsi="Calibri" w:cs="Calibri"/>
          <w:lang w:val="en"/>
        </w:rPr>
        <w:t xml:space="preserve">Jean-Pierre. </w:t>
      </w:r>
      <w:proofErr w:type="spellStart"/>
      <w:r>
        <w:rPr>
          <w:rFonts w:ascii="Calibri" w:hAnsi="Calibri" w:cs="Calibri"/>
          <w:lang w:val="en"/>
        </w:rPr>
        <w:t>Torrell</w:t>
      </w:r>
      <w:proofErr w:type="spellEnd"/>
      <w:r>
        <w:rPr>
          <w:rFonts w:ascii="Calibri" w:hAnsi="Calibri" w:cs="Calibri"/>
          <w:lang w:val="en"/>
        </w:rPr>
        <w:t xml:space="preserve">, O.P, Robert. Royal </w:t>
      </w:r>
      <w:r w:rsidR="00E7738A">
        <w:rPr>
          <w:rFonts w:ascii="Calibri" w:hAnsi="Calibri" w:cs="Calibri"/>
          <w:lang w:val="en"/>
        </w:rPr>
        <w:t>[</w:t>
      </w:r>
      <w:r>
        <w:rPr>
          <w:rFonts w:ascii="Calibri" w:hAnsi="Calibri" w:cs="Calibri"/>
          <w:lang w:val="en"/>
        </w:rPr>
        <w:t>trans</w:t>
      </w:r>
      <w:r w:rsidR="00E7738A">
        <w:rPr>
          <w:rFonts w:ascii="Calibri" w:hAnsi="Calibri" w:cs="Calibri"/>
          <w:lang w:val="en"/>
        </w:rPr>
        <w:t>]</w:t>
      </w:r>
      <w:r>
        <w:rPr>
          <w:rFonts w:ascii="Calibri" w:hAnsi="Calibri" w:cs="Calibri"/>
          <w:lang w:val="en"/>
        </w:rPr>
        <w:t xml:space="preserve">, </w:t>
      </w:r>
      <w:r w:rsidRPr="007B7441">
        <w:rPr>
          <w:rFonts w:ascii="Calibri" w:hAnsi="Calibri" w:cs="Calibri"/>
          <w:i/>
          <w:lang w:val="en"/>
        </w:rPr>
        <w:t>Saint Thomas Aquinas, vol; ii, Spiritual Master</w:t>
      </w:r>
      <w:r>
        <w:rPr>
          <w:rFonts w:ascii="Calibri" w:hAnsi="Calibri" w:cs="Calibri"/>
          <w:i/>
          <w:lang w:val="en"/>
        </w:rPr>
        <w:t xml:space="preserve"> </w:t>
      </w:r>
      <w:r w:rsidRPr="003A12A9">
        <w:rPr>
          <w:rFonts w:ascii="Calibri" w:hAnsi="Calibri" w:cs="Calibri"/>
          <w:lang w:val="en"/>
        </w:rPr>
        <w:t>(USA: The Catholic University of America Press, 2003)</w:t>
      </w:r>
    </w:p>
    <w:p w14:paraId="02A90AD8" w14:textId="048457EF" w:rsidR="00953FCC" w:rsidRDefault="009D7603" w:rsidP="00084054">
      <w:pPr>
        <w:pStyle w:val="ListParagraph"/>
        <w:numPr>
          <w:ilvl w:val="0"/>
          <w:numId w:val="5"/>
        </w:numPr>
        <w:shd w:val="clear" w:color="auto" w:fill="FFFFFF"/>
        <w:spacing w:after="0" w:line="240" w:lineRule="auto"/>
        <w:rPr>
          <w:rFonts w:eastAsia="Times New Roman" w:cstheme="minorHAnsi"/>
          <w:color w:val="333333"/>
          <w:sz w:val="20"/>
          <w:szCs w:val="20"/>
          <w:lang w:eastAsia="en-GB"/>
        </w:rPr>
      </w:pPr>
      <w:r>
        <w:rPr>
          <w:rFonts w:eastAsia="Times New Roman" w:cstheme="minorHAnsi"/>
          <w:color w:val="333333"/>
          <w:sz w:val="20"/>
          <w:szCs w:val="20"/>
          <w:lang w:eastAsia="en-GB"/>
        </w:rPr>
        <w:t>A</w:t>
      </w:r>
      <w:r w:rsidR="00953FCC">
        <w:rPr>
          <w:rFonts w:eastAsia="Times New Roman" w:cstheme="minorHAnsi"/>
          <w:color w:val="333333"/>
          <w:sz w:val="20"/>
          <w:szCs w:val="20"/>
          <w:lang w:eastAsia="en-GB"/>
        </w:rPr>
        <w:t>l</w:t>
      </w:r>
      <w:r>
        <w:rPr>
          <w:rFonts w:eastAsia="Times New Roman" w:cstheme="minorHAnsi"/>
          <w:color w:val="333333"/>
          <w:sz w:val="20"/>
          <w:szCs w:val="20"/>
          <w:lang w:eastAsia="en-GB"/>
        </w:rPr>
        <w:t xml:space="preserve">ister. E. McGrath, </w:t>
      </w:r>
      <w:r w:rsidRPr="009D7603">
        <w:rPr>
          <w:rFonts w:eastAsia="Times New Roman" w:cstheme="minorHAnsi"/>
          <w:i/>
          <w:color w:val="333333"/>
          <w:sz w:val="20"/>
          <w:szCs w:val="20"/>
          <w:lang w:eastAsia="en-GB"/>
        </w:rPr>
        <w:t>Theology the Basics</w:t>
      </w:r>
      <w:r>
        <w:rPr>
          <w:rFonts w:eastAsia="Times New Roman" w:cstheme="minorHAnsi"/>
          <w:i/>
          <w:color w:val="333333"/>
          <w:sz w:val="20"/>
          <w:szCs w:val="20"/>
          <w:lang w:eastAsia="en-GB"/>
        </w:rPr>
        <w:t xml:space="preserve">, </w:t>
      </w:r>
      <w:r w:rsidRPr="009D7603">
        <w:rPr>
          <w:rFonts w:eastAsia="Times New Roman" w:cstheme="minorHAnsi"/>
          <w:color w:val="333333"/>
          <w:sz w:val="20"/>
          <w:szCs w:val="20"/>
          <w:lang w:eastAsia="en-GB"/>
        </w:rPr>
        <w:t>(Singapore: Wiley-Blackwell, 2012)</w:t>
      </w:r>
    </w:p>
    <w:p w14:paraId="642E316E" w14:textId="4F1DDDEC" w:rsidR="009D7603" w:rsidRDefault="009D7603" w:rsidP="00084054">
      <w:pPr>
        <w:pStyle w:val="ListParagraph"/>
        <w:numPr>
          <w:ilvl w:val="0"/>
          <w:numId w:val="5"/>
        </w:numPr>
        <w:shd w:val="clear" w:color="auto" w:fill="FFFFFF"/>
        <w:spacing w:after="0" w:line="240" w:lineRule="auto"/>
        <w:rPr>
          <w:rFonts w:eastAsia="Times New Roman" w:cstheme="minorHAnsi"/>
          <w:color w:val="333333"/>
          <w:sz w:val="20"/>
          <w:szCs w:val="20"/>
          <w:lang w:eastAsia="en-GB"/>
        </w:rPr>
      </w:pPr>
      <w:r>
        <w:rPr>
          <w:rFonts w:eastAsia="Times New Roman" w:cstheme="minorHAnsi"/>
          <w:color w:val="333333"/>
          <w:sz w:val="20"/>
          <w:szCs w:val="20"/>
          <w:lang w:eastAsia="en-GB"/>
        </w:rPr>
        <w:t xml:space="preserve">Mike. </w:t>
      </w:r>
      <w:proofErr w:type="spellStart"/>
      <w:r>
        <w:rPr>
          <w:rFonts w:eastAsia="Times New Roman" w:cstheme="minorHAnsi"/>
          <w:color w:val="333333"/>
          <w:sz w:val="20"/>
          <w:szCs w:val="20"/>
          <w:lang w:eastAsia="en-GB"/>
        </w:rPr>
        <w:t>Higton</w:t>
      </w:r>
      <w:proofErr w:type="spellEnd"/>
      <w:r>
        <w:rPr>
          <w:rFonts w:eastAsia="Times New Roman" w:cstheme="minorHAnsi"/>
          <w:color w:val="333333"/>
          <w:sz w:val="20"/>
          <w:szCs w:val="20"/>
          <w:lang w:eastAsia="en-GB"/>
        </w:rPr>
        <w:t xml:space="preserve">, </w:t>
      </w:r>
      <w:r w:rsidRPr="009D7603">
        <w:rPr>
          <w:rFonts w:eastAsia="Times New Roman" w:cstheme="minorHAnsi"/>
          <w:i/>
          <w:color w:val="333333"/>
          <w:sz w:val="20"/>
          <w:szCs w:val="20"/>
          <w:lang w:eastAsia="en-GB"/>
        </w:rPr>
        <w:t>Christian Doctrine</w:t>
      </w:r>
      <w:r>
        <w:rPr>
          <w:rFonts w:eastAsia="Times New Roman" w:cstheme="minorHAnsi"/>
          <w:i/>
          <w:color w:val="333333"/>
          <w:sz w:val="20"/>
          <w:szCs w:val="20"/>
          <w:lang w:eastAsia="en-GB"/>
        </w:rPr>
        <w:t xml:space="preserve">, </w:t>
      </w:r>
      <w:r w:rsidRPr="009D7603">
        <w:rPr>
          <w:rFonts w:eastAsia="Times New Roman" w:cstheme="minorHAnsi"/>
          <w:color w:val="333333"/>
          <w:sz w:val="20"/>
          <w:szCs w:val="20"/>
          <w:lang w:eastAsia="en-GB"/>
        </w:rPr>
        <w:t>(London: SCM Press, 2008)</w:t>
      </w:r>
    </w:p>
    <w:p w14:paraId="47D78418" w14:textId="397AD51D" w:rsidR="009D7603" w:rsidRDefault="00E7738A" w:rsidP="00084054">
      <w:pPr>
        <w:pStyle w:val="ListParagraph"/>
        <w:numPr>
          <w:ilvl w:val="0"/>
          <w:numId w:val="5"/>
        </w:numPr>
        <w:shd w:val="clear" w:color="auto" w:fill="FFFFFF"/>
        <w:spacing w:after="0" w:line="240" w:lineRule="auto"/>
        <w:rPr>
          <w:rFonts w:eastAsia="Times New Roman" w:cstheme="minorHAnsi"/>
          <w:color w:val="333333"/>
          <w:sz w:val="20"/>
          <w:szCs w:val="20"/>
          <w:lang w:eastAsia="en-GB"/>
        </w:rPr>
      </w:pPr>
      <w:r>
        <w:rPr>
          <w:rFonts w:eastAsia="Times New Roman" w:cstheme="minorHAnsi"/>
          <w:color w:val="333333"/>
          <w:sz w:val="20"/>
          <w:szCs w:val="20"/>
          <w:lang w:eastAsia="en-GB"/>
        </w:rPr>
        <w:t xml:space="preserve">Francis. </w:t>
      </w:r>
      <w:proofErr w:type="spellStart"/>
      <w:r>
        <w:rPr>
          <w:rFonts w:eastAsia="Times New Roman" w:cstheme="minorHAnsi"/>
          <w:color w:val="333333"/>
          <w:sz w:val="20"/>
          <w:szCs w:val="20"/>
          <w:lang w:eastAsia="en-GB"/>
        </w:rPr>
        <w:t>Turretin</w:t>
      </w:r>
      <w:proofErr w:type="spellEnd"/>
      <w:r>
        <w:rPr>
          <w:rFonts w:eastAsia="Times New Roman" w:cstheme="minorHAnsi"/>
          <w:color w:val="333333"/>
          <w:sz w:val="20"/>
          <w:szCs w:val="20"/>
          <w:lang w:eastAsia="en-GB"/>
        </w:rPr>
        <w:t xml:space="preserve">, </w:t>
      </w:r>
      <w:r w:rsidRPr="00E7738A">
        <w:rPr>
          <w:rFonts w:eastAsia="Times New Roman" w:cstheme="minorHAnsi"/>
          <w:i/>
          <w:color w:val="333333"/>
          <w:sz w:val="20"/>
          <w:szCs w:val="20"/>
          <w:lang w:eastAsia="en-GB"/>
        </w:rPr>
        <w:t xml:space="preserve">Institutes of </w:t>
      </w:r>
      <w:proofErr w:type="spellStart"/>
      <w:r w:rsidRPr="00E7738A">
        <w:rPr>
          <w:rFonts w:eastAsia="Times New Roman" w:cstheme="minorHAnsi"/>
          <w:i/>
          <w:color w:val="333333"/>
          <w:sz w:val="20"/>
          <w:szCs w:val="20"/>
          <w:lang w:eastAsia="en-GB"/>
        </w:rPr>
        <w:t>Elenctic</w:t>
      </w:r>
      <w:proofErr w:type="spellEnd"/>
      <w:r w:rsidRPr="00E7738A">
        <w:rPr>
          <w:rFonts w:eastAsia="Times New Roman" w:cstheme="minorHAnsi"/>
          <w:i/>
          <w:color w:val="333333"/>
          <w:sz w:val="20"/>
          <w:szCs w:val="20"/>
          <w:lang w:eastAsia="en-GB"/>
        </w:rPr>
        <w:t xml:space="preserve"> Theology</w:t>
      </w:r>
      <w:r>
        <w:rPr>
          <w:rFonts w:eastAsia="Times New Roman" w:cstheme="minorHAnsi"/>
          <w:color w:val="333333"/>
          <w:sz w:val="20"/>
          <w:szCs w:val="20"/>
          <w:lang w:eastAsia="en-GB"/>
        </w:rPr>
        <w:t xml:space="preserve"> (New Jersey: P&amp;R Publishing, 1992) </w:t>
      </w:r>
    </w:p>
    <w:p w14:paraId="384E9F24" w14:textId="36D99EBF" w:rsidR="00E7738A" w:rsidRPr="009D7603" w:rsidRDefault="00E7738A" w:rsidP="00084054">
      <w:pPr>
        <w:pStyle w:val="ListParagraph"/>
        <w:numPr>
          <w:ilvl w:val="0"/>
          <w:numId w:val="5"/>
        </w:numPr>
        <w:shd w:val="clear" w:color="auto" w:fill="FFFFFF"/>
        <w:spacing w:after="0" w:line="240" w:lineRule="auto"/>
        <w:rPr>
          <w:rFonts w:eastAsia="Times New Roman" w:cstheme="minorHAnsi"/>
          <w:color w:val="333333"/>
          <w:sz w:val="20"/>
          <w:szCs w:val="20"/>
          <w:lang w:eastAsia="en-GB"/>
        </w:rPr>
      </w:pPr>
      <w:r>
        <w:rPr>
          <w:rFonts w:eastAsia="Times New Roman" w:cstheme="minorHAnsi"/>
          <w:color w:val="333333"/>
          <w:sz w:val="20"/>
          <w:szCs w:val="20"/>
          <w:lang w:eastAsia="en-GB"/>
        </w:rPr>
        <w:t xml:space="preserve">Chalcedon Creed: </w:t>
      </w:r>
      <w:hyperlink r:id="rId8" w:history="1">
        <w:r w:rsidRPr="00574F69">
          <w:rPr>
            <w:rStyle w:val="Hyperlink"/>
            <w:rFonts w:eastAsia="Times New Roman" w:cstheme="minorHAnsi"/>
            <w:sz w:val="20"/>
            <w:szCs w:val="20"/>
            <w:lang w:eastAsia="en-GB"/>
          </w:rPr>
          <w:t>http://ipc.church/the-chalcean-creed/</w:t>
        </w:r>
      </w:hyperlink>
      <w:r>
        <w:rPr>
          <w:rFonts w:eastAsia="Times New Roman" w:cstheme="minorHAnsi"/>
          <w:color w:val="333333"/>
          <w:sz w:val="20"/>
          <w:szCs w:val="20"/>
          <w:lang w:eastAsia="en-GB"/>
        </w:rPr>
        <w:t xml:space="preserve"> </w:t>
      </w:r>
    </w:p>
    <w:p w14:paraId="76D5FB73" w14:textId="56CFDA8B" w:rsidR="00084054" w:rsidRPr="00084054" w:rsidRDefault="00953FCC" w:rsidP="00084054">
      <w:pPr>
        <w:pStyle w:val="ListParagraph"/>
        <w:numPr>
          <w:ilvl w:val="0"/>
          <w:numId w:val="5"/>
        </w:numPr>
        <w:shd w:val="clear" w:color="auto" w:fill="FFFFFF"/>
        <w:spacing w:after="0" w:line="240" w:lineRule="auto"/>
        <w:rPr>
          <w:rFonts w:eastAsia="Times New Roman" w:cstheme="minorHAnsi"/>
          <w:color w:val="333333"/>
          <w:sz w:val="20"/>
          <w:szCs w:val="20"/>
          <w:lang w:eastAsia="en-GB"/>
        </w:rPr>
      </w:pPr>
      <w:r>
        <w:t>John</w:t>
      </w:r>
      <w:r w:rsidR="00084054" w:rsidRPr="00084054">
        <w:rPr>
          <w:rFonts w:eastAsia="Times New Roman" w:cstheme="minorHAnsi"/>
          <w:color w:val="333333"/>
          <w:sz w:val="20"/>
          <w:szCs w:val="20"/>
          <w:lang w:eastAsia="en-GB"/>
        </w:rPr>
        <w:t>. A. Mourant, ‘</w:t>
      </w:r>
      <w:r w:rsidR="00084054" w:rsidRPr="00084054">
        <w:rPr>
          <w:rFonts w:eastAsia="Times New Roman" w:cstheme="minorHAnsi"/>
          <w:bCs/>
          <w:color w:val="333333"/>
          <w:kern w:val="36"/>
          <w:sz w:val="20"/>
          <w:szCs w:val="20"/>
          <w:lang w:eastAsia="en-GB"/>
        </w:rPr>
        <w:t xml:space="preserve">AQUINAS AND THEOLOGY’ </w:t>
      </w:r>
      <w:r w:rsidR="00084054" w:rsidRPr="00084054">
        <w:rPr>
          <w:rFonts w:eastAsia="Times New Roman" w:cstheme="minorHAnsi"/>
          <w:i/>
          <w:iCs/>
          <w:color w:val="333333"/>
          <w:sz w:val="20"/>
          <w:szCs w:val="20"/>
          <w:lang w:eastAsia="en-GB"/>
        </w:rPr>
        <w:t xml:space="preserve">Franciscan Studies, </w:t>
      </w:r>
      <w:r w:rsidR="00084054" w:rsidRPr="00084054">
        <w:rPr>
          <w:rFonts w:eastAsia="Times New Roman" w:cstheme="minorHAnsi"/>
          <w:color w:val="333333"/>
          <w:sz w:val="20"/>
          <w:szCs w:val="20"/>
          <w:lang w:eastAsia="en-GB"/>
        </w:rPr>
        <w:t>Vol. 16, No. 3 (SEPTEMBER 1956),</w:t>
      </w:r>
      <w:r w:rsidR="00084054" w:rsidRPr="00084054">
        <w:rPr>
          <w:rFonts w:ascii="Arial" w:eastAsia="Times New Roman" w:hAnsi="Arial" w:cs="Arial"/>
          <w:color w:val="333333"/>
          <w:sz w:val="21"/>
          <w:szCs w:val="21"/>
          <w:lang w:eastAsia="en-GB"/>
        </w:rPr>
        <w:t xml:space="preserve"> </w:t>
      </w:r>
      <w:r w:rsidR="00084054" w:rsidRPr="00084054">
        <w:rPr>
          <w:rFonts w:eastAsia="Times New Roman" w:cstheme="minorHAnsi"/>
          <w:color w:val="333333"/>
          <w:sz w:val="20"/>
          <w:szCs w:val="20"/>
          <w:lang w:eastAsia="en-GB"/>
        </w:rPr>
        <w:t>Published by: </w:t>
      </w:r>
      <w:hyperlink r:id="rId9" w:history="1">
        <w:r w:rsidR="00084054" w:rsidRPr="00084054">
          <w:rPr>
            <w:rFonts w:eastAsia="Times New Roman" w:cstheme="minorHAnsi"/>
            <w:color w:val="006179"/>
            <w:sz w:val="20"/>
            <w:szCs w:val="20"/>
            <w:u w:val="single"/>
            <w:lang w:eastAsia="en-GB"/>
          </w:rPr>
          <w:t>St. Bonaventure University - Franciscan Institute Publications</w:t>
        </w:r>
      </w:hyperlink>
      <w:r w:rsidR="00084054">
        <w:rPr>
          <w:rFonts w:eastAsia="Times New Roman" w:cstheme="minorHAnsi"/>
          <w:color w:val="006179"/>
          <w:sz w:val="20"/>
          <w:szCs w:val="20"/>
          <w:u w:val="single"/>
          <w:lang w:eastAsia="en-GB"/>
        </w:rPr>
        <w:t>,</w:t>
      </w:r>
    </w:p>
    <w:p w14:paraId="70C1C18E" w14:textId="1B78CB2C" w:rsidR="00084054" w:rsidRDefault="007248C0" w:rsidP="00084054">
      <w:pPr>
        <w:pStyle w:val="ListParagraph"/>
        <w:widowControl w:val="0"/>
        <w:autoSpaceDE w:val="0"/>
        <w:autoSpaceDN w:val="0"/>
        <w:adjustRightInd w:val="0"/>
        <w:spacing w:after="200" w:line="276" w:lineRule="auto"/>
        <w:rPr>
          <w:rStyle w:val="Hyperlink"/>
          <w:rFonts w:eastAsia="Times New Roman" w:cstheme="minorHAnsi"/>
          <w:sz w:val="20"/>
          <w:szCs w:val="20"/>
          <w:lang w:eastAsia="en-GB"/>
        </w:rPr>
      </w:pPr>
      <w:hyperlink r:id="rId10" w:history="1">
        <w:r w:rsidR="00084054" w:rsidRPr="00574F69">
          <w:rPr>
            <w:rStyle w:val="Hyperlink"/>
            <w:rFonts w:eastAsia="Times New Roman" w:cstheme="minorHAnsi"/>
            <w:sz w:val="20"/>
            <w:szCs w:val="20"/>
            <w:lang w:eastAsia="en-GB"/>
          </w:rPr>
          <w:t>https://www.jstor.org/stable/41974561</w:t>
        </w:r>
      </w:hyperlink>
    </w:p>
    <w:p w14:paraId="04172344" w14:textId="7553EB41" w:rsidR="00084054" w:rsidRPr="00084054" w:rsidRDefault="00084054" w:rsidP="00084054">
      <w:pPr>
        <w:pStyle w:val="ListParagraph"/>
        <w:widowControl w:val="0"/>
        <w:numPr>
          <w:ilvl w:val="0"/>
          <w:numId w:val="5"/>
        </w:numPr>
        <w:autoSpaceDE w:val="0"/>
        <w:autoSpaceDN w:val="0"/>
        <w:adjustRightInd w:val="0"/>
        <w:spacing w:after="200" w:line="276" w:lineRule="auto"/>
        <w:rPr>
          <w:rStyle w:val="Hyperlink"/>
          <w:rFonts w:ascii="Calibri" w:eastAsiaTheme="minorEastAsia" w:hAnsi="Calibri" w:cs="Calibri"/>
          <w:color w:val="auto"/>
          <w:u w:val="none"/>
          <w:lang w:val="en" w:eastAsia="en-GB"/>
        </w:rPr>
      </w:pPr>
      <w:r w:rsidRPr="00801329">
        <w:rPr>
          <w:rFonts w:cstheme="minorHAnsi"/>
        </w:rPr>
        <w:t xml:space="preserve">THE REV. BERNHARD PICK, PH. D. D. D, </w:t>
      </w:r>
      <w:r>
        <w:rPr>
          <w:rFonts w:cstheme="minorHAnsi"/>
        </w:rPr>
        <w:t>‘</w:t>
      </w:r>
      <w:r w:rsidRPr="00C31F68">
        <w:rPr>
          <w:rFonts w:cstheme="minorHAnsi"/>
        </w:rPr>
        <w:t>THE AGRAPH</w:t>
      </w:r>
      <w:r>
        <w:rPr>
          <w:rFonts w:cstheme="minorHAnsi"/>
        </w:rPr>
        <w:t xml:space="preserve">A.’ </w:t>
      </w:r>
      <w:r w:rsidRPr="00801329">
        <w:rPr>
          <w:rFonts w:cstheme="minorHAnsi"/>
        </w:rPr>
        <w:t xml:space="preserve"> </w:t>
      </w:r>
      <w:hyperlink r:id="rId11" w:history="1">
        <w:r w:rsidRPr="002F163B">
          <w:rPr>
            <w:rStyle w:val="Hyperlink"/>
          </w:rPr>
          <w:t>https://opensiuc.lib.siu.edu/cgi/viewcontent.cgi?referer=https://www.google.com/&amp;httpsredir=1&amp;article=5071&amp;context=ocj</w:t>
        </w:r>
      </w:hyperlink>
    </w:p>
    <w:p w14:paraId="674AB8BC" w14:textId="77777777" w:rsidR="00084054" w:rsidRPr="00B64DC8" w:rsidRDefault="00084054" w:rsidP="00084054">
      <w:pPr>
        <w:pStyle w:val="Heading1"/>
        <w:numPr>
          <w:ilvl w:val="0"/>
          <w:numId w:val="5"/>
        </w:numPr>
        <w:shd w:val="clear" w:color="auto" w:fill="FFFFFF"/>
        <w:spacing w:before="0" w:after="120" w:line="240" w:lineRule="atLeast"/>
        <w:rPr>
          <w:rFonts w:asciiTheme="minorHAnsi" w:eastAsia="Times New Roman" w:hAnsiTheme="minorHAnsi" w:cstheme="minorHAnsi"/>
          <w:color w:val="000000"/>
          <w:kern w:val="36"/>
          <w:sz w:val="20"/>
          <w:szCs w:val="20"/>
          <w:lang w:eastAsia="en-GB"/>
        </w:rPr>
      </w:pPr>
      <w:r w:rsidRPr="002F22A9">
        <w:rPr>
          <w:rFonts w:asciiTheme="minorHAnsi" w:eastAsiaTheme="minorHAnsi" w:hAnsiTheme="minorHAnsi" w:cstheme="minorHAnsi"/>
          <w:color w:val="1A1A1A"/>
          <w:sz w:val="20"/>
          <w:szCs w:val="20"/>
        </w:rPr>
        <w:t>Graham, Daniel W., "Heraclitus", </w:t>
      </w:r>
      <w:r w:rsidRPr="002F22A9">
        <w:rPr>
          <w:rFonts w:asciiTheme="minorHAnsi" w:eastAsiaTheme="minorHAnsi" w:hAnsiTheme="minorHAnsi" w:cstheme="minorHAnsi"/>
          <w:i/>
          <w:iCs/>
          <w:color w:val="1A1A1A"/>
          <w:sz w:val="20"/>
          <w:szCs w:val="20"/>
        </w:rPr>
        <w:t xml:space="preserve">The Stanford </w:t>
      </w:r>
      <w:proofErr w:type="spellStart"/>
      <w:r w:rsidRPr="002F22A9">
        <w:rPr>
          <w:rFonts w:asciiTheme="minorHAnsi" w:eastAsiaTheme="minorHAnsi" w:hAnsiTheme="minorHAnsi" w:cstheme="minorHAnsi"/>
          <w:i/>
          <w:iCs/>
          <w:color w:val="1A1A1A"/>
          <w:sz w:val="20"/>
          <w:szCs w:val="20"/>
        </w:rPr>
        <w:t>Encyclopedia</w:t>
      </w:r>
      <w:proofErr w:type="spellEnd"/>
      <w:r w:rsidRPr="002F22A9">
        <w:rPr>
          <w:rFonts w:asciiTheme="minorHAnsi" w:eastAsiaTheme="minorHAnsi" w:hAnsiTheme="minorHAnsi" w:cstheme="minorHAnsi"/>
          <w:i/>
          <w:iCs/>
          <w:color w:val="1A1A1A"/>
          <w:sz w:val="20"/>
          <w:szCs w:val="20"/>
        </w:rPr>
        <w:t xml:space="preserve"> of Philosophy </w:t>
      </w:r>
      <w:r w:rsidRPr="002F22A9">
        <w:rPr>
          <w:rFonts w:asciiTheme="minorHAnsi" w:eastAsiaTheme="minorHAnsi" w:hAnsiTheme="minorHAnsi" w:cstheme="minorHAnsi"/>
          <w:color w:val="1A1A1A"/>
          <w:sz w:val="20"/>
          <w:szCs w:val="20"/>
        </w:rPr>
        <w:t xml:space="preserve">(Fall 2015 Edition), Edward N. </w:t>
      </w:r>
      <w:proofErr w:type="spellStart"/>
      <w:r w:rsidRPr="002F22A9">
        <w:rPr>
          <w:rFonts w:asciiTheme="minorHAnsi" w:eastAsiaTheme="minorHAnsi" w:hAnsiTheme="minorHAnsi" w:cstheme="minorHAnsi"/>
          <w:color w:val="1A1A1A"/>
          <w:sz w:val="20"/>
          <w:szCs w:val="20"/>
        </w:rPr>
        <w:t>Zalta</w:t>
      </w:r>
      <w:proofErr w:type="spellEnd"/>
      <w:r w:rsidRPr="002F22A9">
        <w:rPr>
          <w:rFonts w:asciiTheme="minorHAnsi" w:eastAsiaTheme="minorHAnsi" w:hAnsiTheme="minorHAnsi" w:cstheme="minorHAnsi"/>
          <w:color w:val="1A1A1A"/>
          <w:sz w:val="20"/>
          <w:szCs w:val="20"/>
        </w:rPr>
        <w:t xml:space="preserve"> (ed.), URL = </w:t>
      </w:r>
      <w:hyperlink r:id="rId12" w:history="1">
        <w:r w:rsidRPr="00574F69">
          <w:rPr>
            <w:rStyle w:val="Hyperlink"/>
            <w:rFonts w:asciiTheme="minorHAnsi" w:eastAsiaTheme="minorHAnsi" w:hAnsiTheme="minorHAnsi" w:cstheme="minorHAnsi"/>
            <w:sz w:val="20"/>
            <w:szCs w:val="20"/>
          </w:rPr>
          <w:t>https://plato.stanford.edu/archives/fall2015/entries/heraclitus/</w:t>
        </w:r>
      </w:hyperlink>
      <w:r>
        <w:rPr>
          <w:rFonts w:asciiTheme="minorHAnsi" w:eastAsiaTheme="minorHAnsi" w:hAnsiTheme="minorHAnsi" w:cstheme="minorHAnsi"/>
          <w:color w:val="1A1A1A"/>
          <w:sz w:val="20"/>
          <w:szCs w:val="20"/>
        </w:rPr>
        <w:t xml:space="preserve"> </w:t>
      </w:r>
    </w:p>
    <w:p w14:paraId="1C785C33" w14:textId="2CE6C60C" w:rsidR="00084054" w:rsidRPr="00084054" w:rsidRDefault="00084054" w:rsidP="00084054">
      <w:pPr>
        <w:pStyle w:val="ListParagraph"/>
        <w:widowControl w:val="0"/>
        <w:numPr>
          <w:ilvl w:val="0"/>
          <w:numId w:val="5"/>
        </w:numPr>
        <w:autoSpaceDE w:val="0"/>
        <w:autoSpaceDN w:val="0"/>
        <w:adjustRightInd w:val="0"/>
        <w:spacing w:after="200" w:line="276" w:lineRule="auto"/>
        <w:rPr>
          <w:rFonts w:ascii="Calibri" w:eastAsiaTheme="minorEastAsia" w:hAnsi="Calibri" w:cs="Calibri"/>
          <w:lang w:val="en" w:eastAsia="en-GB"/>
        </w:rPr>
      </w:pPr>
      <w:r w:rsidRPr="002F22A9">
        <w:rPr>
          <w:rFonts w:cstheme="minorHAnsi"/>
          <w:color w:val="1A1A1A"/>
        </w:rPr>
        <w:t>Andersen, Hanne and Hepburn, Brian,</w:t>
      </w:r>
      <w:r>
        <w:rPr>
          <w:rFonts w:cstheme="minorHAnsi"/>
          <w:color w:val="1A1A1A"/>
        </w:rPr>
        <w:t>’</w:t>
      </w:r>
      <w:r w:rsidRPr="002F22A9">
        <w:rPr>
          <w:rFonts w:cstheme="minorHAnsi"/>
          <w:color w:val="1A1A1A"/>
        </w:rPr>
        <w:t xml:space="preserve"> </w:t>
      </w:r>
      <w:r w:rsidRPr="00352818">
        <w:rPr>
          <w:rFonts w:cstheme="minorHAnsi"/>
          <w:color w:val="1A1A1A"/>
        </w:rPr>
        <w:t>Scientific Method</w:t>
      </w:r>
      <w:r>
        <w:rPr>
          <w:rFonts w:cstheme="minorHAnsi"/>
          <w:color w:val="1A1A1A"/>
        </w:rPr>
        <w:t>’</w:t>
      </w:r>
      <w:r w:rsidRPr="00352818">
        <w:rPr>
          <w:rFonts w:cstheme="minorHAnsi"/>
          <w:color w:val="1A1A1A"/>
        </w:rPr>
        <w:t>,</w:t>
      </w:r>
      <w:r w:rsidRPr="00FA0D12">
        <w:rPr>
          <w:rFonts w:cstheme="minorHAnsi"/>
          <w:color w:val="1A1A1A"/>
        </w:rPr>
        <w:t> </w:t>
      </w:r>
      <w:r w:rsidRPr="00FA0D12">
        <w:rPr>
          <w:rFonts w:cstheme="minorHAnsi"/>
          <w:iCs/>
          <w:color w:val="1A1A1A"/>
        </w:rPr>
        <w:t xml:space="preserve">The Stanford Encyclopaedia of </w:t>
      </w:r>
      <w:r w:rsidRPr="00FA0D12">
        <w:rPr>
          <w:rFonts w:cstheme="minorHAnsi"/>
          <w:iCs/>
          <w:color w:val="1A1A1A"/>
        </w:rPr>
        <w:lastRenderedPageBreak/>
        <w:t>Philosophy</w:t>
      </w:r>
      <w:r w:rsidRPr="002F22A9">
        <w:rPr>
          <w:rFonts w:cstheme="minorHAnsi"/>
          <w:i/>
          <w:iCs/>
          <w:color w:val="1A1A1A"/>
        </w:rPr>
        <w:t> </w:t>
      </w:r>
      <w:r w:rsidRPr="002F22A9">
        <w:rPr>
          <w:rFonts w:cstheme="minorHAnsi"/>
          <w:color w:val="1A1A1A"/>
        </w:rPr>
        <w:t xml:space="preserve">(Summer 2016 Edition), Edward N. </w:t>
      </w:r>
      <w:proofErr w:type="spellStart"/>
      <w:r w:rsidRPr="002F22A9">
        <w:rPr>
          <w:rFonts w:cstheme="minorHAnsi"/>
          <w:color w:val="1A1A1A"/>
        </w:rPr>
        <w:t>Zalta</w:t>
      </w:r>
      <w:proofErr w:type="spellEnd"/>
      <w:r w:rsidRPr="002F22A9">
        <w:rPr>
          <w:rFonts w:cstheme="minorHAnsi"/>
          <w:color w:val="1A1A1A"/>
        </w:rPr>
        <w:t> (ed.), URL</w:t>
      </w:r>
      <w:r>
        <w:rPr>
          <w:rFonts w:cstheme="minorHAnsi"/>
          <w:color w:val="1A1A1A"/>
        </w:rPr>
        <w:t xml:space="preserve">: </w:t>
      </w:r>
      <w:hyperlink r:id="rId13" w:history="1">
        <w:r w:rsidRPr="00B02A2D">
          <w:rPr>
            <w:rStyle w:val="Hyperlink"/>
            <w:rFonts w:cstheme="minorHAnsi"/>
          </w:rPr>
          <w:t>https://plato.stanford.edu/archives/sum2016/entries/scientific-method/</w:t>
        </w:r>
      </w:hyperlink>
      <w:r>
        <w:rPr>
          <w:rFonts w:cstheme="minorHAnsi"/>
          <w:color w:val="1A1A1A"/>
        </w:rPr>
        <w:t xml:space="preserve"> </w:t>
      </w:r>
      <w:r>
        <w:t xml:space="preserve"> </w:t>
      </w:r>
    </w:p>
    <w:p w14:paraId="2C488E95" w14:textId="1FEA1C6B" w:rsidR="00084054" w:rsidRPr="00953FCC" w:rsidRDefault="00953FCC" w:rsidP="00084054">
      <w:pPr>
        <w:pStyle w:val="ListParagraph"/>
        <w:widowControl w:val="0"/>
        <w:numPr>
          <w:ilvl w:val="0"/>
          <w:numId w:val="5"/>
        </w:numPr>
        <w:autoSpaceDE w:val="0"/>
        <w:autoSpaceDN w:val="0"/>
        <w:adjustRightInd w:val="0"/>
        <w:spacing w:after="200" w:line="276" w:lineRule="auto"/>
        <w:rPr>
          <w:rFonts w:ascii="Calibri" w:eastAsiaTheme="minorEastAsia" w:hAnsi="Calibri" w:cs="Calibri"/>
          <w:lang w:val="en" w:eastAsia="en-GB"/>
        </w:rPr>
      </w:pPr>
      <w:r w:rsidRPr="00525918">
        <w:rPr>
          <w:rFonts w:cstheme="minorHAnsi"/>
          <w:color w:val="1A1A1A"/>
        </w:rPr>
        <w:t>Markie, Peter, "Rationalism vs. Empiricism", </w:t>
      </w:r>
      <w:r w:rsidRPr="00525918">
        <w:rPr>
          <w:rFonts w:cstheme="minorHAnsi"/>
          <w:i/>
          <w:iCs/>
          <w:color w:val="1A1A1A"/>
        </w:rPr>
        <w:t>The Stanford Encyclopaedia of Philosophy </w:t>
      </w:r>
      <w:r w:rsidRPr="00525918">
        <w:rPr>
          <w:rFonts w:cstheme="minorHAnsi"/>
          <w:color w:val="1A1A1A"/>
        </w:rPr>
        <w:t xml:space="preserve">(Fall 2017 Edition), Edward N. </w:t>
      </w:r>
      <w:proofErr w:type="spellStart"/>
      <w:r w:rsidRPr="00525918">
        <w:rPr>
          <w:rFonts w:cstheme="minorHAnsi"/>
          <w:color w:val="1A1A1A"/>
        </w:rPr>
        <w:t>Zalta</w:t>
      </w:r>
      <w:proofErr w:type="spellEnd"/>
      <w:r w:rsidRPr="00525918">
        <w:rPr>
          <w:rFonts w:cstheme="minorHAnsi"/>
          <w:color w:val="1A1A1A"/>
        </w:rPr>
        <w:t xml:space="preserve"> (ed.), </w:t>
      </w:r>
      <w:r>
        <w:rPr>
          <w:rFonts w:cstheme="minorHAnsi"/>
          <w:color w:val="1A1A1A"/>
        </w:rPr>
        <w:t xml:space="preserve"> URL&gt; </w:t>
      </w:r>
      <w:hyperlink r:id="rId14" w:history="1">
        <w:r w:rsidRPr="00574F69">
          <w:rPr>
            <w:rStyle w:val="Hyperlink"/>
            <w:rFonts w:cstheme="minorHAnsi"/>
          </w:rPr>
          <w:t>https://plato.stanford.edu/archives/fall2017/entries/rationalism-empiricism/</w:t>
        </w:r>
      </w:hyperlink>
      <w:r>
        <w:rPr>
          <w:rFonts w:cstheme="minorHAnsi"/>
          <w:color w:val="1A1A1A"/>
        </w:rPr>
        <w:t xml:space="preserve">  </w:t>
      </w:r>
    </w:p>
    <w:p w14:paraId="7350E99E" w14:textId="490187E5" w:rsidR="00953FCC" w:rsidRPr="00B620B9" w:rsidRDefault="00953FCC" w:rsidP="00084054">
      <w:pPr>
        <w:pStyle w:val="ListParagraph"/>
        <w:widowControl w:val="0"/>
        <w:numPr>
          <w:ilvl w:val="0"/>
          <w:numId w:val="5"/>
        </w:numPr>
        <w:autoSpaceDE w:val="0"/>
        <w:autoSpaceDN w:val="0"/>
        <w:adjustRightInd w:val="0"/>
        <w:spacing w:after="200" w:line="276" w:lineRule="auto"/>
        <w:rPr>
          <w:rFonts w:ascii="Calibri" w:eastAsiaTheme="minorEastAsia" w:hAnsi="Calibri" w:cs="Calibri"/>
          <w:lang w:val="en" w:eastAsia="en-GB"/>
        </w:rPr>
      </w:pPr>
      <w:r>
        <w:t xml:space="preserve">Steven. Knight, ‘Whether the existence of God is self-evident?’ </w:t>
      </w:r>
      <w:r w:rsidRPr="002F22A9">
        <w:rPr>
          <w:i/>
        </w:rPr>
        <w:t xml:space="preserve">The Summa </w:t>
      </w:r>
      <w:proofErr w:type="spellStart"/>
      <w:r w:rsidRPr="002F22A9">
        <w:rPr>
          <w:i/>
        </w:rPr>
        <w:t>Theologia</w:t>
      </w:r>
      <w:proofErr w:type="spellEnd"/>
      <w:r w:rsidRPr="002F22A9">
        <w:rPr>
          <w:i/>
        </w:rPr>
        <w:t xml:space="preserve"> of St. Thomas Aquinas.</w:t>
      </w:r>
      <w:r>
        <w:t xml:space="preserve"> Second and revised edition, (1920). Literally translated by Fathers of the Dominican Province. Online edition (2017) by </w:t>
      </w:r>
      <w:hyperlink r:id="rId15" w:history="1">
        <w:r w:rsidRPr="002C6D61">
          <w:rPr>
            <w:rStyle w:val="Hyperlink"/>
          </w:rPr>
          <w:t>http://www.newadvent.org/summa/1002.htm</w:t>
        </w:r>
      </w:hyperlink>
      <w:r>
        <w:t xml:space="preserve">  </w:t>
      </w:r>
    </w:p>
    <w:p w14:paraId="1878D40C" w14:textId="1B0C89A9" w:rsidR="00B620B9" w:rsidRPr="00B620B9" w:rsidRDefault="00B620B9" w:rsidP="00B620B9">
      <w:pPr>
        <w:pStyle w:val="ListParagraph"/>
        <w:numPr>
          <w:ilvl w:val="0"/>
          <w:numId w:val="5"/>
        </w:numPr>
        <w:rPr>
          <w:lang w:eastAsia="en-GB"/>
        </w:rPr>
      </w:pPr>
      <w:hyperlink r:id="rId16" w:history="1">
        <w:r w:rsidRPr="003360D9">
          <w:rPr>
            <w:rStyle w:val="Hyperlink"/>
            <w:rFonts w:cstheme="minorBidi"/>
            <w:lang w:eastAsia="en-GB"/>
          </w:rPr>
          <w:t>https://www.jstor.org/</w:t>
        </w:r>
      </w:hyperlink>
      <w:r>
        <w:rPr>
          <w:lang w:eastAsia="en-GB"/>
        </w:rPr>
        <w:t xml:space="preserve"> </w:t>
      </w:r>
    </w:p>
    <w:p w14:paraId="5AC73342" w14:textId="77777777" w:rsidR="00B620B9" w:rsidRPr="00B620B9" w:rsidRDefault="00B620B9" w:rsidP="00B620B9">
      <w:pPr>
        <w:widowControl w:val="0"/>
        <w:autoSpaceDE w:val="0"/>
        <w:autoSpaceDN w:val="0"/>
        <w:adjustRightInd w:val="0"/>
        <w:spacing w:after="200" w:line="276" w:lineRule="auto"/>
        <w:rPr>
          <w:rFonts w:ascii="Calibri" w:eastAsiaTheme="minorEastAsia" w:hAnsi="Calibri" w:cs="Calibri"/>
          <w:lang w:val="en" w:eastAsia="en-GB"/>
        </w:rPr>
      </w:pPr>
    </w:p>
    <w:p w14:paraId="44D923DA" w14:textId="60042257" w:rsidR="00B620B9" w:rsidRPr="00B620B9" w:rsidRDefault="00B620B9" w:rsidP="00B620B9">
      <w:pPr>
        <w:widowControl w:val="0"/>
        <w:autoSpaceDE w:val="0"/>
        <w:autoSpaceDN w:val="0"/>
        <w:adjustRightInd w:val="0"/>
        <w:spacing w:after="200" w:line="276" w:lineRule="auto"/>
        <w:ind w:left="360"/>
        <w:rPr>
          <w:rFonts w:ascii="Calibri" w:eastAsiaTheme="minorEastAsia" w:hAnsi="Calibri" w:cs="Calibri"/>
          <w:lang w:val="en" w:eastAsia="en-GB"/>
        </w:rPr>
      </w:pPr>
    </w:p>
    <w:p w14:paraId="2B1973D5" w14:textId="1402D327" w:rsidR="00953FCC" w:rsidRPr="00084054" w:rsidRDefault="00953FCC" w:rsidP="00953FCC">
      <w:pPr>
        <w:pStyle w:val="ListParagraph"/>
        <w:widowControl w:val="0"/>
        <w:autoSpaceDE w:val="0"/>
        <w:autoSpaceDN w:val="0"/>
        <w:adjustRightInd w:val="0"/>
        <w:spacing w:after="200" w:line="276" w:lineRule="auto"/>
        <w:rPr>
          <w:rFonts w:ascii="Calibri" w:eastAsiaTheme="minorEastAsia" w:hAnsi="Calibri" w:cs="Calibri"/>
          <w:lang w:val="en" w:eastAsia="en-GB"/>
        </w:rPr>
      </w:pPr>
    </w:p>
    <w:p w14:paraId="62FB8627" w14:textId="66565ECE" w:rsidR="00D6386A" w:rsidRDefault="00D6386A" w:rsidP="006B1CB0">
      <w:pPr>
        <w:widowControl w:val="0"/>
        <w:autoSpaceDE w:val="0"/>
        <w:autoSpaceDN w:val="0"/>
        <w:adjustRightInd w:val="0"/>
        <w:spacing w:after="200" w:line="276" w:lineRule="auto"/>
        <w:rPr>
          <w:rFonts w:ascii="Calibri" w:eastAsiaTheme="minorEastAsia" w:hAnsi="Calibri" w:cs="Calibri"/>
          <w:lang w:val="en" w:eastAsia="en-GB"/>
        </w:rPr>
      </w:pPr>
    </w:p>
    <w:p w14:paraId="1A800078" w14:textId="77777777" w:rsidR="00D6386A" w:rsidRDefault="00D6386A" w:rsidP="006B1CB0">
      <w:pPr>
        <w:widowControl w:val="0"/>
        <w:autoSpaceDE w:val="0"/>
        <w:autoSpaceDN w:val="0"/>
        <w:adjustRightInd w:val="0"/>
        <w:spacing w:after="200" w:line="276" w:lineRule="auto"/>
        <w:rPr>
          <w:rFonts w:ascii="Calibri" w:eastAsiaTheme="minorEastAsia" w:hAnsi="Calibri" w:cs="Calibri"/>
          <w:lang w:val="en" w:eastAsia="en-GB"/>
        </w:rPr>
      </w:pPr>
    </w:p>
    <w:p w14:paraId="65BEE980" w14:textId="6810BF05" w:rsidR="00D6386A" w:rsidRDefault="00D6386A" w:rsidP="006B1CB0">
      <w:pPr>
        <w:widowControl w:val="0"/>
        <w:autoSpaceDE w:val="0"/>
        <w:autoSpaceDN w:val="0"/>
        <w:adjustRightInd w:val="0"/>
        <w:spacing w:after="200" w:line="276" w:lineRule="auto"/>
        <w:rPr>
          <w:rFonts w:ascii="Calibri" w:eastAsiaTheme="minorEastAsia" w:hAnsi="Calibri" w:cs="Calibri"/>
          <w:lang w:val="en" w:eastAsia="en-GB"/>
        </w:rPr>
      </w:pPr>
    </w:p>
    <w:p w14:paraId="657D15C1" w14:textId="77777777" w:rsidR="00D6386A" w:rsidRDefault="00D6386A" w:rsidP="006B1CB0">
      <w:pPr>
        <w:widowControl w:val="0"/>
        <w:autoSpaceDE w:val="0"/>
        <w:autoSpaceDN w:val="0"/>
        <w:adjustRightInd w:val="0"/>
        <w:spacing w:after="200" w:line="276" w:lineRule="auto"/>
        <w:rPr>
          <w:rFonts w:ascii="Calibri" w:eastAsiaTheme="minorEastAsia" w:hAnsi="Calibri" w:cs="Calibri"/>
          <w:lang w:val="en" w:eastAsia="en-GB"/>
        </w:rPr>
      </w:pPr>
    </w:p>
    <w:p w14:paraId="217B3696" w14:textId="77777777" w:rsidR="00AC3C93" w:rsidRDefault="00AC3C93" w:rsidP="006B1CB0">
      <w:pPr>
        <w:widowControl w:val="0"/>
        <w:autoSpaceDE w:val="0"/>
        <w:autoSpaceDN w:val="0"/>
        <w:adjustRightInd w:val="0"/>
        <w:spacing w:after="200" w:line="276" w:lineRule="auto"/>
        <w:rPr>
          <w:rFonts w:ascii="Calibri" w:eastAsiaTheme="minorEastAsia" w:hAnsi="Calibri" w:cs="Calibri"/>
          <w:lang w:val="en" w:eastAsia="en-GB"/>
        </w:rPr>
      </w:pPr>
    </w:p>
    <w:p w14:paraId="71401F75" w14:textId="77777777" w:rsidR="00DD741A" w:rsidRDefault="00DD741A" w:rsidP="006B1CB0">
      <w:pPr>
        <w:widowControl w:val="0"/>
        <w:autoSpaceDE w:val="0"/>
        <w:autoSpaceDN w:val="0"/>
        <w:adjustRightInd w:val="0"/>
        <w:spacing w:after="200" w:line="276" w:lineRule="auto"/>
        <w:rPr>
          <w:rFonts w:ascii="Calibri" w:eastAsiaTheme="minorEastAsia" w:hAnsi="Calibri" w:cs="Calibri"/>
          <w:lang w:val="en" w:eastAsia="en-GB"/>
        </w:rPr>
      </w:pPr>
    </w:p>
    <w:p w14:paraId="5C18C50F" w14:textId="77777777" w:rsidR="00DD741A" w:rsidRDefault="00DD741A" w:rsidP="006B1CB0">
      <w:pPr>
        <w:widowControl w:val="0"/>
        <w:autoSpaceDE w:val="0"/>
        <w:autoSpaceDN w:val="0"/>
        <w:adjustRightInd w:val="0"/>
        <w:spacing w:after="200" w:line="276" w:lineRule="auto"/>
        <w:rPr>
          <w:rFonts w:ascii="Calibri" w:eastAsiaTheme="minorEastAsia" w:hAnsi="Calibri" w:cs="Calibri"/>
          <w:lang w:val="en" w:eastAsia="en-GB"/>
        </w:rPr>
      </w:pPr>
    </w:p>
    <w:p w14:paraId="14E85CE1" w14:textId="4403AD36" w:rsidR="00EF68CF" w:rsidRDefault="00A12313" w:rsidP="006B1CB0">
      <w:pPr>
        <w:widowControl w:val="0"/>
        <w:autoSpaceDE w:val="0"/>
        <w:autoSpaceDN w:val="0"/>
        <w:adjustRightInd w:val="0"/>
        <w:spacing w:after="200" w:line="276" w:lineRule="auto"/>
        <w:rPr>
          <w:rFonts w:ascii="Calibri" w:eastAsiaTheme="minorEastAsia" w:hAnsi="Calibri" w:cs="Calibri"/>
          <w:lang w:val="en" w:eastAsia="en-GB"/>
        </w:rPr>
      </w:pPr>
      <w:r>
        <w:rPr>
          <w:rFonts w:ascii="Calibri" w:eastAsiaTheme="minorEastAsia" w:hAnsi="Calibri" w:cs="Calibri"/>
          <w:lang w:val="en" w:eastAsia="en-GB"/>
        </w:rPr>
        <w:t xml:space="preserve"> </w:t>
      </w:r>
    </w:p>
    <w:p w14:paraId="45CEFBDA" w14:textId="180249D9" w:rsidR="006B1CB0" w:rsidRPr="006B1CB0" w:rsidRDefault="006B1CB0" w:rsidP="006B1CB0">
      <w:pPr>
        <w:widowControl w:val="0"/>
        <w:autoSpaceDE w:val="0"/>
        <w:autoSpaceDN w:val="0"/>
        <w:adjustRightInd w:val="0"/>
        <w:spacing w:after="200" w:line="276" w:lineRule="auto"/>
        <w:rPr>
          <w:rFonts w:ascii="Calibri" w:eastAsiaTheme="minorEastAsia" w:hAnsi="Calibri" w:cs="Calibri"/>
          <w:lang w:val="en" w:eastAsia="en-GB"/>
        </w:rPr>
      </w:pPr>
      <w:r w:rsidRPr="006B1CB0">
        <w:rPr>
          <w:rFonts w:ascii="Calibri" w:eastAsiaTheme="minorEastAsia" w:hAnsi="Calibri" w:cs="Calibri"/>
          <w:lang w:val="en" w:eastAsia="en-GB"/>
        </w:rPr>
        <w:t xml:space="preserve"> </w:t>
      </w:r>
    </w:p>
    <w:p w14:paraId="2208CC84" w14:textId="0B64C2CD" w:rsidR="006B1CB0" w:rsidRDefault="006B1CB0" w:rsidP="00453A12">
      <w:pPr>
        <w:widowControl w:val="0"/>
        <w:autoSpaceDE w:val="0"/>
        <w:autoSpaceDN w:val="0"/>
        <w:adjustRightInd w:val="0"/>
        <w:spacing w:after="200" w:line="276" w:lineRule="auto"/>
        <w:ind w:right="855"/>
        <w:rPr>
          <w:rFonts w:ascii="Calibri" w:hAnsi="Calibri" w:cs="Calibri"/>
          <w:lang w:val="en"/>
        </w:rPr>
      </w:pPr>
    </w:p>
    <w:p w14:paraId="23BEC73B" w14:textId="77777777" w:rsidR="006B1CB0" w:rsidRPr="00453A12" w:rsidRDefault="006B1CB0" w:rsidP="00453A12">
      <w:pPr>
        <w:widowControl w:val="0"/>
        <w:autoSpaceDE w:val="0"/>
        <w:autoSpaceDN w:val="0"/>
        <w:adjustRightInd w:val="0"/>
        <w:spacing w:after="200" w:line="276" w:lineRule="auto"/>
        <w:ind w:right="855"/>
        <w:rPr>
          <w:rFonts w:eastAsiaTheme="minorEastAsia" w:cs="Times New Roman"/>
          <w:color w:val="1A1A1A"/>
          <w:shd w:val="clear" w:color="auto" w:fill="FFFFFF"/>
          <w:lang w:eastAsia="en-GB"/>
        </w:rPr>
      </w:pPr>
    </w:p>
    <w:p w14:paraId="0E5F3260" w14:textId="751C4FA2" w:rsidR="00952DBB" w:rsidRDefault="00952DBB" w:rsidP="00952DBB">
      <w:pPr>
        <w:pStyle w:val="ListParagraph"/>
        <w:widowControl w:val="0"/>
        <w:autoSpaceDE w:val="0"/>
        <w:autoSpaceDN w:val="0"/>
        <w:adjustRightInd w:val="0"/>
        <w:spacing w:after="200" w:line="276" w:lineRule="auto"/>
        <w:ind w:right="855"/>
        <w:rPr>
          <w:rFonts w:eastAsiaTheme="minorEastAsia" w:cs="Times New Roman"/>
          <w:color w:val="1A1A1A"/>
          <w:shd w:val="clear" w:color="auto" w:fill="FFFFFF"/>
          <w:lang w:eastAsia="en-GB"/>
        </w:rPr>
      </w:pPr>
    </w:p>
    <w:p w14:paraId="5A27F3FC" w14:textId="49C7E762" w:rsidR="00952DBB" w:rsidRPr="00952DBB" w:rsidRDefault="00952DBB" w:rsidP="00952DBB">
      <w:pPr>
        <w:widowControl w:val="0"/>
        <w:autoSpaceDE w:val="0"/>
        <w:autoSpaceDN w:val="0"/>
        <w:adjustRightInd w:val="0"/>
        <w:spacing w:after="200" w:line="276" w:lineRule="auto"/>
        <w:ind w:right="855"/>
        <w:rPr>
          <w:rFonts w:eastAsiaTheme="minorEastAsia" w:cs="Times New Roman"/>
          <w:color w:val="1A1A1A"/>
          <w:shd w:val="clear" w:color="auto" w:fill="FFFFFF"/>
          <w:lang w:eastAsia="en-GB"/>
        </w:rPr>
      </w:pPr>
    </w:p>
    <w:p w14:paraId="15047677" w14:textId="77777777" w:rsidR="00952DBB" w:rsidRPr="00642B76" w:rsidRDefault="00952DBB" w:rsidP="00952DBB">
      <w:pPr>
        <w:pStyle w:val="ListParagraph"/>
        <w:widowControl w:val="0"/>
        <w:autoSpaceDE w:val="0"/>
        <w:autoSpaceDN w:val="0"/>
        <w:adjustRightInd w:val="0"/>
        <w:spacing w:after="200" w:line="276" w:lineRule="auto"/>
        <w:ind w:right="855"/>
        <w:rPr>
          <w:rFonts w:eastAsiaTheme="minorEastAsia" w:cs="Times New Roman"/>
          <w:color w:val="1A1A1A"/>
          <w:shd w:val="clear" w:color="auto" w:fill="FFFFFF"/>
          <w:lang w:eastAsia="en-GB"/>
        </w:rPr>
      </w:pPr>
    </w:p>
    <w:sectPr w:rsidR="00952DBB" w:rsidRPr="00642B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5871BF" w14:textId="77777777" w:rsidR="007248C0" w:rsidRDefault="007248C0" w:rsidP="00C6790C">
      <w:pPr>
        <w:spacing w:after="0" w:line="240" w:lineRule="auto"/>
      </w:pPr>
      <w:r>
        <w:separator/>
      </w:r>
    </w:p>
  </w:endnote>
  <w:endnote w:type="continuationSeparator" w:id="0">
    <w:p w14:paraId="52674051" w14:textId="77777777" w:rsidR="007248C0" w:rsidRDefault="007248C0" w:rsidP="00C6790C">
      <w:pPr>
        <w:spacing w:after="0" w:line="240" w:lineRule="auto"/>
      </w:pPr>
      <w:r>
        <w:continuationSeparator/>
      </w:r>
    </w:p>
  </w:endnote>
  <w:endnote w:id="1">
    <w:p w14:paraId="0ED8CE30" w14:textId="77777777" w:rsidR="00CF6D08" w:rsidRDefault="00CF6D08" w:rsidP="00CF6D08">
      <w:pPr>
        <w:rPr>
          <w:rFonts w:ascii="Arial" w:hAnsi="Arial" w:cs="Arial"/>
          <w:color w:val="545454"/>
          <w:shd w:val="clear" w:color="auto" w:fill="FFFFFF"/>
        </w:rPr>
      </w:pPr>
      <w:r>
        <w:rPr>
          <w:rStyle w:val="EndnoteReference"/>
        </w:rPr>
        <w:endnoteRef/>
      </w:r>
      <w:r>
        <w:t xml:space="preserve"> </w:t>
      </w:r>
      <w:r w:rsidRPr="00D75662">
        <w:rPr>
          <w:rFonts w:cstheme="minorHAnsi"/>
          <w:color w:val="545454"/>
          <w:sz w:val="20"/>
          <w:szCs w:val="20"/>
          <w:shd w:val="clear" w:color="auto" w:fill="FFFFFF"/>
        </w:rPr>
        <w:t>The </w:t>
      </w:r>
      <w:r w:rsidRPr="00D75662">
        <w:rPr>
          <w:rFonts w:cstheme="minorHAnsi"/>
          <w:b/>
          <w:bCs/>
          <w:color w:val="6A6A6A"/>
          <w:sz w:val="20"/>
          <w:szCs w:val="20"/>
          <w:shd w:val="clear" w:color="auto" w:fill="FFFFFF"/>
        </w:rPr>
        <w:t>Book of Nature is</w:t>
      </w:r>
      <w:r w:rsidRPr="00D75662">
        <w:rPr>
          <w:rFonts w:cstheme="minorHAnsi"/>
          <w:color w:val="222222"/>
          <w:sz w:val="20"/>
          <w:szCs w:val="20"/>
          <w:shd w:val="clear" w:color="auto" w:fill="FFFFFF"/>
        </w:rPr>
        <w:t xml:space="preserve"> a religious and philosophical concept that arose during the Latin Middle Ages </w:t>
      </w:r>
      <w:r w:rsidRPr="00D75662">
        <w:rPr>
          <w:rFonts w:cstheme="minorHAnsi"/>
          <w:color w:val="545454"/>
          <w:sz w:val="20"/>
          <w:szCs w:val="20"/>
          <w:shd w:val="clear" w:color="auto" w:fill="FFFFFF"/>
        </w:rPr>
        <w:t>.</w:t>
      </w:r>
      <w:r w:rsidRPr="00D75662">
        <w:rPr>
          <w:rFonts w:cstheme="minorHAnsi"/>
          <w:sz w:val="20"/>
          <w:szCs w:val="20"/>
        </w:rPr>
        <w:t xml:space="preserve">In Christian conception. </w:t>
      </w:r>
      <w:r w:rsidRPr="00D75662">
        <w:rPr>
          <w:rFonts w:cstheme="minorHAnsi"/>
          <w:b/>
          <w:bCs/>
          <w:color w:val="6A6A6A"/>
          <w:sz w:val="20"/>
          <w:szCs w:val="20"/>
          <w:shd w:val="clear" w:color="auto" w:fill="FFFFFF"/>
        </w:rPr>
        <w:t>God primarily reveals himself through t</w:t>
      </w:r>
      <w:r w:rsidRPr="00D75662">
        <w:rPr>
          <w:rFonts w:cstheme="minorHAnsi"/>
          <w:color w:val="545454"/>
          <w:sz w:val="20"/>
          <w:szCs w:val="20"/>
          <w:shd w:val="clear" w:color="auto" w:fill="FFFFFF"/>
        </w:rPr>
        <w:t>he “</w:t>
      </w:r>
      <w:r w:rsidRPr="00D75662">
        <w:rPr>
          <w:rFonts w:cstheme="minorHAnsi"/>
          <w:b/>
          <w:bCs/>
          <w:color w:val="6A6A6A"/>
          <w:sz w:val="20"/>
          <w:szCs w:val="20"/>
          <w:shd w:val="clear" w:color="auto" w:fill="FFFFFF"/>
        </w:rPr>
        <w:t xml:space="preserve">Book of Nature”. </w:t>
      </w:r>
      <w:r w:rsidRPr="00D75662">
        <w:rPr>
          <w:rFonts w:cstheme="minorHAnsi"/>
          <w:color w:val="545454"/>
          <w:sz w:val="20"/>
          <w:szCs w:val="20"/>
          <w:shd w:val="clear" w:color="auto" w:fill="FFFFFF"/>
        </w:rPr>
        <w:t>Early </w:t>
      </w:r>
      <w:r w:rsidRPr="00D75662">
        <w:rPr>
          <w:rFonts w:cstheme="minorHAnsi"/>
          <w:b/>
          <w:bCs/>
          <w:color w:val="6A6A6A"/>
          <w:sz w:val="20"/>
          <w:szCs w:val="20"/>
          <w:shd w:val="clear" w:color="auto" w:fill="FFFFFF"/>
        </w:rPr>
        <w:t>Christian</w:t>
      </w:r>
      <w:r w:rsidRPr="00D75662">
        <w:rPr>
          <w:rFonts w:cstheme="minorHAnsi"/>
          <w:color w:val="545454"/>
          <w:sz w:val="20"/>
          <w:szCs w:val="20"/>
          <w:shd w:val="clear" w:color="auto" w:fill="FFFFFF"/>
        </w:rPr>
        <w:t xml:space="preserve"> doctrine held that God was the author of two texts, the Book of God, or The Bible, and the book of nature in the natural order. </w:t>
      </w:r>
      <w:hyperlink r:id="rId1" w:history="1">
        <w:r w:rsidRPr="001A7FD1">
          <w:rPr>
            <w:rStyle w:val="Hyperlink"/>
            <w:rFonts w:ascii="Arial" w:hAnsi="Arial" w:cs="Arial"/>
            <w:shd w:val="clear" w:color="auto" w:fill="FFFFFF"/>
          </w:rPr>
          <w:t>http://www2.iath.virginia.edu/elab//hfl0247.html</w:t>
        </w:r>
      </w:hyperlink>
      <w:r>
        <w:rPr>
          <w:rFonts w:ascii="Arial" w:hAnsi="Arial" w:cs="Arial"/>
          <w:color w:val="545454"/>
          <w:shd w:val="clear" w:color="auto" w:fill="FFFFFF"/>
        </w:rPr>
        <w:t xml:space="preserve"> </w:t>
      </w:r>
    </w:p>
    <w:p w14:paraId="2E6AB452" w14:textId="77777777" w:rsidR="00CF6D08" w:rsidRPr="00D9765B" w:rsidRDefault="00CF6D08" w:rsidP="00CF6D08">
      <w:pPr>
        <w:spacing w:after="0" w:line="240" w:lineRule="auto"/>
        <w:rPr>
          <w:rFonts w:ascii="Arial" w:eastAsia="Times New Roman" w:hAnsi="Arial" w:cs="Arial"/>
          <w:color w:val="660099"/>
          <w:sz w:val="24"/>
          <w:szCs w:val="24"/>
          <w:u w:val="single"/>
          <w:shd w:val="clear" w:color="auto" w:fill="FFFFFF"/>
          <w:lang w:eastAsia="en-GB"/>
        </w:rPr>
      </w:pPr>
      <w:r>
        <w:rPr>
          <w:rFonts w:ascii="Arial" w:eastAsia="Times New Roman" w:hAnsi="Arial" w:cs="Arial"/>
          <w:color w:val="006621"/>
          <w:sz w:val="21"/>
          <w:szCs w:val="21"/>
          <w:u w:val="single"/>
          <w:shd w:val="clear" w:color="auto" w:fill="FFFFFF"/>
          <w:lang w:eastAsia="en-GB"/>
        </w:rPr>
        <w:fldChar w:fldCharType="begin"/>
      </w:r>
      <w:r>
        <w:rPr>
          <w:rFonts w:ascii="Arial" w:eastAsia="Times New Roman" w:hAnsi="Arial" w:cs="Arial"/>
          <w:color w:val="006621"/>
          <w:sz w:val="21"/>
          <w:szCs w:val="21"/>
          <w:u w:val="single"/>
          <w:shd w:val="clear" w:color="auto" w:fill="FFFFFF"/>
          <w:lang w:eastAsia="en-GB"/>
        </w:rPr>
        <w:instrText xml:space="preserve"> HYPERLINK "</w:instrText>
      </w:r>
      <w:r w:rsidRPr="00D9765B">
        <w:rPr>
          <w:rFonts w:ascii="Arial" w:eastAsia="Times New Roman" w:hAnsi="Arial" w:cs="Arial"/>
          <w:color w:val="006621"/>
          <w:sz w:val="21"/>
          <w:szCs w:val="21"/>
          <w:u w:val="single"/>
          <w:shd w:val="clear" w:color="auto" w:fill="FFFFFF"/>
          <w:lang w:eastAsia="en-GB"/>
        </w:rPr>
        <w:instrText>https://plato.stanford.edu/entries/christiantheology-philosophy/</w:instrText>
      </w:r>
    </w:p>
    <w:p w14:paraId="4E94800F" w14:textId="77777777" w:rsidR="00CF6D08" w:rsidRPr="001A7FD1" w:rsidRDefault="00CF6D08" w:rsidP="00CF6D08">
      <w:pPr>
        <w:spacing w:after="0" w:line="240" w:lineRule="auto"/>
        <w:rPr>
          <w:rStyle w:val="Hyperlink"/>
          <w:rFonts w:ascii="Arial" w:eastAsia="Times New Roman" w:hAnsi="Arial" w:cs="Arial"/>
          <w:sz w:val="24"/>
          <w:szCs w:val="24"/>
          <w:shd w:val="clear" w:color="auto" w:fill="FFFFFF"/>
          <w:lang w:eastAsia="en-GB"/>
        </w:rPr>
      </w:pPr>
      <w:r>
        <w:rPr>
          <w:rFonts w:ascii="Arial" w:eastAsia="Times New Roman" w:hAnsi="Arial" w:cs="Arial"/>
          <w:color w:val="006621"/>
          <w:sz w:val="21"/>
          <w:szCs w:val="21"/>
          <w:u w:val="single"/>
          <w:shd w:val="clear" w:color="auto" w:fill="FFFFFF"/>
          <w:lang w:eastAsia="en-GB"/>
        </w:rPr>
        <w:instrText xml:space="preserve">" </w:instrText>
      </w:r>
      <w:r>
        <w:rPr>
          <w:rFonts w:ascii="Arial" w:eastAsia="Times New Roman" w:hAnsi="Arial" w:cs="Arial"/>
          <w:color w:val="006621"/>
          <w:sz w:val="21"/>
          <w:szCs w:val="21"/>
          <w:u w:val="single"/>
          <w:shd w:val="clear" w:color="auto" w:fill="FFFFFF"/>
          <w:lang w:eastAsia="en-GB"/>
        </w:rPr>
        <w:fldChar w:fldCharType="separate"/>
      </w:r>
      <w:r w:rsidRPr="001A7FD1">
        <w:rPr>
          <w:rStyle w:val="Hyperlink"/>
          <w:rFonts w:ascii="Arial" w:eastAsia="Times New Roman" w:hAnsi="Arial" w:cs="Arial"/>
          <w:sz w:val="21"/>
          <w:szCs w:val="21"/>
          <w:shd w:val="clear" w:color="auto" w:fill="FFFFFF"/>
          <w:lang w:eastAsia="en-GB"/>
        </w:rPr>
        <w:t>https://plato.stanford.edu/entries/christiantheology-philosophy/</w:t>
      </w:r>
    </w:p>
    <w:p w14:paraId="3201AA39" w14:textId="77777777" w:rsidR="00CF6D08" w:rsidRDefault="00CF6D08" w:rsidP="00CF6D08">
      <w:r>
        <w:rPr>
          <w:rFonts w:ascii="Arial" w:eastAsia="Times New Roman" w:hAnsi="Arial" w:cs="Arial"/>
          <w:color w:val="006621"/>
          <w:sz w:val="21"/>
          <w:szCs w:val="21"/>
          <w:u w:val="single"/>
          <w:shd w:val="clear" w:color="auto" w:fill="FFFFFF"/>
          <w:lang w:eastAsia="en-GB"/>
        </w:rPr>
        <w:fldChar w:fldCharType="end"/>
      </w:r>
    </w:p>
  </w:endnote>
  <w:endnote w:id="2">
    <w:p w14:paraId="04EC2055" w14:textId="77777777" w:rsidR="00CF6D08" w:rsidRDefault="00CF6D08" w:rsidP="00CF6D08">
      <w:pPr>
        <w:pStyle w:val="EndnoteText"/>
      </w:pPr>
      <w:r>
        <w:rPr>
          <w:rStyle w:val="EndnoteReference"/>
        </w:rPr>
        <w:endnoteRef/>
      </w:r>
      <w:r>
        <w:t xml:space="preserve"> E.g. Catholic and protestant contentions which originated from dispute over the hypostatic nature of the trinity of God.</w:t>
      </w:r>
    </w:p>
    <w:p w14:paraId="71A10543" w14:textId="77777777" w:rsidR="00CF6D08" w:rsidRPr="00FC5DCE" w:rsidRDefault="00CF6D08" w:rsidP="00CF6D08">
      <w:pPr>
        <w:spacing w:after="0" w:line="240" w:lineRule="auto"/>
        <w:rPr>
          <w:rFonts w:ascii="Arial" w:eastAsia="Times New Roman" w:hAnsi="Arial" w:cs="Arial"/>
          <w:color w:val="660099"/>
          <w:sz w:val="24"/>
          <w:szCs w:val="24"/>
          <w:u w:val="single"/>
          <w:shd w:val="clear" w:color="auto" w:fill="FFFFFF"/>
          <w:lang w:eastAsia="en-GB"/>
        </w:rPr>
      </w:pPr>
      <w:r w:rsidRPr="00FC5DCE">
        <w:rPr>
          <w:rFonts w:ascii="Times New Roman" w:eastAsia="Times New Roman" w:hAnsi="Times New Roman" w:cs="Times New Roman"/>
          <w:sz w:val="24"/>
          <w:szCs w:val="24"/>
          <w:lang w:eastAsia="en-GB"/>
        </w:rPr>
        <w:fldChar w:fldCharType="begin"/>
      </w:r>
      <w:r w:rsidRPr="00FC5DCE">
        <w:rPr>
          <w:rFonts w:ascii="Times New Roman" w:eastAsia="Times New Roman" w:hAnsi="Times New Roman" w:cs="Times New Roman"/>
          <w:sz w:val="24"/>
          <w:szCs w:val="24"/>
          <w:lang w:eastAsia="en-GB"/>
        </w:rPr>
        <w:instrText xml:space="preserve"> HYPERLINK "https://plato.stanford.edu/entries/miracles/" </w:instrText>
      </w:r>
      <w:r w:rsidRPr="00FC5DCE">
        <w:rPr>
          <w:rFonts w:ascii="Times New Roman" w:eastAsia="Times New Roman" w:hAnsi="Times New Roman" w:cs="Times New Roman"/>
          <w:sz w:val="24"/>
          <w:szCs w:val="24"/>
          <w:lang w:eastAsia="en-GB"/>
        </w:rPr>
        <w:fldChar w:fldCharType="separate"/>
      </w:r>
    </w:p>
    <w:p w14:paraId="4953D7DF" w14:textId="77777777" w:rsidR="00CF6D08" w:rsidRPr="00FC5DCE" w:rsidRDefault="00CF6D08" w:rsidP="00CF6D08">
      <w:pPr>
        <w:spacing w:after="0" w:line="240" w:lineRule="auto"/>
        <w:rPr>
          <w:rFonts w:ascii="Times New Roman" w:eastAsia="Times New Roman" w:hAnsi="Times New Roman" w:cs="Times New Roman"/>
          <w:sz w:val="24"/>
          <w:szCs w:val="24"/>
          <w:lang w:eastAsia="en-GB"/>
        </w:rPr>
      </w:pPr>
      <w:r w:rsidRPr="00FC5DCE">
        <w:rPr>
          <w:rFonts w:ascii="Arial" w:eastAsia="Times New Roman" w:hAnsi="Arial" w:cs="Arial"/>
          <w:color w:val="006621"/>
          <w:sz w:val="21"/>
          <w:szCs w:val="21"/>
          <w:u w:val="single"/>
          <w:shd w:val="clear" w:color="auto" w:fill="FFFFFF"/>
          <w:lang w:eastAsia="en-GB"/>
        </w:rPr>
        <w:t>https://plato.stanford.edu/entries/miracles/</w:t>
      </w:r>
    </w:p>
    <w:p w14:paraId="308D5BA8" w14:textId="77777777" w:rsidR="00CF6D08" w:rsidRPr="00FC5DCE" w:rsidRDefault="00CF6D08" w:rsidP="00CF6D08">
      <w:pPr>
        <w:spacing w:after="0" w:line="240" w:lineRule="auto"/>
        <w:rPr>
          <w:rFonts w:ascii="Arial" w:eastAsia="Times New Roman" w:hAnsi="Arial" w:cs="Arial"/>
          <w:color w:val="660099"/>
          <w:sz w:val="24"/>
          <w:szCs w:val="24"/>
          <w:u w:val="single"/>
          <w:shd w:val="clear" w:color="auto" w:fill="FFFFFF"/>
          <w:lang w:eastAsia="en-GB"/>
        </w:rPr>
      </w:pPr>
      <w:r w:rsidRPr="00FC5DCE">
        <w:rPr>
          <w:rFonts w:ascii="Times New Roman" w:eastAsia="Times New Roman" w:hAnsi="Times New Roman" w:cs="Times New Roman"/>
          <w:sz w:val="24"/>
          <w:szCs w:val="24"/>
          <w:lang w:eastAsia="en-GB"/>
        </w:rPr>
        <w:fldChar w:fldCharType="end"/>
      </w:r>
      <w:r>
        <w:rPr>
          <w:rFonts w:ascii="Arial" w:eastAsia="Times New Roman" w:hAnsi="Arial" w:cs="Arial"/>
          <w:color w:val="660099"/>
          <w:sz w:val="24"/>
          <w:szCs w:val="24"/>
          <w:u w:val="single"/>
          <w:shd w:val="clear" w:color="auto" w:fill="FFFFFF"/>
          <w:lang w:eastAsia="en-GB"/>
        </w:rPr>
        <w:t xml:space="preserve"> </w:t>
      </w:r>
      <w:r>
        <w:rPr>
          <w:rFonts w:ascii="Arial" w:eastAsia="Times New Roman" w:hAnsi="Arial" w:cs="Arial"/>
          <w:color w:val="660099"/>
          <w:sz w:val="24"/>
          <w:szCs w:val="24"/>
          <w:u w:val="single"/>
          <w:shd w:val="clear" w:color="auto" w:fill="FFFFFF"/>
          <w:lang w:eastAsia="en-GB"/>
        </w:rPr>
        <w:fldChar w:fldCharType="begin"/>
      </w:r>
      <w:r>
        <w:rPr>
          <w:rFonts w:ascii="Arial" w:eastAsia="Times New Roman" w:hAnsi="Arial" w:cs="Arial"/>
          <w:color w:val="660099"/>
          <w:sz w:val="24"/>
          <w:szCs w:val="24"/>
          <w:u w:val="single"/>
          <w:shd w:val="clear" w:color="auto" w:fill="FFFFFF"/>
          <w:lang w:eastAsia="en-GB"/>
        </w:rPr>
        <w:instrText xml:space="preserve"> HYPERLINK "</w:instrText>
      </w:r>
    </w:p>
    <w:p w14:paraId="3A02071C" w14:textId="77777777" w:rsidR="00CF6D08" w:rsidRPr="00FC5DCE" w:rsidRDefault="00CF6D08" w:rsidP="00CF6D08">
      <w:pPr>
        <w:spacing w:after="0" w:line="240" w:lineRule="auto"/>
        <w:rPr>
          <w:rFonts w:ascii="Times New Roman" w:eastAsia="Times New Roman" w:hAnsi="Times New Roman" w:cs="Times New Roman"/>
          <w:color w:val="660099"/>
          <w:sz w:val="24"/>
          <w:szCs w:val="24"/>
          <w:u w:val="single"/>
          <w:lang w:eastAsia="en-GB"/>
        </w:rPr>
      </w:pPr>
      <w:r w:rsidRPr="00FC5DCE">
        <w:rPr>
          <w:rFonts w:ascii="Arial" w:eastAsia="Times New Roman" w:hAnsi="Arial" w:cs="Arial"/>
          <w:color w:val="660099"/>
          <w:sz w:val="21"/>
          <w:szCs w:val="21"/>
          <w:u w:val="single"/>
          <w:shd w:val="clear" w:color="auto" w:fill="FFFFFF"/>
          <w:lang w:eastAsia="en-GB"/>
        </w:rPr>
        <w:instrText xml:space="preserve">https://plato.stanford.edu/entries/fideism/ </w:instrText>
      </w:r>
    </w:p>
    <w:p w14:paraId="7AD79728" w14:textId="77777777" w:rsidR="00CF6D08" w:rsidRPr="001A7FD1" w:rsidRDefault="00CF6D08" w:rsidP="00CF6D08">
      <w:pPr>
        <w:spacing w:after="0" w:line="240" w:lineRule="auto"/>
        <w:rPr>
          <w:rStyle w:val="Hyperlink"/>
          <w:rFonts w:ascii="Arial" w:eastAsia="Times New Roman" w:hAnsi="Arial" w:cs="Arial"/>
          <w:sz w:val="24"/>
          <w:szCs w:val="24"/>
          <w:shd w:val="clear" w:color="auto" w:fill="FFFFFF"/>
          <w:lang w:eastAsia="en-GB"/>
        </w:rPr>
      </w:pPr>
      <w:r>
        <w:rPr>
          <w:rFonts w:ascii="Arial" w:eastAsia="Times New Roman" w:hAnsi="Arial" w:cs="Arial"/>
          <w:color w:val="660099"/>
          <w:sz w:val="24"/>
          <w:szCs w:val="24"/>
          <w:u w:val="single"/>
          <w:shd w:val="clear" w:color="auto" w:fill="FFFFFF"/>
          <w:lang w:eastAsia="en-GB"/>
        </w:rPr>
        <w:instrText xml:space="preserve">" </w:instrText>
      </w:r>
      <w:r>
        <w:rPr>
          <w:rFonts w:ascii="Arial" w:eastAsia="Times New Roman" w:hAnsi="Arial" w:cs="Arial"/>
          <w:color w:val="660099"/>
          <w:sz w:val="24"/>
          <w:szCs w:val="24"/>
          <w:u w:val="single"/>
          <w:shd w:val="clear" w:color="auto" w:fill="FFFFFF"/>
          <w:lang w:eastAsia="en-GB"/>
        </w:rPr>
        <w:fldChar w:fldCharType="separate"/>
      </w:r>
    </w:p>
    <w:p w14:paraId="3BCEDF81" w14:textId="77777777" w:rsidR="00CF6D08" w:rsidRPr="001A7FD1" w:rsidRDefault="00CF6D08" w:rsidP="00CF6D08">
      <w:pPr>
        <w:spacing w:after="0" w:line="240" w:lineRule="auto"/>
        <w:rPr>
          <w:rStyle w:val="Hyperlink"/>
          <w:rFonts w:ascii="Times New Roman" w:eastAsia="Times New Roman" w:hAnsi="Times New Roman"/>
          <w:sz w:val="24"/>
          <w:szCs w:val="24"/>
          <w:lang w:eastAsia="en-GB"/>
        </w:rPr>
      </w:pPr>
      <w:r w:rsidRPr="001A7FD1">
        <w:rPr>
          <w:rStyle w:val="Hyperlink"/>
          <w:rFonts w:ascii="Arial" w:eastAsia="Times New Roman" w:hAnsi="Arial" w:cs="Arial"/>
          <w:sz w:val="21"/>
          <w:szCs w:val="21"/>
          <w:shd w:val="clear" w:color="auto" w:fill="FFFFFF"/>
          <w:lang w:eastAsia="en-GB"/>
        </w:rPr>
        <w:t xml:space="preserve">https://plato.stanford.edu/entries/fideism/ </w:t>
      </w:r>
    </w:p>
    <w:p w14:paraId="0A612904" w14:textId="77777777" w:rsidR="00CF6D08" w:rsidRDefault="00CF6D08" w:rsidP="00CF6D08">
      <w:pPr>
        <w:pStyle w:val="EndnoteText"/>
      </w:pPr>
      <w:r>
        <w:rPr>
          <w:rFonts w:ascii="Arial" w:eastAsia="Times New Roman" w:hAnsi="Arial" w:cs="Arial"/>
          <w:color w:val="660099"/>
          <w:sz w:val="24"/>
          <w:szCs w:val="24"/>
          <w:u w:val="single"/>
          <w:shd w:val="clear" w:color="auto" w:fill="FFFFFF"/>
          <w:lang w:eastAsia="en-GB"/>
        </w:rPr>
        <w:fldChar w:fldCharType="end"/>
      </w:r>
    </w:p>
  </w:endnote>
  <w:endnote w:id="3">
    <w:p w14:paraId="4C6F2710" w14:textId="77777777" w:rsidR="00CF6D08" w:rsidRDefault="00CF6D08" w:rsidP="00CF6D08">
      <w:pPr>
        <w:pStyle w:val="EndnoteText"/>
        <w:rPr>
          <w:rFonts w:cstheme="minorHAnsi"/>
          <w:bCs/>
          <w:color w:val="6A6A6A"/>
          <w:shd w:val="clear" w:color="auto" w:fill="FFFFFF"/>
        </w:rPr>
      </w:pPr>
      <w:r>
        <w:rPr>
          <w:rStyle w:val="EndnoteReference"/>
        </w:rPr>
        <w:endnoteRef/>
      </w:r>
      <w:r w:rsidRPr="00FC5DCE">
        <w:rPr>
          <w:rFonts w:cstheme="minorHAnsi"/>
        </w:rPr>
        <w:t xml:space="preserve"> </w:t>
      </w:r>
      <w:r w:rsidRPr="00FC5DCE">
        <w:rPr>
          <w:rFonts w:cstheme="minorHAnsi"/>
          <w:bCs/>
          <w:color w:val="6A6A6A"/>
          <w:shd w:val="clear" w:color="auto" w:fill="FFFFFF"/>
        </w:rPr>
        <w:t>Aristotle</w:t>
      </w:r>
      <w:r w:rsidRPr="00FC5DCE">
        <w:rPr>
          <w:rFonts w:cstheme="minorHAnsi"/>
          <w:color w:val="545454"/>
          <w:shd w:val="clear" w:color="auto" w:fill="FFFFFF"/>
        </w:rPr>
        <w:t> is renowned fo</w:t>
      </w:r>
      <w:r>
        <w:rPr>
          <w:rFonts w:cstheme="minorHAnsi"/>
          <w:color w:val="545454"/>
          <w:shd w:val="clear" w:color="auto" w:fill="FFFFFF"/>
        </w:rPr>
        <w:t>r compiling the works titled</w:t>
      </w:r>
      <w:r w:rsidRPr="00FC5DCE">
        <w:rPr>
          <w:rFonts w:cstheme="minorHAnsi"/>
          <w:color w:val="545454"/>
          <w:shd w:val="clear" w:color="auto" w:fill="FFFFFF"/>
        </w:rPr>
        <w:t xml:space="preserve"> ‘</w:t>
      </w:r>
      <w:r w:rsidRPr="00FC5DCE">
        <w:rPr>
          <w:rFonts w:cstheme="minorHAnsi"/>
          <w:bCs/>
          <w:color w:val="6A6A6A"/>
          <w:shd w:val="clear" w:color="auto" w:fill="FFFFFF"/>
        </w:rPr>
        <w:t>Prior</w:t>
      </w:r>
      <w:r w:rsidRPr="00FC5DCE">
        <w:rPr>
          <w:rFonts w:cstheme="minorHAnsi"/>
          <w:color w:val="545454"/>
          <w:shd w:val="clear" w:color="auto" w:fill="FFFFFF"/>
        </w:rPr>
        <w:t> and Posterior </w:t>
      </w:r>
      <w:r w:rsidRPr="00FC5DCE">
        <w:rPr>
          <w:rFonts w:cstheme="minorHAnsi"/>
          <w:bCs/>
          <w:color w:val="6A6A6A"/>
          <w:shd w:val="clear" w:color="auto" w:fill="FFFFFF"/>
        </w:rPr>
        <w:t>Analytics’</w:t>
      </w:r>
      <w:r>
        <w:rPr>
          <w:rFonts w:cstheme="minorHAnsi"/>
          <w:color w:val="545454"/>
          <w:shd w:val="clear" w:color="auto" w:fill="FFFFFF"/>
        </w:rPr>
        <w:t xml:space="preserve">, a primary scientific treatise </w:t>
      </w:r>
      <w:r w:rsidRPr="00FC5DCE">
        <w:rPr>
          <w:rFonts w:cstheme="minorHAnsi"/>
          <w:bCs/>
          <w:color w:val="6A6A6A"/>
          <w:shd w:val="clear" w:color="auto" w:fill="FFFFFF"/>
        </w:rPr>
        <w:t>relative to scientific method and syllogism</w:t>
      </w:r>
      <w:r>
        <w:rPr>
          <w:rFonts w:cstheme="minorHAnsi"/>
          <w:bCs/>
          <w:color w:val="6A6A6A"/>
          <w:shd w:val="clear" w:color="auto" w:fill="FFFFFF"/>
        </w:rPr>
        <w:t>.</w:t>
      </w:r>
    </w:p>
    <w:p w14:paraId="5F3A7BE2" w14:textId="77777777" w:rsidR="00CF6D08" w:rsidRPr="00FC5DCE" w:rsidRDefault="00CF6D08" w:rsidP="00CF6D08">
      <w:pPr>
        <w:spacing w:after="0" w:line="240" w:lineRule="auto"/>
        <w:rPr>
          <w:rFonts w:ascii="Arial" w:eastAsia="Times New Roman" w:hAnsi="Arial" w:cs="Arial"/>
          <w:color w:val="660099"/>
          <w:sz w:val="24"/>
          <w:szCs w:val="24"/>
          <w:u w:val="single"/>
          <w:shd w:val="clear" w:color="auto" w:fill="FFFFFF"/>
          <w:lang w:eastAsia="en-GB"/>
        </w:rPr>
      </w:pPr>
      <w:r>
        <w:rPr>
          <w:rFonts w:ascii="Arial" w:eastAsia="Times New Roman" w:hAnsi="Arial" w:cs="Arial"/>
          <w:color w:val="660099"/>
          <w:sz w:val="24"/>
          <w:szCs w:val="24"/>
          <w:u w:val="single"/>
          <w:shd w:val="clear" w:color="auto" w:fill="FFFFFF"/>
          <w:lang w:eastAsia="en-GB"/>
        </w:rPr>
        <w:fldChar w:fldCharType="begin"/>
      </w:r>
      <w:r>
        <w:rPr>
          <w:rFonts w:ascii="Arial" w:eastAsia="Times New Roman" w:hAnsi="Arial" w:cs="Arial"/>
          <w:color w:val="660099"/>
          <w:sz w:val="24"/>
          <w:szCs w:val="24"/>
          <w:u w:val="single"/>
          <w:shd w:val="clear" w:color="auto" w:fill="FFFFFF"/>
          <w:lang w:eastAsia="en-GB"/>
        </w:rPr>
        <w:instrText xml:space="preserve"> HYPERLINK "</w:instrText>
      </w:r>
    </w:p>
    <w:p w14:paraId="61AF7C98" w14:textId="77777777" w:rsidR="00CF6D08" w:rsidRPr="00FC5DCE" w:rsidRDefault="00CF6D08" w:rsidP="00CF6D08">
      <w:pPr>
        <w:spacing w:after="0" w:line="240" w:lineRule="auto"/>
        <w:rPr>
          <w:rFonts w:ascii="Times New Roman" w:eastAsia="Times New Roman" w:hAnsi="Times New Roman" w:cs="Times New Roman"/>
          <w:sz w:val="24"/>
          <w:szCs w:val="24"/>
          <w:lang w:eastAsia="en-GB"/>
        </w:rPr>
      </w:pPr>
      <w:r w:rsidRPr="00FC5DCE">
        <w:rPr>
          <w:rFonts w:ascii="Arial" w:eastAsia="Times New Roman" w:hAnsi="Arial" w:cs="Arial"/>
          <w:color w:val="006621"/>
          <w:sz w:val="21"/>
          <w:szCs w:val="21"/>
          <w:u w:val="single"/>
          <w:shd w:val="clear" w:color="auto" w:fill="FFFFFF"/>
          <w:lang w:eastAsia="en-GB"/>
        </w:rPr>
        <w:instrText>https://plato.stanford.edu/entries/aristotle-commentators</w:instrText>
      </w:r>
      <w:r>
        <w:rPr>
          <w:rFonts w:ascii="Arial" w:eastAsia="Times New Roman" w:hAnsi="Arial" w:cs="Arial"/>
          <w:color w:val="006621"/>
          <w:sz w:val="21"/>
          <w:szCs w:val="21"/>
          <w:u w:val="single"/>
          <w:shd w:val="clear" w:color="auto" w:fill="FFFFFF"/>
          <w:lang w:eastAsia="en-GB"/>
        </w:rPr>
        <w:instrText>/</w:instrText>
      </w:r>
    </w:p>
    <w:p w14:paraId="244BB7D9" w14:textId="77777777" w:rsidR="00CF6D08" w:rsidRPr="001A7FD1" w:rsidRDefault="00CF6D08" w:rsidP="00CF6D08">
      <w:pPr>
        <w:spacing w:after="0" w:line="240" w:lineRule="auto"/>
        <w:rPr>
          <w:rStyle w:val="Hyperlink"/>
          <w:rFonts w:ascii="Arial" w:eastAsia="Times New Roman" w:hAnsi="Arial" w:cs="Arial"/>
          <w:sz w:val="24"/>
          <w:szCs w:val="24"/>
          <w:shd w:val="clear" w:color="auto" w:fill="FFFFFF"/>
          <w:lang w:eastAsia="en-GB"/>
        </w:rPr>
      </w:pPr>
      <w:r>
        <w:rPr>
          <w:rFonts w:ascii="Arial" w:eastAsia="Times New Roman" w:hAnsi="Arial" w:cs="Arial"/>
          <w:color w:val="660099"/>
          <w:sz w:val="24"/>
          <w:szCs w:val="24"/>
          <w:u w:val="single"/>
          <w:shd w:val="clear" w:color="auto" w:fill="FFFFFF"/>
          <w:lang w:eastAsia="en-GB"/>
        </w:rPr>
        <w:instrText xml:space="preserve">" </w:instrText>
      </w:r>
      <w:r>
        <w:rPr>
          <w:rFonts w:ascii="Arial" w:eastAsia="Times New Roman" w:hAnsi="Arial" w:cs="Arial"/>
          <w:color w:val="660099"/>
          <w:sz w:val="24"/>
          <w:szCs w:val="24"/>
          <w:u w:val="single"/>
          <w:shd w:val="clear" w:color="auto" w:fill="FFFFFF"/>
          <w:lang w:eastAsia="en-GB"/>
        </w:rPr>
        <w:fldChar w:fldCharType="separate"/>
      </w:r>
    </w:p>
    <w:p w14:paraId="07D8D780" w14:textId="77777777" w:rsidR="00CF6D08" w:rsidRPr="001A7FD1" w:rsidRDefault="00CF6D08" w:rsidP="00CF6D08">
      <w:pPr>
        <w:spacing w:after="0" w:line="240" w:lineRule="auto"/>
        <w:rPr>
          <w:rStyle w:val="Hyperlink"/>
          <w:rFonts w:ascii="Times New Roman" w:eastAsia="Times New Roman" w:hAnsi="Times New Roman"/>
          <w:sz w:val="24"/>
          <w:szCs w:val="24"/>
          <w:lang w:eastAsia="en-GB"/>
        </w:rPr>
      </w:pPr>
      <w:r w:rsidRPr="001A7FD1">
        <w:rPr>
          <w:rStyle w:val="Hyperlink"/>
          <w:rFonts w:ascii="Arial" w:eastAsia="Times New Roman" w:hAnsi="Arial" w:cs="Arial"/>
          <w:sz w:val="21"/>
          <w:szCs w:val="21"/>
          <w:shd w:val="clear" w:color="auto" w:fill="FFFFFF"/>
          <w:lang w:eastAsia="en-GB"/>
        </w:rPr>
        <w:t>https://plato.stanford.edu/entries/aristotle-commentators/</w:t>
      </w:r>
    </w:p>
    <w:p w14:paraId="24D010E9" w14:textId="77777777" w:rsidR="00CF6D08" w:rsidRPr="00FC5DCE" w:rsidRDefault="00CF6D08" w:rsidP="00CF6D08">
      <w:pPr>
        <w:rPr>
          <w:rFonts w:ascii="Arial" w:eastAsia="Times New Roman" w:hAnsi="Arial" w:cs="Arial"/>
          <w:color w:val="660099"/>
          <w:sz w:val="24"/>
          <w:szCs w:val="24"/>
          <w:u w:val="single"/>
          <w:shd w:val="clear" w:color="auto" w:fill="FFFFFF"/>
          <w:lang w:eastAsia="en-GB"/>
        </w:rPr>
      </w:pPr>
      <w:r>
        <w:rPr>
          <w:rFonts w:ascii="Arial" w:eastAsia="Times New Roman" w:hAnsi="Arial" w:cs="Arial"/>
          <w:color w:val="660099"/>
          <w:sz w:val="24"/>
          <w:szCs w:val="24"/>
          <w:u w:val="single"/>
          <w:shd w:val="clear" w:color="auto" w:fill="FFFFFF"/>
          <w:lang w:eastAsia="en-GB"/>
        </w:rPr>
        <w:fldChar w:fldCharType="end"/>
      </w:r>
      <w:r w:rsidRPr="00FC5DCE">
        <w:rPr>
          <w:rFonts w:ascii="Times New Roman" w:eastAsia="Times New Roman" w:hAnsi="Times New Roman" w:cs="Times New Roman"/>
          <w:sz w:val="24"/>
          <w:szCs w:val="24"/>
          <w:lang w:eastAsia="en-GB"/>
        </w:rPr>
        <w:t xml:space="preserve"> </w:t>
      </w:r>
      <w:r w:rsidRPr="00FC5DCE">
        <w:rPr>
          <w:rFonts w:ascii="Times New Roman" w:eastAsia="Times New Roman" w:hAnsi="Times New Roman" w:cs="Times New Roman"/>
          <w:sz w:val="24"/>
          <w:szCs w:val="24"/>
          <w:lang w:eastAsia="en-GB"/>
        </w:rPr>
        <w:fldChar w:fldCharType="begin"/>
      </w:r>
      <w:r w:rsidRPr="00FC5DCE">
        <w:rPr>
          <w:rFonts w:ascii="Times New Roman" w:eastAsia="Times New Roman" w:hAnsi="Times New Roman" w:cs="Times New Roman"/>
          <w:sz w:val="24"/>
          <w:szCs w:val="24"/>
          <w:lang w:eastAsia="en-GB"/>
        </w:rPr>
        <w:instrText xml:space="preserve"> HYPERLINK "https://www.iep.utm.edu/aristotl/" </w:instrText>
      </w:r>
      <w:r w:rsidRPr="00FC5DCE">
        <w:rPr>
          <w:rFonts w:ascii="Times New Roman" w:eastAsia="Times New Roman" w:hAnsi="Times New Roman" w:cs="Times New Roman"/>
          <w:sz w:val="24"/>
          <w:szCs w:val="24"/>
          <w:lang w:eastAsia="en-GB"/>
        </w:rPr>
        <w:fldChar w:fldCharType="separate"/>
      </w:r>
    </w:p>
    <w:p w14:paraId="5D257217" w14:textId="77777777" w:rsidR="00CF6D08" w:rsidRPr="00FC5DCE" w:rsidRDefault="00CF6D08" w:rsidP="00CF6D08">
      <w:pPr>
        <w:spacing w:after="0" w:line="240" w:lineRule="auto"/>
        <w:rPr>
          <w:rFonts w:ascii="Times New Roman" w:eastAsia="Times New Roman" w:hAnsi="Times New Roman" w:cs="Times New Roman"/>
          <w:sz w:val="24"/>
          <w:szCs w:val="24"/>
          <w:lang w:eastAsia="en-GB"/>
        </w:rPr>
      </w:pPr>
      <w:r w:rsidRPr="00FC5DCE">
        <w:rPr>
          <w:rFonts w:ascii="Arial" w:eastAsia="Times New Roman" w:hAnsi="Arial" w:cs="Arial"/>
          <w:color w:val="006621"/>
          <w:sz w:val="21"/>
          <w:szCs w:val="21"/>
          <w:u w:val="single"/>
          <w:shd w:val="clear" w:color="auto" w:fill="FFFFFF"/>
          <w:lang w:eastAsia="en-GB"/>
        </w:rPr>
        <w:t>https://www.iep.utm.edu/aristotl/</w:t>
      </w:r>
    </w:p>
    <w:p w14:paraId="0096C615" w14:textId="77777777" w:rsidR="00CF6D08" w:rsidRPr="00FC5DCE" w:rsidRDefault="00CF6D08" w:rsidP="00CF6D08">
      <w:pPr>
        <w:rPr>
          <w:rFonts w:ascii="Arial" w:eastAsia="Times New Roman" w:hAnsi="Arial" w:cs="Arial"/>
          <w:color w:val="660099"/>
          <w:sz w:val="24"/>
          <w:szCs w:val="24"/>
          <w:u w:val="single"/>
          <w:shd w:val="clear" w:color="auto" w:fill="FFFFFF"/>
          <w:lang w:eastAsia="en-GB"/>
        </w:rPr>
      </w:pPr>
      <w:r w:rsidRPr="00FC5DCE">
        <w:rPr>
          <w:rFonts w:ascii="Times New Roman" w:eastAsia="Times New Roman" w:hAnsi="Times New Roman" w:cs="Times New Roman"/>
          <w:sz w:val="24"/>
          <w:szCs w:val="24"/>
          <w:lang w:eastAsia="en-GB"/>
        </w:rPr>
        <w:fldChar w:fldCharType="end"/>
      </w:r>
      <w:r w:rsidRPr="00FC5DCE">
        <w:rPr>
          <w:rFonts w:ascii="Times New Roman" w:eastAsia="Times New Roman" w:hAnsi="Times New Roman" w:cs="Times New Roman"/>
          <w:sz w:val="24"/>
          <w:szCs w:val="24"/>
          <w:lang w:eastAsia="en-GB"/>
        </w:rPr>
        <w:t xml:space="preserve"> </w:t>
      </w:r>
      <w:r w:rsidRPr="00FC5DCE">
        <w:rPr>
          <w:rFonts w:ascii="Times New Roman" w:eastAsia="Times New Roman" w:hAnsi="Times New Roman" w:cs="Times New Roman"/>
          <w:sz w:val="24"/>
          <w:szCs w:val="24"/>
          <w:lang w:eastAsia="en-GB"/>
        </w:rPr>
        <w:fldChar w:fldCharType="begin"/>
      </w:r>
      <w:r w:rsidRPr="00FC5DCE">
        <w:rPr>
          <w:rFonts w:ascii="Times New Roman" w:eastAsia="Times New Roman" w:hAnsi="Times New Roman" w:cs="Times New Roman"/>
          <w:sz w:val="24"/>
          <w:szCs w:val="24"/>
          <w:lang w:eastAsia="en-GB"/>
        </w:rPr>
        <w:instrText xml:space="preserve"> HYPERLINK "https://www.csus.edu/indiv/e/eppersonm/hist104a/documents/Aristotle%20-%20Selections_PriorAnalytics.pdf" </w:instrText>
      </w:r>
      <w:r w:rsidRPr="00FC5DCE">
        <w:rPr>
          <w:rFonts w:ascii="Times New Roman" w:eastAsia="Times New Roman" w:hAnsi="Times New Roman" w:cs="Times New Roman"/>
          <w:sz w:val="24"/>
          <w:szCs w:val="24"/>
          <w:lang w:eastAsia="en-GB"/>
        </w:rPr>
        <w:fldChar w:fldCharType="separate"/>
      </w:r>
    </w:p>
    <w:p w14:paraId="3339D26C" w14:textId="77777777" w:rsidR="00CF6D08" w:rsidRPr="00FC5DCE" w:rsidRDefault="00CF6D08" w:rsidP="00CF6D08">
      <w:pPr>
        <w:spacing w:after="0" w:line="240" w:lineRule="auto"/>
        <w:rPr>
          <w:rFonts w:ascii="Times New Roman" w:eastAsia="Times New Roman" w:hAnsi="Times New Roman" w:cs="Times New Roman"/>
          <w:sz w:val="24"/>
          <w:szCs w:val="24"/>
          <w:lang w:eastAsia="en-GB"/>
        </w:rPr>
      </w:pPr>
      <w:r w:rsidRPr="00FC5DCE">
        <w:rPr>
          <w:rFonts w:ascii="Arial" w:eastAsia="Times New Roman" w:hAnsi="Arial" w:cs="Arial"/>
          <w:color w:val="006621"/>
          <w:sz w:val="21"/>
          <w:szCs w:val="21"/>
          <w:u w:val="single"/>
          <w:shd w:val="clear" w:color="auto" w:fill="FFFFFF"/>
          <w:lang w:eastAsia="en-GB"/>
        </w:rPr>
        <w:t>https://www.csus.edu/indiv/e/.../Aristotle%20-%20Selections_PriorAnalytics.pdf</w:t>
      </w:r>
    </w:p>
    <w:p w14:paraId="4C4A34F4" w14:textId="77777777" w:rsidR="00CF6D08" w:rsidRPr="00FC5DCE" w:rsidRDefault="00CF6D08" w:rsidP="00CF6D08">
      <w:pPr>
        <w:rPr>
          <w:rFonts w:ascii="Arial" w:eastAsia="Times New Roman" w:hAnsi="Arial" w:cs="Arial"/>
          <w:color w:val="660099"/>
          <w:sz w:val="24"/>
          <w:szCs w:val="24"/>
          <w:u w:val="single"/>
          <w:shd w:val="clear" w:color="auto" w:fill="FFFFFF"/>
          <w:lang w:eastAsia="en-GB"/>
        </w:rPr>
      </w:pPr>
      <w:r w:rsidRPr="00FC5DCE">
        <w:rPr>
          <w:rFonts w:ascii="Times New Roman" w:eastAsia="Times New Roman" w:hAnsi="Times New Roman" w:cs="Times New Roman"/>
          <w:sz w:val="24"/>
          <w:szCs w:val="24"/>
          <w:lang w:eastAsia="en-GB"/>
        </w:rPr>
        <w:fldChar w:fldCharType="end"/>
      </w:r>
      <w:r w:rsidRPr="00FC5DCE">
        <w:rPr>
          <w:rFonts w:ascii="Times New Roman" w:eastAsia="Times New Roman" w:hAnsi="Times New Roman" w:cs="Times New Roman"/>
          <w:sz w:val="24"/>
          <w:szCs w:val="24"/>
          <w:lang w:eastAsia="en-GB"/>
        </w:rPr>
        <w:t xml:space="preserve"> </w:t>
      </w:r>
      <w:r w:rsidRPr="00FC5DCE">
        <w:rPr>
          <w:rFonts w:ascii="Times New Roman" w:eastAsia="Times New Roman" w:hAnsi="Times New Roman" w:cs="Times New Roman"/>
          <w:sz w:val="24"/>
          <w:szCs w:val="24"/>
          <w:lang w:eastAsia="en-GB"/>
        </w:rPr>
        <w:fldChar w:fldCharType="begin"/>
      </w:r>
      <w:r w:rsidRPr="00FC5DCE">
        <w:rPr>
          <w:rFonts w:ascii="Times New Roman" w:eastAsia="Times New Roman" w:hAnsi="Times New Roman" w:cs="Times New Roman"/>
          <w:sz w:val="24"/>
          <w:szCs w:val="24"/>
          <w:lang w:eastAsia="en-GB"/>
        </w:rPr>
        <w:instrText xml:space="preserve"> HYPERLINK "http://classics.mit.edu/Aristotle/prior.html" </w:instrText>
      </w:r>
      <w:r w:rsidRPr="00FC5DCE">
        <w:rPr>
          <w:rFonts w:ascii="Times New Roman" w:eastAsia="Times New Roman" w:hAnsi="Times New Roman" w:cs="Times New Roman"/>
          <w:sz w:val="24"/>
          <w:szCs w:val="24"/>
          <w:lang w:eastAsia="en-GB"/>
        </w:rPr>
        <w:fldChar w:fldCharType="separate"/>
      </w:r>
    </w:p>
    <w:p w14:paraId="55DE5110" w14:textId="77777777" w:rsidR="00CF6D08" w:rsidRPr="00FC5DCE" w:rsidRDefault="00CF6D08" w:rsidP="00CF6D08">
      <w:pPr>
        <w:spacing w:after="0" w:line="240" w:lineRule="auto"/>
        <w:rPr>
          <w:rFonts w:ascii="Times New Roman" w:eastAsia="Times New Roman" w:hAnsi="Times New Roman" w:cs="Times New Roman"/>
          <w:sz w:val="24"/>
          <w:szCs w:val="24"/>
          <w:lang w:eastAsia="en-GB"/>
        </w:rPr>
      </w:pPr>
      <w:r w:rsidRPr="00FC5DCE">
        <w:rPr>
          <w:rFonts w:ascii="Arial" w:eastAsia="Times New Roman" w:hAnsi="Arial" w:cs="Arial"/>
          <w:color w:val="006621"/>
          <w:sz w:val="21"/>
          <w:szCs w:val="21"/>
          <w:u w:val="single"/>
          <w:shd w:val="clear" w:color="auto" w:fill="FFFFFF"/>
          <w:lang w:eastAsia="en-GB"/>
        </w:rPr>
        <w:t>classics.mit.edu/Aristotle/prior.htm</w:t>
      </w:r>
    </w:p>
    <w:p w14:paraId="4CD8C1DB" w14:textId="77777777" w:rsidR="00CF6D08" w:rsidRDefault="00CF6D08" w:rsidP="00CF6D08">
      <w:pPr>
        <w:pStyle w:val="EndnoteText"/>
      </w:pPr>
      <w:r w:rsidRPr="00FC5DCE">
        <w:rPr>
          <w:rFonts w:ascii="Times New Roman" w:eastAsia="Times New Roman" w:hAnsi="Times New Roman" w:cs="Times New Roman"/>
          <w:sz w:val="24"/>
          <w:szCs w:val="24"/>
          <w:lang w:eastAsia="en-GB"/>
        </w:rPr>
        <w:fldChar w:fldCharType="end"/>
      </w:r>
    </w:p>
  </w:endnote>
  <w:endnote w:id="4">
    <w:p w14:paraId="3291CFBE" w14:textId="77777777" w:rsidR="00CF6D08" w:rsidRDefault="00CF6D08" w:rsidP="00CF6D08">
      <w:pPr>
        <w:pStyle w:val="EndnoteText"/>
      </w:pPr>
      <w:r>
        <w:rPr>
          <w:rStyle w:val="EndnoteReference"/>
        </w:rPr>
        <w:endnoteRef/>
      </w:r>
      <w:r>
        <w:t xml:space="preserve"> A prevalent contention existed from the ancient-world philosophies of Aristotle and Plato on the nature of acquisition, if any, of empirical, sensory experienced knowledge.</w:t>
      </w:r>
    </w:p>
    <w:p w14:paraId="1EDB760E" w14:textId="77777777" w:rsidR="00CF6D08" w:rsidRPr="00CC6B76" w:rsidRDefault="00CF6D08" w:rsidP="00CF6D08">
      <w:pPr>
        <w:spacing w:after="0" w:line="240" w:lineRule="auto"/>
        <w:rPr>
          <w:rFonts w:ascii="Arial" w:eastAsia="Times New Roman" w:hAnsi="Arial" w:cs="Arial"/>
          <w:color w:val="660099"/>
          <w:sz w:val="24"/>
          <w:szCs w:val="24"/>
          <w:u w:val="single"/>
          <w:shd w:val="clear" w:color="auto" w:fill="FFFFFF"/>
          <w:lang w:eastAsia="en-GB"/>
        </w:rPr>
      </w:pPr>
      <w:r w:rsidRPr="00CC6B76">
        <w:rPr>
          <w:rFonts w:ascii="Times New Roman" w:eastAsia="Times New Roman" w:hAnsi="Times New Roman" w:cs="Times New Roman"/>
          <w:sz w:val="24"/>
          <w:szCs w:val="24"/>
          <w:lang w:eastAsia="en-GB"/>
        </w:rPr>
        <w:fldChar w:fldCharType="begin"/>
      </w:r>
      <w:r w:rsidRPr="00CC6B76">
        <w:rPr>
          <w:rFonts w:ascii="Times New Roman" w:eastAsia="Times New Roman" w:hAnsi="Times New Roman" w:cs="Times New Roman"/>
          <w:sz w:val="24"/>
          <w:szCs w:val="24"/>
          <w:lang w:eastAsia="en-GB"/>
        </w:rPr>
        <w:instrText xml:space="preserve"> HYPERLINK "https://plato.stanford.edu/entries/form-matter/" </w:instrText>
      </w:r>
      <w:r w:rsidRPr="00CC6B76">
        <w:rPr>
          <w:rFonts w:ascii="Times New Roman" w:eastAsia="Times New Roman" w:hAnsi="Times New Roman" w:cs="Times New Roman"/>
          <w:sz w:val="24"/>
          <w:szCs w:val="24"/>
          <w:lang w:eastAsia="en-GB"/>
        </w:rPr>
        <w:fldChar w:fldCharType="separate"/>
      </w:r>
    </w:p>
    <w:p w14:paraId="644CBC3E" w14:textId="77777777" w:rsidR="00CF6D08" w:rsidRPr="00CC6B76" w:rsidRDefault="00CF6D08" w:rsidP="00CF6D08">
      <w:pPr>
        <w:spacing w:after="0" w:line="240" w:lineRule="auto"/>
        <w:rPr>
          <w:rFonts w:ascii="Times New Roman" w:eastAsia="Times New Roman" w:hAnsi="Times New Roman" w:cs="Times New Roman"/>
          <w:sz w:val="24"/>
          <w:szCs w:val="24"/>
          <w:lang w:eastAsia="en-GB"/>
        </w:rPr>
      </w:pPr>
      <w:r w:rsidRPr="00CC6B76">
        <w:rPr>
          <w:rFonts w:ascii="Arial" w:eastAsia="Times New Roman" w:hAnsi="Arial" w:cs="Arial"/>
          <w:color w:val="006621"/>
          <w:sz w:val="21"/>
          <w:szCs w:val="21"/>
          <w:u w:val="single"/>
          <w:shd w:val="clear" w:color="auto" w:fill="FFFFFF"/>
          <w:lang w:eastAsia="en-GB"/>
        </w:rPr>
        <w:t>https://plato.stanford.edu/entries/form-matter/</w:t>
      </w:r>
    </w:p>
    <w:p w14:paraId="6EDE8976" w14:textId="77777777" w:rsidR="00CF6D08" w:rsidRPr="00CC6B76" w:rsidRDefault="00CF6D08" w:rsidP="00CF6D08">
      <w:pPr>
        <w:rPr>
          <w:rFonts w:ascii="Arial" w:eastAsia="Times New Roman" w:hAnsi="Arial" w:cs="Arial"/>
          <w:color w:val="660099"/>
          <w:sz w:val="24"/>
          <w:szCs w:val="24"/>
          <w:u w:val="single"/>
          <w:shd w:val="clear" w:color="auto" w:fill="FFFFFF"/>
          <w:lang w:eastAsia="en-GB"/>
        </w:rPr>
      </w:pPr>
      <w:r w:rsidRPr="00CC6B76">
        <w:rPr>
          <w:rFonts w:ascii="Times New Roman" w:eastAsia="Times New Roman" w:hAnsi="Times New Roman" w:cs="Times New Roman"/>
          <w:sz w:val="24"/>
          <w:szCs w:val="24"/>
          <w:lang w:eastAsia="en-GB"/>
        </w:rPr>
        <w:fldChar w:fldCharType="end"/>
      </w:r>
      <w:r w:rsidRPr="00CC6B76">
        <w:rPr>
          <w:rFonts w:ascii="Times New Roman" w:eastAsia="Times New Roman" w:hAnsi="Times New Roman" w:cs="Times New Roman"/>
          <w:sz w:val="24"/>
          <w:szCs w:val="24"/>
          <w:lang w:eastAsia="en-GB"/>
        </w:rPr>
        <w:t xml:space="preserve"> </w:t>
      </w:r>
      <w:r w:rsidRPr="00CC6B76">
        <w:rPr>
          <w:rFonts w:ascii="Times New Roman" w:eastAsia="Times New Roman" w:hAnsi="Times New Roman" w:cs="Times New Roman"/>
          <w:sz w:val="24"/>
          <w:szCs w:val="24"/>
          <w:lang w:eastAsia="en-GB"/>
        </w:rPr>
        <w:fldChar w:fldCharType="begin"/>
      </w:r>
      <w:r w:rsidRPr="00CC6B76">
        <w:rPr>
          <w:rFonts w:ascii="Times New Roman" w:eastAsia="Times New Roman" w:hAnsi="Times New Roman" w:cs="Times New Roman"/>
          <w:sz w:val="24"/>
          <w:szCs w:val="24"/>
          <w:lang w:eastAsia="en-GB"/>
        </w:rPr>
        <w:instrText xml:space="preserve"> HYPERLINK "https://www.iep.utm.edu/aristotl/" </w:instrText>
      </w:r>
      <w:r w:rsidRPr="00CC6B76">
        <w:rPr>
          <w:rFonts w:ascii="Times New Roman" w:eastAsia="Times New Roman" w:hAnsi="Times New Roman" w:cs="Times New Roman"/>
          <w:sz w:val="24"/>
          <w:szCs w:val="24"/>
          <w:lang w:eastAsia="en-GB"/>
        </w:rPr>
        <w:fldChar w:fldCharType="separate"/>
      </w:r>
    </w:p>
    <w:p w14:paraId="6A4C6621" w14:textId="77777777" w:rsidR="00CF6D08" w:rsidRPr="00CC6B76" w:rsidRDefault="00CF6D08" w:rsidP="00CF6D08">
      <w:pPr>
        <w:spacing w:after="0" w:line="240" w:lineRule="auto"/>
        <w:rPr>
          <w:rFonts w:ascii="Times New Roman" w:eastAsia="Times New Roman" w:hAnsi="Times New Roman" w:cs="Times New Roman"/>
          <w:sz w:val="24"/>
          <w:szCs w:val="24"/>
          <w:lang w:eastAsia="en-GB"/>
        </w:rPr>
      </w:pPr>
      <w:r w:rsidRPr="00CC6B76">
        <w:rPr>
          <w:rFonts w:ascii="Arial" w:eastAsia="Times New Roman" w:hAnsi="Arial" w:cs="Arial"/>
          <w:color w:val="006621"/>
          <w:sz w:val="21"/>
          <w:szCs w:val="21"/>
          <w:u w:val="single"/>
          <w:shd w:val="clear" w:color="auto" w:fill="FFFFFF"/>
          <w:lang w:eastAsia="en-GB"/>
        </w:rPr>
        <w:t>https://www.iep.utm.edu/aristotl/</w:t>
      </w:r>
    </w:p>
    <w:p w14:paraId="0FF70058" w14:textId="77777777" w:rsidR="00CF6D08" w:rsidRPr="00CC6B76" w:rsidRDefault="00CF6D08" w:rsidP="00CF6D08">
      <w:pPr>
        <w:rPr>
          <w:rFonts w:ascii="Arial" w:eastAsia="Times New Roman" w:hAnsi="Arial" w:cs="Arial"/>
          <w:color w:val="660099"/>
          <w:sz w:val="24"/>
          <w:szCs w:val="24"/>
          <w:u w:val="single"/>
          <w:shd w:val="clear" w:color="auto" w:fill="FFFFFF"/>
          <w:lang w:eastAsia="en-GB"/>
        </w:rPr>
      </w:pPr>
      <w:r w:rsidRPr="00CC6B76">
        <w:rPr>
          <w:rFonts w:ascii="Times New Roman" w:eastAsia="Times New Roman" w:hAnsi="Times New Roman" w:cs="Times New Roman"/>
          <w:sz w:val="24"/>
          <w:szCs w:val="24"/>
          <w:lang w:eastAsia="en-GB"/>
        </w:rPr>
        <w:fldChar w:fldCharType="end"/>
      </w:r>
      <w:r w:rsidRPr="00CC6B76">
        <w:rPr>
          <w:rFonts w:ascii="Times New Roman" w:eastAsia="Times New Roman" w:hAnsi="Times New Roman" w:cs="Times New Roman"/>
          <w:sz w:val="24"/>
          <w:szCs w:val="24"/>
          <w:lang w:eastAsia="en-GB"/>
        </w:rPr>
        <w:t xml:space="preserve"> </w:t>
      </w:r>
      <w:r w:rsidRPr="00CC6B76">
        <w:rPr>
          <w:rFonts w:ascii="Times New Roman" w:eastAsia="Times New Roman" w:hAnsi="Times New Roman" w:cs="Times New Roman"/>
          <w:sz w:val="24"/>
          <w:szCs w:val="24"/>
          <w:lang w:eastAsia="en-GB"/>
        </w:rPr>
        <w:fldChar w:fldCharType="begin"/>
      </w:r>
      <w:r w:rsidRPr="00CC6B76">
        <w:rPr>
          <w:rFonts w:ascii="Times New Roman" w:eastAsia="Times New Roman" w:hAnsi="Times New Roman" w:cs="Times New Roman"/>
          <w:sz w:val="24"/>
          <w:szCs w:val="24"/>
          <w:lang w:eastAsia="en-GB"/>
        </w:rPr>
        <w:instrText xml:space="preserve"> HYPERLINK "https://plato.stanford.edu/entries/plato-metaphysics/" </w:instrText>
      </w:r>
      <w:r w:rsidRPr="00CC6B76">
        <w:rPr>
          <w:rFonts w:ascii="Times New Roman" w:eastAsia="Times New Roman" w:hAnsi="Times New Roman" w:cs="Times New Roman"/>
          <w:sz w:val="24"/>
          <w:szCs w:val="24"/>
          <w:lang w:eastAsia="en-GB"/>
        </w:rPr>
        <w:fldChar w:fldCharType="separate"/>
      </w:r>
    </w:p>
    <w:p w14:paraId="11D4E938" w14:textId="77777777" w:rsidR="00CF6D08" w:rsidRPr="00CC6B76" w:rsidRDefault="00CF6D08" w:rsidP="00CF6D08">
      <w:pPr>
        <w:spacing w:after="0" w:line="240" w:lineRule="auto"/>
        <w:rPr>
          <w:rFonts w:ascii="Times New Roman" w:eastAsia="Times New Roman" w:hAnsi="Times New Roman" w:cs="Times New Roman"/>
          <w:sz w:val="24"/>
          <w:szCs w:val="24"/>
          <w:lang w:eastAsia="en-GB"/>
        </w:rPr>
      </w:pPr>
      <w:r w:rsidRPr="00CC6B76">
        <w:rPr>
          <w:rFonts w:ascii="Arial" w:eastAsia="Times New Roman" w:hAnsi="Arial" w:cs="Arial"/>
          <w:color w:val="006621"/>
          <w:sz w:val="21"/>
          <w:szCs w:val="21"/>
          <w:u w:val="single"/>
          <w:shd w:val="clear" w:color="auto" w:fill="FFFFFF"/>
          <w:lang w:eastAsia="en-GB"/>
        </w:rPr>
        <w:t>https://plato.stanford.edu/entries/plato-metaphysics/</w:t>
      </w:r>
    </w:p>
    <w:p w14:paraId="3003B421" w14:textId="77777777" w:rsidR="00CF6D08" w:rsidRDefault="00CF6D08" w:rsidP="00CF6D08">
      <w:pPr>
        <w:pStyle w:val="EndnoteText"/>
      </w:pPr>
      <w:r w:rsidRPr="00CC6B76">
        <w:rPr>
          <w:rFonts w:ascii="Times New Roman" w:eastAsia="Times New Roman" w:hAnsi="Times New Roman" w:cs="Times New Roman"/>
          <w:sz w:val="24"/>
          <w:szCs w:val="24"/>
          <w:lang w:eastAsia="en-GB"/>
        </w:rPr>
        <w:fldChar w:fldCharType="end"/>
      </w:r>
    </w:p>
  </w:endnote>
  <w:endnote w:id="5">
    <w:p w14:paraId="192224F7" w14:textId="77777777" w:rsidR="00CF6D08" w:rsidRDefault="00CF6D08" w:rsidP="00CF6D08">
      <w:pPr>
        <w:pStyle w:val="EndnoteText"/>
      </w:pPr>
      <w:r>
        <w:rPr>
          <w:rStyle w:val="EndnoteReference"/>
        </w:rPr>
        <w:endnoteRef/>
      </w:r>
      <w:r>
        <w:t xml:space="preserve"> </w:t>
      </w:r>
      <w:r>
        <w:rPr>
          <w:rFonts w:cstheme="minorHAnsi"/>
          <w:color w:val="545454"/>
          <w:sz w:val="22"/>
          <w:szCs w:val="22"/>
          <w:shd w:val="clear" w:color="auto" w:fill="FFFFFF"/>
        </w:rPr>
        <w:t xml:space="preserve">The term </w:t>
      </w:r>
      <w:r w:rsidRPr="00CC6B76">
        <w:rPr>
          <w:rFonts w:cstheme="minorHAnsi"/>
          <w:b/>
          <w:bCs/>
          <w:color w:val="6A6A6A"/>
          <w:sz w:val="22"/>
          <w:szCs w:val="22"/>
          <w:shd w:val="clear" w:color="auto" w:fill="FFFFFF"/>
        </w:rPr>
        <w:t>Creed</w:t>
      </w:r>
      <w:r w:rsidRPr="00CC6B76">
        <w:rPr>
          <w:rFonts w:cstheme="minorHAnsi"/>
          <w:color w:val="545454"/>
          <w:sz w:val="22"/>
          <w:szCs w:val="22"/>
          <w:shd w:val="clear" w:color="auto" w:fill="FFFFFF"/>
        </w:rPr>
        <w:t xml:space="preserve"> is </w:t>
      </w:r>
      <w:r>
        <w:rPr>
          <w:rFonts w:cstheme="minorHAnsi"/>
          <w:color w:val="545454"/>
          <w:sz w:val="22"/>
          <w:szCs w:val="22"/>
          <w:shd w:val="clear" w:color="auto" w:fill="FFFFFF"/>
        </w:rPr>
        <w:t xml:space="preserve">a derivative of </w:t>
      </w:r>
      <w:r w:rsidRPr="00CC6B76">
        <w:rPr>
          <w:rFonts w:cstheme="minorHAnsi"/>
          <w:color w:val="545454"/>
          <w:sz w:val="22"/>
          <w:szCs w:val="22"/>
          <w:shd w:val="clear" w:color="auto" w:fill="FFFFFF"/>
        </w:rPr>
        <w:t>the Latin</w:t>
      </w:r>
      <w:r>
        <w:rPr>
          <w:rFonts w:cstheme="minorHAnsi"/>
          <w:color w:val="545454"/>
          <w:sz w:val="22"/>
          <w:szCs w:val="22"/>
          <w:shd w:val="clear" w:color="auto" w:fill="FFFFFF"/>
        </w:rPr>
        <w:t xml:space="preserve"> word credo, meaning I believe</w:t>
      </w:r>
      <w:r w:rsidRPr="00CC6B76">
        <w:rPr>
          <w:rFonts w:cstheme="minorHAnsi"/>
          <w:color w:val="545454"/>
          <w:sz w:val="22"/>
          <w:szCs w:val="22"/>
          <w:shd w:val="clear" w:color="auto" w:fill="FFFFFF"/>
        </w:rPr>
        <w:t xml:space="preserve">. </w:t>
      </w:r>
      <w:r>
        <w:rPr>
          <w:rFonts w:cstheme="minorHAnsi"/>
          <w:color w:val="545454"/>
          <w:sz w:val="22"/>
          <w:szCs w:val="22"/>
          <w:shd w:val="clear" w:color="auto" w:fill="FFFFFF"/>
        </w:rPr>
        <w:t>T</w:t>
      </w:r>
      <w:r w:rsidRPr="00CC6B76">
        <w:rPr>
          <w:rFonts w:cstheme="minorHAnsi"/>
          <w:color w:val="545454"/>
          <w:sz w:val="22"/>
          <w:szCs w:val="22"/>
          <w:shd w:val="clear" w:color="auto" w:fill="FFFFFF"/>
        </w:rPr>
        <w:t>herefore</w:t>
      </w:r>
      <w:r>
        <w:rPr>
          <w:rFonts w:cstheme="minorHAnsi"/>
          <w:color w:val="545454"/>
          <w:sz w:val="22"/>
          <w:szCs w:val="22"/>
          <w:shd w:val="clear" w:color="auto" w:fill="FFFFFF"/>
        </w:rPr>
        <w:t>,</w:t>
      </w:r>
      <w:r w:rsidRPr="00CC6B76">
        <w:rPr>
          <w:rFonts w:cstheme="minorHAnsi"/>
          <w:color w:val="545454"/>
          <w:sz w:val="22"/>
          <w:szCs w:val="22"/>
          <w:shd w:val="clear" w:color="auto" w:fill="FFFFFF"/>
        </w:rPr>
        <w:t xml:space="preserve"> </w:t>
      </w:r>
      <w:proofErr w:type="gramStart"/>
      <w:r>
        <w:rPr>
          <w:rFonts w:cstheme="minorHAnsi"/>
          <w:color w:val="545454"/>
          <w:sz w:val="22"/>
          <w:szCs w:val="22"/>
          <w:shd w:val="clear" w:color="auto" w:fill="FFFFFF"/>
        </w:rPr>
        <w:t>They</w:t>
      </w:r>
      <w:proofErr w:type="gramEnd"/>
      <w:r>
        <w:rPr>
          <w:rFonts w:cstheme="minorHAnsi"/>
          <w:color w:val="545454"/>
          <w:sz w:val="22"/>
          <w:szCs w:val="22"/>
          <w:shd w:val="clear" w:color="auto" w:fill="FFFFFF"/>
        </w:rPr>
        <w:t xml:space="preserve"> </w:t>
      </w:r>
      <w:r w:rsidRPr="00CC6B76">
        <w:rPr>
          <w:rFonts w:cstheme="minorHAnsi"/>
          <w:color w:val="545454"/>
          <w:sz w:val="22"/>
          <w:szCs w:val="22"/>
          <w:shd w:val="clear" w:color="auto" w:fill="FFFFFF"/>
        </w:rPr>
        <w:t>are summaries of belief.</w:t>
      </w:r>
      <w:r w:rsidRPr="00CC6B76">
        <w:rPr>
          <w:rFonts w:ascii="Arial" w:hAnsi="Arial" w:cs="Arial"/>
          <w:color w:val="545454"/>
          <w:sz w:val="22"/>
          <w:szCs w:val="22"/>
          <w:shd w:val="clear" w:color="auto" w:fill="FFFFFF"/>
        </w:rPr>
        <w:t> </w:t>
      </w:r>
    </w:p>
    <w:p w14:paraId="4DF0DC70" w14:textId="77777777" w:rsidR="00CF6D08" w:rsidRDefault="00CF6D08" w:rsidP="00CF6D08">
      <w:pPr>
        <w:pStyle w:val="EndnoteText"/>
      </w:pPr>
      <w:r>
        <w:t xml:space="preserve"> </w:t>
      </w:r>
    </w:p>
    <w:tbl>
      <w:tblPr>
        <w:tblW w:w="4562" w:type="dxa"/>
        <w:shd w:val="clear" w:color="auto" w:fill="FFFFFF"/>
        <w:tblCellMar>
          <w:top w:w="15" w:type="dxa"/>
          <w:left w:w="15" w:type="dxa"/>
          <w:bottom w:w="15" w:type="dxa"/>
          <w:right w:w="15" w:type="dxa"/>
        </w:tblCellMar>
        <w:tblLook w:val="04A0" w:firstRow="1" w:lastRow="0" w:firstColumn="1" w:lastColumn="0" w:noHBand="0" w:noVBand="1"/>
      </w:tblPr>
      <w:tblGrid>
        <w:gridCol w:w="3528"/>
        <w:gridCol w:w="1034"/>
      </w:tblGrid>
      <w:tr w:rsidR="00CF6D08" w:rsidRPr="00CC6B76" w14:paraId="69E1AA45" w14:textId="77777777" w:rsidTr="00CC6B76">
        <w:trPr>
          <w:trHeight w:val="390"/>
        </w:trPr>
        <w:tc>
          <w:tcPr>
            <w:tcW w:w="0" w:type="auto"/>
            <w:shd w:val="clear" w:color="auto" w:fill="FFFFFF"/>
            <w:tcMar>
              <w:top w:w="0" w:type="dxa"/>
              <w:left w:w="0" w:type="dxa"/>
              <w:bottom w:w="0" w:type="dxa"/>
              <w:right w:w="150" w:type="dxa"/>
            </w:tcMar>
            <w:vAlign w:val="center"/>
            <w:hideMark/>
          </w:tcPr>
          <w:p w14:paraId="2C45A42F" w14:textId="77777777" w:rsidR="00CF6D08" w:rsidRPr="00CC6B76" w:rsidRDefault="00CF6D08" w:rsidP="00CC6B76">
            <w:pPr>
              <w:spacing w:after="0" w:line="240" w:lineRule="auto"/>
              <w:rPr>
                <w:rFonts w:eastAsia="Times New Roman" w:cstheme="minorHAnsi"/>
                <w:color w:val="222222"/>
                <w:lang w:eastAsia="en-GB"/>
              </w:rPr>
            </w:pPr>
            <w:r w:rsidRPr="00CC6B76">
              <w:rPr>
                <w:rFonts w:eastAsia="Times New Roman" w:cstheme="minorHAnsi"/>
                <w:color w:val="222222"/>
                <w:lang w:eastAsia="en-GB"/>
              </w:rPr>
              <w:t>Apostles' </w:t>
            </w:r>
            <w:r w:rsidRPr="00CC6B76">
              <w:rPr>
                <w:rFonts w:eastAsia="Times New Roman" w:cstheme="minorHAnsi"/>
                <w:bCs/>
                <w:color w:val="222222"/>
                <w:lang w:eastAsia="en-GB"/>
              </w:rPr>
              <w:t>Creed</w:t>
            </w:r>
          </w:p>
        </w:tc>
        <w:tc>
          <w:tcPr>
            <w:tcW w:w="0" w:type="auto"/>
            <w:shd w:val="clear" w:color="auto" w:fill="FFFFFF"/>
            <w:tcMar>
              <w:top w:w="0" w:type="dxa"/>
              <w:left w:w="150" w:type="dxa"/>
              <w:bottom w:w="0" w:type="dxa"/>
              <w:right w:w="150" w:type="dxa"/>
            </w:tcMar>
            <w:vAlign w:val="center"/>
            <w:hideMark/>
          </w:tcPr>
          <w:p w14:paraId="06B85D58" w14:textId="77777777" w:rsidR="00CF6D08" w:rsidRPr="00CC6B76" w:rsidRDefault="00CF6D08" w:rsidP="00CC6B76">
            <w:pPr>
              <w:spacing w:after="0" w:line="240" w:lineRule="auto"/>
              <w:rPr>
                <w:rFonts w:eastAsia="Times New Roman" w:cstheme="minorHAnsi"/>
                <w:color w:val="222222"/>
                <w:lang w:eastAsia="en-GB"/>
              </w:rPr>
            </w:pPr>
            <w:r w:rsidRPr="00CC6B76">
              <w:rPr>
                <w:rFonts w:eastAsia="Times New Roman" w:cstheme="minorHAnsi"/>
                <w:color w:val="222222"/>
                <w:lang w:eastAsia="en-GB"/>
              </w:rPr>
              <w:t>120-250</w:t>
            </w:r>
            <w:r>
              <w:rPr>
                <w:rFonts w:eastAsia="Times New Roman" w:cstheme="minorHAnsi"/>
                <w:color w:val="222222"/>
                <w:lang w:eastAsia="en-GB"/>
              </w:rPr>
              <w:t xml:space="preserve"> AD </w:t>
            </w:r>
          </w:p>
        </w:tc>
      </w:tr>
      <w:tr w:rsidR="00CF6D08" w:rsidRPr="00CC6B76" w14:paraId="509F93F2" w14:textId="77777777" w:rsidTr="00CC6B76">
        <w:trPr>
          <w:trHeight w:val="390"/>
        </w:trPr>
        <w:tc>
          <w:tcPr>
            <w:tcW w:w="0" w:type="auto"/>
            <w:shd w:val="clear" w:color="auto" w:fill="FFFFFF"/>
            <w:tcMar>
              <w:top w:w="0" w:type="dxa"/>
              <w:left w:w="0" w:type="dxa"/>
              <w:bottom w:w="0" w:type="dxa"/>
              <w:right w:w="150" w:type="dxa"/>
            </w:tcMar>
            <w:vAlign w:val="center"/>
            <w:hideMark/>
          </w:tcPr>
          <w:p w14:paraId="114E06D7" w14:textId="77777777" w:rsidR="00CF6D08" w:rsidRPr="00CC6B76" w:rsidRDefault="00CF6D08" w:rsidP="00CC6B76">
            <w:pPr>
              <w:spacing w:after="0" w:line="240" w:lineRule="auto"/>
              <w:rPr>
                <w:rFonts w:eastAsia="Times New Roman" w:cstheme="minorHAnsi"/>
                <w:color w:val="222222"/>
                <w:lang w:eastAsia="en-GB"/>
              </w:rPr>
            </w:pPr>
            <w:r w:rsidRPr="00CC6B76">
              <w:rPr>
                <w:rFonts w:eastAsia="Times New Roman" w:cstheme="minorHAnsi"/>
                <w:bCs/>
                <w:color w:val="222222"/>
                <w:lang w:eastAsia="en-GB"/>
              </w:rPr>
              <w:t>Creed</w:t>
            </w:r>
            <w:r w:rsidRPr="00CC6B76">
              <w:rPr>
                <w:rFonts w:eastAsia="Times New Roman" w:cstheme="minorHAnsi"/>
                <w:color w:val="222222"/>
                <w:lang w:eastAsia="en-GB"/>
              </w:rPr>
              <w:t> of Nicaea</w:t>
            </w:r>
          </w:p>
        </w:tc>
        <w:tc>
          <w:tcPr>
            <w:tcW w:w="0" w:type="auto"/>
            <w:shd w:val="clear" w:color="auto" w:fill="FFFFFF"/>
            <w:tcMar>
              <w:top w:w="0" w:type="dxa"/>
              <w:left w:w="150" w:type="dxa"/>
              <w:bottom w:w="0" w:type="dxa"/>
              <w:right w:w="150" w:type="dxa"/>
            </w:tcMar>
            <w:vAlign w:val="center"/>
            <w:hideMark/>
          </w:tcPr>
          <w:p w14:paraId="79691D8D" w14:textId="77777777" w:rsidR="00CF6D08" w:rsidRPr="00CC6B76" w:rsidRDefault="00CF6D08" w:rsidP="00CC6B76">
            <w:pPr>
              <w:spacing w:after="0" w:line="240" w:lineRule="auto"/>
              <w:rPr>
                <w:rFonts w:eastAsia="Times New Roman" w:cstheme="minorHAnsi"/>
                <w:color w:val="222222"/>
                <w:lang w:eastAsia="en-GB"/>
              </w:rPr>
            </w:pPr>
            <w:r w:rsidRPr="00CC6B76">
              <w:rPr>
                <w:rFonts w:eastAsia="Times New Roman" w:cstheme="minorHAnsi"/>
                <w:color w:val="222222"/>
                <w:lang w:eastAsia="en-GB"/>
              </w:rPr>
              <w:t>325</w:t>
            </w:r>
            <w:r>
              <w:rPr>
                <w:rFonts w:eastAsia="Times New Roman" w:cstheme="minorHAnsi"/>
                <w:color w:val="222222"/>
                <w:lang w:eastAsia="en-GB"/>
              </w:rPr>
              <w:t xml:space="preserve"> AD</w:t>
            </w:r>
          </w:p>
        </w:tc>
      </w:tr>
      <w:tr w:rsidR="00CF6D08" w:rsidRPr="00CC6B76" w14:paraId="4B2024CA" w14:textId="77777777" w:rsidTr="00CC6B76">
        <w:trPr>
          <w:trHeight w:val="390"/>
        </w:trPr>
        <w:tc>
          <w:tcPr>
            <w:tcW w:w="0" w:type="auto"/>
            <w:shd w:val="clear" w:color="auto" w:fill="FFFFFF"/>
            <w:tcMar>
              <w:top w:w="0" w:type="dxa"/>
              <w:left w:w="0" w:type="dxa"/>
              <w:bottom w:w="0" w:type="dxa"/>
              <w:right w:w="150" w:type="dxa"/>
            </w:tcMar>
            <w:vAlign w:val="center"/>
            <w:hideMark/>
          </w:tcPr>
          <w:p w14:paraId="14FB9025" w14:textId="77777777" w:rsidR="00CF6D08" w:rsidRPr="00CC6B76" w:rsidRDefault="00CF6D08" w:rsidP="00CC6B76">
            <w:pPr>
              <w:spacing w:after="0" w:line="240" w:lineRule="auto"/>
              <w:rPr>
                <w:rFonts w:eastAsia="Times New Roman" w:cstheme="minorHAnsi"/>
                <w:color w:val="222222"/>
                <w:lang w:eastAsia="en-GB"/>
              </w:rPr>
            </w:pPr>
            <w:r w:rsidRPr="00CC6B76">
              <w:rPr>
                <w:rFonts w:eastAsia="Times New Roman" w:cstheme="minorHAnsi"/>
                <w:color w:val="222222"/>
                <w:lang w:eastAsia="en-GB"/>
              </w:rPr>
              <w:t>Nicene </w:t>
            </w:r>
            <w:r w:rsidRPr="00CC6B76">
              <w:rPr>
                <w:rFonts w:eastAsia="Times New Roman" w:cstheme="minorHAnsi"/>
                <w:bCs/>
                <w:color w:val="222222"/>
                <w:lang w:eastAsia="en-GB"/>
              </w:rPr>
              <w:t>Creed</w:t>
            </w:r>
            <w:r w:rsidRPr="00CC6B76">
              <w:rPr>
                <w:rFonts w:eastAsia="Times New Roman" w:cstheme="minorHAnsi"/>
                <w:color w:val="222222"/>
                <w:lang w:eastAsia="en-GB"/>
              </w:rPr>
              <w:t> (Nicaea-Constantinopolitan </w:t>
            </w:r>
            <w:r w:rsidRPr="00CC6B76">
              <w:rPr>
                <w:rFonts w:eastAsia="Times New Roman" w:cstheme="minorHAnsi"/>
                <w:bCs/>
                <w:color w:val="222222"/>
                <w:lang w:eastAsia="en-GB"/>
              </w:rPr>
              <w:t>Creed</w:t>
            </w:r>
            <w:r w:rsidRPr="00CC6B76">
              <w:rPr>
                <w:rFonts w:eastAsia="Times New Roman" w:cstheme="minorHAnsi"/>
                <w:color w:val="222222"/>
                <w:lang w:eastAsia="en-GB"/>
              </w:rPr>
              <w:t>)</w:t>
            </w:r>
          </w:p>
        </w:tc>
        <w:tc>
          <w:tcPr>
            <w:tcW w:w="0" w:type="auto"/>
            <w:shd w:val="clear" w:color="auto" w:fill="FFFFFF"/>
            <w:tcMar>
              <w:top w:w="0" w:type="dxa"/>
              <w:left w:w="150" w:type="dxa"/>
              <w:bottom w:w="0" w:type="dxa"/>
              <w:right w:w="150" w:type="dxa"/>
            </w:tcMar>
            <w:vAlign w:val="center"/>
            <w:hideMark/>
          </w:tcPr>
          <w:p w14:paraId="11D59E21" w14:textId="77777777" w:rsidR="00CF6D08" w:rsidRPr="00CC6B76" w:rsidRDefault="00CF6D08" w:rsidP="00CC6B76">
            <w:pPr>
              <w:spacing w:after="0" w:line="240" w:lineRule="auto"/>
              <w:rPr>
                <w:rFonts w:eastAsia="Times New Roman" w:cstheme="minorHAnsi"/>
                <w:color w:val="222222"/>
                <w:lang w:eastAsia="en-GB"/>
              </w:rPr>
            </w:pPr>
            <w:r w:rsidRPr="00CC6B76">
              <w:rPr>
                <w:rFonts w:eastAsia="Times New Roman" w:cstheme="minorHAnsi"/>
                <w:color w:val="222222"/>
                <w:lang w:eastAsia="en-GB"/>
              </w:rPr>
              <w:t>381</w:t>
            </w:r>
            <w:r>
              <w:rPr>
                <w:rFonts w:eastAsia="Times New Roman" w:cstheme="minorHAnsi"/>
                <w:color w:val="222222"/>
                <w:lang w:eastAsia="en-GB"/>
              </w:rPr>
              <w:t xml:space="preserve"> AD</w:t>
            </w:r>
          </w:p>
        </w:tc>
      </w:tr>
      <w:tr w:rsidR="00CF6D08" w:rsidRPr="00CC6B76" w14:paraId="38995176" w14:textId="77777777" w:rsidTr="00CC6B76">
        <w:trPr>
          <w:trHeight w:val="390"/>
        </w:trPr>
        <w:tc>
          <w:tcPr>
            <w:tcW w:w="0" w:type="auto"/>
            <w:shd w:val="clear" w:color="auto" w:fill="FFFFFF"/>
            <w:tcMar>
              <w:top w:w="0" w:type="dxa"/>
              <w:left w:w="0" w:type="dxa"/>
              <w:bottom w:w="0" w:type="dxa"/>
              <w:right w:w="150" w:type="dxa"/>
            </w:tcMar>
            <w:vAlign w:val="center"/>
            <w:hideMark/>
          </w:tcPr>
          <w:p w14:paraId="2B303A31" w14:textId="77777777" w:rsidR="00CF6D08" w:rsidRPr="00CC6B76" w:rsidRDefault="00CF6D08" w:rsidP="00CC6B76">
            <w:pPr>
              <w:spacing w:after="0" w:line="240" w:lineRule="auto"/>
              <w:rPr>
                <w:rFonts w:eastAsia="Times New Roman" w:cstheme="minorHAnsi"/>
                <w:color w:val="222222"/>
                <w:lang w:eastAsia="en-GB"/>
              </w:rPr>
            </w:pPr>
            <w:r w:rsidRPr="00CC6B76">
              <w:rPr>
                <w:rFonts w:eastAsia="Times New Roman" w:cstheme="minorHAnsi"/>
                <w:color w:val="222222"/>
                <w:lang w:eastAsia="en-GB"/>
              </w:rPr>
              <w:t>Chalcedonian </w:t>
            </w:r>
            <w:r w:rsidRPr="00CC6B76">
              <w:rPr>
                <w:rFonts w:eastAsia="Times New Roman" w:cstheme="minorHAnsi"/>
                <w:bCs/>
                <w:color w:val="222222"/>
                <w:lang w:eastAsia="en-GB"/>
              </w:rPr>
              <w:t>Creed</w:t>
            </w:r>
          </w:p>
        </w:tc>
        <w:tc>
          <w:tcPr>
            <w:tcW w:w="0" w:type="auto"/>
            <w:shd w:val="clear" w:color="auto" w:fill="FFFFFF"/>
            <w:tcMar>
              <w:top w:w="0" w:type="dxa"/>
              <w:left w:w="150" w:type="dxa"/>
              <w:bottom w:w="0" w:type="dxa"/>
              <w:right w:w="150" w:type="dxa"/>
            </w:tcMar>
            <w:vAlign w:val="center"/>
            <w:hideMark/>
          </w:tcPr>
          <w:p w14:paraId="74353759" w14:textId="77777777" w:rsidR="00CF6D08" w:rsidRPr="00CC6B76" w:rsidRDefault="00CF6D08" w:rsidP="00CC6B76">
            <w:pPr>
              <w:spacing w:after="0" w:line="240" w:lineRule="auto"/>
              <w:rPr>
                <w:rFonts w:eastAsia="Times New Roman" w:cstheme="minorHAnsi"/>
                <w:color w:val="222222"/>
                <w:lang w:eastAsia="en-GB"/>
              </w:rPr>
            </w:pPr>
            <w:r w:rsidRPr="00CC6B76">
              <w:rPr>
                <w:rFonts w:eastAsia="Times New Roman" w:cstheme="minorHAnsi"/>
                <w:color w:val="222222"/>
                <w:lang w:eastAsia="en-GB"/>
              </w:rPr>
              <w:t>451</w:t>
            </w:r>
            <w:r>
              <w:rPr>
                <w:rFonts w:eastAsia="Times New Roman" w:cstheme="minorHAnsi"/>
                <w:color w:val="222222"/>
                <w:lang w:eastAsia="en-GB"/>
              </w:rPr>
              <w:t xml:space="preserve"> AD</w:t>
            </w:r>
          </w:p>
        </w:tc>
      </w:tr>
    </w:tbl>
    <w:p w14:paraId="6CD6E6B8" w14:textId="77777777" w:rsidR="00CF6D08" w:rsidRDefault="00CF6D08" w:rsidP="00CF6D08">
      <w:pPr>
        <w:pStyle w:val="EndnoteText"/>
      </w:pPr>
    </w:p>
  </w:endnote>
  <w:endnote w:id="6">
    <w:p w14:paraId="0B5E0C4B" w14:textId="77777777" w:rsidR="00CF6D08" w:rsidRDefault="00CF6D08" w:rsidP="00CF6D08">
      <w:pPr>
        <w:pStyle w:val="EndnoteText"/>
        <w:rPr>
          <w:rFonts w:cstheme="minorHAnsi"/>
          <w:color w:val="545454"/>
          <w:shd w:val="clear" w:color="auto" w:fill="FFFFFF"/>
        </w:rPr>
      </w:pPr>
      <w:r>
        <w:rPr>
          <w:rStyle w:val="EndnoteReference"/>
        </w:rPr>
        <w:endnoteRef/>
      </w:r>
      <w:r>
        <w:t xml:space="preserve"> </w:t>
      </w:r>
      <w:r>
        <w:rPr>
          <w:rFonts w:cstheme="minorHAnsi"/>
          <w:color w:val="545454"/>
          <w:shd w:val="clear" w:color="auto" w:fill="FFFFFF"/>
        </w:rPr>
        <w:t>God, in religious consensus is</w:t>
      </w:r>
      <w:r w:rsidRPr="00192FF5">
        <w:rPr>
          <w:rFonts w:cstheme="minorHAnsi"/>
          <w:color w:val="545454"/>
          <w:shd w:val="clear" w:color="auto" w:fill="FFFFFF"/>
        </w:rPr>
        <w:t xml:space="preserve"> Ineffable</w:t>
      </w:r>
      <w:r w:rsidRPr="00F60B81">
        <w:rPr>
          <w:rFonts w:cstheme="minorHAnsi"/>
          <w:color w:val="545454"/>
          <w:shd w:val="clear" w:color="auto" w:fill="FFFFFF"/>
        </w:rPr>
        <w:t>, </w:t>
      </w:r>
      <w:r w:rsidRPr="00F60B81">
        <w:rPr>
          <w:rFonts w:cstheme="minorHAnsi"/>
          <w:bCs/>
          <w:color w:val="6A6A6A"/>
          <w:shd w:val="clear" w:color="auto" w:fill="FFFFFF"/>
        </w:rPr>
        <w:t>Inconceivable</w:t>
      </w:r>
      <w:r w:rsidRPr="00192FF5">
        <w:rPr>
          <w:rFonts w:cstheme="minorHAnsi"/>
          <w:color w:val="545454"/>
          <w:shd w:val="clear" w:color="auto" w:fill="FFFFFF"/>
        </w:rPr>
        <w:t>, and Incomprehensible</w:t>
      </w:r>
      <w:r>
        <w:rPr>
          <w:rFonts w:cstheme="minorHAnsi"/>
          <w:color w:val="545454"/>
          <w:shd w:val="clear" w:color="auto" w:fill="FFFFFF"/>
        </w:rPr>
        <w:t xml:space="preserve">. Therefore, is it even possible to understand god from the limitations of distorted human conception/perception? Or does God have to be felt or sensed to be known, rather than conceived? </w:t>
      </w:r>
    </w:p>
    <w:p w14:paraId="320A5F01" w14:textId="77777777" w:rsidR="00CF6D08" w:rsidRDefault="007248C0" w:rsidP="00CF6D08">
      <w:pPr>
        <w:pStyle w:val="EndnoteText"/>
      </w:pPr>
      <w:hyperlink r:id="rId2" w:history="1">
        <w:r w:rsidR="00CF6D08" w:rsidRPr="001A7FD1">
          <w:rPr>
            <w:rStyle w:val="Hyperlink"/>
            <w:rFonts w:cstheme="minorBidi"/>
          </w:rPr>
          <w:t>https://www.google.co.uk/search?rlz=1C1GCEB_enGB794GB817&amp;ei=VosXXJPQDYjnsAer44_QBw&amp;q=GOD+IS+INCONCEIVABLE+&amp;oq=GOD+IS+INCONCEIVABLE+&amp;gs_l=psy-ab.3.0.0i22i30.463751.474805..475275...0.0..0.66.2111.40......0....1..gws-wiz.....0..0j0i71j0i67j0i22i10i30j0i131j0i131i67j0i10.Itj26XvOYxQ</w:t>
        </w:r>
      </w:hyperlink>
      <w:r w:rsidR="00CF6D08">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A386C6" w14:textId="77777777" w:rsidR="007248C0" w:rsidRDefault="007248C0" w:rsidP="00C6790C">
      <w:pPr>
        <w:spacing w:after="0" w:line="240" w:lineRule="auto"/>
      </w:pPr>
      <w:r>
        <w:separator/>
      </w:r>
    </w:p>
  </w:footnote>
  <w:footnote w:type="continuationSeparator" w:id="0">
    <w:p w14:paraId="74A495A5" w14:textId="77777777" w:rsidR="007248C0" w:rsidRDefault="007248C0" w:rsidP="00C6790C">
      <w:pPr>
        <w:spacing w:after="0" w:line="240" w:lineRule="auto"/>
      </w:pPr>
      <w:r>
        <w:continuationSeparator/>
      </w:r>
    </w:p>
  </w:footnote>
  <w:footnote w:id="1">
    <w:p w14:paraId="28AE5269" w14:textId="77777777" w:rsidR="00CF6D08" w:rsidRPr="00DF7B1C" w:rsidRDefault="00CF6D08" w:rsidP="00CF6D08">
      <w:pPr>
        <w:shd w:val="clear" w:color="auto" w:fill="FFFFFF"/>
        <w:rPr>
          <w:rFonts w:ascii="Arial" w:eastAsia="Times New Roman" w:hAnsi="Arial" w:cs="Arial"/>
          <w:color w:val="660099"/>
          <w:sz w:val="24"/>
          <w:szCs w:val="24"/>
          <w:u w:val="single"/>
          <w:lang w:eastAsia="en-GB"/>
        </w:rPr>
      </w:pPr>
      <w:r w:rsidRPr="00DF7B1C">
        <w:rPr>
          <w:rFonts w:ascii="Arial" w:eastAsia="Times New Roman" w:hAnsi="Arial" w:cs="Arial"/>
          <w:color w:val="222222"/>
          <w:sz w:val="24"/>
          <w:szCs w:val="24"/>
          <w:lang w:eastAsia="en-GB"/>
        </w:rPr>
        <w:fldChar w:fldCharType="begin"/>
      </w:r>
      <w:r w:rsidRPr="00DF7B1C">
        <w:rPr>
          <w:rFonts w:ascii="Arial" w:eastAsia="Times New Roman" w:hAnsi="Arial" w:cs="Arial"/>
          <w:color w:val="222222"/>
          <w:sz w:val="24"/>
          <w:szCs w:val="24"/>
          <w:lang w:eastAsia="en-GB"/>
        </w:rPr>
        <w:instrText xml:space="preserve"> HYPERLINK "https://plato.stanford.edu/entries/christiantheology-philosophy/" </w:instrText>
      </w:r>
      <w:r w:rsidRPr="00DF7B1C">
        <w:rPr>
          <w:rFonts w:ascii="Arial" w:eastAsia="Times New Roman" w:hAnsi="Arial" w:cs="Arial"/>
          <w:color w:val="222222"/>
          <w:sz w:val="24"/>
          <w:szCs w:val="24"/>
          <w:lang w:eastAsia="en-GB"/>
        </w:rPr>
        <w:fldChar w:fldCharType="separate"/>
      </w:r>
    </w:p>
    <w:p w14:paraId="429C5A5D" w14:textId="77777777" w:rsidR="00CF6D08" w:rsidRPr="00DF7B1C" w:rsidRDefault="00CF6D08" w:rsidP="00CF6D08">
      <w:pPr>
        <w:shd w:val="clear" w:color="auto" w:fill="FFFFFF"/>
        <w:spacing w:after="0" w:line="240" w:lineRule="auto"/>
        <w:rPr>
          <w:rFonts w:ascii="Arial" w:eastAsia="Times New Roman" w:hAnsi="Arial" w:cs="Arial"/>
          <w:color w:val="222222"/>
          <w:sz w:val="24"/>
          <w:szCs w:val="24"/>
          <w:lang w:eastAsia="en-GB"/>
        </w:rPr>
      </w:pPr>
      <w:r w:rsidRPr="00DF7B1C">
        <w:rPr>
          <w:rFonts w:ascii="Arial" w:eastAsia="Times New Roman" w:hAnsi="Arial" w:cs="Arial"/>
          <w:color w:val="222222"/>
          <w:sz w:val="24"/>
          <w:szCs w:val="24"/>
          <w:lang w:eastAsia="en-GB"/>
        </w:rPr>
        <w:fldChar w:fldCharType="end"/>
      </w:r>
    </w:p>
    <w:p w14:paraId="034381EC" w14:textId="77777777" w:rsidR="00CF6D08" w:rsidRPr="00DF7B1C" w:rsidRDefault="00CF6D08" w:rsidP="00CF6D08">
      <w:pPr>
        <w:shd w:val="clear" w:color="auto" w:fill="FFFFFF"/>
        <w:spacing w:after="0" w:line="240" w:lineRule="auto"/>
        <w:textAlignment w:val="center"/>
        <w:rPr>
          <w:rFonts w:ascii="Arial" w:eastAsia="Times New Roman" w:hAnsi="Arial" w:cs="Arial"/>
          <w:color w:val="222222"/>
          <w:sz w:val="20"/>
          <w:szCs w:val="20"/>
          <w:lang w:eastAsia="en-GB"/>
        </w:rPr>
      </w:pPr>
    </w:p>
    <w:p w14:paraId="4FDBEFEF" w14:textId="77777777" w:rsidR="00CF6D08" w:rsidRPr="006F524D" w:rsidRDefault="00CF6D08" w:rsidP="00CF6D08">
      <w:pPr>
        <w:shd w:val="clear" w:color="auto" w:fill="FFFFFF"/>
        <w:spacing w:after="0" w:line="240" w:lineRule="auto"/>
      </w:pPr>
      <w:r>
        <w:rPr>
          <w:rStyle w:val="FootnoteReference"/>
        </w:rPr>
        <w:footnoteRef/>
      </w:r>
      <w:r>
        <w:t xml:space="preserve"> </w:t>
      </w:r>
      <w:hyperlink r:id="rId1" w:history="1">
        <w:r w:rsidRPr="001A7FD1">
          <w:rPr>
            <w:rStyle w:val="Hyperlink"/>
            <w:rFonts w:cstheme="minorBidi"/>
          </w:rPr>
          <w:t>https://plato.stanford.edu/entries/christiantheology-philosophy/</w:t>
        </w:r>
      </w:hyperlink>
      <w:r>
        <w:t xml:space="preserve"> </w:t>
      </w:r>
    </w:p>
    <w:p w14:paraId="43907C51" w14:textId="77777777" w:rsidR="00CF6D08" w:rsidRDefault="00CF6D08" w:rsidP="00CF6D08">
      <w:pPr>
        <w:pStyle w:val="FootnoteText"/>
      </w:pPr>
    </w:p>
  </w:footnote>
  <w:footnote w:id="2">
    <w:p w14:paraId="18FE0DC3" w14:textId="77777777" w:rsidR="00CF6D08" w:rsidRDefault="00CF6D08" w:rsidP="00CF6D08">
      <w:pPr>
        <w:pStyle w:val="FootnoteText"/>
      </w:pPr>
      <w:r>
        <w:rPr>
          <w:rStyle w:val="FootnoteReference"/>
        </w:rPr>
        <w:footnoteRef/>
      </w:r>
      <w:r>
        <w:t xml:space="preserve"> </w:t>
      </w:r>
      <w:bookmarkStart w:id="1" w:name="_Hlk532738204"/>
      <w:r>
        <w:t xml:space="preserve">Thomas. Nelson &amp; Sons (publisher), </w:t>
      </w:r>
      <w:r w:rsidRPr="00575B2A">
        <w:rPr>
          <w:i/>
        </w:rPr>
        <w:t>The New Testament of our Lord and Saviour Jesus Christ</w:t>
      </w:r>
      <w:r>
        <w:t xml:space="preserve">. Revised standard version </w:t>
      </w:r>
      <w:bookmarkStart w:id="2" w:name="_Hlk532741344"/>
      <w:r>
        <w:t>(</w:t>
      </w:r>
      <w:r w:rsidRPr="00DF7B1C">
        <w:rPr>
          <w:sz w:val="18"/>
          <w:szCs w:val="18"/>
        </w:rPr>
        <w:t>translated from the Greek, being the version set forth A. D. 1611</w:t>
      </w:r>
      <w:r>
        <w:t xml:space="preserve">) </w:t>
      </w:r>
      <w:bookmarkEnd w:id="2"/>
      <w:r>
        <w:t>The PHILLIPPIANS: (Massachusetts: Norwood Press, 1946) pp. 420-426</w:t>
      </w:r>
      <w:bookmarkEnd w:id="1"/>
    </w:p>
  </w:footnote>
  <w:footnote w:id="3">
    <w:p w14:paraId="185DD8B5" w14:textId="77777777" w:rsidR="00CF6D08" w:rsidRPr="002A24CC" w:rsidRDefault="00CF6D08" w:rsidP="00CF6D08">
      <w:pPr>
        <w:shd w:val="clear" w:color="auto" w:fill="FFFFFF"/>
        <w:spacing w:after="0" w:line="240" w:lineRule="auto"/>
        <w:rPr>
          <w:rFonts w:eastAsia="Times New Roman" w:cstheme="minorHAnsi"/>
          <w:color w:val="333333"/>
          <w:sz w:val="20"/>
          <w:szCs w:val="20"/>
          <w:lang w:eastAsia="en-GB"/>
        </w:rPr>
      </w:pPr>
      <w:r>
        <w:rPr>
          <w:rStyle w:val="FootnoteReference"/>
        </w:rPr>
        <w:footnoteRef/>
      </w:r>
      <w:r>
        <w:t xml:space="preserve"> </w:t>
      </w:r>
      <w:bookmarkStart w:id="3" w:name="_Hlk532737562"/>
      <w:r w:rsidRPr="002A24CC">
        <w:rPr>
          <w:rFonts w:eastAsia="Times New Roman" w:cstheme="minorHAnsi"/>
          <w:color w:val="333333"/>
          <w:sz w:val="20"/>
          <w:szCs w:val="20"/>
          <w:lang w:eastAsia="en-GB"/>
        </w:rPr>
        <w:t>John</w:t>
      </w:r>
      <w:r>
        <w:rPr>
          <w:rFonts w:eastAsia="Times New Roman" w:cstheme="minorHAnsi"/>
          <w:color w:val="333333"/>
          <w:sz w:val="20"/>
          <w:szCs w:val="20"/>
          <w:lang w:eastAsia="en-GB"/>
        </w:rPr>
        <w:t>.</w:t>
      </w:r>
      <w:r w:rsidRPr="002A24CC">
        <w:rPr>
          <w:rFonts w:eastAsia="Times New Roman" w:cstheme="minorHAnsi"/>
          <w:color w:val="333333"/>
          <w:sz w:val="20"/>
          <w:szCs w:val="20"/>
          <w:lang w:eastAsia="en-GB"/>
        </w:rPr>
        <w:t xml:space="preserve"> A. Mourant</w:t>
      </w:r>
      <w:r>
        <w:rPr>
          <w:rFonts w:eastAsia="Times New Roman" w:cstheme="minorHAnsi"/>
          <w:color w:val="333333"/>
          <w:sz w:val="20"/>
          <w:szCs w:val="20"/>
          <w:lang w:eastAsia="en-GB"/>
        </w:rPr>
        <w:t>, ‘</w:t>
      </w:r>
      <w:r w:rsidRPr="002A24CC">
        <w:rPr>
          <w:rFonts w:eastAsia="Times New Roman" w:cstheme="minorHAnsi"/>
          <w:bCs/>
          <w:color w:val="333333"/>
          <w:kern w:val="36"/>
          <w:sz w:val="20"/>
          <w:szCs w:val="20"/>
          <w:lang w:eastAsia="en-GB"/>
        </w:rPr>
        <w:t>AQUINAS AND THEOLOGY</w:t>
      </w:r>
      <w:r>
        <w:rPr>
          <w:rFonts w:eastAsia="Times New Roman" w:cstheme="minorHAnsi"/>
          <w:bCs/>
          <w:color w:val="333333"/>
          <w:kern w:val="36"/>
          <w:sz w:val="20"/>
          <w:szCs w:val="20"/>
          <w:lang w:eastAsia="en-GB"/>
        </w:rPr>
        <w:t xml:space="preserve">’ </w:t>
      </w:r>
      <w:r w:rsidRPr="002A24CC">
        <w:rPr>
          <w:rFonts w:eastAsia="Times New Roman" w:cstheme="minorHAnsi"/>
          <w:i/>
          <w:iCs/>
          <w:color w:val="333333"/>
          <w:sz w:val="20"/>
          <w:szCs w:val="20"/>
          <w:lang w:eastAsia="en-GB"/>
        </w:rPr>
        <w:t>Franciscan Studies</w:t>
      </w:r>
      <w:r>
        <w:rPr>
          <w:rFonts w:eastAsia="Times New Roman" w:cstheme="minorHAnsi"/>
          <w:i/>
          <w:iCs/>
          <w:color w:val="333333"/>
          <w:sz w:val="20"/>
          <w:szCs w:val="20"/>
          <w:lang w:eastAsia="en-GB"/>
        </w:rPr>
        <w:t xml:space="preserve">, </w:t>
      </w:r>
      <w:r w:rsidRPr="002A24CC">
        <w:rPr>
          <w:rFonts w:eastAsia="Times New Roman" w:cstheme="minorHAnsi"/>
          <w:color w:val="333333"/>
          <w:sz w:val="20"/>
          <w:szCs w:val="20"/>
          <w:lang w:eastAsia="en-GB"/>
        </w:rPr>
        <w:t>Vol. 16, No. 3 (SEPTEMBER 1956), p</w:t>
      </w:r>
      <w:r>
        <w:rPr>
          <w:rFonts w:eastAsia="Times New Roman" w:cstheme="minorHAnsi"/>
          <w:color w:val="333333"/>
          <w:sz w:val="20"/>
          <w:szCs w:val="20"/>
          <w:lang w:eastAsia="en-GB"/>
        </w:rPr>
        <w:t>p</w:t>
      </w:r>
      <w:r w:rsidRPr="002A24CC">
        <w:rPr>
          <w:rFonts w:eastAsia="Times New Roman" w:cstheme="minorHAnsi"/>
          <w:color w:val="333333"/>
          <w:sz w:val="20"/>
          <w:szCs w:val="20"/>
          <w:lang w:eastAsia="en-GB"/>
        </w:rPr>
        <w:t>. 202</w:t>
      </w:r>
      <w:r>
        <w:rPr>
          <w:rFonts w:eastAsia="Times New Roman" w:cstheme="minorHAnsi"/>
          <w:color w:val="333333"/>
          <w:sz w:val="20"/>
          <w:szCs w:val="20"/>
          <w:lang w:eastAsia="en-GB"/>
        </w:rPr>
        <w:t>-212: p.212.</w:t>
      </w:r>
      <w:r w:rsidRPr="008048B2">
        <w:rPr>
          <w:rFonts w:ascii="Arial" w:eastAsia="Times New Roman" w:hAnsi="Arial" w:cs="Arial"/>
          <w:color w:val="333333"/>
          <w:sz w:val="21"/>
          <w:szCs w:val="21"/>
          <w:lang w:eastAsia="en-GB"/>
        </w:rPr>
        <w:t xml:space="preserve"> </w:t>
      </w:r>
      <w:bookmarkEnd w:id="3"/>
      <w:r w:rsidRPr="002A24CC">
        <w:rPr>
          <w:rFonts w:eastAsia="Times New Roman" w:cstheme="minorHAnsi"/>
          <w:color w:val="333333"/>
          <w:sz w:val="20"/>
          <w:szCs w:val="20"/>
          <w:lang w:eastAsia="en-GB"/>
        </w:rPr>
        <w:t>Published by: </w:t>
      </w:r>
      <w:hyperlink r:id="rId2" w:history="1">
        <w:r w:rsidRPr="002A24CC">
          <w:rPr>
            <w:rFonts w:eastAsia="Times New Roman" w:cstheme="minorHAnsi"/>
            <w:color w:val="006179"/>
            <w:sz w:val="20"/>
            <w:szCs w:val="20"/>
            <w:u w:val="single"/>
            <w:lang w:eastAsia="en-GB"/>
          </w:rPr>
          <w:t>St. Bonaventure University - Franciscan Institute Publications</w:t>
        </w:r>
      </w:hyperlink>
    </w:p>
    <w:p w14:paraId="634F5618" w14:textId="77777777" w:rsidR="00CF6D08" w:rsidRPr="002F22A9" w:rsidRDefault="007248C0" w:rsidP="00CF6D08">
      <w:pPr>
        <w:shd w:val="clear" w:color="auto" w:fill="FFFFFF"/>
        <w:spacing w:after="0" w:line="240" w:lineRule="auto"/>
        <w:rPr>
          <w:rFonts w:eastAsia="Times New Roman" w:cstheme="minorHAnsi"/>
          <w:color w:val="333333"/>
          <w:sz w:val="20"/>
          <w:szCs w:val="20"/>
          <w:lang w:eastAsia="en-GB"/>
        </w:rPr>
      </w:pPr>
      <w:hyperlink r:id="rId3" w:history="1">
        <w:r w:rsidR="00CF6D08" w:rsidRPr="002A24CC">
          <w:rPr>
            <w:rStyle w:val="Hyperlink"/>
            <w:rFonts w:eastAsia="Times New Roman" w:cstheme="minorHAnsi"/>
            <w:sz w:val="20"/>
            <w:szCs w:val="20"/>
            <w:lang w:eastAsia="en-GB"/>
          </w:rPr>
          <w:t>https://www.jstor.org/stable/41974561</w:t>
        </w:r>
      </w:hyperlink>
    </w:p>
  </w:footnote>
  <w:footnote w:id="4">
    <w:p w14:paraId="75A6B55A" w14:textId="77777777" w:rsidR="00CF6D08" w:rsidRDefault="00CF6D08" w:rsidP="00CF6D08">
      <w:pPr>
        <w:pStyle w:val="FootnoteText"/>
      </w:pPr>
      <w:r>
        <w:rPr>
          <w:rStyle w:val="FootnoteReference"/>
        </w:rPr>
        <w:footnoteRef/>
      </w:r>
      <w:r>
        <w:t xml:space="preserve"> </w:t>
      </w:r>
      <w:r>
        <w:rPr>
          <w:b/>
        </w:rPr>
        <w:t>direct divine discourse quote?????????????????</w:t>
      </w:r>
    </w:p>
  </w:footnote>
  <w:footnote w:id="5">
    <w:p w14:paraId="17882759" w14:textId="77777777" w:rsidR="00CF6D08" w:rsidRDefault="00CF6D08" w:rsidP="00CF6D08">
      <w:pPr>
        <w:pStyle w:val="FootnoteText"/>
      </w:pPr>
      <w:r w:rsidRPr="00801329">
        <w:rPr>
          <w:rStyle w:val="FootnoteReference"/>
          <w:rFonts w:cstheme="minorHAnsi"/>
        </w:rPr>
        <w:footnoteRef/>
      </w:r>
      <w:r w:rsidRPr="00801329">
        <w:rPr>
          <w:rFonts w:cstheme="minorHAnsi"/>
        </w:rPr>
        <w:t xml:space="preserve"> </w:t>
      </w:r>
      <w:bookmarkStart w:id="4" w:name="_Hlk532778246"/>
      <w:r w:rsidRPr="00801329">
        <w:rPr>
          <w:rFonts w:cstheme="minorHAnsi"/>
        </w:rPr>
        <w:t xml:space="preserve">THE REV. BERNHARD PICK, PH. D. D. D, </w:t>
      </w:r>
      <w:r>
        <w:rPr>
          <w:rFonts w:cstheme="minorHAnsi"/>
        </w:rPr>
        <w:t>‘</w:t>
      </w:r>
      <w:r w:rsidRPr="00C31F68">
        <w:rPr>
          <w:rFonts w:cstheme="minorHAnsi"/>
        </w:rPr>
        <w:t>THE AGRAPH</w:t>
      </w:r>
      <w:r>
        <w:rPr>
          <w:rFonts w:cstheme="minorHAnsi"/>
        </w:rPr>
        <w:t xml:space="preserve">A.’ </w:t>
      </w:r>
      <w:r w:rsidRPr="00801329">
        <w:rPr>
          <w:rFonts w:cstheme="minorHAnsi"/>
        </w:rPr>
        <w:t xml:space="preserve"> </w:t>
      </w:r>
      <w:hyperlink r:id="rId4" w:history="1">
        <w:r w:rsidRPr="002F163B">
          <w:rPr>
            <w:rStyle w:val="Hyperlink"/>
          </w:rPr>
          <w:t>https://opensiuc.lib.siu.edu/cgi/viewcontent.cgi?referer=https://www.google.com/&amp;httpsredir=1&amp;article=5071&amp;context=ocj</w:t>
        </w:r>
      </w:hyperlink>
      <w:r>
        <w:t xml:space="preserve"> </w:t>
      </w:r>
      <w:bookmarkEnd w:id="4"/>
    </w:p>
  </w:footnote>
  <w:footnote w:id="6">
    <w:p w14:paraId="5D5A394D" w14:textId="77777777" w:rsidR="00CF6D08" w:rsidRDefault="00CF6D08" w:rsidP="00CF6D08">
      <w:pPr>
        <w:pStyle w:val="FootnoteText"/>
      </w:pPr>
      <w:r>
        <w:rPr>
          <w:rStyle w:val="FootnoteReference"/>
        </w:rPr>
        <w:footnoteRef/>
      </w:r>
      <w:r>
        <w:t xml:space="preserve"> </w:t>
      </w:r>
      <w:bookmarkStart w:id="5" w:name="_Hlk532741393"/>
      <w:r>
        <w:t xml:space="preserve">Thomas. Nelson &amp; Sons, </w:t>
      </w:r>
      <w:r w:rsidRPr="00575B2A">
        <w:rPr>
          <w:i/>
        </w:rPr>
        <w:t>The New Testament of our Lord and Saviour Jesus Christ</w:t>
      </w:r>
      <w:r>
        <w:t>. Revised standard version (</w:t>
      </w:r>
      <w:r w:rsidRPr="00230BD6">
        <w:rPr>
          <w:sz w:val="16"/>
          <w:szCs w:val="16"/>
        </w:rPr>
        <w:t>translated from the Greek, being the version set forth A. D. 1611</w:t>
      </w:r>
      <w:r>
        <w:t>).</w:t>
      </w:r>
    </w:p>
    <w:p w14:paraId="6955331C" w14:textId="77777777" w:rsidR="00CF6D08" w:rsidRPr="002F22A9" w:rsidRDefault="00CF6D08" w:rsidP="00CF6D08">
      <w:pPr>
        <w:pStyle w:val="FootnoteText"/>
        <w:rPr>
          <w:rFonts w:ascii="Calibri" w:hAnsi="Calibri" w:cs="Calibri"/>
          <w:lang w:val="en"/>
        </w:rPr>
      </w:pPr>
      <w:r>
        <w:t>JOHN 1:14: (Massachusetts: Norwood Press, 1946) p.</w:t>
      </w:r>
      <w:r w:rsidRPr="00B03911">
        <w:rPr>
          <w:rFonts w:ascii="Calibri" w:hAnsi="Calibri" w:cs="Calibri"/>
          <w:lang w:val="en"/>
        </w:rPr>
        <w:t xml:space="preserve"> </w:t>
      </w:r>
      <w:r>
        <w:rPr>
          <w:rFonts w:ascii="Calibri" w:hAnsi="Calibri" w:cs="Calibri"/>
          <w:lang w:val="en"/>
        </w:rPr>
        <w:t>195</w:t>
      </w:r>
      <w:bookmarkEnd w:id="5"/>
    </w:p>
  </w:footnote>
  <w:footnote w:id="7">
    <w:p w14:paraId="0496A7D8" w14:textId="77777777" w:rsidR="00CF6D08" w:rsidRDefault="00CF6D08" w:rsidP="00CF6D08">
      <w:pPr>
        <w:pStyle w:val="FootnoteText"/>
      </w:pPr>
      <w:r>
        <w:rPr>
          <w:rStyle w:val="FootnoteReference"/>
        </w:rPr>
        <w:footnoteRef/>
      </w:r>
      <w:r>
        <w:t xml:space="preserve"> Thomas. Nelson &amp; Sons, </w:t>
      </w:r>
      <w:r w:rsidRPr="00575B2A">
        <w:rPr>
          <w:i/>
        </w:rPr>
        <w:t>The New Testament of our Lord and Saviour Jesus Christ</w:t>
      </w:r>
      <w:r>
        <w:t>. Revised standard version (</w:t>
      </w:r>
      <w:r w:rsidRPr="00230BD6">
        <w:rPr>
          <w:sz w:val="16"/>
          <w:szCs w:val="16"/>
        </w:rPr>
        <w:t>translated from the Greek, being the version set forth A. D. 1611</w:t>
      </w:r>
      <w:r>
        <w:t>).</w:t>
      </w:r>
    </w:p>
    <w:p w14:paraId="22B1C7D0" w14:textId="77777777" w:rsidR="00CF6D08" w:rsidRPr="002F22A9" w:rsidRDefault="00CF6D08" w:rsidP="00CF6D08">
      <w:pPr>
        <w:pStyle w:val="FootnoteText"/>
        <w:rPr>
          <w:i/>
        </w:rPr>
      </w:pPr>
      <w:r>
        <w:t>Timothy 3:16: (Massachusetts: Norwood Press, 1946) p.</w:t>
      </w:r>
      <w:r w:rsidRPr="00B03911">
        <w:rPr>
          <w:rFonts w:ascii="Calibri" w:hAnsi="Calibri" w:cs="Calibri"/>
          <w:lang w:val="en"/>
        </w:rPr>
        <w:t xml:space="preserve"> </w:t>
      </w:r>
      <w:r>
        <w:rPr>
          <w:rFonts w:ascii="Calibri" w:hAnsi="Calibri" w:cs="Calibri"/>
          <w:lang w:val="en"/>
        </w:rPr>
        <w:t>195</w:t>
      </w:r>
    </w:p>
  </w:footnote>
  <w:footnote w:id="8">
    <w:p w14:paraId="194B2ED6" w14:textId="77777777" w:rsidR="00CF6D08" w:rsidRDefault="00CF6D08" w:rsidP="00CF6D08">
      <w:pPr>
        <w:pStyle w:val="FootnoteText"/>
      </w:pPr>
      <w:r>
        <w:rPr>
          <w:rStyle w:val="FootnoteReference"/>
        </w:rPr>
        <w:footnoteRef/>
      </w:r>
      <w:r>
        <w:rPr>
          <w:i/>
        </w:rPr>
        <w:t xml:space="preserve"> </w:t>
      </w:r>
      <w:r w:rsidRPr="005F3A99">
        <w:rPr>
          <w:i/>
        </w:rPr>
        <w:t>IBID</w:t>
      </w:r>
    </w:p>
  </w:footnote>
  <w:footnote w:id="9">
    <w:p w14:paraId="61BB5A22" w14:textId="1AFE4DA6" w:rsidR="00D85E79" w:rsidRPr="00D85E79" w:rsidRDefault="00D85E79" w:rsidP="00D85E79">
      <w:pPr>
        <w:pStyle w:val="Heading1"/>
        <w:shd w:val="clear" w:color="auto" w:fill="FFFFFF"/>
        <w:spacing w:before="0" w:after="120" w:line="240" w:lineRule="atLeast"/>
        <w:rPr>
          <w:rFonts w:asciiTheme="minorHAnsi" w:eastAsia="Times New Roman" w:hAnsiTheme="minorHAnsi" w:cstheme="minorHAnsi"/>
          <w:color w:val="000000"/>
          <w:kern w:val="36"/>
          <w:sz w:val="20"/>
          <w:szCs w:val="20"/>
          <w:lang w:eastAsia="en-GB"/>
        </w:rPr>
      </w:pPr>
      <w:r w:rsidRPr="00D85E79">
        <w:rPr>
          <w:rStyle w:val="FootnoteReference"/>
          <w:rFonts w:asciiTheme="minorHAnsi" w:hAnsiTheme="minorHAnsi" w:cstheme="minorHAnsi"/>
          <w:sz w:val="20"/>
          <w:szCs w:val="20"/>
        </w:rPr>
        <w:footnoteRef/>
      </w:r>
      <w:r>
        <w:t xml:space="preserve"> </w:t>
      </w:r>
      <w:r w:rsidRPr="002F22A9">
        <w:rPr>
          <w:rFonts w:asciiTheme="minorHAnsi" w:eastAsiaTheme="minorHAnsi" w:hAnsiTheme="minorHAnsi" w:cstheme="minorHAnsi"/>
          <w:color w:val="1A1A1A"/>
          <w:sz w:val="20"/>
          <w:szCs w:val="20"/>
        </w:rPr>
        <w:t>Graham, Daniel W., "Heraclitus", </w:t>
      </w:r>
      <w:r w:rsidRPr="002F22A9">
        <w:rPr>
          <w:rFonts w:asciiTheme="minorHAnsi" w:eastAsiaTheme="minorHAnsi" w:hAnsiTheme="minorHAnsi" w:cstheme="minorHAnsi"/>
          <w:i/>
          <w:iCs/>
          <w:color w:val="1A1A1A"/>
          <w:sz w:val="20"/>
          <w:szCs w:val="20"/>
        </w:rPr>
        <w:t xml:space="preserve">The Stanford </w:t>
      </w:r>
      <w:proofErr w:type="spellStart"/>
      <w:r w:rsidRPr="002F22A9">
        <w:rPr>
          <w:rFonts w:asciiTheme="minorHAnsi" w:eastAsiaTheme="minorHAnsi" w:hAnsiTheme="minorHAnsi" w:cstheme="minorHAnsi"/>
          <w:i/>
          <w:iCs/>
          <w:color w:val="1A1A1A"/>
          <w:sz w:val="20"/>
          <w:szCs w:val="20"/>
        </w:rPr>
        <w:t>Encyclopedia</w:t>
      </w:r>
      <w:proofErr w:type="spellEnd"/>
      <w:r w:rsidRPr="002F22A9">
        <w:rPr>
          <w:rFonts w:asciiTheme="minorHAnsi" w:eastAsiaTheme="minorHAnsi" w:hAnsiTheme="minorHAnsi" w:cstheme="minorHAnsi"/>
          <w:i/>
          <w:iCs/>
          <w:color w:val="1A1A1A"/>
          <w:sz w:val="20"/>
          <w:szCs w:val="20"/>
        </w:rPr>
        <w:t xml:space="preserve"> of Philosophy </w:t>
      </w:r>
      <w:r w:rsidRPr="002F22A9">
        <w:rPr>
          <w:rFonts w:asciiTheme="minorHAnsi" w:eastAsiaTheme="minorHAnsi" w:hAnsiTheme="minorHAnsi" w:cstheme="minorHAnsi"/>
          <w:color w:val="1A1A1A"/>
          <w:sz w:val="20"/>
          <w:szCs w:val="20"/>
        </w:rPr>
        <w:t>(</w:t>
      </w:r>
      <w:proofErr w:type="gramStart"/>
      <w:r w:rsidRPr="002F22A9">
        <w:rPr>
          <w:rFonts w:asciiTheme="minorHAnsi" w:eastAsiaTheme="minorHAnsi" w:hAnsiTheme="minorHAnsi" w:cstheme="minorHAnsi"/>
          <w:color w:val="1A1A1A"/>
          <w:sz w:val="20"/>
          <w:szCs w:val="20"/>
        </w:rPr>
        <w:t>Fall</w:t>
      </w:r>
      <w:proofErr w:type="gramEnd"/>
      <w:r w:rsidRPr="002F22A9">
        <w:rPr>
          <w:rFonts w:asciiTheme="minorHAnsi" w:eastAsiaTheme="minorHAnsi" w:hAnsiTheme="minorHAnsi" w:cstheme="minorHAnsi"/>
          <w:color w:val="1A1A1A"/>
          <w:sz w:val="20"/>
          <w:szCs w:val="20"/>
        </w:rPr>
        <w:t xml:space="preserve"> 2015 Edition), Edward N. </w:t>
      </w:r>
      <w:proofErr w:type="spellStart"/>
      <w:r w:rsidRPr="002F22A9">
        <w:rPr>
          <w:rFonts w:asciiTheme="minorHAnsi" w:eastAsiaTheme="minorHAnsi" w:hAnsiTheme="minorHAnsi" w:cstheme="minorHAnsi"/>
          <w:color w:val="1A1A1A"/>
          <w:sz w:val="20"/>
          <w:szCs w:val="20"/>
        </w:rPr>
        <w:t>Zalta</w:t>
      </w:r>
      <w:proofErr w:type="spellEnd"/>
      <w:r w:rsidRPr="002F22A9">
        <w:rPr>
          <w:rFonts w:asciiTheme="minorHAnsi" w:eastAsiaTheme="minorHAnsi" w:hAnsiTheme="minorHAnsi" w:cstheme="minorHAnsi"/>
          <w:color w:val="1A1A1A"/>
          <w:sz w:val="20"/>
          <w:szCs w:val="20"/>
        </w:rPr>
        <w:t xml:space="preserve"> (ed.), URL = </w:t>
      </w:r>
      <w:hyperlink r:id="rId5" w:history="1">
        <w:r w:rsidRPr="00574F69">
          <w:rPr>
            <w:rStyle w:val="Hyperlink"/>
            <w:rFonts w:asciiTheme="minorHAnsi" w:eastAsiaTheme="minorHAnsi" w:hAnsiTheme="minorHAnsi" w:cstheme="minorHAnsi"/>
            <w:sz w:val="20"/>
            <w:szCs w:val="20"/>
          </w:rPr>
          <w:t>https://plato.stanford.edu/archives/fall2015/entries/heraclitus/</w:t>
        </w:r>
      </w:hyperlink>
      <w:r>
        <w:rPr>
          <w:rFonts w:asciiTheme="minorHAnsi" w:eastAsiaTheme="minorHAnsi" w:hAnsiTheme="minorHAnsi" w:cstheme="minorHAnsi"/>
          <w:color w:val="1A1A1A"/>
          <w:sz w:val="20"/>
          <w:szCs w:val="20"/>
        </w:rPr>
        <w:t xml:space="preserve"> </w:t>
      </w:r>
    </w:p>
  </w:footnote>
  <w:footnote w:id="10">
    <w:p w14:paraId="7ECEEAD8" w14:textId="77777777" w:rsidR="00CF6D08" w:rsidRDefault="00CF6D08" w:rsidP="00CF6D08">
      <w:pPr>
        <w:pStyle w:val="FootnoteText"/>
      </w:pPr>
      <w:r>
        <w:rPr>
          <w:rStyle w:val="FootnoteReference"/>
        </w:rPr>
        <w:footnoteRef/>
      </w:r>
      <w:r>
        <w:rPr>
          <w:rFonts w:eastAsiaTheme="minorHAnsi" w:cstheme="minorHAnsi"/>
          <w:color w:val="1A1A1A"/>
          <w:lang w:eastAsia="en-US"/>
        </w:rPr>
        <w:t xml:space="preserve"> </w:t>
      </w:r>
      <w:bookmarkStart w:id="6" w:name="_Hlk532769402"/>
      <w:bookmarkStart w:id="7" w:name="_Hlk532778423"/>
      <w:r w:rsidRPr="002F22A9">
        <w:rPr>
          <w:rFonts w:eastAsiaTheme="minorHAnsi" w:cstheme="minorHAnsi"/>
          <w:color w:val="1A1A1A"/>
          <w:lang w:eastAsia="en-US"/>
        </w:rPr>
        <w:t>Andersen, Hanne and Hepburn</w:t>
      </w:r>
      <w:bookmarkEnd w:id="6"/>
      <w:r w:rsidRPr="002F22A9">
        <w:rPr>
          <w:rFonts w:eastAsiaTheme="minorHAnsi" w:cstheme="minorHAnsi"/>
          <w:color w:val="1A1A1A"/>
          <w:lang w:eastAsia="en-US"/>
        </w:rPr>
        <w:t>, Brian,</w:t>
      </w:r>
      <w:r>
        <w:rPr>
          <w:rFonts w:eastAsiaTheme="minorHAnsi" w:cstheme="minorHAnsi"/>
          <w:color w:val="1A1A1A"/>
          <w:lang w:eastAsia="en-US"/>
        </w:rPr>
        <w:t>’</w:t>
      </w:r>
      <w:r w:rsidRPr="002F22A9">
        <w:rPr>
          <w:rFonts w:eastAsiaTheme="minorHAnsi" w:cstheme="minorHAnsi"/>
          <w:color w:val="1A1A1A"/>
          <w:lang w:eastAsia="en-US"/>
        </w:rPr>
        <w:t xml:space="preserve"> </w:t>
      </w:r>
      <w:r w:rsidRPr="00352818">
        <w:rPr>
          <w:rFonts w:eastAsiaTheme="minorHAnsi" w:cstheme="minorHAnsi"/>
          <w:color w:val="1A1A1A"/>
          <w:lang w:eastAsia="en-US"/>
        </w:rPr>
        <w:t>Scientific Method</w:t>
      </w:r>
      <w:r>
        <w:rPr>
          <w:rFonts w:eastAsiaTheme="minorHAnsi" w:cstheme="minorHAnsi"/>
          <w:color w:val="1A1A1A"/>
          <w:lang w:eastAsia="en-US"/>
        </w:rPr>
        <w:t>’</w:t>
      </w:r>
      <w:r w:rsidRPr="00352818">
        <w:rPr>
          <w:rFonts w:eastAsiaTheme="minorHAnsi" w:cstheme="minorHAnsi"/>
          <w:color w:val="1A1A1A"/>
          <w:lang w:eastAsia="en-US"/>
        </w:rPr>
        <w:t>,</w:t>
      </w:r>
      <w:r w:rsidRPr="00FA0D12">
        <w:rPr>
          <w:rFonts w:eastAsiaTheme="minorHAnsi" w:cstheme="minorHAnsi"/>
          <w:color w:val="1A1A1A"/>
          <w:lang w:eastAsia="en-US"/>
        </w:rPr>
        <w:t> </w:t>
      </w:r>
      <w:r w:rsidRPr="00FA0D12">
        <w:rPr>
          <w:rFonts w:eastAsiaTheme="minorHAnsi" w:cstheme="minorHAnsi"/>
          <w:iCs/>
          <w:color w:val="1A1A1A"/>
          <w:lang w:eastAsia="en-US"/>
        </w:rPr>
        <w:t>The Stanford Encyclopaedia of Philosophy</w:t>
      </w:r>
      <w:r w:rsidRPr="002F22A9">
        <w:rPr>
          <w:rFonts w:eastAsiaTheme="minorHAnsi" w:cstheme="minorHAnsi"/>
          <w:i/>
          <w:iCs/>
          <w:color w:val="1A1A1A"/>
          <w:lang w:eastAsia="en-US"/>
        </w:rPr>
        <w:t> </w:t>
      </w:r>
      <w:r w:rsidRPr="002F22A9">
        <w:rPr>
          <w:rFonts w:eastAsiaTheme="minorHAnsi" w:cstheme="minorHAnsi"/>
          <w:color w:val="1A1A1A"/>
          <w:lang w:eastAsia="en-US"/>
        </w:rPr>
        <w:t xml:space="preserve">(Summer 2016 Edition), Edward N. </w:t>
      </w:r>
      <w:proofErr w:type="spellStart"/>
      <w:r w:rsidRPr="002F22A9">
        <w:rPr>
          <w:rFonts w:eastAsiaTheme="minorHAnsi" w:cstheme="minorHAnsi"/>
          <w:color w:val="1A1A1A"/>
          <w:lang w:eastAsia="en-US"/>
        </w:rPr>
        <w:t>Zalta</w:t>
      </w:r>
      <w:proofErr w:type="spellEnd"/>
      <w:r w:rsidRPr="002F22A9">
        <w:rPr>
          <w:rFonts w:eastAsiaTheme="minorHAnsi" w:cstheme="minorHAnsi"/>
          <w:color w:val="1A1A1A"/>
          <w:lang w:eastAsia="en-US"/>
        </w:rPr>
        <w:t> (ed.), URL</w:t>
      </w:r>
      <w:r>
        <w:rPr>
          <w:rFonts w:eastAsiaTheme="minorHAnsi" w:cstheme="minorHAnsi"/>
          <w:color w:val="1A1A1A"/>
          <w:lang w:eastAsia="en-US"/>
        </w:rPr>
        <w:t xml:space="preserve">: </w:t>
      </w:r>
      <w:hyperlink r:id="rId6" w:history="1">
        <w:r w:rsidRPr="00B02A2D">
          <w:rPr>
            <w:rStyle w:val="Hyperlink"/>
            <w:rFonts w:eastAsiaTheme="minorHAnsi" w:cstheme="minorHAnsi"/>
            <w:lang w:eastAsia="en-US"/>
          </w:rPr>
          <w:t>https://plato.stanford.edu/archives/sum2016/entries/scientific-method/</w:t>
        </w:r>
      </w:hyperlink>
      <w:r>
        <w:rPr>
          <w:rFonts w:eastAsiaTheme="minorHAnsi" w:cstheme="minorHAnsi"/>
          <w:color w:val="1A1A1A"/>
          <w:lang w:eastAsia="en-US"/>
        </w:rPr>
        <w:t xml:space="preserve"> </w:t>
      </w:r>
      <w:r>
        <w:t xml:space="preserve"> </w:t>
      </w:r>
      <w:bookmarkEnd w:id="7"/>
    </w:p>
  </w:footnote>
  <w:footnote w:id="11">
    <w:p w14:paraId="63145E59" w14:textId="77777777" w:rsidR="00CF6D08" w:rsidRDefault="00CF6D08" w:rsidP="00CF6D08">
      <w:pPr>
        <w:pStyle w:val="FootnoteText"/>
      </w:pPr>
      <w:r>
        <w:rPr>
          <w:rStyle w:val="FootnoteReference"/>
        </w:rPr>
        <w:footnoteRef/>
      </w:r>
      <w:r>
        <w:t xml:space="preserve">  </w:t>
      </w:r>
      <w:r w:rsidRPr="002F22A9">
        <w:rPr>
          <w:i/>
        </w:rPr>
        <w:t>IBID</w:t>
      </w:r>
    </w:p>
  </w:footnote>
  <w:footnote w:id="12">
    <w:p w14:paraId="1F745C2B" w14:textId="77777777" w:rsidR="00CF6D08" w:rsidRDefault="00CF6D08" w:rsidP="00CF6D08">
      <w:pPr>
        <w:pStyle w:val="FootnoteText"/>
      </w:pPr>
      <w:r>
        <w:rPr>
          <w:rStyle w:val="FootnoteReference"/>
        </w:rPr>
        <w:footnoteRef/>
      </w:r>
      <w:r>
        <w:t xml:space="preserve"> </w:t>
      </w:r>
      <w:r w:rsidRPr="002F22A9">
        <w:rPr>
          <w:i/>
        </w:rPr>
        <w:t>IBID</w:t>
      </w:r>
    </w:p>
  </w:footnote>
  <w:footnote w:id="13">
    <w:p w14:paraId="4E009D4F" w14:textId="77777777" w:rsidR="00CF6D08" w:rsidRPr="005273ED" w:rsidRDefault="00CF6D08" w:rsidP="00CF6D08">
      <w:pPr>
        <w:rPr>
          <w:rFonts w:ascii="Arial" w:eastAsia="Times New Roman" w:hAnsi="Arial" w:cs="Arial"/>
          <w:color w:val="660099"/>
          <w:sz w:val="24"/>
          <w:szCs w:val="24"/>
          <w:u w:val="single"/>
          <w:shd w:val="clear" w:color="auto" w:fill="FFFFFF"/>
          <w:lang w:eastAsia="en-GB"/>
        </w:rPr>
      </w:pPr>
      <w:r>
        <w:rPr>
          <w:rStyle w:val="FootnoteReference"/>
        </w:rPr>
        <w:footnoteRef/>
      </w:r>
      <w:r>
        <w:t xml:space="preserve"> </w:t>
      </w:r>
      <w:r>
        <w:rPr>
          <w:rFonts w:ascii="Arial" w:eastAsia="Times New Roman" w:hAnsi="Arial" w:cs="Arial"/>
          <w:color w:val="006621"/>
          <w:sz w:val="21"/>
          <w:szCs w:val="21"/>
          <w:u w:val="single"/>
          <w:shd w:val="clear" w:color="auto" w:fill="FFFFFF"/>
          <w:lang w:eastAsia="en-GB"/>
        </w:rPr>
        <w:fldChar w:fldCharType="begin"/>
      </w:r>
      <w:r>
        <w:rPr>
          <w:rFonts w:ascii="Arial" w:eastAsia="Times New Roman" w:hAnsi="Arial" w:cs="Arial"/>
          <w:color w:val="006621"/>
          <w:sz w:val="21"/>
          <w:szCs w:val="21"/>
          <w:u w:val="single"/>
          <w:shd w:val="clear" w:color="auto" w:fill="FFFFFF"/>
          <w:lang w:eastAsia="en-GB"/>
        </w:rPr>
        <w:instrText xml:space="preserve"> HYPERLINK "</w:instrText>
      </w:r>
      <w:r w:rsidRPr="005273ED">
        <w:rPr>
          <w:rFonts w:ascii="Arial" w:eastAsia="Times New Roman" w:hAnsi="Arial" w:cs="Arial"/>
          <w:color w:val="006621"/>
          <w:sz w:val="21"/>
          <w:szCs w:val="21"/>
          <w:u w:val="single"/>
          <w:shd w:val="clear" w:color="auto" w:fill="FFFFFF"/>
          <w:lang w:eastAsia="en-GB"/>
        </w:rPr>
        <w:instrText>https://plato.stanford.edu/entries/plato/</w:instrText>
      </w:r>
    </w:p>
    <w:p w14:paraId="089FC8AD" w14:textId="77777777" w:rsidR="00CF6D08" w:rsidRPr="001A7FD1" w:rsidRDefault="00CF6D08" w:rsidP="00CF6D08">
      <w:pPr>
        <w:rPr>
          <w:rStyle w:val="Hyperlink"/>
          <w:rFonts w:ascii="Arial" w:eastAsia="Times New Roman" w:hAnsi="Arial" w:cs="Arial"/>
          <w:sz w:val="24"/>
          <w:szCs w:val="24"/>
          <w:shd w:val="clear" w:color="auto" w:fill="FFFFFF"/>
          <w:lang w:eastAsia="en-GB"/>
        </w:rPr>
      </w:pPr>
      <w:r>
        <w:rPr>
          <w:rFonts w:ascii="Arial" w:eastAsia="Times New Roman" w:hAnsi="Arial" w:cs="Arial"/>
          <w:color w:val="006621"/>
          <w:sz w:val="21"/>
          <w:szCs w:val="21"/>
          <w:u w:val="single"/>
          <w:shd w:val="clear" w:color="auto" w:fill="FFFFFF"/>
          <w:lang w:eastAsia="en-GB"/>
        </w:rPr>
        <w:instrText xml:space="preserve">" </w:instrText>
      </w:r>
      <w:r>
        <w:rPr>
          <w:rFonts w:ascii="Arial" w:eastAsia="Times New Roman" w:hAnsi="Arial" w:cs="Arial"/>
          <w:color w:val="006621"/>
          <w:sz w:val="21"/>
          <w:szCs w:val="21"/>
          <w:u w:val="single"/>
          <w:shd w:val="clear" w:color="auto" w:fill="FFFFFF"/>
          <w:lang w:eastAsia="en-GB"/>
        </w:rPr>
        <w:fldChar w:fldCharType="separate"/>
      </w:r>
      <w:r w:rsidRPr="001A7FD1">
        <w:rPr>
          <w:rStyle w:val="Hyperlink"/>
          <w:rFonts w:ascii="Arial" w:eastAsia="Times New Roman" w:hAnsi="Arial" w:cs="Arial"/>
          <w:sz w:val="21"/>
          <w:szCs w:val="21"/>
          <w:shd w:val="clear" w:color="auto" w:fill="FFFFFF"/>
          <w:lang w:eastAsia="en-GB"/>
        </w:rPr>
        <w:t>https://plato.stanford.edu/entries/plato/</w:t>
      </w:r>
    </w:p>
    <w:p w14:paraId="74E25AAE" w14:textId="77777777" w:rsidR="00CF6D08" w:rsidRPr="005273ED" w:rsidRDefault="00CF6D08" w:rsidP="00CF6D08">
      <w:pPr>
        <w:rPr>
          <w:rFonts w:ascii="Arial" w:eastAsia="Times New Roman" w:hAnsi="Arial" w:cs="Arial"/>
          <w:color w:val="660099"/>
          <w:sz w:val="24"/>
          <w:szCs w:val="24"/>
          <w:u w:val="single"/>
          <w:shd w:val="clear" w:color="auto" w:fill="FFFFFF"/>
          <w:lang w:eastAsia="en-GB"/>
        </w:rPr>
      </w:pPr>
      <w:r>
        <w:rPr>
          <w:rFonts w:ascii="Arial" w:eastAsia="Times New Roman" w:hAnsi="Arial" w:cs="Arial"/>
          <w:color w:val="006621"/>
          <w:sz w:val="21"/>
          <w:szCs w:val="21"/>
          <w:u w:val="single"/>
          <w:shd w:val="clear" w:color="auto" w:fill="FFFFFF"/>
          <w:lang w:eastAsia="en-GB"/>
        </w:rPr>
        <w:fldChar w:fldCharType="end"/>
      </w:r>
      <w:r>
        <w:rPr>
          <w:rStyle w:val="FootnoteReference"/>
        </w:rPr>
        <w:footnoteRef/>
      </w:r>
      <w:r>
        <w:t xml:space="preserve"> </w:t>
      </w:r>
      <w:r>
        <w:rPr>
          <w:rFonts w:ascii="Arial" w:eastAsia="Times New Roman" w:hAnsi="Arial" w:cs="Arial"/>
          <w:color w:val="006621"/>
          <w:sz w:val="21"/>
          <w:szCs w:val="21"/>
          <w:u w:val="single"/>
          <w:shd w:val="clear" w:color="auto" w:fill="FFFFFF"/>
          <w:lang w:eastAsia="en-GB"/>
        </w:rPr>
        <w:fldChar w:fldCharType="begin"/>
      </w:r>
      <w:r>
        <w:rPr>
          <w:rFonts w:ascii="Arial" w:eastAsia="Times New Roman" w:hAnsi="Arial" w:cs="Arial"/>
          <w:color w:val="006621"/>
          <w:sz w:val="21"/>
          <w:szCs w:val="21"/>
          <w:u w:val="single"/>
          <w:shd w:val="clear" w:color="auto" w:fill="FFFFFF"/>
          <w:lang w:eastAsia="en-GB"/>
        </w:rPr>
        <w:instrText xml:space="preserve"> HYPERLINK "</w:instrText>
      </w:r>
      <w:r w:rsidRPr="005273ED">
        <w:rPr>
          <w:rFonts w:ascii="Arial" w:eastAsia="Times New Roman" w:hAnsi="Arial" w:cs="Arial"/>
          <w:color w:val="006621"/>
          <w:sz w:val="21"/>
          <w:szCs w:val="21"/>
          <w:u w:val="single"/>
          <w:shd w:val="clear" w:color="auto" w:fill="FFFFFF"/>
          <w:lang w:eastAsia="en-GB"/>
        </w:rPr>
        <w:instrText>https://plato.stanford.edu/entries/rationalism-empiricism/</w:instrText>
      </w:r>
    </w:p>
    <w:p w14:paraId="2ABDAA24" w14:textId="77777777" w:rsidR="00CF6D08" w:rsidRPr="001A7FD1" w:rsidRDefault="00CF6D08" w:rsidP="00CF6D08">
      <w:pPr>
        <w:rPr>
          <w:rStyle w:val="Hyperlink"/>
          <w:rFonts w:ascii="Arial" w:eastAsia="Times New Roman" w:hAnsi="Arial" w:cs="Arial"/>
          <w:sz w:val="24"/>
          <w:szCs w:val="24"/>
          <w:shd w:val="clear" w:color="auto" w:fill="FFFFFF"/>
          <w:lang w:eastAsia="en-GB"/>
        </w:rPr>
      </w:pPr>
      <w:r>
        <w:rPr>
          <w:rFonts w:ascii="Arial" w:eastAsia="Times New Roman" w:hAnsi="Arial" w:cs="Arial"/>
          <w:color w:val="006621"/>
          <w:sz w:val="21"/>
          <w:szCs w:val="21"/>
          <w:u w:val="single"/>
          <w:shd w:val="clear" w:color="auto" w:fill="FFFFFF"/>
          <w:lang w:eastAsia="en-GB"/>
        </w:rPr>
        <w:instrText xml:space="preserve">" </w:instrText>
      </w:r>
      <w:r>
        <w:rPr>
          <w:rFonts w:ascii="Arial" w:eastAsia="Times New Roman" w:hAnsi="Arial" w:cs="Arial"/>
          <w:color w:val="006621"/>
          <w:sz w:val="21"/>
          <w:szCs w:val="21"/>
          <w:u w:val="single"/>
          <w:shd w:val="clear" w:color="auto" w:fill="FFFFFF"/>
          <w:lang w:eastAsia="en-GB"/>
        </w:rPr>
        <w:fldChar w:fldCharType="separate"/>
      </w:r>
      <w:r w:rsidRPr="001A7FD1">
        <w:rPr>
          <w:rStyle w:val="Hyperlink"/>
          <w:rFonts w:ascii="Arial" w:eastAsia="Times New Roman" w:hAnsi="Arial" w:cs="Arial"/>
          <w:sz w:val="21"/>
          <w:szCs w:val="21"/>
          <w:shd w:val="clear" w:color="auto" w:fill="FFFFFF"/>
          <w:lang w:eastAsia="en-GB"/>
        </w:rPr>
        <w:t>https://plato.stanford.edu/entries/rationalism-empiricism/</w:t>
      </w:r>
    </w:p>
    <w:p w14:paraId="4934F454" w14:textId="77777777" w:rsidR="00CF6D08" w:rsidRDefault="00CF6D08" w:rsidP="00CF6D08">
      <w:pPr>
        <w:pStyle w:val="FootnoteText"/>
      </w:pPr>
      <w:r>
        <w:rPr>
          <w:rFonts w:ascii="Arial" w:eastAsia="Times New Roman" w:hAnsi="Arial" w:cs="Arial"/>
          <w:color w:val="006621"/>
          <w:sz w:val="21"/>
          <w:szCs w:val="21"/>
          <w:u w:val="single"/>
          <w:shd w:val="clear" w:color="auto" w:fill="FFFFFF"/>
        </w:rPr>
        <w:fldChar w:fldCharType="end"/>
      </w:r>
    </w:p>
  </w:footnote>
  <w:footnote w:id="14">
    <w:p w14:paraId="0F8E1EC6" w14:textId="77777777" w:rsidR="00CF6D08" w:rsidRDefault="00CF6D08" w:rsidP="00CF6D08">
      <w:pPr>
        <w:pStyle w:val="FootnoteText"/>
      </w:pPr>
    </w:p>
  </w:footnote>
  <w:footnote w:id="15">
    <w:p w14:paraId="5A3F46C1" w14:textId="77777777" w:rsidR="00CF6D08" w:rsidRDefault="00CF6D08" w:rsidP="00CF6D08">
      <w:pPr>
        <w:pStyle w:val="FootnoteText"/>
      </w:pPr>
      <w:r>
        <w:rPr>
          <w:rStyle w:val="FootnoteReference"/>
        </w:rPr>
        <w:footnoteRef/>
      </w:r>
      <w:r>
        <w:t xml:space="preserve"> </w:t>
      </w:r>
      <w:bookmarkStart w:id="12" w:name="_Hlk532778618"/>
      <w:r>
        <w:t xml:space="preserve">Steven. Knight, ‘Whether the existence of God is self-evident?’ </w:t>
      </w:r>
      <w:r w:rsidRPr="002F22A9">
        <w:rPr>
          <w:i/>
        </w:rPr>
        <w:t xml:space="preserve">The Summa </w:t>
      </w:r>
      <w:proofErr w:type="spellStart"/>
      <w:r w:rsidRPr="002F22A9">
        <w:rPr>
          <w:i/>
        </w:rPr>
        <w:t>Theologia</w:t>
      </w:r>
      <w:proofErr w:type="spellEnd"/>
      <w:r w:rsidRPr="002F22A9">
        <w:rPr>
          <w:i/>
        </w:rPr>
        <w:t xml:space="preserve"> of St. Thomas Aquinas.</w:t>
      </w:r>
      <w:r>
        <w:t xml:space="preserve"> Second and revised edition, (1920). Literally translated by Fathers of the Dominican Province. Online edition (2017) by </w:t>
      </w:r>
      <w:hyperlink r:id="rId7" w:history="1">
        <w:r w:rsidRPr="002C6D61">
          <w:rPr>
            <w:rStyle w:val="Hyperlink"/>
          </w:rPr>
          <w:t>http://www.newadvent.org/summa/1002.htm</w:t>
        </w:r>
      </w:hyperlink>
      <w:r>
        <w:t xml:space="preserve">  </w:t>
      </w:r>
      <w:bookmarkEnd w:id="12"/>
    </w:p>
  </w:footnote>
  <w:footnote w:id="16">
    <w:p w14:paraId="488A3620" w14:textId="77777777" w:rsidR="00CF6D08" w:rsidRDefault="00CF6D08" w:rsidP="00CF6D08">
      <w:pPr>
        <w:pStyle w:val="FootnoteText"/>
      </w:pPr>
      <w:r>
        <w:rPr>
          <w:rStyle w:val="FootnoteReference"/>
        </w:rPr>
        <w:footnoteRef/>
      </w:r>
      <w:r>
        <w:t xml:space="preserve"> </w:t>
      </w:r>
      <w:bookmarkStart w:id="13" w:name="_Hlk532738842"/>
      <w:r>
        <w:t xml:space="preserve">Thomas. Nelson &amp; Sons (publisher), </w:t>
      </w:r>
      <w:r w:rsidRPr="00575B2A">
        <w:rPr>
          <w:i/>
        </w:rPr>
        <w:t>The New Testament of our Lord and Saviour Jesus Christ</w:t>
      </w:r>
      <w:r>
        <w:t>. Revised standard version (</w:t>
      </w:r>
      <w:r w:rsidRPr="00906D4C">
        <w:rPr>
          <w:sz w:val="18"/>
          <w:szCs w:val="18"/>
        </w:rPr>
        <w:t>translated from the Greek, being the version set forth A. D. 1611</w:t>
      </w:r>
      <w:r>
        <w:t>) TITUS 2:11: (Massachusetts: Norwood Press, 1946) pp. 456-458</w:t>
      </w:r>
      <w:bookmarkEnd w:id="13"/>
    </w:p>
  </w:footnote>
  <w:footnote w:id="17">
    <w:p w14:paraId="794B458F" w14:textId="77777777" w:rsidR="00CF6D08" w:rsidRDefault="00CF6D08" w:rsidP="00CF6D08">
      <w:pPr>
        <w:pStyle w:val="FootnoteText"/>
      </w:pPr>
      <w:r>
        <w:rPr>
          <w:rStyle w:val="FootnoteReference"/>
        </w:rPr>
        <w:footnoteRef/>
      </w:r>
      <w:r>
        <w:t xml:space="preserve"> </w:t>
      </w:r>
      <w:bookmarkStart w:id="14" w:name="_Hlk532778550"/>
      <w:r w:rsidRPr="00525918">
        <w:rPr>
          <w:rFonts w:eastAsiaTheme="minorHAnsi" w:cstheme="minorHAnsi"/>
          <w:color w:val="1A1A1A"/>
          <w:lang w:eastAsia="en-US"/>
        </w:rPr>
        <w:t>Markie, Peter, "Rationalism vs. Empiricism", </w:t>
      </w:r>
      <w:r w:rsidRPr="00525918">
        <w:rPr>
          <w:rFonts w:eastAsiaTheme="minorHAnsi" w:cstheme="minorHAnsi"/>
          <w:i/>
          <w:iCs/>
          <w:color w:val="1A1A1A"/>
          <w:lang w:eastAsia="en-US"/>
        </w:rPr>
        <w:t>The Stanford Encyclopaedia of Philosophy </w:t>
      </w:r>
      <w:r w:rsidRPr="00525918">
        <w:rPr>
          <w:rFonts w:eastAsiaTheme="minorHAnsi" w:cstheme="minorHAnsi"/>
          <w:color w:val="1A1A1A"/>
          <w:lang w:eastAsia="en-US"/>
        </w:rPr>
        <w:t xml:space="preserve">(Fall 2017 Edition), Edward N. </w:t>
      </w:r>
      <w:proofErr w:type="spellStart"/>
      <w:r w:rsidRPr="00525918">
        <w:rPr>
          <w:rFonts w:eastAsiaTheme="minorHAnsi" w:cstheme="minorHAnsi"/>
          <w:color w:val="1A1A1A"/>
          <w:lang w:eastAsia="en-US"/>
        </w:rPr>
        <w:t>Zalta</w:t>
      </w:r>
      <w:proofErr w:type="spellEnd"/>
      <w:r w:rsidRPr="00525918">
        <w:rPr>
          <w:rFonts w:eastAsiaTheme="minorHAnsi" w:cstheme="minorHAnsi"/>
          <w:color w:val="1A1A1A"/>
          <w:lang w:eastAsia="en-US"/>
        </w:rPr>
        <w:t xml:space="preserve"> (ed.), </w:t>
      </w:r>
      <w:r>
        <w:rPr>
          <w:rFonts w:eastAsiaTheme="minorHAnsi" w:cstheme="minorHAnsi"/>
          <w:color w:val="1A1A1A"/>
          <w:lang w:eastAsia="en-US"/>
        </w:rPr>
        <w:t xml:space="preserve"> URL&gt; </w:t>
      </w:r>
      <w:hyperlink r:id="rId8" w:history="1">
        <w:r w:rsidRPr="00574F69">
          <w:rPr>
            <w:rStyle w:val="Hyperlink"/>
            <w:rFonts w:eastAsiaTheme="minorHAnsi" w:cstheme="minorHAnsi"/>
            <w:lang w:eastAsia="en-US"/>
          </w:rPr>
          <w:t>https://plato.stanford.edu/archives/fall2017/entries/rationalism-empiricism/</w:t>
        </w:r>
      </w:hyperlink>
      <w:r>
        <w:rPr>
          <w:rFonts w:eastAsiaTheme="minorHAnsi" w:cstheme="minorHAnsi"/>
          <w:color w:val="1A1A1A"/>
          <w:lang w:eastAsia="en-US"/>
        </w:rPr>
        <w:t xml:space="preserve">  </w:t>
      </w:r>
      <w:bookmarkEnd w:id="14"/>
    </w:p>
  </w:footnote>
  <w:footnote w:id="18">
    <w:p w14:paraId="57B87A48" w14:textId="77777777" w:rsidR="00CF6D08" w:rsidRDefault="00CF6D08" w:rsidP="00CF6D08">
      <w:pPr>
        <w:pStyle w:val="FootnoteText"/>
      </w:pPr>
      <w:r>
        <w:rPr>
          <w:rStyle w:val="FootnoteReference"/>
        </w:rPr>
        <w:footnoteRef/>
      </w:r>
      <w:r>
        <w:t xml:space="preserve"> Thomas. Nelson &amp; Sons (publisher), </w:t>
      </w:r>
      <w:r w:rsidRPr="00575B2A">
        <w:rPr>
          <w:i/>
        </w:rPr>
        <w:t>The New Testament of our Lord and Saviour Jesus Christ</w:t>
      </w:r>
      <w:r>
        <w:t>. Revised standard version (</w:t>
      </w:r>
      <w:r w:rsidRPr="00906D4C">
        <w:rPr>
          <w:sz w:val="18"/>
          <w:szCs w:val="18"/>
        </w:rPr>
        <w:t>translated from the Greek, being the version set forth A. D. 1611)</w:t>
      </w:r>
      <w:r>
        <w:t xml:space="preserve"> HEBREWS 4:11: (Massachusetts: Norwood Press, 1946) pp. 477-480</w:t>
      </w:r>
    </w:p>
  </w:footnote>
  <w:footnote w:id="19">
    <w:p w14:paraId="5B37F565" w14:textId="77777777" w:rsidR="00CF6D08" w:rsidRDefault="00CF6D08" w:rsidP="00CF6D08">
      <w:pPr>
        <w:pStyle w:val="FootnoteText"/>
      </w:pPr>
      <w:r>
        <w:rPr>
          <w:rStyle w:val="FootnoteReference"/>
        </w:rPr>
        <w:footnoteRef/>
      </w:r>
      <w:r>
        <w:t xml:space="preserve"> Thomas. Nelson &amp; Sons, </w:t>
      </w:r>
      <w:r w:rsidRPr="00575B2A">
        <w:rPr>
          <w:i/>
        </w:rPr>
        <w:t>The New Testament of our Lord and Saviour Jesus Christ</w:t>
      </w:r>
      <w:r>
        <w:t>. Revised standard version (</w:t>
      </w:r>
      <w:r w:rsidRPr="00230BD6">
        <w:rPr>
          <w:sz w:val="16"/>
          <w:szCs w:val="16"/>
        </w:rPr>
        <w:t>translated from the Greek, being the version set forth A. D. 1611</w:t>
      </w:r>
      <w:r>
        <w:t>).</w:t>
      </w:r>
    </w:p>
    <w:p w14:paraId="0CCE0A59" w14:textId="77777777" w:rsidR="00CF6D08" w:rsidRPr="00B02CF4" w:rsidRDefault="00CF6D08" w:rsidP="00CF6D08">
      <w:pPr>
        <w:pStyle w:val="FootnoteText"/>
        <w:rPr>
          <w:b/>
        </w:rPr>
      </w:pPr>
      <w:r>
        <w:t>JOHN 3:18: (Massachusetts: Norwood Press, 1946) p.</w:t>
      </w:r>
      <w:r w:rsidRPr="00B03911">
        <w:rPr>
          <w:rFonts w:ascii="Calibri" w:hAnsi="Calibri" w:cs="Calibri"/>
          <w:lang w:val="en"/>
        </w:rPr>
        <w:t xml:space="preserve"> </w:t>
      </w:r>
      <w:r>
        <w:rPr>
          <w:rFonts w:ascii="Calibri" w:hAnsi="Calibri" w:cs="Calibri"/>
          <w:lang w:val="en"/>
        </w:rPr>
        <w:t>195</w:t>
      </w:r>
    </w:p>
  </w:footnote>
  <w:footnote w:id="20">
    <w:p w14:paraId="576FA5F6" w14:textId="77777777" w:rsidR="00CF6D08" w:rsidRDefault="00CF6D08" w:rsidP="00CF6D08">
      <w:pPr>
        <w:pStyle w:val="FootnoteText"/>
      </w:pPr>
      <w:r>
        <w:rPr>
          <w:rStyle w:val="FootnoteReference"/>
        </w:rPr>
        <w:footnoteRef/>
      </w:r>
      <w:r>
        <w:t xml:space="preserve"> </w:t>
      </w:r>
      <w:bookmarkStart w:id="15" w:name="_Hlk532739634"/>
      <w:r>
        <w:rPr>
          <w:rFonts w:ascii="Calibri" w:hAnsi="Calibri" w:cs="Calibri"/>
          <w:lang w:val="en"/>
        </w:rPr>
        <w:t xml:space="preserve">Jean-Pierre. </w:t>
      </w:r>
      <w:proofErr w:type="spellStart"/>
      <w:r>
        <w:rPr>
          <w:rFonts w:ascii="Calibri" w:hAnsi="Calibri" w:cs="Calibri"/>
          <w:lang w:val="en"/>
        </w:rPr>
        <w:t>Torrell</w:t>
      </w:r>
      <w:proofErr w:type="spellEnd"/>
      <w:r>
        <w:rPr>
          <w:rFonts w:ascii="Calibri" w:hAnsi="Calibri" w:cs="Calibri"/>
          <w:lang w:val="en"/>
        </w:rPr>
        <w:t xml:space="preserve">, O.P, Robert. Royal (trans), </w:t>
      </w:r>
      <w:r w:rsidRPr="007B7441">
        <w:rPr>
          <w:rFonts w:ascii="Calibri" w:hAnsi="Calibri" w:cs="Calibri"/>
          <w:i/>
          <w:lang w:val="en"/>
        </w:rPr>
        <w:t>Saint Thomas Aquinas, vol; ii, Spiritual Master</w:t>
      </w:r>
      <w:r>
        <w:rPr>
          <w:rFonts w:ascii="Calibri" w:hAnsi="Calibri" w:cs="Calibri"/>
          <w:i/>
          <w:lang w:val="en"/>
        </w:rPr>
        <w:t xml:space="preserve"> </w:t>
      </w:r>
      <w:r w:rsidRPr="003A12A9">
        <w:rPr>
          <w:rFonts w:ascii="Calibri" w:hAnsi="Calibri" w:cs="Calibri"/>
          <w:lang w:val="en"/>
        </w:rPr>
        <w:t>(USA: The Catholic University of America Press, 2003)</w:t>
      </w:r>
      <w:r>
        <w:rPr>
          <w:rFonts w:ascii="Calibri" w:hAnsi="Calibri" w:cs="Calibri"/>
          <w:lang w:val="en"/>
        </w:rPr>
        <w:t xml:space="preserve"> p.13</w:t>
      </w:r>
      <w:bookmarkEnd w:id="15"/>
    </w:p>
  </w:footnote>
  <w:footnote w:id="21">
    <w:p w14:paraId="713EBFF5" w14:textId="77777777" w:rsidR="00CF6D08" w:rsidRPr="008133B9" w:rsidRDefault="00CF6D08" w:rsidP="00CF6D08">
      <w:pPr>
        <w:pStyle w:val="FootnoteText"/>
        <w:rPr>
          <w:b/>
        </w:rPr>
      </w:pPr>
      <w:r>
        <w:rPr>
          <w:rStyle w:val="FootnoteReference"/>
        </w:rPr>
        <w:footnoteRef/>
      </w:r>
      <w:r>
        <w:t xml:space="preserve"> Thomas. Nelson &amp; Sons (publisher), </w:t>
      </w:r>
      <w:r w:rsidRPr="00575B2A">
        <w:rPr>
          <w:i/>
        </w:rPr>
        <w:t>The New Testament of our Lord and Saviour Jesus Christ</w:t>
      </w:r>
      <w:r>
        <w:t>. Revised standard version (</w:t>
      </w:r>
      <w:r w:rsidRPr="00906D4C">
        <w:rPr>
          <w:sz w:val="18"/>
          <w:szCs w:val="18"/>
        </w:rPr>
        <w:t>translated from the Greek, being the version set forth A. D. 1611</w:t>
      </w:r>
      <w:r>
        <w:t>) Hebrews 11:1 (Massachusetts: Norwood Press, 1946) p. 256</w:t>
      </w:r>
    </w:p>
  </w:footnote>
  <w:footnote w:id="22">
    <w:p w14:paraId="0F5701EF" w14:textId="77777777" w:rsidR="00CF6D08" w:rsidRDefault="00CF6D08" w:rsidP="00CF6D08">
      <w:pPr>
        <w:pStyle w:val="FootnoteText"/>
      </w:pPr>
      <w:r>
        <w:rPr>
          <w:rStyle w:val="FootnoteReference"/>
        </w:rPr>
        <w:footnoteRef/>
      </w:r>
      <w:r>
        <w:t xml:space="preserve"> </w:t>
      </w:r>
      <w:r>
        <w:rPr>
          <w:rFonts w:ascii="Calibri" w:hAnsi="Calibri" w:cs="Calibri"/>
          <w:lang w:val="en"/>
        </w:rPr>
        <w:t xml:space="preserve">Jean-Pierre. </w:t>
      </w:r>
      <w:proofErr w:type="spellStart"/>
      <w:r>
        <w:rPr>
          <w:rFonts w:ascii="Calibri" w:hAnsi="Calibri" w:cs="Calibri"/>
          <w:lang w:val="en"/>
        </w:rPr>
        <w:t>Torrell</w:t>
      </w:r>
      <w:proofErr w:type="spellEnd"/>
      <w:r>
        <w:rPr>
          <w:rFonts w:ascii="Calibri" w:hAnsi="Calibri" w:cs="Calibri"/>
          <w:lang w:val="en"/>
        </w:rPr>
        <w:t xml:space="preserve">, O.P, Robert. Royal (trans), </w:t>
      </w:r>
      <w:r w:rsidRPr="007B7441">
        <w:rPr>
          <w:rFonts w:ascii="Calibri" w:hAnsi="Calibri" w:cs="Calibri"/>
          <w:i/>
          <w:lang w:val="en"/>
        </w:rPr>
        <w:t>Saint Thomas Aquinas, vol; ii, Spiritual Master</w:t>
      </w:r>
      <w:r>
        <w:rPr>
          <w:rFonts w:ascii="Calibri" w:hAnsi="Calibri" w:cs="Calibri"/>
          <w:i/>
          <w:lang w:val="en"/>
        </w:rPr>
        <w:t xml:space="preserve"> </w:t>
      </w:r>
      <w:r w:rsidRPr="003A12A9">
        <w:rPr>
          <w:rFonts w:ascii="Calibri" w:hAnsi="Calibri" w:cs="Calibri"/>
          <w:lang w:val="en"/>
        </w:rPr>
        <w:t>(USA: The Catholic University of America Press, 2003)</w:t>
      </w:r>
      <w:r>
        <w:rPr>
          <w:rFonts w:ascii="Calibri" w:hAnsi="Calibri" w:cs="Calibri"/>
          <w:lang w:val="en"/>
        </w:rPr>
        <w:t xml:space="preserve"> p.13</w:t>
      </w:r>
    </w:p>
  </w:footnote>
  <w:footnote w:id="23">
    <w:p w14:paraId="17F1DEE8" w14:textId="77777777" w:rsidR="00CF6D08" w:rsidRDefault="00CF6D08" w:rsidP="00CF6D08">
      <w:pPr>
        <w:pStyle w:val="FootnoteText"/>
      </w:pPr>
      <w:r>
        <w:rPr>
          <w:rStyle w:val="FootnoteReference"/>
        </w:rPr>
        <w:footnoteRef/>
      </w:r>
      <w:r>
        <w:t xml:space="preserve"> </w:t>
      </w:r>
      <w:r>
        <w:rPr>
          <w:rFonts w:ascii="Calibri" w:hAnsi="Calibri" w:cs="Calibri"/>
          <w:lang w:val="en"/>
        </w:rPr>
        <w:t xml:space="preserve">Jean-Pierre. </w:t>
      </w:r>
      <w:proofErr w:type="spellStart"/>
      <w:r>
        <w:rPr>
          <w:rFonts w:ascii="Calibri" w:hAnsi="Calibri" w:cs="Calibri"/>
          <w:lang w:val="en"/>
        </w:rPr>
        <w:t>Torrell</w:t>
      </w:r>
      <w:proofErr w:type="spellEnd"/>
      <w:r>
        <w:rPr>
          <w:rFonts w:ascii="Calibri" w:hAnsi="Calibri" w:cs="Calibri"/>
          <w:lang w:val="en"/>
        </w:rPr>
        <w:t xml:space="preserve">, O.P, Robert. Royal (trans), </w:t>
      </w:r>
      <w:r w:rsidRPr="007B7441">
        <w:rPr>
          <w:rFonts w:ascii="Calibri" w:hAnsi="Calibri" w:cs="Calibri"/>
          <w:i/>
          <w:lang w:val="en"/>
        </w:rPr>
        <w:t>Saint Thomas Aquinas, vol; ii, Spiritual Master</w:t>
      </w:r>
      <w:r>
        <w:rPr>
          <w:rFonts w:ascii="Calibri" w:hAnsi="Calibri" w:cs="Calibri"/>
          <w:i/>
          <w:lang w:val="en"/>
        </w:rPr>
        <w:t xml:space="preserve"> </w:t>
      </w:r>
      <w:r w:rsidRPr="003A12A9">
        <w:rPr>
          <w:rFonts w:ascii="Calibri" w:hAnsi="Calibri" w:cs="Calibri"/>
          <w:lang w:val="en"/>
        </w:rPr>
        <w:t>(USA: The Catholic University of America Press, 2003)</w:t>
      </w:r>
      <w:r>
        <w:rPr>
          <w:rFonts w:ascii="Calibri" w:hAnsi="Calibri" w:cs="Calibri"/>
          <w:lang w:val="en"/>
        </w:rPr>
        <w:t xml:space="preserve"> p.14</w:t>
      </w:r>
    </w:p>
  </w:footnote>
  <w:footnote w:id="24">
    <w:p w14:paraId="35011CC9" w14:textId="77777777" w:rsidR="00CF6D08" w:rsidRDefault="00CF6D08" w:rsidP="00CF6D08">
      <w:pPr>
        <w:pStyle w:val="FootnoteText"/>
      </w:pPr>
      <w:r>
        <w:rPr>
          <w:rStyle w:val="FootnoteReference"/>
        </w:rPr>
        <w:footnoteRef/>
      </w:r>
      <w:r>
        <w:t xml:space="preserve"> </w:t>
      </w:r>
      <w:r w:rsidRPr="00D70E16">
        <w:rPr>
          <w:i/>
        </w:rPr>
        <w:t>IBID</w:t>
      </w:r>
    </w:p>
  </w:footnote>
  <w:footnote w:id="25">
    <w:p w14:paraId="06BA0ED5" w14:textId="77777777" w:rsidR="00CF6D08" w:rsidRDefault="00CF6D08" w:rsidP="00CF6D08">
      <w:pPr>
        <w:pStyle w:val="FootnoteText"/>
      </w:pPr>
      <w:r>
        <w:rPr>
          <w:rStyle w:val="FootnoteReference"/>
        </w:rPr>
        <w:footnoteRef/>
      </w:r>
      <w:r>
        <w:t xml:space="preserve"> </w:t>
      </w:r>
      <w:r w:rsidRPr="00D70E16">
        <w:rPr>
          <w:i/>
        </w:rPr>
        <w:t>IBID</w:t>
      </w:r>
    </w:p>
  </w:footnote>
  <w:footnote w:id="26">
    <w:p w14:paraId="2AD7C39E" w14:textId="77777777" w:rsidR="00CF6D08" w:rsidRDefault="00CF6D08" w:rsidP="00CF6D08">
      <w:pPr>
        <w:pStyle w:val="FootnoteText"/>
      </w:pPr>
      <w:r>
        <w:rPr>
          <w:rStyle w:val="FootnoteReference"/>
        </w:rPr>
        <w:footnoteRef/>
      </w:r>
      <w:r>
        <w:t xml:space="preserve"> </w:t>
      </w:r>
      <w:r>
        <w:rPr>
          <w:rFonts w:ascii="Calibri" w:hAnsi="Calibri" w:cs="Calibri"/>
          <w:lang w:val="en"/>
        </w:rPr>
        <w:t xml:space="preserve">Jean-Pierre. </w:t>
      </w:r>
      <w:proofErr w:type="spellStart"/>
      <w:r>
        <w:rPr>
          <w:rFonts w:ascii="Calibri" w:hAnsi="Calibri" w:cs="Calibri"/>
          <w:lang w:val="en"/>
        </w:rPr>
        <w:t>Torrell</w:t>
      </w:r>
      <w:proofErr w:type="spellEnd"/>
      <w:r>
        <w:rPr>
          <w:rFonts w:ascii="Calibri" w:hAnsi="Calibri" w:cs="Calibri"/>
          <w:lang w:val="en"/>
        </w:rPr>
        <w:t xml:space="preserve">, O.P, Robert. Royal (trans), </w:t>
      </w:r>
      <w:r w:rsidRPr="007B7441">
        <w:rPr>
          <w:rFonts w:ascii="Calibri" w:hAnsi="Calibri" w:cs="Calibri"/>
          <w:i/>
          <w:lang w:val="en"/>
        </w:rPr>
        <w:t>Saint Thomas Aquinas, vol; ii, Spiritual Master</w:t>
      </w:r>
      <w:r>
        <w:rPr>
          <w:rFonts w:ascii="Calibri" w:hAnsi="Calibri" w:cs="Calibri"/>
          <w:i/>
          <w:lang w:val="en"/>
        </w:rPr>
        <w:t xml:space="preserve"> </w:t>
      </w:r>
      <w:r w:rsidRPr="003A12A9">
        <w:rPr>
          <w:rFonts w:ascii="Calibri" w:hAnsi="Calibri" w:cs="Calibri"/>
          <w:lang w:val="en"/>
        </w:rPr>
        <w:t>(USA: The Catholic University of America Press, 2003)</w:t>
      </w:r>
      <w:r>
        <w:rPr>
          <w:rFonts w:ascii="Calibri" w:hAnsi="Calibri" w:cs="Calibri"/>
          <w:lang w:val="en"/>
        </w:rPr>
        <w:t xml:space="preserve"> p.16</w:t>
      </w:r>
    </w:p>
  </w:footnote>
  <w:footnote w:id="27">
    <w:p w14:paraId="32784DC1" w14:textId="77777777" w:rsidR="00CF6D08" w:rsidRDefault="00CF6D08" w:rsidP="00CF6D08">
      <w:pPr>
        <w:pStyle w:val="FootnoteText"/>
      </w:pPr>
      <w:r>
        <w:rPr>
          <w:rStyle w:val="FootnoteReference"/>
        </w:rPr>
        <w:footnoteRef/>
      </w:r>
      <w:r>
        <w:t xml:space="preserve"> GENESIS 1:2. </w:t>
      </w:r>
      <w:hyperlink r:id="rId9" w:history="1">
        <w:r w:rsidRPr="002F163B">
          <w:rPr>
            <w:rStyle w:val="Hyperlink"/>
          </w:rPr>
          <w:t>http://www.vatican.va/archive/bible/genesis/documents/bible_genesis_en.html</w:t>
        </w:r>
      </w:hyperlink>
      <w:r>
        <w:t xml:space="preserve"> </w:t>
      </w:r>
    </w:p>
  </w:footnote>
  <w:footnote w:id="28">
    <w:p w14:paraId="4C4BB849" w14:textId="77777777" w:rsidR="00CF6D08" w:rsidRDefault="00CF6D08" w:rsidP="00CF6D08">
      <w:pPr>
        <w:pStyle w:val="FootnoteText"/>
      </w:pPr>
      <w:r>
        <w:rPr>
          <w:rStyle w:val="FootnoteReference"/>
        </w:rPr>
        <w:footnoteRef/>
      </w:r>
      <w:r>
        <w:t xml:space="preserve"> Thomas. Nelson &amp; Sons, </w:t>
      </w:r>
      <w:r w:rsidRPr="00575B2A">
        <w:rPr>
          <w:i/>
        </w:rPr>
        <w:t>The New Testament of our Lord and Saviour Jesus Christ</w:t>
      </w:r>
      <w:r>
        <w:t>. Revised standard version (</w:t>
      </w:r>
      <w:r w:rsidRPr="00906D4C">
        <w:rPr>
          <w:sz w:val="18"/>
          <w:szCs w:val="18"/>
        </w:rPr>
        <w:t>translated from the Greek, being the version set forth A. D. 1611).</w:t>
      </w:r>
    </w:p>
    <w:p w14:paraId="0FE993D3" w14:textId="77777777" w:rsidR="00CF6D08" w:rsidRDefault="00CF6D08" w:rsidP="00CF6D08">
      <w:pPr>
        <w:pStyle w:val="FootnoteText"/>
      </w:pPr>
      <w:r>
        <w:t>JOHN 1,14: (Massachusetts: Norwood Press, 1946) p.</w:t>
      </w:r>
      <w:r w:rsidRPr="00B03911">
        <w:rPr>
          <w:rFonts w:ascii="Calibri" w:hAnsi="Calibri" w:cs="Calibri"/>
          <w:lang w:val="en"/>
        </w:rPr>
        <w:t xml:space="preserve"> </w:t>
      </w:r>
      <w:r>
        <w:rPr>
          <w:rFonts w:ascii="Calibri" w:hAnsi="Calibri" w:cs="Calibri"/>
          <w:lang w:val="en"/>
        </w:rPr>
        <w:t>195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0552E3"/>
    <w:multiLevelType w:val="hybridMultilevel"/>
    <w:tmpl w:val="C54C77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04613C"/>
    <w:multiLevelType w:val="hybridMultilevel"/>
    <w:tmpl w:val="94B66F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FC371D"/>
    <w:multiLevelType w:val="multilevel"/>
    <w:tmpl w:val="0B7AB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0267E6"/>
    <w:multiLevelType w:val="hybridMultilevel"/>
    <w:tmpl w:val="0F6013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F2332C"/>
    <w:multiLevelType w:val="hybridMultilevel"/>
    <w:tmpl w:val="C54C77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EB5C96"/>
    <w:multiLevelType w:val="hybridMultilevel"/>
    <w:tmpl w:val="96BACDF6"/>
    <w:lvl w:ilvl="0" w:tplc="D87209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A7538C"/>
    <w:multiLevelType w:val="hybridMultilevel"/>
    <w:tmpl w:val="8A6843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E21CB9"/>
    <w:multiLevelType w:val="hybridMultilevel"/>
    <w:tmpl w:val="E3C482EC"/>
    <w:lvl w:ilvl="0" w:tplc="2540697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7"/>
  </w:num>
  <w:num w:numId="4">
    <w:abstractNumId w:val="5"/>
  </w:num>
  <w:num w:numId="5">
    <w:abstractNumId w:val="4"/>
  </w:num>
  <w:num w:numId="6">
    <w:abstractNumId w:val="3"/>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790C"/>
    <w:rsid w:val="00001D41"/>
    <w:rsid w:val="00026C49"/>
    <w:rsid w:val="000324A0"/>
    <w:rsid w:val="00033A37"/>
    <w:rsid w:val="00076B69"/>
    <w:rsid w:val="000817D2"/>
    <w:rsid w:val="00084054"/>
    <w:rsid w:val="00095C13"/>
    <w:rsid w:val="000B792C"/>
    <w:rsid w:val="000D3A23"/>
    <w:rsid w:val="000D502D"/>
    <w:rsid w:val="00101B1B"/>
    <w:rsid w:val="00107651"/>
    <w:rsid w:val="00111A7F"/>
    <w:rsid w:val="0011549D"/>
    <w:rsid w:val="00125B48"/>
    <w:rsid w:val="00132884"/>
    <w:rsid w:val="00136995"/>
    <w:rsid w:val="00137D5E"/>
    <w:rsid w:val="00150C48"/>
    <w:rsid w:val="001559C3"/>
    <w:rsid w:val="00157E7E"/>
    <w:rsid w:val="00161CD3"/>
    <w:rsid w:val="00167A6E"/>
    <w:rsid w:val="00185BE0"/>
    <w:rsid w:val="001918FC"/>
    <w:rsid w:val="00192FF5"/>
    <w:rsid w:val="001B4A75"/>
    <w:rsid w:val="001B6730"/>
    <w:rsid w:val="001C16C8"/>
    <w:rsid w:val="001C451E"/>
    <w:rsid w:val="001D2E3A"/>
    <w:rsid w:val="001F34BF"/>
    <w:rsid w:val="0020782B"/>
    <w:rsid w:val="002261FA"/>
    <w:rsid w:val="00230BD6"/>
    <w:rsid w:val="0023708E"/>
    <w:rsid w:val="00245B82"/>
    <w:rsid w:val="002504AD"/>
    <w:rsid w:val="00264531"/>
    <w:rsid w:val="002652BE"/>
    <w:rsid w:val="00273D66"/>
    <w:rsid w:val="0027529D"/>
    <w:rsid w:val="0028267A"/>
    <w:rsid w:val="00283ADC"/>
    <w:rsid w:val="00295B95"/>
    <w:rsid w:val="002A00DE"/>
    <w:rsid w:val="002A24CC"/>
    <w:rsid w:val="002B058B"/>
    <w:rsid w:val="002C5D37"/>
    <w:rsid w:val="002D27A9"/>
    <w:rsid w:val="002D6688"/>
    <w:rsid w:val="002E1064"/>
    <w:rsid w:val="002E667F"/>
    <w:rsid w:val="002F22A9"/>
    <w:rsid w:val="002F3CDD"/>
    <w:rsid w:val="003047E4"/>
    <w:rsid w:val="0032316A"/>
    <w:rsid w:val="00352818"/>
    <w:rsid w:val="00355235"/>
    <w:rsid w:val="0036363E"/>
    <w:rsid w:val="00377425"/>
    <w:rsid w:val="00380169"/>
    <w:rsid w:val="00383F70"/>
    <w:rsid w:val="00386889"/>
    <w:rsid w:val="00387AEE"/>
    <w:rsid w:val="00391338"/>
    <w:rsid w:val="003922D5"/>
    <w:rsid w:val="003A12A9"/>
    <w:rsid w:val="003A1C8D"/>
    <w:rsid w:val="003A2013"/>
    <w:rsid w:val="003B0274"/>
    <w:rsid w:val="003B181D"/>
    <w:rsid w:val="003B6D08"/>
    <w:rsid w:val="003D056D"/>
    <w:rsid w:val="003D2FA3"/>
    <w:rsid w:val="003E7473"/>
    <w:rsid w:val="0041163F"/>
    <w:rsid w:val="0041512F"/>
    <w:rsid w:val="00433116"/>
    <w:rsid w:val="00442A16"/>
    <w:rsid w:val="00453A12"/>
    <w:rsid w:val="00460D4C"/>
    <w:rsid w:val="004622DF"/>
    <w:rsid w:val="00462B09"/>
    <w:rsid w:val="00463506"/>
    <w:rsid w:val="00463D36"/>
    <w:rsid w:val="00480705"/>
    <w:rsid w:val="00480AD2"/>
    <w:rsid w:val="00485BC0"/>
    <w:rsid w:val="004B0488"/>
    <w:rsid w:val="004B13D9"/>
    <w:rsid w:val="004B68A6"/>
    <w:rsid w:val="004C6B2A"/>
    <w:rsid w:val="004C7BB5"/>
    <w:rsid w:val="004E3CE8"/>
    <w:rsid w:val="004E3E19"/>
    <w:rsid w:val="004F0070"/>
    <w:rsid w:val="005074D5"/>
    <w:rsid w:val="00525918"/>
    <w:rsid w:val="005273ED"/>
    <w:rsid w:val="00527B2F"/>
    <w:rsid w:val="00531D28"/>
    <w:rsid w:val="005650BF"/>
    <w:rsid w:val="00565908"/>
    <w:rsid w:val="00575B2A"/>
    <w:rsid w:val="005804DA"/>
    <w:rsid w:val="00595788"/>
    <w:rsid w:val="005B5651"/>
    <w:rsid w:val="005C164E"/>
    <w:rsid w:val="005C6A6B"/>
    <w:rsid w:val="005C6DA4"/>
    <w:rsid w:val="005D45CA"/>
    <w:rsid w:val="005D5065"/>
    <w:rsid w:val="005D6440"/>
    <w:rsid w:val="005D7FAA"/>
    <w:rsid w:val="005E0F80"/>
    <w:rsid w:val="005F3A99"/>
    <w:rsid w:val="00601684"/>
    <w:rsid w:val="00617A3B"/>
    <w:rsid w:val="0062561C"/>
    <w:rsid w:val="006337D5"/>
    <w:rsid w:val="00634D8F"/>
    <w:rsid w:val="00642B76"/>
    <w:rsid w:val="00643542"/>
    <w:rsid w:val="006474B6"/>
    <w:rsid w:val="00653C80"/>
    <w:rsid w:val="00675229"/>
    <w:rsid w:val="00687E7C"/>
    <w:rsid w:val="006A2EBA"/>
    <w:rsid w:val="006B0B77"/>
    <w:rsid w:val="006B1CB0"/>
    <w:rsid w:val="006B376A"/>
    <w:rsid w:val="006C5CC5"/>
    <w:rsid w:val="006C6BE3"/>
    <w:rsid w:val="006D0574"/>
    <w:rsid w:val="006F524D"/>
    <w:rsid w:val="006F6B87"/>
    <w:rsid w:val="00711536"/>
    <w:rsid w:val="00723820"/>
    <w:rsid w:val="007248C0"/>
    <w:rsid w:val="00726CE3"/>
    <w:rsid w:val="00730DB7"/>
    <w:rsid w:val="0073627C"/>
    <w:rsid w:val="00747229"/>
    <w:rsid w:val="0075589C"/>
    <w:rsid w:val="00763CFE"/>
    <w:rsid w:val="00773E1C"/>
    <w:rsid w:val="00777355"/>
    <w:rsid w:val="00785355"/>
    <w:rsid w:val="00787AD3"/>
    <w:rsid w:val="007902B5"/>
    <w:rsid w:val="0079048A"/>
    <w:rsid w:val="007906D5"/>
    <w:rsid w:val="007958DC"/>
    <w:rsid w:val="00797FAA"/>
    <w:rsid w:val="007B3AFA"/>
    <w:rsid w:val="007B7441"/>
    <w:rsid w:val="007D01F7"/>
    <w:rsid w:val="007D093E"/>
    <w:rsid w:val="007E08B2"/>
    <w:rsid w:val="007F4227"/>
    <w:rsid w:val="00801329"/>
    <w:rsid w:val="008048B2"/>
    <w:rsid w:val="0080625E"/>
    <w:rsid w:val="008112FF"/>
    <w:rsid w:val="008133B9"/>
    <w:rsid w:val="008211F0"/>
    <w:rsid w:val="008319AA"/>
    <w:rsid w:val="00837016"/>
    <w:rsid w:val="0084150F"/>
    <w:rsid w:val="00850C64"/>
    <w:rsid w:val="00852E0A"/>
    <w:rsid w:val="00854756"/>
    <w:rsid w:val="00856C7D"/>
    <w:rsid w:val="0086699E"/>
    <w:rsid w:val="00875CD8"/>
    <w:rsid w:val="00876CC8"/>
    <w:rsid w:val="00884828"/>
    <w:rsid w:val="00890BF1"/>
    <w:rsid w:val="008937A4"/>
    <w:rsid w:val="00897FA5"/>
    <w:rsid w:val="008B5DD8"/>
    <w:rsid w:val="008C3871"/>
    <w:rsid w:val="008D1051"/>
    <w:rsid w:val="008E2ED3"/>
    <w:rsid w:val="009056E8"/>
    <w:rsid w:val="00906D4C"/>
    <w:rsid w:val="00907EE4"/>
    <w:rsid w:val="00912904"/>
    <w:rsid w:val="00913027"/>
    <w:rsid w:val="009142E5"/>
    <w:rsid w:val="00923ED4"/>
    <w:rsid w:val="00931E6C"/>
    <w:rsid w:val="00934425"/>
    <w:rsid w:val="0094341A"/>
    <w:rsid w:val="00952DBB"/>
    <w:rsid w:val="00953FCC"/>
    <w:rsid w:val="009613E4"/>
    <w:rsid w:val="00966458"/>
    <w:rsid w:val="009810A0"/>
    <w:rsid w:val="00997ECE"/>
    <w:rsid w:val="009A1DD0"/>
    <w:rsid w:val="009A7358"/>
    <w:rsid w:val="009C3D54"/>
    <w:rsid w:val="009C541F"/>
    <w:rsid w:val="009C7CD6"/>
    <w:rsid w:val="009D40E4"/>
    <w:rsid w:val="009D7603"/>
    <w:rsid w:val="009F516C"/>
    <w:rsid w:val="00A0077E"/>
    <w:rsid w:val="00A07E35"/>
    <w:rsid w:val="00A12313"/>
    <w:rsid w:val="00A16D8B"/>
    <w:rsid w:val="00A36E72"/>
    <w:rsid w:val="00A4204E"/>
    <w:rsid w:val="00A46179"/>
    <w:rsid w:val="00A47840"/>
    <w:rsid w:val="00A641ED"/>
    <w:rsid w:val="00A65B59"/>
    <w:rsid w:val="00A71F9F"/>
    <w:rsid w:val="00A747ED"/>
    <w:rsid w:val="00A75BEA"/>
    <w:rsid w:val="00A939AA"/>
    <w:rsid w:val="00AB1D31"/>
    <w:rsid w:val="00AB2206"/>
    <w:rsid w:val="00AB2E89"/>
    <w:rsid w:val="00AB6531"/>
    <w:rsid w:val="00AB6FC1"/>
    <w:rsid w:val="00AC01D2"/>
    <w:rsid w:val="00AC02B3"/>
    <w:rsid w:val="00AC2011"/>
    <w:rsid w:val="00AC3C93"/>
    <w:rsid w:val="00AC70FC"/>
    <w:rsid w:val="00AD00A9"/>
    <w:rsid w:val="00AD1E2F"/>
    <w:rsid w:val="00AD221C"/>
    <w:rsid w:val="00AE5D45"/>
    <w:rsid w:val="00AF4368"/>
    <w:rsid w:val="00B00563"/>
    <w:rsid w:val="00B0210F"/>
    <w:rsid w:val="00B02CF4"/>
    <w:rsid w:val="00B03911"/>
    <w:rsid w:val="00B124EE"/>
    <w:rsid w:val="00B23C28"/>
    <w:rsid w:val="00B27E9E"/>
    <w:rsid w:val="00B3205E"/>
    <w:rsid w:val="00B34DFA"/>
    <w:rsid w:val="00B36140"/>
    <w:rsid w:val="00B454A8"/>
    <w:rsid w:val="00B608F1"/>
    <w:rsid w:val="00B620B9"/>
    <w:rsid w:val="00B623FE"/>
    <w:rsid w:val="00B64DC8"/>
    <w:rsid w:val="00B653CE"/>
    <w:rsid w:val="00B81F20"/>
    <w:rsid w:val="00B836DF"/>
    <w:rsid w:val="00B9134E"/>
    <w:rsid w:val="00B94B6F"/>
    <w:rsid w:val="00BA3F72"/>
    <w:rsid w:val="00BB397F"/>
    <w:rsid w:val="00BE0A5F"/>
    <w:rsid w:val="00C2054E"/>
    <w:rsid w:val="00C31F68"/>
    <w:rsid w:val="00C41D98"/>
    <w:rsid w:val="00C41E37"/>
    <w:rsid w:val="00C41F44"/>
    <w:rsid w:val="00C57E5E"/>
    <w:rsid w:val="00C6790C"/>
    <w:rsid w:val="00C7380B"/>
    <w:rsid w:val="00C74F2F"/>
    <w:rsid w:val="00C81722"/>
    <w:rsid w:val="00C85606"/>
    <w:rsid w:val="00C86A91"/>
    <w:rsid w:val="00C877B3"/>
    <w:rsid w:val="00C87F54"/>
    <w:rsid w:val="00C96F2B"/>
    <w:rsid w:val="00C96FBE"/>
    <w:rsid w:val="00C974D9"/>
    <w:rsid w:val="00C9763A"/>
    <w:rsid w:val="00CA0C1C"/>
    <w:rsid w:val="00CA2D2E"/>
    <w:rsid w:val="00CA3688"/>
    <w:rsid w:val="00CB66F3"/>
    <w:rsid w:val="00CC1EDE"/>
    <w:rsid w:val="00CC3FFF"/>
    <w:rsid w:val="00CC6B76"/>
    <w:rsid w:val="00CD5EEA"/>
    <w:rsid w:val="00CF493D"/>
    <w:rsid w:val="00CF6D08"/>
    <w:rsid w:val="00D06DB0"/>
    <w:rsid w:val="00D21875"/>
    <w:rsid w:val="00D31A36"/>
    <w:rsid w:val="00D32AAC"/>
    <w:rsid w:val="00D376B8"/>
    <w:rsid w:val="00D47B5F"/>
    <w:rsid w:val="00D5083A"/>
    <w:rsid w:val="00D51758"/>
    <w:rsid w:val="00D53C8F"/>
    <w:rsid w:val="00D61209"/>
    <w:rsid w:val="00D6386A"/>
    <w:rsid w:val="00D66155"/>
    <w:rsid w:val="00D70E16"/>
    <w:rsid w:val="00D75662"/>
    <w:rsid w:val="00D85E79"/>
    <w:rsid w:val="00D94FD2"/>
    <w:rsid w:val="00D95D61"/>
    <w:rsid w:val="00D964C5"/>
    <w:rsid w:val="00D9765B"/>
    <w:rsid w:val="00DA46CE"/>
    <w:rsid w:val="00DB20EE"/>
    <w:rsid w:val="00DC174A"/>
    <w:rsid w:val="00DC22C5"/>
    <w:rsid w:val="00DD741A"/>
    <w:rsid w:val="00DE05A8"/>
    <w:rsid w:val="00DF7752"/>
    <w:rsid w:val="00DF7B1C"/>
    <w:rsid w:val="00E1697F"/>
    <w:rsid w:val="00E16DC9"/>
    <w:rsid w:val="00E37865"/>
    <w:rsid w:val="00E45EE6"/>
    <w:rsid w:val="00E474C8"/>
    <w:rsid w:val="00E5353F"/>
    <w:rsid w:val="00E72497"/>
    <w:rsid w:val="00E7738A"/>
    <w:rsid w:val="00E841D5"/>
    <w:rsid w:val="00E85F79"/>
    <w:rsid w:val="00EA205D"/>
    <w:rsid w:val="00EA6759"/>
    <w:rsid w:val="00EB0223"/>
    <w:rsid w:val="00EB45B7"/>
    <w:rsid w:val="00EB5163"/>
    <w:rsid w:val="00EC2C8B"/>
    <w:rsid w:val="00ED56E1"/>
    <w:rsid w:val="00ED589F"/>
    <w:rsid w:val="00EE7B33"/>
    <w:rsid w:val="00EF68CF"/>
    <w:rsid w:val="00F06CD5"/>
    <w:rsid w:val="00F0715F"/>
    <w:rsid w:val="00F15457"/>
    <w:rsid w:val="00F27A68"/>
    <w:rsid w:val="00F306C3"/>
    <w:rsid w:val="00F555D2"/>
    <w:rsid w:val="00F6077F"/>
    <w:rsid w:val="00F60B81"/>
    <w:rsid w:val="00F75C87"/>
    <w:rsid w:val="00F90A5E"/>
    <w:rsid w:val="00F94ED6"/>
    <w:rsid w:val="00FA0D12"/>
    <w:rsid w:val="00FC0834"/>
    <w:rsid w:val="00FC1B89"/>
    <w:rsid w:val="00FC21AA"/>
    <w:rsid w:val="00FC5DCE"/>
    <w:rsid w:val="00FD0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057244"/>
  <w15:chartTrackingRefBased/>
  <w15:docId w15:val="{CD6152B9-40FC-4A48-9DE7-4516D74AD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64D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6790C"/>
    <w:pPr>
      <w:spacing w:after="0" w:line="240" w:lineRule="auto"/>
    </w:pPr>
    <w:rPr>
      <w:rFonts w:eastAsiaTheme="minorEastAsia" w:cs="Times New Roman"/>
      <w:sz w:val="20"/>
      <w:szCs w:val="20"/>
      <w:lang w:eastAsia="en-GB"/>
    </w:rPr>
  </w:style>
  <w:style w:type="character" w:customStyle="1" w:styleId="FootnoteTextChar">
    <w:name w:val="Footnote Text Char"/>
    <w:basedOn w:val="DefaultParagraphFont"/>
    <w:link w:val="FootnoteText"/>
    <w:uiPriority w:val="99"/>
    <w:semiHidden/>
    <w:rsid w:val="00C6790C"/>
    <w:rPr>
      <w:rFonts w:eastAsiaTheme="minorEastAsia" w:cs="Times New Roman"/>
      <w:sz w:val="20"/>
      <w:szCs w:val="20"/>
      <w:lang w:eastAsia="en-GB"/>
    </w:rPr>
  </w:style>
  <w:style w:type="character" w:styleId="FootnoteReference">
    <w:name w:val="footnote reference"/>
    <w:basedOn w:val="DefaultParagraphFont"/>
    <w:uiPriority w:val="99"/>
    <w:semiHidden/>
    <w:unhideWhenUsed/>
    <w:rsid w:val="00C6790C"/>
    <w:rPr>
      <w:rFonts w:cs="Times New Roman"/>
      <w:vertAlign w:val="superscript"/>
    </w:rPr>
  </w:style>
  <w:style w:type="character" w:styleId="Hyperlink">
    <w:name w:val="Hyperlink"/>
    <w:basedOn w:val="DefaultParagraphFont"/>
    <w:uiPriority w:val="99"/>
    <w:unhideWhenUsed/>
    <w:rsid w:val="005074D5"/>
    <w:rPr>
      <w:rFonts w:cs="Times New Roman"/>
      <w:color w:val="0563C1" w:themeColor="hyperlink"/>
      <w:u w:val="single"/>
    </w:rPr>
  </w:style>
  <w:style w:type="paragraph" w:styleId="ListParagraph">
    <w:name w:val="List Paragraph"/>
    <w:basedOn w:val="Normal"/>
    <w:uiPriority w:val="34"/>
    <w:qFormat/>
    <w:rsid w:val="00642B76"/>
    <w:pPr>
      <w:ind w:left="720"/>
      <w:contextualSpacing/>
    </w:pPr>
  </w:style>
  <w:style w:type="character" w:styleId="Emphasis">
    <w:name w:val="Emphasis"/>
    <w:basedOn w:val="DefaultParagraphFont"/>
    <w:uiPriority w:val="20"/>
    <w:qFormat/>
    <w:rsid w:val="00FC21AA"/>
    <w:rPr>
      <w:rFonts w:cs="Times New Roman"/>
      <w:i/>
      <w:iCs/>
    </w:rPr>
  </w:style>
  <w:style w:type="character" w:customStyle="1" w:styleId="UnresolvedMention1">
    <w:name w:val="Unresolved Mention1"/>
    <w:basedOn w:val="DefaultParagraphFont"/>
    <w:uiPriority w:val="99"/>
    <w:semiHidden/>
    <w:unhideWhenUsed/>
    <w:rsid w:val="00B623FE"/>
    <w:rPr>
      <w:color w:val="605E5C"/>
      <w:shd w:val="clear" w:color="auto" w:fill="E1DFDD"/>
    </w:rPr>
  </w:style>
  <w:style w:type="paragraph" w:styleId="EndnoteText">
    <w:name w:val="endnote text"/>
    <w:basedOn w:val="Normal"/>
    <w:link w:val="EndnoteTextChar"/>
    <w:uiPriority w:val="99"/>
    <w:semiHidden/>
    <w:unhideWhenUsed/>
    <w:rsid w:val="00AD221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D221C"/>
    <w:rPr>
      <w:sz w:val="20"/>
      <w:szCs w:val="20"/>
    </w:rPr>
  </w:style>
  <w:style w:type="character" w:styleId="EndnoteReference">
    <w:name w:val="endnote reference"/>
    <w:basedOn w:val="DefaultParagraphFont"/>
    <w:uiPriority w:val="99"/>
    <w:semiHidden/>
    <w:unhideWhenUsed/>
    <w:rsid w:val="00AD221C"/>
    <w:rPr>
      <w:vertAlign w:val="superscript"/>
    </w:rPr>
  </w:style>
  <w:style w:type="character" w:customStyle="1" w:styleId="Heading1Char">
    <w:name w:val="Heading 1 Char"/>
    <w:basedOn w:val="DefaultParagraphFont"/>
    <w:link w:val="Heading1"/>
    <w:uiPriority w:val="9"/>
    <w:rsid w:val="00B64DC8"/>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2F22A9"/>
    <w:rPr>
      <w:color w:val="954F72" w:themeColor="followedHyperlink"/>
      <w:u w:val="single"/>
    </w:rPr>
  </w:style>
  <w:style w:type="paragraph" w:styleId="BalloonText">
    <w:name w:val="Balloon Text"/>
    <w:basedOn w:val="Normal"/>
    <w:link w:val="BalloonTextChar"/>
    <w:uiPriority w:val="99"/>
    <w:semiHidden/>
    <w:unhideWhenUsed/>
    <w:rsid w:val="00D756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56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583847">
      <w:bodyDiv w:val="1"/>
      <w:marLeft w:val="0"/>
      <w:marRight w:val="0"/>
      <w:marTop w:val="0"/>
      <w:marBottom w:val="0"/>
      <w:divBdr>
        <w:top w:val="none" w:sz="0" w:space="0" w:color="auto"/>
        <w:left w:val="none" w:sz="0" w:space="0" w:color="auto"/>
        <w:bottom w:val="none" w:sz="0" w:space="0" w:color="auto"/>
        <w:right w:val="none" w:sz="0" w:space="0" w:color="auto"/>
      </w:divBdr>
      <w:divsChild>
        <w:div w:id="727845318">
          <w:marLeft w:val="0"/>
          <w:marRight w:val="0"/>
          <w:marTop w:val="0"/>
          <w:marBottom w:val="0"/>
          <w:divBdr>
            <w:top w:val="none" w:sz="0" w:space="0" w:color="auto"/>
            <w:left w:val="none" w:sz="0" w:space="0" w:color="auto"/>
            <w:bottom w:val="none" w:sz="0" w:space="0" w:color="auto"/>
            <w:right w:val="none" w:sz="0" w:space="0" w:color="auto"/>
          </w:divBdr>
        </w:div>
      </w:divsChild>
    </w:div>
    <w:div w:id="86509159">
      <w:bodyDiv w:val="1"/>
      <w:marLeft w:val="0"/>
      <w:marRight w:val="0"/>
      <w:marTop w:val="0"/>
      <w:marBottom w:val="0"/>
      <w:divBdr>
        <w:top w:val="none" w:sz="0" w:space="0" w:color="auto"/>
        <w:left w:val="none" w:sz="0" w:space="0" w:color="auto"/>
        <w:bottom w:val="none" w:sz="0" w:space="0" w:color="auto"/>
        <w:right w:val="none" w:sz="0" w:space="0" w:color="auto"/>
      </w:divBdr>
      <w:divsChild>
        <w:div w:id="426459464">
          <w:marLeft w:val="0"/>
          <w:marRight w:val="0"/>
          <w:marTop w:val="0"/>
          <w:marBottom w:val="240"/>
          <w:divBdr>
            <w:top w:val="none" w:sz="0" w:space="0" w:color="auto"/>
            <w:left w:val="none" w:sz="0" w:space="0" w:color="auto"/>
            <w:bottom w:val="none" w:sz="0" w:space="0" w:color="auto"/>
            <w:right w:val="none" w:sz="0" w:space="0" w:color="auto"/>
          </w:divBdr>
        </w:div>
      </w:divsChild>
    </w:div>
    <w:div w:id="127406187">
      <w:bodyDiv w:val="1"/>
      <w:marLeft w:val="0"/>
      <w:marRight w:val="0"/>
      <w:marTop w:val="0"/>
      <w:marBottom w:val="0"/>
      <w:divBdr>
        <w:top w:val="none" w:sz="0" w:space="0" w:color="auto"/>
        <w:left w:val="none" w:sz="0" w:space="0" w:color="auto"/>
        <w:bottom w:val="none" w:sz="0" w:space="0" w:color="auto"/>
        <w:right w:val="none" w:sz="0" w:space="0" w:color="auto"/>
      </w:divBdr>
      <w:divsChild>
        <w:div w:id="1287003048">
          <w:marLeft w:val="0"/>
          <w:marRight w:val="0"/>
          <w:marTop w:val="0"/>
          <w:marBottom w:val="0"/>
          <w:divBdr>
            <w:top w:val="none" w:sz="0" w:space="0" w:color="auto"/>
            <w:left w:val="none" w:sz="0" w:space="0" w:color="auto"/>
            <w:bottom w:val="none" w:sz="0" w:space="0" w:color="auto"/>
            <w:right w:val="none" w:sz="0" w:space="0" w:color="auto"/>
          </w:divBdr>
        </w:div>
      </w:divsChild>
    </w:div>
    <w:div w:id="131142271">
      <w:bodyDiv w:val="1"/>
      <w:marLeft w:val="0"/>
      <w:marRight w:val="0"/>
      <w:marTop w:val="0"/>
      <w:marBottom w:val="0"/>
      <w:divBdr>
        <w:top w:val="none" w:sz="0" w:space="0" w:color="auto"/>
        <w:left w:val="none" w:sz="0" w:space="0" w:color="auto"/>
        <w:bottom w:val="none" w:sz="0" w:space="0" w:color="auto"/>
        <w:right w:val="none" w:sz="0" w:space="0" w:color="auto"/>
      </w:divBdr>
      <w:divsChild>
        <w:div w:id="530725484">
          <w:marLeft w:val="0"/>
          <w:marRight w:val="60"/>
          <w:marTop w:val="0"/>
          <w:marBottom w:val="0"/>
          <w:divBdr>
            <w:top w:val="none" w:sz="0" w:space="0" w:color="auto"/>
            <w:left w:val="none" w:sz="0" w:space="0" w:color="auto"/>
            <w:bottom w:val="none" w:sz="0" w:space="0" w:color="auto"/>
            <w:right w:val="none" w:sz="0" w:space="0" w:color="auto"/>
          </w:divBdr>
        </w:div>
        <w:div w:id="1326394659">
          <w:marLeft w:val="0"/>
          <w:marRight w:val="0"/>
          <w:marTop w:val="0"/>
          <w:marBottom w:val="0"/>
          <w:divBdr>
            <w:top w:val="none" w:sz="0" w:space="0" w:color="auto"/>
            <w:left w:val="none" w:sz="0" w:space="0" w:color="auto"/>
            <w:bottom w:val="none" w:sz="0" w:space="0" w:color="auto"/>
            <w:right w:val="none" w:sz="0" w:space="0" w:color="auto"/>
          </w:divBdr>
        </w:div>
        <w:div w:id="632642391">
          <w:marLeft w:val="0"/>
          <w:marRight w:val="0"/>
          <w:marTop w:val="0"/>
          <w:marBottom w:val="0"/>
          <w:divBdr>
            <w:top w:val="none" w:sz="0" w:space="0" w:color="auto"/>
            <w:left w:val="none" w:sz="0" w:space="0" w:color="auto"/>
            <w:bottom w:val="none" w:sz="0" w:space="0" w:color="auto"/>
            <w:right w:val="none" w:sz="0" w:space="0" w:color="auto"/>
          </w:divBdr>
        </w:div>
        <w:div w:id="1173297853">
          <w:marLeft w:val="0"/>
          <w:marRight w:val="0"/>
          <w:marTop w:val="0"/>
          <w:marBottom w:val="0"/>
          <w:divBdr>
            <w:top w:val="none" w:sz="0" w:space="0" w:color="auto"/>
            <w:left w:val="none" w:sz="0" w:space="0" w:color="auto"/>
            <w:bottom w:val="none" w:sz="0" w:space="0" w:color="auto"/>
            <w:right w:val="none" w:sz="0" w:space="0" w:color="auto"/>
          </w:divBdr>
        </w:div>
        <w:div w:id="1661813319">
          <w:marLeft w:val="0"/>
          <w:marRight w:val="0"/>
          <w:marTop w:val="0"/>
          <w:marBottom w:val="0"/>
          <w:divBdr>
            <w:top w:val="none" w:sz="0" w:space="0" w:color="auto"/>
            <w:left w:val="none" w:sz="0" w:space="0" w:color="auto"/>
            <w:bottom w:val="none" w:sz="0" w:space="0" w:color="auto"/>
            <w:right w:val="none" w:sz="0" w:space="0" w:color="auto"/>
          </w:divBdr>
        </w:div>
        <w:div w:id="708990966">
          <w:marLeft w:val="0"/>
          <w:marRight w:val="0"/>
          <w:marTop w:val="0"/>
          <w:marBottom w:val="0"/>
          <w:divBdr>
            <w:top w:val="none" w:sz="0" w:space="0" w:color="auto"/>
            <w:left w:val="none" w:sz="0" w:space="0" w:color="auto"/>
            <w:bottom w:val="none" w:sz="0" w:space="0" w:color="auto"/>
            <w:right w:val="none" w:sz="0" w:space="0" w:color="auto"/>
          </w:divBdr>
        </w:div>
      </w:divsChild>
    </w:div>
    <w:div w:id="162087290">
      <w:bodyDiv w:val="1"/>
      <w:marLeft w:val="0"/>
      <w:marRight w:val="0"/>
      <w:marTop w:val="0"/>
      <w:marBottom w:val="0"/>
      <w:divBdr>
        <w:top w:val="none" w:sz="0" w:space="0" w:color="auto"/>
        <w:left w:val="none" w:sz="0" w:space="0" w:color="auto"/>
        <w:bottom w:val="none" w:sz="0" w:space="0" w:color="auto"/>
        <w:right w:val="none" w:sz="0" w:space="0" w:color="auto"/>
      </w:divBdr>
      <w:divsChild>
        <w:div w:id="792134479">
          <w:marLeft w:val="0"/>
          <w:marRight w:val="0"/>
          <w:marTop w:val="0"/>
          <w:marBottom w:val="0"/>
          <w:divBdr>
            <w:top w:val="none" w:sz="0" w:space="0" w:color="auto"/>
            <w:left w:val="none" w:sz="0" w:space="0" w:color="auto"/>
            <w:bottom w:val="none" w:sz="0" w:space="0" w:color="auto"/>
            <w:right w:val="none" w:sz="0" w:space="0" w:color="auto"/>
          </w:divBdr>
        </w:div>
      </w:divsChild>
    </w:div>
    <w:div w:id="233249144">
      <w:bodyDiv w:val="1"/>
      <w:marLeft w:val="0"/>
      <w:marRight w:val="0"/>
      <w:marTop w:val="0"/>
      <w:marBottom w:val="0"/>
      <w:divBdr>
        <w:top w:val="none" w:sz="0" w:space="0" w:color="auto"/>
        <w:left w:val="none" w:sz="0" w:space="0" w:color="auto"/>
        <w:bottom w:val="none" w:sz="0" w:space="0" w:color="auto"/>
        <w:right w:val="none" w:sz="0" w:space="0" w:color="auto"/>
      </w:divBdr>
      <w:divsChild>
        <w:div w:id="1259220178">
          <w:marLeft w:val="0"/>
          <w:marRight w:val="0"/>
          <w:marTop w:val="0"/>
          <w:marBottom w:val="0"/>
          <w:divBdr>
            <w:top w:val="none" w:sz="0" w:space="0" w:color="auto"/>
            <w:left w:val="none" w:sz="0" w:space="0" w:color="auto"/>
            <w:bottom w:val="none" w:sz="0" w:space="0" w:color="auto"/>
            <w:right w:val="none" w:sz="0" w:space="0" w:color="auto"/>
          </w:divBdr>
        </w:div>
      </w:divsChild>
    </w:div>
    <w:div w:id="338432465">
      <w:bodyDiv w:val="1"/>
      <w:marLeft w:val="0"/>
      <w:marRight w:val="0"/>
      <w:marTop w:val="0"/>
      <w:marBottom w:val="0"/>
      <w:divBdr>
        <w:top w:val="none" w:sz="0" w:space="0" w:color="auto"/>
        <w:left w:val="none" w:sz="0" w:space="0" w:color="auto"/>
        <w:bottom w:val="none" w:sz="0" w:space="0" w:color="auto"/>
        <w:right w:val="none" w:sz="0" w:space="0" w:color="auto"/>
      </w:divBdr>
      <w:divsChild>
        <w:div w:id="1674142898">
          <w:marLeft w:val="0"/>
          <w:marRight w:val="0"/>
          <w:marTop w:val="0"/>
          <w:marBottom w:val="0"/>
          <w:divBdr>
            <w:top w:val="none" w:sz="0" w:space="0" w:color="auto"/>
            <w:left w:val="none" w:sz="0" w:space="0" w:color="auto"/>
            <w:bottom w:val="none" w:sz="0" w:space="0" w:color="auto"/>
            <w:right w:val="none" w:sz="0" w:space="0" w:color="auto"/>
          </w:divBdr>
        </w:div>
      </w:divsChild>
    </w:div>
    <w:div w:id="347874846">
      <w:bodyDiv w:val="1"/>
      <w:marLeft w:val="0"/>
      <w:marRight w:val="0"/>
      <w:marTop w:val="0"/>
      <w:marBottom w:val="0"/>
      <w:divBdr>
        <w:top w:val="none" w:sz="0" w:space="0" w:color="auto"/>
        <w:left w:val="none" w:sz="0" w:space="0" w:color="auto"/>
        <w:bottom w:val="none" w:sz="0" w:space="0" w:color="auto"/>
        <w:right w:val="none" w:sz="0" w:space="0" w:color="auto"/>
      </w:divBdr>
      <w:divsChild>
        <w:div w:id="1110473190">
          <w:marLeft w:val="0"/>
          <w:marRight w:val="0"/>
          <w:marTop w:val="0"/>
          <w:marBottom w:val="0"/>
          <w:divBdr>
            <w:top w:val="none" w:sz="0" w:space="0" w:color="auto"/>
            <w:left w:val="none" w:sz="0" w:space="0" w:color="auto"/>
            <w:bottom w:val="none" w:sz="0" w:space="0" w:color="auto"/>
            <w:right w:val="none" w:sz="0" w:space="0" w:color="auto"/>
          </w:divBdr>
        </w:div>
      </w:divsChild>
    </w:div>
    <w:div w:id="470908552">
      <w:bodyDiv w:val="1"/>
      <w:marLeft w:val="0"/>
      <w:marRight w:val="0"/>
      <w:marTop w:val="0"/>
      <w:marBottom w:val="0"/>
      <w:divBdr>
        <w:top w:val="none" w:sz="0" w:space="0" w:color="auto"/>
        <w:left w:val="none" w:sz="0" w:space="0" w:color="auto"/>
        <w:bottom w:val="none" w:sz="0" w:space="0" w:color="auto"/>
        <w:right w:val="none" w:sz="0" w:space="0" w:color="auto"/>
      </w:divBdr>
      <w:divsChild>
        <w:div w:id="286663830">
          <w:marLeft w:val="0"/>
          <w:marRight w:val="0"/>
          <w:marTop w:val="0"/>
          <w:marBottom w:val="0"/>
          <w:divBdr>
            <w:top w:val="none" w:sz="0" w:space="0" w:color="auto"/>
            <w:left w:val="none" w:sz="0" w:space="0" w:color="auto"/>
            <w:bottom w:val="none" w:sz="0" w:space="0" w:color="auto"/>
            <w:right w:val="none" w:sz="0" w:space="0" w:color="auto"/>
          </w:divBdr>
        </w:div>
      </w:divsChild>
    </w:div>
    <w:div w:id="648628509">
      <w:bodyDiv w:val="1"/>
      <w:marLeft w:val="0"/>
      <w:marRight w:val="0"/>
      <w:marTop w:val="0"/>
      <w:marBottom w:val="0"/>
      <w:divBdr>
        <w:top w:val="none" w:sz="0" w:space="0" w:color="auto"/>
        <w:left w:val="none" w:sz="0" w:space="0" w:color="auto"/>
        <w:bottom w:val="none" w:sz="0" w:space="0" w:color="auto"/>
        <w:right w:val="none" w:sz="0" w:space="0" w:color="auto"/>
      </w:divBdr>
      <w:divsChild>
        <w:div w:id="1358192714">
          <w:marLeft w:val="0"/>
          <w:marRight w:val="0"/>
          <w:marTop w:val="0"/>
          <w:marBottom w:val="0"/>
          <w:divBdr>
            <w:top w:val="none" w:sz="0" w:space="0" w:color="auto"/>
            <w:left w:val="none" w:sz="0" w:space="0" w:color="auto"/>
            <w:bottom w:val="none" w:sz="0" w:space="0" w:color="auto"/>
            <w:right w:val="none" w:sz="0" w:space="0" w:color="auto"/>
          </w:divBdr>
        </w:div>
      </w:divsChild>
    </w:div>
    <w:div w:id="734086854">
      <w:bodyDiv w:val="1"/>
      <w:marLeft w:val="0"/>
      <w:marRight w:val="0"/>
      <w:marTop w:val="0"/>
      <w:marBottom w:val="0"/>
      <w:divBdr>
        <w:top w:val="none" w:sz="0" w:space="0" w:color="auto"/>
        <w:left w:val="none" w:sz="0" w:space="0" w:color="auto"/>
        <w:bottom w:val="none" w:sz="0" w:space="0" w:color="auto"/>
        <w:right w:val="none" w:sz="0" w:space="0" w:color="auto"/>
      </w:divBdr>
    </w:div>
    <w:div w:id="773593923">
      <w:bodyDiv w:val="1"/>
      <w:marLeft w:val="0"/>
      <w:marRight w:val="0"/>
      <w:marTop w:val="0"/>
      <w:marBottom w:val="0"/>
      <w:divBdr>
        <w:top w:val="none" w:sz="0" w:space="0" w:color="auto"/>
        <w:left w:val="none" w:sz="0" w:space="0" w:color="auto"/>
        <w:bottom w:val="none" w:sz="0" w:space="0" w:color="auto"/>
        <w:right w:val="none" w:sz="0" w:space="0" w:color="auto"/>
      </w:divBdr>
      <w:divsChild>
        <w:div w:id="1842618018">
          <w:marLeft w:val="0"/>
          <w:marRight w:val="0"/>
          <w:marTop w:val="0"/>
          <w:marBottom w:val="0"/>
          <w:divBdr>
            <w:top w:val="none" w:sz="0" w:space="0" w:color="auto"/>
            <w:left w:val="none" w:sz="0" w:space="0" w:color="auto"/>
            <w:bottom w:val="none" w:sz="0" w:space="0" w:color="auto"/>
            <w:right w:val="none" w:sz="0" w:space="0" w:color="auto"/>
          </w:divBdr>
        </w:div>
      </w:divsChild>
    </w:div>
    <w:div w:id="827400376">
      <w:bodyDiv w:val="1"/>
      <w:marLeft w:val="0"/>
      <w:marRight w:val="0"/>
      <w:marTop w:val="0"/>
      <w:marBottom w:val="0"/>
      <w:divBdr>
        <w:top w:val="none" w:sz="0" w:space="0" w:color="auto"/>
        <w:left w:val="none" w:sz="0" w:space="0" w:color="auto"/>
        <w:bottom w:val="none" w:sz="0" w:space="0" w:color="auto"/>
        <w:right w:val="none" w:sz="0" w:space="0" w:color="auto"/>
      </w:divBdr>
      <w:divsChild>
        <w:div w:id="390084573">
          <w:marLeft w:val="0"/>
          <w:marRight w:val="0"/>
          <w:marTop w:val="0"/>
          <w:marBottom w:val="0"/>
          <w:divBdr>
            <w:top w:val="none" w:sz="0" w:space="0" w:color="auto"/>
            <w:left w:val="none" w:sz="0" w:space="0" w:color="auto"/>
            <w:bottom w:val="none" w:sz="0" w:space="0" w:color="auto"/>
            <w:right w:val="none" w:sz="0" w:space="0" w:color="auto"/>
          </w:divBdr>
        </w:div>
      </w:divsChild>
    </w:div>
    <w:div w:id="1029069441">
      <w:bodyDiv w:val="1"/>
      <w:marLeft w:val="0"/>
      <w:marRight w:val="0"/>
      <w:marTop w:val="0"/>
      <w:marBottom w:val="0"/>
      <w:divBdr>
        <w:top w:val="none" w:sz="0" w:space="0" w:color="auto"/>
        <w:left w:val="none" w:sz="0" w:space="0" w:color="auto"/>
        <w:bottom w:val="none" w:sz="0" w:space="0" w:color="auto"/>
        <w:right w:val="none" w:sz="0" w:space="0" w:color="auto"/>
      </w:divBdr>
      <w:divsChild>
        <w:div w:id="1193693774">
          <w:marLeft w:val="0"/>
          <w:marRight w:val="0"/>
          <w:marTop w:val="0"/>
          <w:marBottom w:val="0"/>
          <w:divBdr>
            <w:top w:val="none" w:sz="0" w:space="0" w:color="auto"/>
            <w:left w:val="none" w:sz="0" w:space="0" w:color="auto"/>
            <w:bottom w:val="none" w:sz="0" w:space="0" w:color="auto"/>
            <w:right w:val="none" w:sz="0" w:space="0" w:color="auto"/>
          </w:divBdr>
        </w:div>
        <w:div w:id="1644509331">
          <w:marLeft w:val="45"/>
          <w:marRight w:val="45"/>
          <w:marTop w:val="15"/>
          <w:marBottom w:val="0"/>
          <w:divBdr>
            <w:top w:val="none" w:sz="0" w:space="0" w:color="auto"/>
            <w:left w:val="none" w:sz="0" w:space="0" w:color="auto"/>
            <w:bottom w:val="none" w:sz="0" w:space="0" w:color="auto"/>
            <w:right w:val="none" w:sz="0" w:space="0" w:color="auto"/>
          </w:divBdr>
          <w:divsChild>
            <w:div w:id="75930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467363">
      <w:bodyDiv w:val="1"/>
      <w:marLeft w:val="0"/>
      <w:marRight w:val="0"/>
      <w:marTop w:val="0"/>
      <w:marBottom w:val="0"/>
      <w:divBdr>
        <w:top w:val="none" w:sz="0" w:space="0" w:color="auto"/>
        <w:left w:val="none" w:sz="0" w:space="0" w:color="auto"/>
        <w:bottom w:val="none" w:sz="0" w:space="0" w:color="auto"/>
        <w:right w:val="none" w:sz="0" w:space="0" w:color="auto"/>
      </w:divBdr>
      <w:divsChild>
        <w:div w:id="842359670">
          <w:marLeft w:val="0"/>
          <w:marRight w:val="0"/>
          <w:marTop w:val="0"/>
          <w:marBottom w:val="0"/>
          <w:divBdr>
            <w:top w:val="none" w:sz="0" w:space="0" w:color="auto"/>
            <w:left w:val="none" w:sz="0" w:space="0" w:color="auto"/>
            <w:bottom w:val="none" w:sz="0" w:space="0" w:color="auto"/>
            <w:right w:val="none" w:sz="0" w:space="0" w:color="auto"/>
          </w:divBdr>
        </w:div>
      </w:divsChild>
    </w:div>
    <w:div w:id="1540387202">
      <w:bodyDiv w:val="1"/>
      <w:marLeft w:val="0"/>
      <w:marRight w:val="0"/>
      <w:marTop w:val="0"/>
      <w:marBottom w:val="0"/>
      <w:divBdr>
        <w:top w:val="none" w:sz="0" w:space="0" w:color="auto"/>
        <w:left w:val="none" w:sz="0" w:space="0" w:color="auto"/>
        <w:bottom w:val="none" w:sz="0" w:space="0" w:color="auto"/>
        <w:right w:val="none" w:sz="0" w:space="0" w:color="auto"/>
      </w:divBdr>
      <w:divsChild>
        <w:div w:id="182323056">
          <w:marLeft w:val="0"/>
          <w:marRight w:val="0"/>
          <w:marTop w:val="0"/>
          <w:marBottom w:val="0"/>
          <w:divBdr>
            <w:top w:val="none" w:sz="0" w:space="0" w:color="auto"/>
            <w:left w:val="none" w:sz="0" w:space="0" w:color="auto"/>
            <w:bottom w:val="none" w:sz="0" w:space="0" w:color="auto"/>
            <w:right w:val="none" w:sz="0" w:space="0" w:color="auto"/>
          </w:divBdr>
        </w:div>
      </w:divsChild>
    </w:div>
    <w:div w:id="1632057754">
      <w:bodyDiv w:val="1"/>
      <w:marLeft w:val="0"/>
      <w:marRight w:val="0"/>
      <w:marTop w:val="0"/>
      <w:marBottom w:val="0"/>
      <w:divBdr>
        <w:top w:val="none" w:sz="0" w:space="0" w:color="auto"/>
        <w:left w:val="none" w:sz="0" w:space="0" w:color="auto"/>
        <w:bottom w:val="none" w:sz="0" w:space="0" w:color="auto"/>
        <w:right w:val="none" w:sz="0" w:space="0" w:color="auto"/>
      </w:divBdr>
      <w:divsChild>
        <w:div w:id="748115670">
          <w:marLeft w:val="0"/>
          <w:marRight w:val="0"/>
          <w:marTop w:val="0"/>
          <w:marBottom w:val="0"/>
          <w:divBdr>
            <w:top w:val="none" w:sz="0" w:space="0" w:color="auto"/>
            <w:left w:val="none" w:sz="0" w:space="0" w:color="auto"/>
            <w:bottom w:val="none" w:sz="0" w:space="0" w:color="auto"/>
            <w:right w:val="none" w:sz="0" w:space="0" w:color="auto"/>
          </w:divBdr>
        </w:div>
      </w:divsChild>
    </w:div>
    <w:div w:id="1748380163">
      <w:bodyDiv w:val="1"/>
      <w:marLeft w:val="0"/>
      <w:marRight w:val="0"/>
      <w:marTop w:val="0"/>
      <w:marBottom w:val="0"/>
      <w:divBdr>
        <w:top w:val="none" w:sz="0" w:space="0" w:color="auto"/>
        <w:left w:val="none" w:sz="0" w:space="0" w:color="auto"/>
        <w:bottom w:val="none" w:sz="0" w:space="0" w:color="auto"/>
        <w:right w:val="none" w:sz="0" w:space="0" w:color="auto"/>
      </w:divBdr>
      <w:divsChild>
        <w:div w:id="1057124232">
          <w:marLeft w:val="0"/>
          <w:marRight w:val="0"/>
          <w:marTop w:val="0"/>
          <w:marBottom w:val="0"/>
          <w:divBdr>
            <w:top w:val="none" w:sz="0" w:space="0" w:color="auto"/>
            <w:left w:val="none" w:sz="0" w:space="0" w:color="auto"/>
            <w:bottom w:val="none" w:sz="0" w:space="0" w:color="auto"/>
            <w:right w:val="none" w:sz="0" w:space="0" w:color="auto"/>
          </w:divBdr>
        </w:div>
      </w:divsChild>
    </w:div>
    <w:div w:id="2128741628">
      <w:bodyDiv w:val="1"/>
      <w:marLeft w:val="0"/>
      <w:marRight w:val="0"/>
      <w:marTop w:val="0"/>
      <w:marBottom w:val="0"/>
      <w:divBdr>
        <w:top w:val="none" w:sz="0" w:space="0" w:color="auto"/>
        <w:left w:val="none" w:sz="0" w:space="0" w:color="auto"/>
        <w:bottom w:val="none" w:sz="0" w:space="0" w:color="auto"/>
        <w:right w:val="none" w:sz="0" w:space="0" w:color="auto"/>
      </w:divBdr>
      <w:divsChild>
        <w:div w:id="664671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pc.church/the-chalcean-creed/" TargetMode="External"/><Relationship Id="rId13" Type="http://schemas.openxmlformats.org/officeDocument/2006/relationships/hyperlink" Target="https://plato.stanford.edu/archives/sum2016/entries/scientific-metho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lato.stanford.edu/archives/fall2015/entries/heraclitu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jstor.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siuc.lib.siu.edu/cgi/viewcontent.cgi?referer=https://www.google.com/&amp;httpsredir=1&amp;article=5071&amp;context=ocj" TargetMode="External"/><Relationship Id="rId5" Type="http://schemas.openxmlformats.org/officeDocument/2006/relationships/webSettings" Target="webSettings.xml"/><Relationship Id="rId15" Type="http://schemas.openxmlformats.org/officeDocument/2006/relationships/hyperlink" Target="http://www.newadvent.org/summa/1002.htm" TargetMode="External"/><Relationship Id="rId10" Type="http://schemas.openxmlformats.org/officeDocument/2006/relationships/hyperlink" Target="https://www.jstor.org/stable/41974561" TargetMode="External"/><Relationship Id="rId4" Type="http://schemas.openxmlformats.org/officeDocument/2006/relationships/settings" Target="settings.xml"/><Relationship Id="rId9" Type="http://schemas.openxmlformats.org/officeDocument/2006/relationships/hyperlink" Target="https://www.jstor.org/publisher/fip" TargetMode="External"/><Relationship Id="rId14" Type="http://schemas.openxmlformats.org/officeDocument/2006/relationships/hyperlink" Target="https://plato.stanford.edu/archives/fall2017/entries/rationalism-empiricism/" TargetMode="External"/></Relationships>
</file>

<file path=word/_rels/endnotes.xml.rels><?xml version="1.0" encoding="UTF-8" standalone="yes"?>
<Relationships xmlns="http://schemas.openxmlformats.org/package/2006/relationships"><Relationship Id="rId2" Type="http://schemas.openxmlformats.org/officeDocument/2006/relationships/hyperlink" Target="https://www.google.co.uk/search?rlz=1C1GCEB_enGB794GB817&amp;ei=VosXXJPQDYjnsAer44_QBw&amp;q=GOD+IS+INCONCEIVABLE+&amp;oq=GOD+IS+INCONCEIVABLE+&amp;gs_l=psy-ab.3.0.0i22i30.463751.474805..475275...0.0..0.66.2111.40......0....1..gws-wiz.....0..0j0i71j0i67j0i22i10i30j0i131j0i131i67j0i10.Itj26XvOYxQ" TargetMode="External"/><Relationship Id="rId1" Type="http://schemas.openxmlformats.org/officeDocument/2006/relationships/hyperlink" Target="http://www2.iath.virginia.edu/elab//hfl0247.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plato.stanford.edu/archives/fall2017/entries/rationalism-empiricism/" TargetMode="External"/><Relationship Id="rId3" Type="http://schemas.openxmlformats.org/officeDocument/2006/relationships/hyperlink" Target="https://www.jstor.org/stable/41974561" TargetMode="External"/><Relationship Id="rId7" Type="http://schemas.openxmlformats.org/officeDocument/2006/relationships/hyperlink" Target="http://www.newadvent.org/summa/1002.htm" TargetMode="External"/><Relationship Id="rId2" Type="http://schemas.openxmlformats.org/officeDocument/2006/relationships/hyperlink" Target="https://www.jstor.org/publisher/fip" TargetMode="External"/><Relationship Id="rId1" Type="http://schemas.openxmlformats.org/officeDocument/2006/relationships/hyperlink" Target="https://plato.stanford.edu/entries/christiantheology-philosophy/" TargetMode="External"/><Relationship Id="rId6" Type="http://schemas.openxmlformats.org/officeDocument/2006/relationships/hyperlink" Target="https://plato.stanford.edu/archives/sum2016/entries/scientific-method/" TargetMode="External"/><Relationship Id="rId5" Type="http://schemas.openxmlformats.org/officeDocument/2006/relationships/hyperlink" Target="https://plato.stanford.edu/archives/fall2015/entries/heraclitus/" TargetMode="External"/><Relationship Id="rId4" Type="http://schemas.openxmlformats.org/officeDocument/2006/relationships/hyperlink" Target="https://opensiuc.lib.siu.edu/cgi/viewcontent.cgi?referer=https://www.google.com/&amp;httpsredir=1&amp;article=5071&amp;context=ocj" TargetMode="External"/><Relationship Id="rId9" Type="http://schemas.openxmlformats.org/officeDocument/2006/relationships/hyperlink" Target="http://www.vatican.va/archive/bible/genesis/documents/bible_genesis_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E3A44-BA55-4A40-8EDE-82A7CD715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2555</Words>
  <Characters>15152</Characters>
  <Application>Microsoft Office Word</Application>
  <DocSecurity>0</DocSecurity>
  <Lines>226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dc:creator>
  <cp:keywords/>
  <dc:description/>
  <cp:lastModifiedBy>James Cassels (1602332)</cp:lastModifiedBy>
  <cp:revision>2</cp:revision>
  <cp:lastPrinted>2018-12-17T23:16:00Z</cp:lastPrinted>
  <dcterms:created xsi:type="dcterms:W3CDTF">2018-12-17T23:36:00Z</dcterms:created>
  <dcterms:modified xsi:type="dcterms:W3CDTF">2018-12-17T23:36:00Z</dcterms:modified>
</cp:coreProperties>
</file>