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285F5" w14:textId="77777777" w:rsidR="002054A5" w:rsidRDefault="002054A5" w:rsidP="00A95650">
      <w:pPr>
        <w:jc w:val="center"/>
      </w:pPr>
    </w:p>
    <w:p w14:paraId="1FDA75D4" w14:textId="77777777" w:rsidR="002054A5" w:rsidRDefault="002054A5" w:rsidP="00A95650">
      <w:pPr>
        <w:jc w:val="center"/>
      </w:pPr>
    </w:p>
    <w:p w14:paraId="2C1165EE" w14:textId="76034A33" w:rsidR="00A95650" w:rsidRPr="000D455D" w:rsidRDefault="00E85959" w:rsidP="00A95650">
      <w:pPr>
        <w:jc w:val="center"/>
        <w:rPr>
          <w:b/>
          <w:bCs/>
          <w:sz w:val="38"/>
          <w:szCs w:val="38"/>
        </w:rPr>
      </w:pPr>
      <w:r w:rsidRPr="00E85959">
        <w:rPr>
          <w:b/>
          <w:bCs/>
          <w:sz w:val="38"/>
          <w:szCs w:val="38"/>
        </w:rPr>
        <w:t>Dissertation - Proposal</w:t>
      </w:r>
    </w:p>
    <w:p w14:paraId="3868B98F" w14:textId="10AF960E" w:rsidR="00A95650" w:rsidRDefault="00A95650" w:rsidP="007D709D">
      <w:pPr>
        <w:jc w:val="center"/>
        <w:rPr>
          <w:b/>
          <w:bCs/>
          <w:sz w:val="38"/>
          <w:szCs w:val="38"/>
        </w:rPr>
      </w:pPr>
      <w:r w:rsidRPr="000D455D">
        <w:rPr>
          <w:b/>
          <w:bCs/>
          <w:sz w:val="38"/>
          <w:szCs w:val="38"/>
        </w:rPr>
        <w:t>LCBB6000</w:t>
      </w:r>
    </w:p>
    <w:p w14:paraId="68314D6F" w14:textId="77777777" w:rsidR="0044132A" w:rsidRDefault="0044132A"/>
    <w:p w14:paraId="29C1CB2A" w14:textId="77777777" w:rsidR="002054A5" w:rsidRDefault="002054A5" w:rsidP="00D42493">
      <w:pPr>
        <w:spacing w:line="360" w:lineRule="auto"/>
        <w:jc w:val="center"/>
        <w:rPr>
          <w:b/>
          <w:sz w:val="32"/>
          <w:szCs w:val="32"/>
        </w:rPr>
      </w:pPr>
    </w:p>
    <w:p w14:paraId="38D8960C" w14:textId="1AE6F7EC" w:rsidR="00D42493" w:rsidRPr="002054A5" w:rsidRDefault="003D2B9D" w:rsidP="00D42493">
      <w:pPr>
        <w:spacing w:line="360" w:lineRule="auto"/>
        <w:jc w:val="center"/>
        <w:rPr>
          <w:b/>
          <w:sz w:val="38"/>
          <w:szCs w:val="38"/>
        </w:rPr>
      </w:pPr>
      <w:r w:rsidRPr="002054A5">
        <w:rPr>
          <w:b/>
          <w:sz w:val="38"/>
          <w:szCs w:val="38"/>
        </w:rPr>
        <w:t>Cross-cultural differences and communication Strategies: Analysis of impact on team collaboration in HSBC</w:t>
      </w:r>
    </w:p>
    <w:p w14:paraId="1228AF18" w14:textId="77777777" w:rsidR="007D709D" w:rsidRPr="007D709D" w:rsidRDefault="007D709D" w:rsidP="00D42493">
      <w:pPr>
        <w:spacing w:line="360" w:lineRule="auto"/>
        <w:jc w:val="center"/>
        <w:rPr>
          <w:b/>
          <w:sz w:val="32"/>
          <w:szCs w:val="32"/>
        </w:rPr>
      </w:pPr>
    </w:p>
    <w:p w14:paraId="30398E49" w14:textId="309D20E8" w:rsidR="00D42493" w:rsidRPr="002054A5" w:rsidRDefault="00D42493" w:rsidP="00D42493">
      <w:pPr>
        <w:spacing w:line="360" w:lineRule="auto"/>
        <w:jc w:val="center"/>
        <w:rPr>
          <w:b/>
          <w:sz w:val="32"/>
          <w:szCs w:val="32"/>
        </w:rPr>
      </w:pPr>
      <w:r w:rsidRPr="002054A5">
        <w:rPr>
          <w:b/>
          <w:sz w:val="32"/>
          <w:szCs w:val="32"/>
        </w:rPr>
        <w:t xml:space="preserve">Student Name: Yordan Gospodinov </w:t>
      </w:r>
      <w:proofErr w:type="spellStart"/>
      <w:r w:rsidRPr="002054A5">
        <w:rPr>
          <w:b/>
          <w:sz w:val="32"/>
          <w:szCs w:val="32"/>
        </w:rPr>
        <w:t>Gospodinov</w:t>
      </w:r>
      <w:proofErr w:type="spellEnd"/>
    </w:p>
    <w:p w14:paraId="680116EF" w14:textId="486E63D9" w:rsidR="00D42493" w:rsidRPr="002054A5" w:rsidRDefault="00D42493" w:rsidP="00D42493">
      <w:pPr>
        <w:spacing w:line="360" w:lineRule="auto"/>
        <w:jc w:val="center"/>
        <w:rPr>
          <w:b/>
          <w:sz w:val="32"/>
          <w:szCs w:val="32"/>
        </w:rPr>
      </w:pPr>
      <w:r w:rsidRPr="002054A5">
        <w:rPr>
          <w:b/>
          <w:sz w:val="32"/>
          <w:szCs w:val="32"/>
        </w:rPr>
        <w:t>Student ID: 2020080</w:t>
      </w:r>
    </w:p>
    <w:p w14:paraId="70898277" w14:textId="47CEC749" w:rsidR="00D42493" w:rsidRPr="002054A5" w:rsidRDefault="007D709D" w:rsidP="007D709D">
      <w:pPr>
        <w:jc w:val="center"/>
        <w:rPr>
          <w:b/>
          <w:bCs/>
          <w:sz w:val="32"/>
          <w:szCs w:val="32"/>
        </w:rPr>
      </w:pPr>
      <w:r w:rsidRPr="002054A5">
        <w:rPr>
          <w:b/>
          <w:bCs/>
          <w:sz w:val="32"/>
          <w:szCs w:val="32"/>
        </w:rPr>
        <w:t>University of Wales Trinity Saint David (London Campus)</w:t>
      </w:r>
    </w:p>
    <w:p w14:paraId="005605EA" w14:textId="77777777" w:rsidR="007D709D" w:rsidRPr="002054A5" w:rsidRDefault="007D709D" w:rsidP="007D709D">
      <w:pPr>
        <w:jc w:val="center"/>
        <w:rPr>
          <w:b/>
          <w:bCs/>
          <w:sz w:val="32"/>
          <w:szCs w:val="32"/>
        </w:rPr>
      </w:pPr>
    </w:p>
    <w:p w14:paraId="52B859AD" w14:textId="12797BDE" w:rsidR="00A95650" w:rsidRPr="002054A5" w:rsidRDefault="00D42493" w:rsidP="00D42493">
      <w:pPr>
        <w:spacing w:line="360" w:lineRule="auto"/>
        <w:jc w:val="center"/>
        <w:rPr>
          <w:b/>
          <w:bCs/>
          <w:sz w:val="32"/>
          <w:szCs w:val="32"/>
        </w:rPr>
      </w:pPr>
      <w:r w:rsidRPr="002054A5">
        <w:rPr>
          <w:b/>
          <w:bCs/>
          <w:sz w:val="32"/>
          <w:szCs w:val="32"/>
        </w:rPr>
        <w:t>Submission date</w:t>
      </w:r>
      <w:r w:rsidR="007D709D" w:rsidRPr="002054A5">
        <w:rPr>
          <w:b/>
          <w:bCs/>
          <w:sz w:val="32"/>
          <w:szCs w:val="32"/>
        </w:rPr>
        <w:t xml:space="preserve">: </w:t>
      </w:r>
      <w:r w:rsidR="002054A5">
        <w:rPr>
          <w:b/>
          <w:bCs/>
          <w:sz w:val="32"/>
          <w:szCs w:val="32"/>
        </w:rPr>
        <w:t>27</w:t>
      </w:r>
      <w:r w:rsidR="007D709D" w:rsidRPr="002054A5">
        <w:rPr>
          <w:b/>
          <w:bCs/>
          <w:sz w:val="32"/>
          <w:szCs w:val="32"/>
        </w:rPr>
        <w:t>/08/2023</w:t>
      </w:r>
    </w:p>
    <w:p w14:paraId="2E6A1139" w14:textId="77777777" w:rsidR="00A95650" w:rsidRDefault="00A95650">
      <w:pPr>
        <w:spacing w:line="360" w:lineRule="auto"/>
        <w:jc w:val="center"/>
        <w:rPr>
          <w:b/>
          <w:sz w:val="28"/>
          <w:szCs w:val="28"/>
        </w:rPr>
      </w:pPr>
    </w:p>
    <w:p w14:paraId="7D0D3A6F" w14:textId="77777777" w:rsidR="0044132A" w:rsidRDefault="003D2B9D">
      <w:pPr>
        <w:pStyle w:val="Title"/>
        <w:spacing w:before="0" w:after="0" w:line="360" w:lineRule="auto"/>
      </w:pPr>
      <w:r>
        <w:br w:type="page"/>
      </w:r>
      <w:bookmarkStart w:id="0" w:name="_Toc144037704"/>
      <w:r>
        <w:lastRenderedPageBreak/>
        <w:t>Table of contents</w:t>
      </w:r>
      <w:bookmarkEnd w:id="0"/>
    </w:p>
    <w:sdt>
      <w:sdtPr>
        <w:rPr>
          <w:rFonts w:ascii="Arial" w:eastAsia="Arial" w:hAnsi="Arial" w:cs="Arial"/>
          <w:color w:val="auto"/>
          <w:sz w:val="24"/>
          <w:szCs w:val="22"/>
          <w:lang w:val="en-GB"/>
        </w:rPr>
        <w:id w:val="-1991697646"/>
        <w:docPartObj>
          <w:docPartGallery w:val="Table of Contents"/>
          <w:docPartUnique/>
        </w:docPartObj>
      </w:sdtPr>
      <w:sdtEndPr>
        <w:rPr>
          <w:b/>
          <w:bCs/>
          <w:noProof/>
        </w:rPr>
      </w:sdtEndPr>
      <w:sdtContent>
        <w:p w14:paraId="44775365" w14:textId="30C72DDF" w:rsidR="008D7743" w:rsidRPr="008D7743" w:rsidRDefault="008D7743" w:rsidP="008D7743">
          <w:pPr>
            <w:pStyle w:val="TOCHeading"/>
          </w:pPr>
        </w:p>
        <w:p w14:paraId="5A119C3D" w14:textId="2F7AF8F3" w:rsidR="00DC30B4" w:rsidRDefault="00DC30B4">
          <w:pPr>
            <w:pStyle w:val="TOC1"/>
            <w:tabs>
              <w:tab w:val="right" w:leader="dot" w:pos="9016"/>
            </w:tabs>
            <w:rPr>
              <w:rFonts w:asciiTheme="minorHAnsi" w:eastAsiaTheme="minorEastAsia" w:hAnsiTheme="minorHAnsi" w:cstheme="minorBidi"/>
              <w:noProof/>
              <w:kern w:val="2"/>
              <w:lang w:val="en-GB" w:eastAsia="en-GB"/>
              <w14:ligatures w14:val="standardContextual"/>
            </w:rPr>
          </w:pPr>
          <w:r>
            <w:fldChar w:fldCharType="begin"/>
          </w:r>
          <w:r>
            <w:instrText xml:space="preserve"> TOC \o "1-3" \h \z \u </w:instrText>
          </w:r>
          <w:r>
            <w:fldChar w:fldCharType="separate"/>
          </w:r>
          <w:hyperlink w:anchor="_Toc144037704" w:history="1">
            <w:r w:rsidRPr="00100020">
              <w:rPr>
                <w:rStyle w:val="Hyperlink"/>
                <w:noProof/>
              </w:rPr>
              <w:t>Table of contents</w:t>
            </w:r>
            <w:r>
              <w:rPr>
                <w:noProof/>
                <w:webHidden/>
              </w:rPr>
              <w:tab/>
            </w:r>
            <w:r>
              <w:rPr>
                <w:noProof/>
                <w:webHidden/>
              </w:rPr>
              <w:fldChar w:fldCharType="begin"/>
            </w:r>
            <w:r>
              <w:rPr>
                <w:noProof/>
                <w:webHidden/>
              </w:rPr>
              <w:instrText xml:space="preserve"> PAGEREF _Toc144037704 \h </w:instrText>
            </w:r>
            <w:r>
              <w:rPr>
                <w:noProof/>
                <w:webHidden/>
              </w:rPr>
            </w:r>
            <w:r>
              <w:rPr>
                <w:noProof/>
                <w:webHidden/>
              </w:rPr>
              <w:fldChar w:fldCharType="separate"/>
            </w:r>
            <w:r>
              <w:rPr>
                <w:noProof/>
                <w:webHidden/>
              </w:rPr>
              <w:t>2</w:t>
            </w:r>
            <w:r>
              <w:rPr>
                <w:noProof/>
                <w:webHidden/>
              </w:rPr>
              <w:fldChar w:fldCharType="end"/>
            </w:r>
          </w:hyperlink>
        </w:p>
        <w:p w14:paraId="70A3B516" w14:textId="2004271B" w:rsidR="00DC30B4" w:rsidRDefault="00000000">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144037705" w:history="1">
            <w:r w:rsidR="00DC30B4" w:rsidRPr="00100020">
              <w:rPr>
                <w:rStyle w:val="Hyperlink"/>
                <w:noProof/>
              </w:rPr>
              <w:t>Introduction</w:t>
            </w:r>
            <w:r w:rsidR="00DC30B4">
              <w:rPr>
                <w:noProof/>
                <w:webHidden/>
              </w:rPr>
              <w:tab/>
            </w:r>
            <w:r w:rsidR="00DC30B4">
              <w:rPr>
                <w:noProof/>
                <w:webHidden/>
              </w:rPr>
              <w:fldChar w:fldCharType="begin"/>
            </w:r>
            <w:r w:rsidR="00DC30B4">
              <w:rPr>
                <w:noProof/>
                <w:webHidden/>
              </w:rPr>
              <w:instrText xml:space="preserve"> PAGEREF _Toc144037705 \h </w:instrText>
            </w:r>
            <w:r w:rsidR="00DC30B4">
              <w:rPr>
                <w:noProof/>
                <w:webHidden/>
              </w:rPr>
            </w:r>
            <w:r w:rsidR="00DC30B4">
              <w:rPr>
                <w:noProof/>
                <w:webHidden/>
              </w:rPr>
              <w:fldChar w:fldCharType="separate"/>
            </w:r>
            <w:r w:rsidR="00DC30B4">
              <w:rPr>
                <w:noProof/>
                <w:webHidden/>
              </w:rPr>
              <w:t>3</w:t>
            </w:r>
            <w:r w:rsidR="00DC30B4">
              <w:rPr>
                <w:noProof/>
                <w:webHidden/>
              </w:rPr>
              <w:fldChar w:fldCharType="end"/>
            </w:r>
          </w:hyperlink>
        </w:p>
        <w:p w14:paraId="53670088" w14:textId="524B0B95" w:rsidR="00DC30B4" w:rsidRDefault="00000000">
          <w:pPr>
            <w:pStyle w:val="TOC1"/>
            <w:tabs>
              <w:tab w:val="left" w:pos="440"/>
              <w:tab w:val="right" w:leader="dot" w:pos="9016"/>
            </w:tabs>
            <w:rPr>
              <w:rFonts w:asciiTheme="minorHAnsi" w:eastAsiaTheme="minorEastAsia" w:hAnsiTheme="minorHAnsi" w:cstheme="minorBidi"/>
              <w:noProof/>
              <w:kern w:val="2"/>
              <w:lang w:val="en-GB" w:eastAsia="en-GB"/>
              <w14:ligatures w14:val="standardContextual"/>
            </w:rPr>
          </w:pPr>
          <w:hyperlink w:anchor="_Toc144037706" w:history="1">
            <w:r w:rsidR="00DC30B4" w:rsidRPr="00100020">
              <w:rPr>
                <w:rStyle w:val="Hyperlink"/>
                <w:noProof/>
              </w:rPr>
              <w:t>1.</w:t>
            </w:r>
            <w:r w:rsidR="00DC30B4">
              <w:rPr>
                <w:rFonts w:asciiTheme="minorHAnsi" w:eastAsiaTheme="minorEastAsia" w:hAnsiTheme="minorHAnsi" w:cstheme="minorBidi"/>
                <w:noProof/>
                <w:kern w:val="2"/>
                <w:lang w:val="en-GB" w:eastAsia="en-GB"/>
                <w14:ligatures w14:val="standardContextual"/>
              </w:rPr>
              <w:tab/>
            </w:r>
            <w:r w:rsidR="00DC30B4" w:rsidRPr="00100020">
              <w:rPr>
                <w:rStyle w:val="Hyperlink"/>
                <w:noProof/>
              </w:rPr>
              <w:t>Literature review</w:t>
            </w:r>
            <w:r w:rsidR="00DC30B4">
              <w:rPr>
                <w:noProof/>
                <w:webHidden/>
              </w:rPr>
              <w:tab/>
            </w:r>
            <w:r w:rsidR="00DC30B4">
              <w:rPr>
                <w:noProof/>
                <w:webHidden/>
              </w:rPr>
              <w:fldChar w:fldCharType="begin"/>
            </w:r>
            <w:r w:rsidR="00DC30B4">
              <w:rPr>
                <w:noProof/>
                <w:webHidden/>
              </w:rPr>
              <w:instrText xml:space="preserve"> PAGEREF _Toc144037706 \h </w:instrText>
            </w:r>
            <w:r w:rsidR="00DC30B4">
              <w:rPr>
                <w:noProof/>
                <w:webHidden/>
              </w:rPr>
            </w:r>
            <w:r w:rsidR="00DC30B4">
              <w:rPr>
                <w:noProof/>
                <w:webHidden/>
              </w:rPr>
              <w:fldChar w:fldCharType="separate"/>
            </w:r>
            <w:r w:rsidR="00DC30B4">
              <w:rPr>
                <w:noProof/>
                <w:webHidden/>
              </w:rPr>
              <w:t>6</w:t>
            </w:r>
            <w:r w:rsidR="00DC30B4">
              <w:rPr>
                <w:noProof/>
                <w:webHidden/>
              </w:rPr>
              <w:fldChar w:fldCharType="end"/>
            </w:r>
          </w:hyperlink>
        </w:p>
        <w:p w14:paraId="318C3ED8" w14:textId="5D3B167F" w:rsidR="00DC30B4" w:rsidRDefault="00000000">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144037707" w:history="1">
            <w:r w:rsidR="00DC30B4" w:rsidRPr="00100020">
              <w:rPr>
                <w:rStyle w:val="Hyperlink"/>
                <w:noProof/>
              </w:rPr>
              <w:t>Methodology section - Direction of research and expected findings.</w:t>
            </w:r>
            <w:r w:rsidR="00DC30B4">
              <w:rPr>
                <w:noProof/>
                <w:webHidden/>
              </w:rPr>
              <w:tab/>
            </w:r>
            <w:r w:rsidR="00DC30B4">
              <w:rPr>
                <w:noProof/>
                <w:webHidden/>
              </w:rPr>
              <w:fldChar w:fldCharType="begin"/>
            </w:r>
            <w:r w:rsidR="00DC30B4">
              <w:rPr>
                <w:noProof/>
                <w:webHidden/>
              </w:rPr>
              <w:instrText xml:space="preserve"> PAGEREF _Toc144037707 \h </w:instrText>
            </w:r>
            <w:r w:rsidR="00DC30B4">
              <w:rPr>
                <w:noProof/>
                <w:webHidden/>
              </w:rPr>
            </w:r>
            <w:r w:rsidR="00DC30B4">
              <w:rPr>
                <w:noProof/>
                <w:webHidden/>
              </w:rPr>
              <w:fldChar w:fldCharType="separate"/>
            </w:r>
            <w:r w:rsidR="00DC30B4">
              <w:rPr>
                <w:noProof/>
                <w:webHidden/>
              </w:rPr>
              <w:t>9</w:t>
            </w:r>
            <w:r w:rsidR="00DC30B4">
              <w:rPr>
                <w:noProof/>
                <w:webHidden/>
              </w:rPr>
              <w:fldChar w:fldCharType="end"/>
            </w:r>
          </w:hyperlink>
        </w:p>
        <w:p w14:paraId="6C53AB59" w14:textId="168253AA" w:rsidR="00DC30B4" w:rsidRDefault="00000000">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144037708" w:history="1">
            <w:r w:rsidR="00DC30B4" w:rsidRPr="00100020">
              <w:rPr>
                <w:rStyle w:val="Hyperlink"/>
                <w:noProof/>
              </w:rPr>
              <w:t>Research Philosophy</w:t>
            </w:r>
            <w:r w:rsidR="00DC30B4">
              <w:rPr>
                <w:noProof/>
                <w:webHidden/>
              </w:rPr>
              <w:tab/>
            </w:r>
            <w:r w:rsidR="00DC30B4">
              <w:rPr>
                <w:noProof/>
                <w:webHidden/>
              </w:rPr>
              <w:fldChar w:fldCharType="begin"/>
            </w:r>
            <w:r w:rsidR="00DC30B4">
              <w:rPr>
                <w:noProof/>
                <w:webHidden/>
              </w:rPr>
              <w:instrText xml:space="preserve"> PAGEREF _Toc144037708 \h </w:instrText>
            </w:r>
            <w:r w:rsidR="00DC30B4">
              <w:rPr>
                <w:noProof/>
                <w:webHidden/>
              </w:rPr>
            </w:r>
            <w:r w:rsidR="00DC30B4">
              <w:rPr>
                <w:noProof/>
                <w:webHidden/>
              </w:rPr>
              <w:fldChar w:fldCharType="separate"/>
            </w:r>
            <w:r w:rsidR="00DC30B4">
              <w:rPr>
                <w:noProof/>
                <w:webHidden/>
              </w:rPr>
              <w:t>9</w:t>
            </w:r>
            <w:r w:rsidR="00DC30B4">
              <w:rPr>
                <w:noProof/>
                <w:webHidden/>
              </w:rPr>
              <w:fldChar w:fldCharType="end"/>
            </w:r>
          </w:hyperlink>
        </w:p>
        <w:p w14:paraId="60E16F17" w14:textId="1AF94660" w:rsidR="00DC30B4" w:rsidRDefault="00000000">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144037709" w:history="1">
            <w:r w:rsidR="00DC30B4" w:rsidRPr="00100020">
              <w:rPr>
                <w:rStyle w:val="Hyperlink"/>
                <w:noProof/>
              </w:rPr>
              <w:t>Research approach</w:t>
            </w:r>
            <w:r w:rsidR="00DC30B4">
              <w:rPr>
                <w:noProof/>
                <w:webHidden/>
              </w:rPr>
              <w:tab/>
            </w:r>
            <w:r w:rsidR="00DC30B4">
              <w:rPr>
                <w:noProof/>
                <w:webHidden/>
              </w:rPr>
              <w:fldChar w:fldCharType="begin"/>
            </w:r>
            <w:r w:rsidR="00DC30B4">
              <w:rPr>
                <w:noProof/>
                <w:webHidden/>
              </w:rPr>
              <w:instrText xml:space="preserve"> PAGEREF _Toc144037709 \h </w:instrText>
            </w:r>
            <w:r w:rsidR="00DC30B4">
              <w:rPr>
                <w:noProof/>
                <w:webHidden/>
              </w:rPr>
            </w:r>
            <w:r w:rsidR="00DC30B4">
              <w:rPr>
                <w:noProof/>
                <w:webHidden/>
              </w:rPr>
              <w:fldChar w:fldCharType="separate"/>
            </w:r>
            <w:r w:rsidR="00DC30B4">
              <w:rPr>
                <w:noProof/>
                <w:webHidden/>
              </w:rPr>
              <w:t>9</w:t>
            </w:r>
            <w:r w:rsidR="00DC30B4">
              <w:rPr>
                <w:noProof/>
                <w:webHidden/>
              </w:rPr>
              <w:fldChar w:fldCharType="end"/>
            </w:r>
          </w:hyperlink>
        </w:p>
        <w:p w14:paraId="436FA5A3" w14:textId="708E5241" w:rsidR="00DC30B4" w:rsidRDefault="00000000">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144037710" w:history="1">
            <w:r w:rsidR="00DC30B4" w:rsidRPr="00100020">
              <w:rPr>
                <w:rStyle w:val="Hyperlink"/>
                <w:noProof/>
              </w:rPr>
              <w:t>Research Strategy</w:t>
            </w:r>
            <w:r w:rsidR="00DC30B4">
              <w:rPr>
                <w:noProof/>
                <w:webHidden/>
              </w:rPr>
              <w:tab/>
            </w:r>
            <w:r w:rsidR="00DC30B4">
              <w:rPr>
                <w:noProof/>
                <w:webHidden/>
              </w:rPr>
              <w:fldChar w:fldCharType="begin"/>
            </w:r>
            <w:r w:rsidR="00DC30B4">
              <w:rPr>
                <w:noProof/>
                <w:webHidden/>
              </w:rPr>
              <w:instrText xml:space="preserve"> PAGEREF _Toc144037710 \h </w:instrText>
            </w:r>
            <w:r w:rsidR="00DC30B4">
              <w:rPr>
                <w:noProof/>
                <w:webHidden/>
              </w:rPr>
            </w:r>
            <w:r w:rsidR="00DC30B4">
              <w:rPr>
                <w:noProof/>
                <w:webHidden/>
              </w:rPr>
              <w:fldChar w:fldCharType="separate"/>
            </w:r>
            <w:r w:rsidR="00DC30B4">
              <w:rPr>
                <w:noProof/>
                <w:webHidden/>
              </w:rPr>
              <w:t>9</w:t>
            </w:r>
            <w:r w:rsidR="00DC30B4">
              <w:rPr>
                <w:noProof/>
                <w:webHidden/>
              </w:rPr>
              <w:fldChar w:fldCharType="end"/>
            </w:r>
          </w:hyperlink>
        </w:p>
        <w:p w14:paraId="2D3247B7" w14:textId="6A3F2B42" w:rsidR="00DC30B4" w:rsidRDefault="00000000">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144037711" w:history="1">
            <w:r w:rsidR="00DC30B4" w:rsidRPr="00100020">
              <w:rPr>
                <w:rStyle w:val="Hyperlink"/>
                <w:noProof/>
              </w:rPr>
              <w:t>Data collection methods/tools</w:t>
            </w:r>
            <w:r w:rsidR="00DC30B4">
              <w:rPr>
                <w:noProof/>
                <w:webHidden/>
              </w:rPr>
              <w:tab/>
            </w:r>
            <w:r w:rsidR="00DC30B4">
              <w:rPr>
                <w:noProof/>
                <w:webHidden/>
              </w:rPr>
              <w:fldChar w:fldCharType="begin"/>
            </w:r>
            <w:r w:rsidR="00DC30B4">
              <w:rPr>
                <w:noProof/>
                <w:webHidden/>
              </w:rPr>
              <w:instrText xml:space="preserve"> PAGEREF _Toc144037711 \h </w:instrText>
            </w:r>
            <w:r w:rsidR="00DC30B4">
              <w:rPr>
                <w:noProof/>
                <w:webHidden/>
              </w:rPr>
            </w:r>
            <w:r w:rsidR="00DC30B4">
              <w:rPr>
                <w:noProof/>
                <w:webHidden/>
              </w:rPr>
              <w:fldChar w:fldCharType="separate"/>
            </w:r>
            <w:r w:rsidR="00DC30B4">
              <w:rPr>
                <w:noProof/>
                <w:webHidden/>
              </w:rPr>
              <w:t>9</w:t>
            </w:r>
            <w:r w:rsidR="00DC30B4">
              <w:rPr>
                <w:noProof/>
                <w:webHidden/>
              </w:rPr>
              <w:fldChar w:fldCharType="end"/>
            </w:r>
          </w:hyperlink>
        </w:p>
        <w:p w14:paraId="7CF607BA" w14:textId="7432617A" w:rsidR="00DC30B4" w:rsidRDefault="00000000">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144037712" w:history="1">
            <w:r w:rsidR="00DC30B4" w:rsidRPr="00100020">
              <w:rPr>
                <w:rStyle w:val="Hyperlink"/>
                <w:noProof/>
              </w:rPr>
              <w:t>Data analysis</w:t>
            </w:r>
            <w:r w:rsidR="00DC30B4">
              <w:rPr>
                <w:noProof/>
                <w:webHidden/>
              </w:rPr>
              <w:tab/>
            </w:r>
            <w:r w:rsidR="00DC30B4">
              <w:rPr>
                <w:noProof/>
                <w:webHidden/>
              </w:rPr>
              <w:fldChar w:fldCharType="begin"/>
            </w:r>
            <w:r w:rsidR="00DC30B4">
              <w:rPr>
                <w:noProof/>
                <w:webHidden/>
              </w:rPr>
              <w:instrText xml:space="preserve"> PAGEREF _Toc144037712 \h </w:instrText>
            </w:r>
            <w:r w:rsidR="00DC30B4">
              <w:rPr>
                <w:noProof/>
                <w:webHidden/>
              </w:rPr>
            </w:r>
            <w:r w:rsidR="00DC30B4">
              <w:rPr>
                <w:noProof/>
                <w:webHidden/>
              </w:rPr>
              <w:fldChar w:fldCharType="separate"/>
            </w:r>
            <w:r w:rsidR="00DC30B4">
              <w:rPr>
                <w:noProof/>
                <w:webHidden/>
              </w:rPr>
              <w:t>10</w:t>
            </w:r>
            <w:r w:rsidR="00DC30B4">
              <w:rPr>
                <w:noProof/>
                <w:webHidden/>
              </w:rPr>
              <w:fldChar w:fldCharType="end"/>
            </w:r>
          </w:hyperlink>
        </w:p>
        <w:p w14:paraId="05935905" w14:textId="0BBC334D" w:rsidR="00DC30B4"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144037713" w:history="1">
            <w:r w:rsidR="00DC30B4" w:rsidRPr="00100020">
              <w:rPr>
                <w:rStyle w:val="Hyperlink"/>
                <w:rFonts w:ascii="Arial" w:eastAsia="Arial" w:hAnsi="Arial"/>
                <w:noProof/>
              </w:rPr>
              <w:t>Project Timeline</w:t>
            </w:r>
            <w:r w:rsidR="00DC30B4">
              <w:rPr>
                <w:noProof/>
                <w:webHidden/>
              </w:rPr>
              <w:tab/>
            </w:r>
            <w:r w:rsidR="00DC30B4">
              <w:rPr>
                <w:noProof/>
                <w:webHidden/>
              </w:rPr>
              <w:fldChar w:fldCharType="begin"/>
            </w:r>
            <w:r w:rsidR="00DC30B4">
              <w:rPr>
                <w:noProof/>
                <w:webHidden/>
              </w:rPr>
              <w:instrText xml:space="preserve"> PAGEREF _Toc144037713 \h </w:instrText>
            </w:r>
            <w:r w:rsidR="00DC30B4">
              <w:rPr>
                <w:noProof/>
                <w:webHidden/>
              </w:rPr>
            </w:r>
            <w:r w:rsidR="00DC30B4">
              <w:rPr>
                <w:noProof/>
                <w:webHidden/>
              </w:rPr>
              <w:fldChar w:fldCharType="separate"/>
            </w:r>
            <w:r w:rsidR="00DC30B4">
              <w:rPr>
                <w:noProof/>
                <w:webHidden/>
              </w:rPr>
              <w:t>10</w:t>
            </w:r>
            <w:r w:rsidR="00DC30B4">
              <w:rPr>
                <w:noProof/>
                <w:webHidden/>
              </w:rPr>
              <w:fldChar w:fldCharType="end"/>
            </w:r>
          </w:hyperlink>
        </w:p>
        <w:p w14:paraId="00CABE68" w14:textId="0FD9A8DC" w:rsidR="00DC30B4" w:rsidRDefault="00000000">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144037714" w:history="1">
            <w:r w:rsidR="00DC30B4" w:rsidRPr="00100020">
              <w:rPr>
                <w:rStyle w:val="Hyperlink"/>
                <w:noProof/>
              </w:rPr>
              <w:t>Structure of final report</w:t>
            </w:r>
            <w:r w:rsidR="00DC30B4">
              <w:rPr>
                <w:noProof/>
                <w:webHidden/>
              </w:rPr>
              <w:tab/>
            </w:r>
            <w:r w:rsidR="00DC30B4">
              <w:rPr>
                <w:noProof/>
                <w:webHidden/>
              </w:rPr>
              <w:fldChar w:fldCharType="begin"/>
            </w:r>
            <w:r w:rsidR="00DC30B4">
              <w:rPr>
                <w:noProof/>
                <w:webHidden/>
              </w:rPr>
              <w:instrText xml:space="preserve"> PAGEREF _Toc144037714 \h </w:instrText>
            </w:r>
            <w:r w:rsidR="00DC30B4">
              <w:rPr>
                <w:noProof/>
                <w:webHidden/>
              </w:rPr>
            </w:r>
            <w:r w:rsidR="00DC30B4">
              <w:rPr>
                <w:noProof/>
                <w:webHidden/>
              </w:rPr>
              <w:fldChar w:fldCharType="separate"/>
            </w:r>
            <w:r w:rsidR="00DC30B4">
              <w:rPr>
                <w:noProof/>
                <w:webHidden/>
              </w:rPr>
              <w:t>11</w:t>
            </w:r>
            <w:r w:rsidR="00DC30B4">
              <w:rPr>
                <w:noProof/>
                <w:webHidden/>
              </w:rPr>
              <w:fldChar w:fldCharType="end"/>
            </w:r>
          </w:hyperlink>
        </w:p>
        <w:p w14:paraId="7CF747FC" w14:textId="29B36A59" w:rsidR="00DC30B4" w:rsidRDefault="00000000">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144037715" w:history="1">
            <w:r w:rsidR="00DC30B4" w:rsidRPr="00100020">
              <w:rPr>
                <w:rStyle w:val="Hyperlink"/>
                <w:noProof/>
              </w:rPr>
              <w:t>List of references</w:t>
            </w:r>
            <w:r w:rsidR="00DC30B4">
              <w:rPr>
                <w:noProof/>
                <w:webHidden/>
              </w:rPr>
              <w:tab/>
            </w:r>
            <w:r w:rsidR="00DC30B4">
              <w:rPr>
                <w:noProof/>
                <w:webHidden/>
              </w:rPr>
              <w:fldChar w:fldCharType="begin"/>
            </w:r>
            <w:r w:rsidR="00DC30B4">
              <w:rPr>
                <w:noProof/>
                <w:webHidden/>
              </w:rPr>
              <w:instrText xml:space="preserve"> PAGEREF _Toc144037715 \h </w:instrText>
            </w:r>
            <w:r w:rsidR="00DC30B4">
              <w:rPr>
                <w:noProof/>
                <w:webHidden/>
              </w:rPr>
            </w:r>
            <w:r w:rsidR="00DC30B4">
              <w:rPr>
                <w:noProof/>
                <w:webHidden/>
              </w:rPr>
              <w:fldChar w:fldCharType="separate"/>
            </w:r>
            <w:r w:rsidR="00DC30B4">
              <w:rPr>
                <w:noProof/>
                <w:webHidden/>
              </w:rPr>
              <w:t>12</w:t>
            </w:r>
            <w:r w:rsidR="00DC30B4">
              <w:rPr>
                <w:noProof/>
                <w:webHidden/>
              </w:rPr>
              <w:fldChar w:fldCharType="end"/>
            </w:r>
          </w:hyperlink>
        </w:p>
        <w:p w14:paraId="2768A521" w14:textId="6303A954" w:rsidR="00DC30B4" w:rsidRDefault="00DC30B4">
          <w:r>
            <w:rPr>
              <w:b/>
              <w:bCs/>
              <w:noProof/>
            </w:rPr>
            <w:fldChar w:fldCharType="end"/>
          </w:r>
        </w:p>
      </w:sdtContent>
    </w:sdt>
    <w:p w14:paraId="0D6F4DEE" w14:textId="77777777" w:rsidR="0044132A" w:rsidRDefault="003D2B9D">
      <w:pPr>
        <w:pStyle w:val="Title"/>
        <w:spacing w:before="0" w:after="0" w:line="360" w:lineRule="auto"/>
      </w:pPr>
      <w:r>
        <w:br w:type="page"/>
      </w:r>
      <w:bookmarkStart w:id="1" w:name="_Toc144037705"/>
      <w:r>
        <w:lastRenderedPageBreak/>
        <w:t>Introduction</w:t>
      </w:r>
      <w:bookmarkEnd w:id="1"/>
    </w:p>
    <w:p w14:paraId="020D5A63" w14:textId="77777777" w:rsidR="0044132A" w:rsidRDefault="0044132A">
      <w:pPr>
        <w:spacing w:after="0" w:line="360" w:lineRule="auto"/>
      </w:pPr>
    </w:p>
    <w:p w14:paraId="555140E9" w14:textId="77777777" w:rsidR="0044132A" w:rsidRDefault="003D2B9D">
      <w:pPr>
        <w:spacing w:after="0" w:line="360" w:lineRule="auto"/>
        <w:jc w:val="both"/>
        <w:rPr>
          <w:b/>
        </w:rPr>
      </w:pPr>
      <w:r>
        <w:rPr>
          <w:b/>
        </w:rPr>
        <w:t>Research Background</w:t>
      </w:r>
    </w:p>
    <w:p w14:paraId="29340649" w14:textId="77777777" w:rsidR="0044132A" w:rsidRDefault="003D2B9D">
      <w:pPr>
        <w:spacing w:after="0" w:line="360" w:lineRule="auto"/>
        <w:jc w:val="both"/>
      </w:pPr>
      <w:r>
        <w:t xml:space="preserve">The moment of globalization has achieved a flood in multinational corporations, with HSBC being a striking example. This financial giant functions throughout 64 nations and areas, travelling across numerous societies and temporal regions, as of my insight cutoff in 2021 (Balian, 2022). This examination foundation revolves around figuring out the effect of culturally </w:t>
      </w:r>
      <w:proofErr w:type="gramStart"/>
      <w:r>
        <w:t>various differences</w:t>
      </w:r>
      <w:proofErr w:type="gramEnd"/>
      <w:r>
        <w:t xml:space="preserve"> and correspondence strategies in group joint effort inside HSBC.</w:t>
      </w:r>
    </w:p>
    <w:p w14:paraId="4BE1EE9E" w14:textId="77777777" w:rsidR="0044132A" w:rsidRDefault="003D2B9D">
      <w:pPr>
        <w:spacing w:after="0" w:line="360" w:lineRule="auto"/>
        <w:jc w:val="both"/>
      </w:pPr>
      <w:r>
        <w:rPr>
          <w:noProof/>
          <w:lang w:eastAsia="en-GB"/>
        </w:rPr>
        <w:drawing>
          <wp:inline distT="114300" distB="114300" distL="114300" distR="114300" wp14:anchorId="56716DEF" wp14:editId="589343BD">
            <wp:extent cx="5731200" cy="36068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3606800"/>
                    </a:xfrm>
                    <a:prstGeom prst="rect">
                      <a:avLst/>
                    </a:prstGeom>
                    <a:ln/>
                  </pic:spPr>
                </pic:pic>
              </a:graphicData>
            </a:graphic>
          </wp:inline>
        </w:drawing>
      </w:r>
    </w:p>
    <w:p w14:paraId="358C03E8" w14:textId="77777777" w:rsidR="0044132A" w:rsidRDefault="003D2B9D">
      <w:pPr>
        <w:spacing w:after="0" w:line="360" w:lineRule="auto"/>
        <w:jc w:val="center"/>
      </w:pPr>
      <w:r>
        <w:rPr>
          <w:b/>
        </w:rPr>
        <w:t xml:space="preserve">Figure: </w:t>
      </w:r>
      <w:r>
        <w:t>HSBC global revenue</w:t>
      </w:r>
    </w:p>
    <w:p w14:paraId="577EB352" w14:textId="77777777" w:rsidR="0044132A" w:rsidRDefault="003D2B9D">
      <w:pPr>
        <w:spacing w:after="0" w:line="360" w:lineRule="auto"/>
        <w:jc w:val="center"/>
      </w:pPr>
      <w:r>
        <w:rPr>
          <w:b/>
        </w:rPr>
        <w:t xml:space="preserve">Source: </w:t>
      </w:r>
      <w:r>
        <w:t>Statista, 2023</w:t>
      </w:r>
    </w:p>
    <w:p w14:paraId="32B23B0A" w14:textId="77777777" w:rsidR="0044132A" w:rsidRDefault="003D2B9D">
      <w:pPr>
        <w:spacing w:after="0" w:line="360" w:lineRule="auto"/>
        <w:jc w:val="both"/>
      </w:pPr>
      <w:r>
        <w:t>Starting about 2021, HSBC employed over 226,000 individuals worldwide, providing a diverse multicultural workforce (HSBC, 2023). Diversity in teams can inspire inventiveness and invention, although cultural disparities can likewise produce misunderstandings and disputes (</w:t>
      </w:r>
      <w:proofErr w:type="spellStart"/>
      <w:r>
        <w:t>Mannucci</w:t>
      </w:r>
      <w:proofErr w:type="spellEnd"/>
      <w:r>
        <w:t xml:space="preserve"> and Shalley, 2022). According to Hofstede's cultural dimensions theory, public societies can contrast essentially along a few key characteristics, for example, individualism versus collectivism, power distance, and uncertainty avoidance. These distinctions could influence communication styles, dynamic cycles, and mentalities towards conflict and </w:t>
      </w:r>
      <w:r>
        <w:lastRenderedPageBreak/>
        <w:t xml:space="preserve">collaboration (Gallego-Álvarez and Pucheta-Martínez, 2021). Additionally, good communication is crucial to team collaboration. Research by the Harvard Business Review revealed that unpleasant communication may bring about a 29% lowering in profitability for organisations (HBR, 2021). Likewise, </w:t>
      </w:r>
      <w:proofErr w:type="gramStart"/>
      <w:r>
        <w:t>a research</w:t>
      </w:r>
      <w:proofErr w:type="gramEnd"/>
      <w:r>
        <w:t xml:space="preserve"> by the Iwao (2020), discovered that 44% of respondents regarded misunderstanding as a key reason for disappointment in cross-line collaborations.</w:t>
      </w:r>
    </w:p>
    <w:p w14:paraId="7A8FB7D6" w14:textId="77777777" w:rsidR="0044132A" w:rsidRDefault="003D2B9D">
      <w:pPr>
        <w:spacing w:after="0" w:line="360" w:lineRule="auto"/>
        <w:jc w:val="both"/>
      </w:pPr>
      <w:r>
        <w:t>These concerns might be worsened in a virtual setting. 74% of companies expect to move a few representatives to remote work for all time, a trend HSBC follows, shown by their arrangement to lessen office space by 40% in the following couple of years (Cappelli, 2021). Understanding varied contrasts and effective communication mechanisms become vital to foster good team collaboration in this new work world. The proposed exploration will supply insights into how HSBC might study the problems and prospects of multidimensional communication and collaboration, consequently increasing its worldwide functional competency.</w:t>
      </w:r>
    </w:p>
    <w:p w14:paraId="768C7856" w14:textId="77777777" w:rsidR="0044132A" w:rsidRDefault="003D2B9D">
      <w:pPr>
        <w:spacing w:after="0" w:line="360" w:lineRule="auto"/>
        <w:jc w:val="both"/>
        <w:rPr>
          <w:b/>
        </w:rPr>
      </w:pPr>
      <w:r>
        <w:rPr>
          <w:b/>
        </w:rPr>
        <w:t>Problem statement</w:t>
      </w:r>
    </w:p>
    <w:p w14:paraId="05F17528" w14:textId="361025FA" w:rsidR="0044132A" w:rsidRDefault="003D2B9D">
      <w:pPr>
        <w:spacing w:after="0" w:line="360" w:lineRule="auto"/>
        <w:jc w:val="both"/>
      </w:pPr>
      <w:r>
        <w:t xml:space="preserve">This research attempts to </w:t>
      </w:r>
      <w:proofErr w:type="gramStart"/>
      <w:r>
        <w:t>look into</w:t>
      </w:r>
      <w:proofErr w:type="gramEnd"/>
      <w:r>
        <w:t xml:space="preserve"> the subject of </w:t>
      </w:r>
      <w:r w:rsidR="002D468A">
        <w:t>Cultural differences</w:t>
      </w:r>
      <w:r>
        <w:t xml:space="preserve"> and their effect on communication systems within HSBC. The financial behemoth, with tasks in 64 nations and more than 226,000 workers of different societies, faces exceptional difficulties in sustaining smooth multifarious communication (HSBC, 2023). Given the shift towards remote work, demonstrated by HSBC's arrangement to lessen office space by 40%, such concerns might come out to be more stated (Cappelli, 2021). The pertinence of this issue and its possible effect in HSBC's team collaboration and in general productivity renders it an adept research region.</w:t>
      </w:r>
    </w:p>
    <w:p w14:paraId="1B282107" w14:textId="77777777" w:rsidR="0044132A" w:rsidRDefault="003D2B9D">
      <w:pPr>
        <w:spacing w:after="0" w:line="360" w:lineRule="auto"/>
        <w:jc w:val="both"/>
        <w:rPr>
          <w:b/>
        </w:rPr>
      </w:pPr>
      <w:r>
        <w:rPr>
          <w:b/>
        </w:rPr>
        <w:t>Research Rationale</w:t>
      </w:r>
    </w:p>
    <w:p w14:paraId="6D87C46F" w14:textId="77777777" w:rsidR="0044132A" w:rsidRDefault="003D2B9D">
      <w:pPr>
        <w:spacing w:after="0" w:line="360" w:lineRule="auto"/>
        <w:jc w:val="both"/>
      </w:pPr>
      <w:r>
        <w:t>The study is significant as it seeks to explain how cross-cultural variations and communication techniques effect team collaboration in a worldwide corporation like HSBC. This analysis bears value given the rising of remote work and multicultural workforces. Miscommunication, purportedly responsible for a 29% loss in business profitability (HBR, 2021), can raise in a cross-cultural situation. This research intends to supply crucial insights to HSBC and comparative multinational firms to upgrade their worldwide team collaboration, reduce miscommunication, and consequently work on functional performance. The insights may likewise add to the more extensive academic debate on cross-cultural communication with regards to distant team collaboration.</w:t>
      </w:r>
    </w:p>
    <w:p w14:paraId="0C87CDB0" w14:textId="77777777" w:rsidR="0044132A" w:rsidRDefault="003D2B9D">
      <w:pPr>
        <w:spacing w:after="0" w:line="360" w:lineRule="auto"/>
        <w:jc w:val="both"/>
        <w:rPr>
          <w:b/>
        </w:rPr>
      </w:pPr>
      <w:r>
        <w:rPr>
          <w:b/>
        </w:rPr>
        <w:lastRenderedPageBreak/>
        <w:t>Aim</w:t>
      </w:r>
    </w:p>
    <w:p w14:paraId="50EA9A0D" w14:textId="4D3411E8" w:rsidR="0044132A" w:rsidRPr="002C4BD1" w:rsidRDefault="003D2B9D">
      <w:pPr>
        <w:spacing w:after="0" w:line="360" w:lineRule="auto"/>
        <w:jc w:val="both"/>
        <w:rPr>
          <w:strike/>
          <w:color w:val="FF0000"/>
        </w:rPr>
      </w:pPr>
      <w:r>
        <w:t>The purpose of this research is to explore the effect of cross-cultural variations and communication methods in</w:t>
      </w:r>
      <w:r w:rsidR="002D468A">
        <w:t xml:space="preserve"> team collaboration within HSBC.</w:t>
      </w:r>
    </w:p>
    <w:p w14:paraId="5324B8A4" w14:textId="77777777" w:rsidR="0044132A" w:rsidRDefault="003D2B9D">
      <w:pPr>
        <w:spacing w:after="0" w:line="360" w:lineRule="auto"/>
        <w:jc w:val="both"/>
        <w:rPr>
          <w:b/>
        </w:rPr>
      </w:pPr>
      <w:r>
        <w:rPr>
          <w:b/>
        </w:rPr>
        <w:t>Objectives</w:t>
      </w:r>
    </w:p>
    <w:p w14:paraId="42CC5634" w14:textId="77777777" w:rsidR="0044132A" w:rsidRDefault="003D2B9D">
      <w:pPr>
        <w:numPr>
          <w:ilvl w:val="0"/>
          <w:numId w:val="2"/>
        </w:numPr>
        <w:spacing w:after="0" w:line="360" w:lineRule="auto"/>
        <w:jc w:val="both"/>
      </w:pPr>
      <w:r>
        <w:t>To identify the significant cross-cultural variances among HSBC's multicultural teams that influence communication and team collaboration.</w:t>
      </w:r>
    </w:p>
    <w:p w14:paraId="3413CE93" w14:textId="77777777" w:rsidR="0044132A" w:rsidRPr="004332C4" w:rsidRDefault="003D2B9D">
      <w:pPr>
        <w:numPr>
          <w:ilvl w:val="0"/>
          <w:numId w:val="2"/>
        </w:numPr>
        <w:spacing w:after="0" w:line="360" w:lineRule="auto"/>
        <w:jc w:val="both"/>
      </w:pPr>
      <w:r w:rsidRPr="004332C4">
        <w:t>To assess HSBC's communication tactics in portraying cross-cultural disparities and their role in team collaboration.</w:t>
      </w:r>
    </w:p>
    <w:p w14:paraId="76E8B464" w14:textId="77777777" w:rsidR="0044132A" w:rsidRPr="004332C4" w:rsidRDefault="003D2B9D">
      <w:pPr>
        <w:numPr>
          <w:ilvl w:val="0"/>
          <w:numId w:val="2"/>
        </w:numPr>
        <w:spacing w:after="0" w:line="360" w:lineRule="auto"/>
        <w:jc w:val="both"/>
      </w:pPr>
      <w:r w:rsidRPr="004332C4">
        <w:t>To evaluate the impact of HSBC's remote work shift on cross-cultural communication and teamwork.</w:t>
      </w:r>
    </w:p>
    <w:p w14:paraId="585D5C1C" w14:textId="77777777" w:rsidR="0044132A" w:rsidRPr="004332C4" w:rsidRDefault="003D2B9D">
      <w:pPr>
        <w:numPr>
          <w:ilvl w:val="0"/>
          <w:numId w:val="2"/>
        </w:numPr>
        <w:spacing w:after="0" w:line="360" w:lineRule="auto"/>
        <w:jc w:val="both"/>
      </w:pPr>
      <w:r w:rsidRPr="004332C4">
        <w:t>To examine the advanced strategies to improve HSBC's communication methods to mitigate cross-cultural obstacles.</w:t>
      </w:r>
    </w:p>
    <w:p w14:paraId="10A37AB6" w14:textId="77777777" w:rsidR="0044132A" w:rsidRDefault="003D2B9D">
      <w:pPr>
        <w:spacing w:after="0" w:line="360" w:lineRule="auto"/>
        <w:jc w:val="both"/>
        <w:rPr>
          <w:b/>
        </w:rPr>
      </w:pPr>
      <w:r>
        <w:rPr>
          <w:b/>
        </w:rPr>
        <w:t>Research questions</w:t>
      </w:r>
    </w:p>
    <w:p w14:paraId="6AA7581B" w14:textId="77777777" w:rsidR="0044132A" w:rsidRDefault="003D2B9D">
      <w:pPr>
        <w:spacing w:after="0" w:line="360" w:lineRule="auto"/>
        <w:jc w:val="both"/>
      </w:pPr>
      <w:r>
        <w:t>1. What Strategies has HSBC Implemented to Facilitate Cross-Cultural Collab</w:t>
      </w:r>
      <w:r w:rsidR="00606B82">
        <w:t>oration, and How Effective are t</w:t>
      </w:r>
      <w:r>
        <w:t>hey?</w:t>
      </w:r>
    </w:p>
    <w:p w14:paraId="30EBE24B" w14:textId="77777777" w:rsidR="0044132A" w:rsidRPr="004332C4" w:rsidRDefault="003D2B9D">
      <w:pPr>
        <w:spacing w:after="0" w:line="360" w:lineRule="auto"/>
        <w:jc w:val="both"/>
      </w:pPr>
      <w:r w:rsidRPr="004332C4">
        <w:t>2. Do HSBC's communication strategies recognise cultural variations?</w:t>
      </w:r>
    </w:p>
    <w:p w14:paraId="645532F5" w14:textId="77777777" w:rsidR="0044132A" w:rsidRPr="004332C4" w:rsidRDefault="003D2B9D">
      <w:pPr>
        <w:spacing w:after="0" w:line="360" w:lineRule="auto"/>
        <w:jc w:val="both"/>
      </w:pPr>
      <w:r w:rsidRPr="004332C4">
        <w:t>3. How does HSBC's shift towards remote work affect cross-cultural communication?</w:t>
      </w:r>
    </w:p>
    <w:p w14:paraId="3390C76F" w14:textId="77777777" w:rsidR="0044132A" w:rsidRPr="004332C4" w:rsidRDefault="003D2B9D">
      <w:pPr>
        <w:spacing w:after="0" w:line="360" w:lineRule="auto"/>
        <w:jc w:val="both"/>
        <w:rPr>
          <w:b/>
        </w:rPr>
      </w:pPr>
      <w:r w:rsidRPr="004332C4">
        <w:rPr>
          <w:b/>
        </w:rPr>
        <w:t>Research Hypothesis</w:t>
      </w:r>
    </w:p>
    <w:p w14:paraId="543FAC6A" w14:textId="77777777" w:rsidR="0044132A" w:rsidRPr="004332C4" w:rsidRDefault="003D2B9D">
      <w:pPr>
        <w:spacing w:after="0" w:line="360" w:lineRule="auto"/>
        <w:jc w:val="both"/>
      </w:pPr>
      <w:r w:rsidRPr="004332C4">
        <w:t>1. Hypothesis 1: Critical cross-cultural gaps among HSBC's multicultural teams are severely influencing the effectiveness of current communication tactics.</w:t>
      </w:r>
    </w:p>
    <w:p w14:paraId="29C6361A" w14:textId="77777777" w:rsidR="0044132A" w:rsidRPr="004332C4" w:rsidRDefault="003D2B9D">
      <w:pPr>
        <w:spacing w:after="0" w:line="360" w:lineRule="auto"/>
        <w:jc w:val="both"/>
      </w:pPr>
      <w:r w:rsidRPr="004332C4">
        <w:t>2. Hypothesis 2: The transition towards remote work at HSBC increases problems in cross-cultural communication.</w:t>
      </w:r>
    </w:p>
    <w:p w14:paraId="341643E2" w14:textId="77777777" w:rsidR="0044132A" w:rsidRDefault="003D2B9D">
      <w:pPr>
        <w:spacing w:after="0" w:line="360" w:lineRule="auto"/>
        <w:jc w:val="both"/>
        <w:rPr>
          <w:b/>
        </w:rPr>
      </w:pPr>
      <w:r>
        <w:rPr>
          <w:b/>
        </w:rPr>
        <w:t>Research Outline</w:t>
      </w:r>
    </w:p>
    <w:p w14:paraId="55371708" w14:textId="77777777" w:rsidR="0044132A" w:rsidRDefault="003D2B9D">
      <w:pPr>
        <w:spacing w:after="0" w:line="360" w:lineRule="auto"/>
        <w:jc w:val="both"/>
      </w:pPr>
      <w:r>
        <w:t xml:space="preserve">The research proposal will commence with an introduction, describing the problem area, the importance of the study, and its research purpose and goals. The writing review will then, at that point, integrate earlier findings related with cross-cultural differences, communication techniques, and team collaboration. It will then introduce the study approach, describing the research plan, information assortment strategies, and investigation procedures. The outcomes and conversation sections will examine the guesses and answer the research questions in view of the acquired material. Finally, the concept will culminate in a conclusion that summarises up the findings and their </w:t>
      </w:r>
      <w:proofErr w:type="gramStart"/>
      <w:r>
        <w:t>suggestions, and</w:t>
      </w:r>
      <w:proofErr w:type="gramEnd"/>
      <w:r>
        <w:t xml:space="preserve"> make proposals for HSBC and analogous international companies.</w:t>
      </w:r>
    </w:p>
    <w:p w14:paraId="3D7B7742" w14:textId="77777777" w:rsidR="0044132A" w:rsidRDefault="0044132A">
      <w:pPr>
        <w:spacing w:after="0" w:line="360" w:lineRule="auto"/>
      </w:pPr>
    </w:p>
    <w:p w14:paraId="449AE14A" w14:textId="77777777" w:rsidR="0044132A" w:rsidRDefault="003D2B9D">
      <w:pPr>
        <w:pStyle w:val="Title"/>
        <w:numPr>
          <w:ilvl w:val="0"/>
          <w:numId w:val="1"/>
        </w:numPr>
        <w:spacing w:before="0" w:after="0" w:line="360" w:lineRule="auto"/>
      </w:pPr>
      <w:r>
        <w:br w:type="page"/>
      </w:r>
      <w:r>
        <w:lastRenderedPageBreak/>
        <w:t xml:space="preserve">     </w:t>
      </w:r>
      <w:bookmarkStart w:id="2" w:name="_Toc144037706"/>
      <w:r>
        <w:t>Literature review</w:t>
      </w:r>
      <w:bookmarkEnd w:id="2"/>
    </w:p>
    <w:p w14:paraId="04C1A436" w14:textId="77777777" w:rsidR="0044132A" w:rsidRDefault="0044132A">
      <w:pPr>
        <w:spacing w:after="0" w:line="360" w:lineRule="auto"/>
        <w:jc w:val="center"/>
      </w:pPr>
    </w:p>
    <w:p w14:paraId="13C5544E" w14:textId="77777777" w:rsidR="0044132A" w:rsidRDefault="003D2B9D">
      <w:pPr>
        <w:pBdr>
          <w:top w:val="nil"/>
          <w:left w:val="nil"/>
          <w:bottom w:val="nil"/>
          <w:right w:val="nil"/>
          <w:between w:val="nil"/>
        </w:pBdr>
        <w:spacing w:after="0" w:line="360" w:lineRule="auto"/>
        <w:jc w:val="both"/>
        <w:rPr>
          <w:b/>
          <w:i/>
        </w:rPr>
      </w:pPr>
      <w:r>
        <w:rPr>
          <w:b/>
          <w:i/>
        </w:rPr>
        <w:t>1. Theoretical Foundations of Cross-Cultural Communication</w:t>
      </w:r>
    </w:p>
    <w:p w14:paraId="14400004" w14:textId="77777777" w:rsidR="0044132A" w:rsidRDefault="003D2B9D">
      <w:pPr>
        <w:pBdr>
          <w:top w:val="nil"/>
          <w:left w:val="nil"/>
          <w:bottom w:val="nil"/>
          <w:right w:val="nil"/>
          <w:between w:val="nil"/>
        </w:pBdr>
        <w:spacing w:after="0" w:line="360" w:lineRule="auto"/>
        <w:jc w:val="both"/>
      </w:pPr>
      <w:r>
        <w:t xml:space="preserve">Models like Hofstede's cultural dimensions theory, which stresses essential features like individualism versus collectivism, power distance, and uncertainty avoidance, have had a considerable influence on the theoretical underpinnings of cross-cultural communication (Gerlach and Eriksson, 2021). Understanding how different </w:t>
      </w:r>
      <w:proofErr w:type="gramStart"/>
      <w:r>
        <w:t>cultures</w:t>
      </w:r>
      <w:proofErr w:type="gramEnd"/>
      <w:r>
        <w:t xml:space="preserve"> view and interact in a business situation has primarily hinged on these attributes. Hall's idea of high-context and low-context cultures (Broeder, 2021) has also helped us understand how cultural variations in communication could affect multinational organisations like HSBC. Trompenaars' cultural components have recently begun to be taken into consideration in the study (</w:t>
      </w:r>
      <w:proofErr w:type="spellStart"/>
      <w:r>
        <w:t>Khezri</w:t>
      </w:r>
      <w:proofErr w:type="spellEnd"/>
      <w:r>
        <w:t xml:space="preserve">, 2022). These studies give insights into universalism versus particularism and how they affect business relationships. For HSBC and companies like it, these theoretical frameworks give vital tools for negotiating the complex world of cross-cultural communication. These models have been established by academics like House </w:t>
      </w:r>
      <w:r w:rsidR="009F7970" w:rsidRPr="009F7970">
        <w:rPr>
          <w:i/>
        </w:rPr>
        <w:t>et al.</w:t>
      </w:r>
      <w:r>
        <w:t xml:space="preserve"> (2004) in the GLOBE project, which looked at organisational and leadership practises across cultures (Vance, Siponen, and Straub, 2020). Organisations may design communication strategies that take into consideration cultural oddities by accepting these theoretical ideas, fostering more effective cooperation among their foreign personnel.</w:t>
      </w:r>
    </w:p>
    <w:p w14:paraId="764D5E76" w14:textId="77777777" w:rsidR="0044132A" w:rsidRDefault="003D2B9D">
      <w:pPr>
        <w:pBdr>
          <w:top w:val="nil"/>
          <w:left w:val="nil"/>
          <w:bottom w:val="nil"/>
          <w:right w:val="nil"/>
          <w:between w:val="nil"/>
        </w:pBdr>
        <w:spacing w:after="0" w:line="360" w:lineRule="auto"/>
        <w:jc w:val="both"/>
        <w:rPr>
          <w:b/>
          <w:i/>
        </w:rPr>
      </w:pPr>
      <w:r>
        <w:rPr>
          <w:b/>
          <w:i/>
        </w:rPr>
        <w:t>2. Impact of Cultural Diversity on Team Collaboration</w:t>
      </w:r>
    </w:p>
    <w:p w14:paraId="112DB9E0" w14:textId="77777777" w:rsidR="0044132A" w:rsidRDefault="003D2B9D">
      <w:pPr>
        <w:pBdr>
          <w:top w:val="nil"/>
          <w:left w:val="nil"/>
          <w:bottom w:val="nil"/>
          <w:right w:val="nil"/>
          <w:between w:val="nil"/>
        </w:pBdr>
        <w:spacing w:after="0" w:line="360" w:lineRule="auto"/>
        <w:jc w:val="both"/>
      </w:pPr>
      <w:r>
        <w:t xml:space="preserve">There has been a lot of research done on how cultural diversity influences collaboration. Studies have demonstrated that cultural heterogeneity may foster creativity and invention among teams, but it may also result in misunderstandings and arguments, according to Stahl and </w:t>
      </w:r>
      <w:proofErr w:type="spellStart"/>
      <w:r>
        <w:t>Maznevski</w:t>
      </w:r>
      <w:proofErr w:type="spellEnd"/>
      <w:r>
        <w:t xml:space="preserve"> (2021). According to research by Lilla and Anton (2023), 44% of respondents felt that cultural misunderstandings were a key source of dissatisfaction in cross-border collaborations. The stakes are pretty high for HSBC, which employs more than 226,000 people and operates in 64 countries (</w:t>
      </w:r>
      <w:proofErr w:type="gramStart"/>
      <w:r>
        <w:t xml:space="preserve">HSBC, </w:t>
      </w:r>
      <w:r w:rsidR="00716972">
        <w:t xml:space="preserve"> </w:t>
      </w:r>
      <w:r>
        <w:t>2023</w:t>
      </w:r>
      <w:proofErr w:type="gramEnd"/>
      <w:r>
        <w:t>). Stronger knowledge of cultural dynamics is important given the multiethnic context. Research by Spencer-</w:t>
      </w:r>
      <w:proofErr w:type="spellStart"/>
      <w:r>
        <w:t>Oatey</w:t>
      </w:r>
      <w:proofErr w:type="spellEnd"/>
      <w:r>
        <w:t xml:space="preserve"> and Debray (2020) indicated that ethnically mixed teams typically have a "</w:t>
      </w:r>
      <w:proofErr w:type="spellStart"/>
      <w:r>
        <w:t>faultline</w:t>
      </w:r>
      <w:proofErr w:type="spellEnd"/>
      <w:r>
        <w:t xml:space="preserve">," resulting in subgroups based on similar cultural features. The study also demonstrates that these defects may have an influence on team performance, which may result in a 29% decline in productivity. </w:t>
      </w:r>
      <w:r>
        <w:lastRenderedPageBreak/>
        <w:t>Studies on firms like HSBC underline the importance of culturally responsive management and team-building approaches to mitigate the probable detrimental consequences of cultural diversity, according to Gupta (2020). The relationship between cultural diversity's benefits and drawbacks within HSBC offers as an illustration of the complex nature of cross-cultural team collaboration and the urgent need for well-informed methods.</w:t>
      </w:r>
    </w:p>
    <w:p w14:paraId="22407429" w14:textId="77777777" w:rsidR="0044132A" w:rsidRDefault="003D2B9D">
      <w:pPr>
        <w:pBdr>
          <w:top w:val="nil"/>
          <w:left w:val="nil"/>
          <w:bottom w:val="nil"/>
          <w:right w:val="nil"/>
          <w:between w:val="nil"/>
        </w:pBdr>
        <w:spacing w:after="0" w:line="360" w:lineRule="auto"/>
        <w:jc w:val="both"/>
        <w:rPr>
          <w:b/>
          <w:i/>
        </w:rPr>
      </w:pPr>
      <w:r>
        <w:rPr>
          <w:b/>
          <w:i/>
        </w:rPr>
        <w:t>3. The Shift Towards Remote Work and Its Effect on Cross-Cultural Communication</w:t>
      </w:r>
    </w:p>
    <w:p w14:paraId="1DB4FBB3" w14:textId="77777777" w:rsidR="0044132A" w:rsidRDefault="003D2B9D">
      <w:pPr>
        <w:pBdr>
          <w:top w:val="nil"/>
          <w:left w:val="nil"/>
          <w:bottom w:val="nil"/>
          <w:right w:val="nil"/>
          <w:between w:val="nil"/>
        </w:pBdr>
        <w:spacing w:after="0" w:line="360" w:lineRule="auto"/>
        <w:jc w:val="both"/>
      </w:pPr>
      <w:r>
        <w:t xml:space="preserve">In the business sector, the transition towards remote work has taken on revolutionary importance and had a considerable impact on cross-cultural communication. Statistics reveal that 74% of organisations anticipate migrating some staff to remote work permanently, according to Yang </w:t>
      </w:r>
      <w:r w:rsidR="009F7970" w:rsidRPr="009F7970">
        <w:rPr>
          <w:i/>
        </w:rPr>
        <w:t>et al.</w:t>
      </w:r>
      <w:r>
        <w:t xml:space="preserve"> (2022). The transition to remote work offers specific problems for maintaining effective cross-cultural communication for an international </w:t>
      </w:r>
      <w:proofErr w:type="gramStart"/>
      <w:r>
        <w:t>business like</w:t>
      </w:r>
      <w:proofErr w:type="gramEnd"/>
      <w:r>
        <w:t xml:space="preserve"> HSBC, which wants to eliminate office space by 40%. According to Lal, Dwivedi, and Haag's study from 2021, remote employment can boost the chance of misconceptions and diminish social cues that are necessary for cross-cultural comprehension. According to Szulc, McGregor, and Cakir (2023), 52% of executives reported higher misinterpretations and misunderstandings in virtual communication. This transformation in the HSBC environment needs imaginative measures to avoid any communication problems. </w:t>
      </w:r>
      <w:proofErr w:type="gramStart"/>
      <w:r>
        <w:t>In order to</w:t>
      </w:r>
      <w:proofErr w:type="gramEnd"/>
      <w:r>
        <w:t xml:space="preserve"> bridge cultural barriers in virtual contexts, Brown </w:t>
      </w:r>
      <w:r w:rsidR="009F7970" w:rsidRPr="009F7970">
        <w:rPr>
          <w:i/>
        </w:rPr>
        <w:t>et al.</w:t>
      </w:r>
      <w:r>
        <w:t xml:space="preserve"> (2021) underlined the significance of leveraging technology and adopting clear communication protocols. According to published research, the trend to remote work exacerbates already tough cross-cultural communication challenges, demanding the creation of </w:t>
      </w:r>
      <w:proofErr w:type="gramStart"/>
      <w:r>
        <w:t>particular methods</w:t>
      </w:r>
      <w:proofErr w:type="gramEnd"/>
      <w:r>
        <w:t xml:space="preserve"> by multinational organisations like HSBC to maintain effective cooperation in an increasingly virtual workplace.</w:t>
      </w:r>
    </w:p>
    <w:p w14:paraId="4328BB59" w14:textId="77777777" w:rsidR="0044132A" w:rsidRDefault="003D2B9D">
      <w:pPr>
        <w:pBdr>
          <w:top w:val="nil"/>
          <w:left w:val="nil"/>
          <w:bottom w:val="nil"/>
          <w:right w:val="nil"/>
          <w:between w:val="nil"/>
        </w:pBdr>
        <w:spacing w:after="0" w:line="360" w:lineRule="auto"/>
        <w:jc w:val="both"/>
        <w:rPr>
          <w:b/>
          <w:i/>
        </w:rPr>
      </w:pPr>
      <w:r>
        <w:rPr>
          <w:b/>
          <w:i/>
        </w:rPr>
        <w:t>4. Technological Advancements and Tools Supporting Cross-Cultural Communication</w:t>
      </w:r>
    </w:p>
    <w:p w14:paraId="0CA81D73" w14:textId="77777777" w:rsidR="0044132A" w:rsidRDefault="003D2B9D">
      <w:pPr>
        <w:pBdr>
          <w:top w:val="nil"/>
          <w:left w:val="nil"/>
          <w:bottom w:val="nil"/>
          <w:right w:val="nil"/>
          <w:between w:val="nil"/>
        </w:pBdr>
        <w:spacing w:after="0" w:line="360" w:lineRule="auto"/>
        <w:jc w:val="both"/>
      </w:pPr>
      <w:r>
        <w:t xml:space="preserve">In multinational organisations, technological innovations have been significant in bridging the communication gap among cultures. Teams from varied cultural backgrounds have been able to converse smoothly thanks of the advent of collaborative platforms and communication tools, say Swart, K., Bond-Barnard, and Chugh (2022). Garro-Abarca, Palos-Sanchez, and Aguayo-Camacho's study from 2021 demonstrated that virtual teams that employ technology report increased levels </w:t>
      </w:r>
      <w:r>
        <w:lastRenderedPageBreak/>
        <w:t xml:space="preserve">of productivity and pleasure. With operations in 64 countries, a corporation like HSBC is in a unique position to profit from technology's potential to foster cross-cultural collaboration. Collaboration platforms, instant messaging, and video conferencing technologies may all assist to clear up uncertainty and increase understanding. The employment of technology in cross-cultural communication is not without obstacles, though. According to a study by Walsh and Cooney (2022), focusing too much on technology for communication can result in the loss of social context and nuance, which are vital for knowing foreign cultures. Companies like HSBC must find a balance between adopting new technology and being attentive to cultural variations. The literature reveals that, despite being an excellent instrument for enhancing cross-cultural communication, technology still needs to be deliberately employed </w:t>
      </w:r>
      <w:proofErr w:type="gramStart"/>
      <w:r>
        <w:t>in order to</w:t>
      </w:r>
      <w:proofErr w:type="gramEnd"/>
      <w:r>
        <w:t xml:space="preserve"> attain its full potential for boosting collaboration in a varied context like HSBC.</w:t>
      </w:r>
    </w:p>
    <w:p w14:paraId="287E8FA2" w14:textId="77777777" w:rsidR="0044132A" w:rsidRDefault="003D2B9D">
      <w:pPr>
        <w:pBdr>
          <w:top w:val="nil"/>
          <w:left w:val="nil"/>
          <w:bottom w:val="nil"/>
          <w:right w:val="nil"/>
          <w:between w:val="nil"/>
        </w:pBdr>
        <w:spacing w:after="0" w:line="360" w:lineRule="auto"/>
        <w:jc w:val="both"/>
        <w:rPr>
          <w:b/>
          <w:i/>
        </w:rPr>
      </w:pPr>
      <w:r>
        <w:rPr>
          <w:b/>
          <w:i/>
        </w:rPr>
        <w:t>Research Gap</w:t>
      </w:r>
    </w:p>
    <w:p w14:paraId="1A58FEF0" w14:textId="77777777" w:rsidR="0044132A" w:rsidRDefault="003D2B9D">
      <w:pPr>
        <w:pBdr>
          <w:top w:val="nil"/>
          <w:left w:val="nil"/>
          <w:bottom w:val="nil"/>
          <w:right w:val="nil"/>
          <w:between w:val="nil"/>
        </w:pBdr>
        <w:spacing w:after="0" w:line="360" w:lineRule="auto"/>
        <w:jc w:val="both"/>
      </w:pPr>
      <w:r>
        <w:t xml:space="preserve">According to the literature analysis, there is a shortage of understanding on how cross-cultural communication, remote work, and technology tools interact in a specific organisational environment like HSBC. There is a scarcity of focused inquiry on how these characteristics interact within a worldwide financial firm with </w:t>
      </w:r>
      <w:proofErr w:type="gramStart"/>
      <w:r>
        <w:t>a highly varied personnel</w:t>
      </w:r>
      <w:proofErr w:type="gramEnd"/>
      <w:r>
        <w:t>, even as earlier studies examine general trends and challenges in these areas. The absence of previous research underscores the importance for a detailed investigation of HSBC's unusual communication strategies and the efficacy of their usage in bridging cultural barriers, especially in the era of remote work. By presenting insights into HSBC's distinctive strategies and issues with cross-cultural communication and collaboration, this study tries to bridge this gap.</w:t>
      </w:r>
    </w:p>
    <w:p w14:paraId="633902CB" w14:textId="77777777" w:rsidR="0044132A" w:rsidRDefault="003D2B9D">
      <w:pPr>
        <w:pStyle w:val="Title"/>
        <w:spacing w:before="0" w:after="0" w:line="360" w:lineRule="auto"/>
        <w:jc w:val="left"/>
      </w:pPr>
      <w:r>
        <w:br w:type="page"/>
      </w:r>
      <w:bookmarkStart w:id="3" w:name="_Toc144037707"/>
      <w:r>
        <w:lastRenderedPageBreak/>
        <w:t>Methodology section</w:t>
      </w:r>
      <w:r>
        <w:rPr>
          <w:b w:val="0"/>
          <w:sz w:val="24"/>
          <w:szCs w:val="24"/>
        </w:rPr>
        <w:t xml:space="preserve"> - </w:t>
      </w:r>
      <w:r>
        <w:t>Direction of research and expected findings.</w:t>
      </w:r>
      <w:bookmarkEnd w:id="3"/>
    </w:p>
    <w:p w14:paraId="1D2D1C23" w14:textId="77777777" w:rsidR="0044132A" w:rsidRDefault="003D2B9D">
      <w:pPr>
        <w:pStyle w:val="Title"/>
        <w:spacing w:before="0" w:after="0" w:line="360" w:lineRule="auto"/>
        <w:jc w:val="both"/>
        <w:rPr>
          <w:sz w:val="24"/>
          <w:szCs w:val="24"/>
        </w:rPr>
      </w:pPr>
      <w:bookmarkStart w:id="4" w:name="_heading=h.iao8idczi06p" w:colFirst="0" w:colLast="0"/>
      <w:bookmarkStart w:id="5" w:name="_Toc144037708"/>
      <w:bookmarkEnd w:id="4"/>
      <w:r>
        <w:rPr>
          <w:sz w:val="24"/>
          <w:szCs w:val="24"/>
        </w:rPr>
        <w:t>Research Philosophy</w:t>
      </w:r>
      <w:bookmarkEnd w:id="5"/>
    </w:p>
    <w:p w14:paraId="669D1DE4" w14:textId="77777777" w:rsidR="0044132A" w:rsidRDefault="003D2B9D">
      <w:pPr>
        <w:spacing w:line="360" w:lineRule="auto"/>
        <w:jc w:val="both"/>
      </w:pPr>
      <w:r>
        <w:t>The research approach selected for this study is interpretivism because it lays a great focus on interpreting the subjective experiences and social contexts that impact human action (</w:t>
      </w:r>
      <w:proofErr w:type="spellStart"/>
      <w:r>
        <w:t>Alharahsheh</w:t>
      </w:r>
      <w:proofErr w:type="spellEnd"/>
      <w:r>
        <w:t xml:space="preserve"> and Pius, 2019). Interpretivism respects the complexity and diversity of human connections, especially in cross-cultural situations, in contrast to positivist techniques that seek objective truths. Interpretivism provides a deep analysis of how cultural differences effect communication and collaboration in the context of HSBC's diversified and worldwide environment, delivering insights that are adapted to the </w:t>
      </w:r>
      <w:proofErr w:type="gramStart"/>
      <w:r>
        <w:t>particular dynamics</w:t>
      </w:r>
      <w:proofErr w:type="gramEnd"/>
      <w:r>
        <w:t xml:space="preserve"> within the company.</w:t>
      </w:r>
    </w:p>
    <w:p w14:paraId="34908FFE" w14:textId="77777777" w:rsidR="0044132A" w:rsidRDefault="003D2B9D">
      <w:pPr>
        <w:pStyle w:val="Title"/>
        <w:spacing w:before="0" w:after="0" w:line="360" w:lineRule="auto"/>
        <w:jc w:val="both"/>
        <w:rPr>
          <w:sz w:val="24"/>
          <w:szCs w:val="24"/>
        </w:rPr>
      </w:pPr>
      <w:bookmarkStart w:id="6" w:name="_heading=h.ym9ecu77qgr6" w:colFirst="0" w:colLast="0"/>
      <w:bookmarkStart w:id="7" w:name="_Toc144037709"/>
      <w:bookmarkEnd w:id="6"/>
      <w:r>
        <w:rPr>
          <w:sz w:val="24"/>
          <w:szCs w:val="24"/>
        </w:rPr>
        <w:t>Research approach</w:t>
      </w:r>
      <w:bookmarkEnd w:id="7"/>
    </w:p>
    <w:p w14:paraId="28F0C6C9" w14:textId="77777777" w:rsidR="0044132A" w:rsidRDefault="003D2B9D">
      <w:pPr>
        <w:spacing w:line="360" w:lineRule="auto"/>
        <w:jc w:val="both"/>
      </w:pPr>
      <w:r>
        <w:t xml:space="preserve">This study will employ the deductive research approach, which entails analysing a theory or hypothesis using observation and analysis (Casula, Rangarajan, and Shields, 2021). This approach allows for the application of pre-existing theories and concepts to the </w:t>
      </w:r>
      <w:proofErr w:type="gramStart"/>
      <w:r>
        <w:t>particular setting</w:t>
      </w:r>
      <w:proofErr w:type="gramEnd"/>
      <w:r>
        <w:t xml:space="preserve"> of the company, making it suited for the study of cross-cultural differences and communication strategies inside HSBC. The deductive approach will give a focused and systematic examination of the </w:t>
      </w:r>
      <w:proofErr w:type="gramStart"/>
      <w:r>
        <w:t>particular cross-cultural</w:t>
      </w:r>
      <w:proofErr w:type="gramEnd"/>
      <w:r>
        <w:t xml:space="preserve"> dynamics at HSBC by assessing preset hypotheses.</w:t>
      </w:r>
    </w:p>
    <w:p w14:paraId="3806D9BF" w14:textId="77777777" w:rsidR="0044132A" w:rsidRDefault="003D2B9D">
      <w:pPr>
        <w:pStyle w:val="Title"/>
        <w:spacing w:before="0" w:after="0" w:line="360" w:lineRule="auto"/>
        <w:jc w:val="both"/>
        <w:rPr>
          <w:sz w:val="24"/>
          <w:szCs w:val="24"/>
        </w:rPr>
      </w:pPr>
      <w:bookmarkStart w:id="8" w:name="_heading=h.h382g1b39mcq" w:colFirst="0" w:colLast="0"/>
      <w:bookmarkStart w:id="9" w:name="_Toc144037710"/>
      <w:bookmarkEnd w:id="8"/>
      <w:r>
        <w:rPr>
          <w:sz w:val="24"/>
          <w:szCs w:val="24"/>
        </w:rPr>
        <w:t>Research Strategy</w:t>
      </w:r>
      <w:bookmarkEnd w:id="9"/>
    </w:p>
    <w:p w14:paraId="79DC4E39" w14:textId="6F2B8ABF" w:rsidR="0044132A" w:rsidRDefault="002D468A">
      <w:pPr>
        <w:spacing w:line="360" w:lineRule="auto"/>
        <w:jc w:val="both"/>
      </w:pPr>
      <w:r w:rsidRPr="00DE61A3">
        <w:t>In the study on cross-cultural differences and communication strategies impacting team collaboration within HSBC, a Quantitative research strategy will be employed. Quantitative research enables the collection of numerical data that can be statistically analysed to identify patterns or relationships among variables. It is commonly used in the social sciences to quantify behaviours and attitudes, making it apt for analysing large data sets across various teams and geographical locations in HSBC. The choice of a Quantitative approach offers the rigor and objectivity required to generalize findings, thereby contributing to the study's reliability and validity. The strategy allows for precise measurement and comparison of cross-cultural variables in communication affecting team collaboration</w:t>
      </w:r>
      <w:r w:rsidR="00AB75BE" w:rsidRPr="00DE61A3">
        <w:t>.</w:t>
      </w:r>
    </w:p>
    <w:p w14:paraId="13B1D8BF" w14:textId="77777777" w:rsidR="0044132A" w:rsidRDefault="003D2B9D">
      <w:pPr>
        <w:pStyle w:val="Title"/>
        <w:spacing w:before="0" w:after="0" w:line="360" w:lineRule="auto"/>
        <w:jc w:val="both"/>
        <w:rPr>
          <w:sz w:val="24"/>
          <w:szCs w:val="24"/>
        </w:rPr>
      </w:pPr>
      <w:bookmarkStart w:id="10" w:name="_heading=h.vhxxs3o2b61c" w:colFirst="0" w:colLast="0"/>
      <w:bookmarkStart w:id="11" w:name="_Toc144037711"/>
      <w:bookmarkEnd w:id="10"/>
      <w:r>
        <w:rPr>
          <w:sz w:val="24"/>
          <w:szCs w:val="24"/>
        </w:rPr>
        <w:t>Data collection methods/tools</w:t>
      </w:r>
      <w:bookmarkEnd w:id="11"/>
    </w:p>
    <w:p w14:paraId="28D4CA91" w14:textId="7B69A8C4" w:rsidR="0044132A" w:rsidRDefault="002D468A">
      <w:pPr>
        <w:spacing w:line="360" w:lineRule="auto"/>
        <w:jc w:val="both"/>
      </w:pPr>
      <w:r w:rsidRPr="00DE61A3">
        <w:lastRenderedPageBreak/>
        <w:t>Utilizing a survey with 10 multiple-choice questions facilitates streamlined data collection and analysis, ideal for the Quantitative approach. A sample size of 100 HSBC employees offers a reasonable balance between generalizability and feasibility. Multiple-choice questions enable easy coding and quick statistical analysis, ensuring that responses can be efficiently quantified to examine cross-cultural communication impacts. The sample is sourced directly from HSBC's employee pool, ensuring the study's contextual relevance and applicability, while maintaining the focus on team collaboration within the organization</w:t>
      </w:r>
      <w:r w:rsidR="003D2B9D" w:rsidRPr="00DE61A3">
        <w:t>.</w:t>
      </w:r>
    </w:p>
    <w:p w14:paraId="066BD27A" w14:textId="77777777" w:rsidR="0044132A" w:rsidRDefault="003D2B9D">
      <w:pPr>
        <w:pStyle w:val="Title"/>
        <w:spacing w:before="0" w:after="0" w:line="360" w:lineRule="auto"/>
        <w:jc w:val="both"/>
        <w:rPr>
          <w:sz w:val="24"/>
          <w:szCs w:val="24"/>
        </w:rPr>
      </w:pPr>
      <w:bookmarkStart w:id="12" w:name="_heading=h.kl539fa2xvfg" w:colFirst="0" w:colLast="0"/>
      <w:bookmarkStart w:id="13" w:name="_Toc144037712"/>
      <w:bookmarkEnd w:id="12"/>
      <w:r>
        <w:rPr>
          <w:sz w:val="24"/>
          <w:szCs w:val="24"/>
        </w:rPr>
        <w:t>Data analysis</w:t>
      </w:r>
      <w:bookmarkEnd w:id="13"/>
    </w:p>
    <w:p w14:paraId="717655D4" w14:textId="77777777" w:rsidR="0044132A" w:rsidRDefault="003D2B9D">
      <w:pPr>
        <w:spacing w:line="360" w:lineRule="auto"/>
        <w:jc w:val="both"/>
      </w:pPr>
      <w:r>
        <w:t>This research will utilise thematic data analysis, which entails detecting patterns or themes in qualitative data and assessing them (Peel, 2020). This technique is particularly useful for the study of cultural differences and communication strategies employed by HSBC as it offers a full analysis of core cultural interaction issues. The research will emphasise essential features of collaboration and communication within the specific environment of HSBC by thematically assessing difficult data and synthesising it into useful findings.</w:t>
      </w:r>
    </w:p>
    <w:p w14:paraId="63C7991B" w14:textId="77777777" w:rsidR="0044132A" w:rsidRDefault="003D2B9D">
      <w:pPr>
        <w:pStyle w:val="Heading2"/>
        <w:keepLines/>
        <w:spacing w:before="0" w:after="0" w:line="360" w:lineRule="auto"/>
        <w:jc w:val="both"/>
        <w:rPr>
          <w:rFonts w:ascii="Arial" w:eastAsia="Arial" w:hAnsi="Arial"/>
          <w:i w:val="0"/>
          <w:sz w:val="24"/>
          <w:szCs w:val="24"/>
        </w:rPr>
      </w:pPr>
      <w:bookmarkStart w:id="14" w:name="_heading=h.z9lwl9a2lls5" w:colFirst="0" w:colLast="0"/>
      <w:bookmarkStart w:id="15" w:name="_Toc144037713"/>
      <w:bookmarkEnd w:id="14"/>
      <w:r>
        <w:rPr>
          <w:rFonts w:ascii="Arial" w:eastAsia="Arial" w:hAnsi="Arial"/>
          <w:i w:val="0"/>
          <w:sz w:val="24"/>
          <w:szCs w:val="24"/>
        </w:rPr>
        <w:t>Project Timeline</w:t>
      </w:r>
      <w:bookmarkEnd w:id="15"/>
    </w:p>
    <w:tbl>
      <w:tblPr>
        <w:tblStyle w:val="a"/>
        <w:tblW w:w="89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15"/>
        <w:gridCol w:w="660"/>
        <w:gridCol w:w="645"/>
        <w:gridCol w:w="675"/>
        <w:gridCol w:w="570"/>
        <w:gridCol w:w="600"/>
        <w:gridCol w:w="600"/>
        <w:gridCol w:w="525"/>
        <w:gridCol w:w="585"/>
        <w:gridCol w:w="540"/>
        <w:gridCol w:w="540"/>
      </w:tblGrid>
      <w:tr w:rsidR="0044132A" w14:paraId="6A9A3FDD" w14:textId="77777777">
        <w:tc>
          <w:tcPr>
            <w:tcW w:w="3015" w:type="dxa"/>
            <w:shd w:val="clear" w:color="auto" w:fill="FFFF00"/>
          </w:tcPr>
          <w:p w14:paraId="7B497AA5" w14:textId="77777777" w:rsidR="0044132A" w:rsidRDefault="003D2B9D">
            <w:pPr>
              <w:spacing w:after="0"/>
              <w:rPr>
                <w:rFonts w:ascii="Arial" w:eastAsia="Arial" w:hAnsi="Arial" w:cs="Arial"/>
                <w:b/>
              </w:rPr>
            </w:pPr>
            <w:r>
              <w:rPr>
                <w:rFonts w:ascii="Arial" w:eastAsia="Arial" w:hAnsi="Arial" w:cs="Arial"/>
                <w:b/>
              </w:rPr>
              <w:t xml:space="preserve">Research Activities </w:t>
            </w:r>
          </w:p>
        </w:tc>
        <w:tc>
          <w:tcPr>
            <w:tcW w:w="660" w:type="dxa"/>
            <w:shd w:val="clear" w:color="auto" w:fill="FFFF00"/>
          </w:tcPr>
          <w:p w14:paraId="4CF303FA" w14:textId="77777777" w:rsidR="0044132A" w:rsidRDefault="003D2B9D">
            <w:pPr>
              <w:spacing w:after="0"/>
              <w:rPr>
                <w:rFonts w:ascii="Arial" w:eastAsia="Arial" w:hAnsi="Arial" w:cs="Arial"/>
                <w:b/>
              </w:rPr>
            </w:pPr>
            <w:r>
              <w:rPr>
                <w:rFonts w:ascii="Arial" w:eastAsia="Arial" w:hAnsi="Arial" w:cs="Arial"/>
                <w:b/>
              </w:rPr>
              <w:t>W-01</w:t>
            </w:r>
          </w:p>
        </w:tc>
        <w:tc>
          <w:tcPr>
            <w:tcW w:w="645" w:type="dxa"/>
            <w:shd w:val="clear" w:color="auto" w:fill="FFFF00"/>
          </w:tcPr>
          <w:p w14:paraId="21EC675D" w14:textId="77777777" w:rsidR="0044132A" w:rsidRDefault="003D2B9D">
            <w:pPr>
              <w:spacing w:after="0"/>
              <w:rPr>
                <w:rFonts w:ascii="Arial" w:eastAsia="Arial" w:hAnsi="Arial" w:cs="Arial"/>
                <w:b/>
              </w:rPr>
            </w:pPr>
            <w:r>
              <w:rPr>
                <w:rFonts w:ascii="Arial" w:eastAsia="Arial" w:hAnsi="Arial" w:cs="Arial"/>
                <w:b/>
              </w:rPr>
              <w:t>W-02</w:t>
            </w:r>
          </w:p>
        </w:tc>
        <w:tc>
          <w:tcPr>
            <w:tcW w:w="675" w:type="dxa"/>
            <w:shd w:val="clear" w:color="auto" w:fill="FFFF00"/>
          </w:tcPr>
          <w:p w14:paraId="05461096" w14:textId="77777777" w:rsidR="0044132A" w:rsidRDefault="003D2B9D">
            <w:pPr>
              <w:spacing w:after="0"/>
              <w:rPr>
                <w:rFonts w:ascii="Arial" w:eastAsia="Arial" w:hAnsi="Arial" w:cs="Arial"/>
                <w:b/>
              </w:rPr>
            </w:pPr>
            <w:r>
              <w:rPr>
                <w:rFonts w:ascii="Arial" w:eastAsia="Arial" w:hAnsi="Arial" w:cs="Arial"/>
                <w:b/>
              </w:rPr>
              <w:t>W-03</w:t>
            </w:r>
          </w:p>
        </w:tc>
        <w:tc>
          <w:tcPr>
            <w:tcW w:w="570" w:type="dxa"/>
            <w:shd w:val="clear" w:color="auto" w:fill="FFFF00"/>
          </w:tcPr>
          <w:p w14:paraId="6BF70E00" w14:textId="77777777" w:rsidR="0044132A" w:rsidRDefault="003D2B9D">
            <w:pPr>
              <w:spacing w:after="0"/>
              <w:rPr>
                <w:rFonts w:ascii="Arial" w:eastAsia="Arial" w:hAnsi="Arial" w:cs="Arial"/>
                <w:b/>
              </w:rPr>
            </w:pPr>
            <w:r>
              <w:rPr>
                <w:rFonts w:ascii="Arial" w:eastAsia="Arial" w:hAnsi="Arial" w:cs="Arial"/>
                <w:b/>
              </w:rPr>
              <w:t>W-04</w:t>
            </w:r>
          </w:p>
        </w:tc>
        <w:tc>
          <w:tcPr>
            <w:tcW w:w="600" w:type="dxa"/>
            <w:shd w:val="clear" w:color="auto" w:fill="FFFF00"/>
          </w:tcPr>
          <w:p w14:paraId="7FE10916" w14:textId="77777777" w:rsidR="0044132A" w:rsidRDefault="003D2B9D">
            <w:pPr>
              <w:spacing w:after="0"/>
              <w:rPr>
                <w:rFonts w:ascii="Arial" w:eastAsia="Arial" w:hAnsi="Arial" w:cs="Arial"/>
                <w:b/>
              </w:rPr>
            </w:pPr>
            <w:r>
              <w:rPr>
                <w:rFonts w:ascii="Arial" w:eastAsia="Arial" w:hAnsi="Arial" w:cs="Arial"/>
                <w:b/>
              </w:rPr>
              <w:t>W-05</w:t>
            </w:r>
          </w:p>
        </w:tc>
        <w:tc>
          <w:tcPr>
            <w:tcW w:w="600" w:type="dxa"/>
            <w:shd w:val="clear" w:color="auto" w:fill="FFFF00"/>
          </w:tcPr>
          <w:p w14:paraId="77269131" w14:textId="77777777" w:rsidR="0044132A" w:rsidRDefault="003D2B9D">
            <w:pPr>
              <w:spacing w:after="0"/>
              <w:rPr>
                <w:rFonts w:ascii="Arial" w:eastAsia="Arial" w:hAnsi="Arial" w:cs="Arial"/>
                <w:b/>
              </w:rPr>
            </w:pPr>
            <w:r>
              <w:rPr>
                <w:rFonts w:ascii="Arial" w:eastAsia="Arial" w:hAnsi="Arial" w:cs="Arial"/>
                <w:b/>
              </w:rPr>
              <w:t>W-06</w:t>
            </w:r>
          </w:p>
        </w:tc>
        <w:tc>
          <w:tcPr>
            <w:tcW w:w="525" w:type="dxa"/>
            <w:shd w:val="clear" w:color="auto" w:fill="FFFF00"/>
          </w:tcPr>
          <w:p w14:paraId="1D9CFCEA" w14:textId="77777777" w:rsidR="0044132A" w:rsidRDefault="003D2B9D">
            <w:pPr>
              <w:spacing w:after="0"/>
              <w:rPr>
                <w:rFonts w:ascii="Arial" w:eastAsia="Arial" w:hAnsi="Arial" w:cs="Arial"/>
                <w:b/>
              </w:rPr>
            </w:pPr>
            <w:r>
              <w:rPr>
                <w:rFonts w:ascii="Arial" w:eastAsia="Arial" w:hAnsi="Arial" w:cs="Arial"/>
                <w:b/>
              </w:rPr>
              <w:t>W-07</w:t>
            </w:r>
          </w:p>
        </w:tc>
        <w:tc>
          <w:tcPr>
            <w:tcW w:w="585" w:type="dxa"/>
            <w:shd w:val="clear" w:color="auto" w:fill="FFFF00"/>
          </w:tcPr>
          <w:p w14:paraId="2A9F5714" w14:textId="77777777" w:rsidR="0044132A" w:rsidRDefault="003D2B9D">
            <w:pPr>
              <w:spacing w:after="0"/>
              <w:rPr>
                <w:rFonts w:ascii="Arial" w:eastAsia="Arial" w:hAnsi="Arial" w:cs="Arial"/>
                <w:b/>
              </w:rPr>
            </w:pPr>
            <w:r>
              <w:rPr>
                <w:rFonts w:ascii="Arial" w:eastAsia="Arial" w:hAnsi="Arial" w:cs="Arial"/>
                <w:b/>
              </w:rPr>
              <w:t>W-08</w:t>
            </w:r>
          </w:p>
        </w:tc>
        <w:tc>
          <w:tcPr>
            <w:tcW w:w="540" w:type="dxa"/>
            <w:shd w:val="clear" w:color="auto" w:fill="FFFF00"/>
          </w:tcPr>
          <w:p w14:paraId="3DDC6B57" w14:textId="77777777" w:rsidR="0044132A" w:rsidRDefault="003D2B9D">
            <w:pPr>
              <w:spacing w:after="0"/>
              <w:rPr>
                <w:rFonts w:ascii="Arial" w:eastAsia="Arial" w:hAnsi="Arial" w:cs="Arial"/>
                <w:b/>
              </w:rPr>
            </w:pPr>
            <w:r>
              <w:rPr>
                <w:rFonts w:ascii="Arial" w:eastAsia="Arial" w:hAnsi="Arial" w:cs="Arial"/>
                <w:b/>
              </w:rPr>
              <w:t>W-09</w:t>
            </w:r>
          </w:p>
        </w:tc>
        <w:tc>
          <w:tcPr>
            <w:tcW w:w="540" w:type="dxa"/>
            <w:shd w:val="clear" w:color="auto" w:fill="FFFF00"/>
          </w:tcPr>
          <w:p w14:paraId="4C0EB09C" w14:textId="77777777" w:rsidR="0044132A" w:rsidRDefault="003D2B9D">
            <w:pPr>
              <w:spacing w:after="0"/>
              <w:rPr>
                <w:rFonts w:ascii="Arial" w:eastAsia="Arial" w:hAnsi="Arial" w:cs="Arial"/>
                <w:b/>
              </w:rPr>
            </w:pPr>
            <w:r>
              <w:rPr>
                <w:rFonts w:ascii="Arial" w:eastAsia="Arial" w:hAnsi="Arial" w:cs="Arial"/>
                <w:b/>
              </w:rPr>
              <w:t>W-10</w:t>
            </w:r>
          </w:p>
        </w:tc>
      </w:tr>
      <w:tr w:rsidR="0044132A" w14:paraId="4B091528" w14:textId="77777777">
        <w:tc>
          <w:tcPr>
            <w:tcW w:w="3015" w:type="dxa"/>
            <w:shd w:val="clear" w:color="auto" w:fill="DBE5F1"/>
          </w:tcPr>
          <w:p w14:paraId="3A90F068" w14:textId="77777777" w:rsidR="0044132A" w:rsidRDefault="003D2B9D">
            <w:pPr>
              <w:spacing w:after="0"/>
              <w:rPr>
                <w:rFonts w:ascii="Arial" w:eastAsia="Arial" w:hAnsi="Arial" w:cs="Arial"/>
              </w:rPr>
            </w:pPr>
            <w:r>
              <w:rPr>
                <w:rFonts w:ascii="Arial" w:eastAsia="Arial" w:hAnsi="Arial" w:cs="Arial"/>
              </w:rPr>
              <w:t>Developing the research aims and objectives</w:t>
            </w:r>
          </w:p>
        </w:tc>
        <w:tc>
          <w:tcPr>
            <w:tcW w:w="660" w:type="dxa"/>
            <w:shd w:val="clear" w:color="auto" w:fill="FF0000"/>
          </w:tcPr>
          <w:p w14:paraId="65638791" w14:textId="77777777" w:rsidR="0044132A" w:rsidRDefault="0044132A">
            <w:pPr>
              <w:spacing w:after="0"/>
              <w:rPr>
                <w:rFonts w:ascii="Arial" w:eastAsia="Arial" w:hAnsi="Arial" w:cs="Arial"/>
              </w:rPr>
            </w:pPr>
          </w:p>
        </w:tc>
        <w:tc>
          <w:tcPr>
            <w:tcW w:w="645" w:type="dxa"/>
          </w:tcPr>
          <w:p w14:paraId="3654B1F3" w14:textId="77777777" w:rsidR="0044132A" w:rsidRDefault="0044132A">
            <w:pPr>
              <w:spacing w:after="0"/>
              <w:rPr>
                <w:rFonts w:ascii="Arial" w:eastAsia="Arial" w:hAnsi="Arial" w:cs="Arial"/>
              </w:rPr>
            </w:pPr>
          </w:p>
        </w:tc>
        <w:tc>
          <w:tcPr>
            <w:tcW w:w="675" w:type="dxa"/>
          </w:tcPr>
          <w:p w14:paraId="6A3B7CCF" w14:textId="77777777" w:rsidR="0044132A" w:rsidRDefault="0044132A">
            <w:pPr>
              <w:spacing w:after="0"/>
              <w:rPr>
                <w:rFonts w:ascii="Arial" w:eastAsia="Arial" w:hAnsi="Arial" w:cs="Arial"/>
              </w:rPr>
            </w:pPr>
          </w:p>
        </w:tc>
        <w:tc>
          <w:tcPr>
            <w:tcW w:w="570" w:type="dxa"/>
          </w:tcPr>
          <w:p w14:paraId="0730009F" w14:textId="77777777" w:rsidR="0044132A" w:rsidRDefault="0044132A">
            <w:pPr>
              <w:spacing w:after="0"/>
              <w:rPr>
                <w:rFonts w:ascii="Arial" w:eastAsia="Arial" w:hAnsi="Arial" w:cs="Arial"/>
              </w:rPr>
            </w:pPr>
          </w:p>
        </w:tc>
        <w:tc>
          <w:tcPr>
            <w:tcW w:w="600" w:type="dxa"/>
          </w:tcPr>
          <w:p w14:paraId="57948B0F" w14:textId="77777777" w:rsidR="0044132A" w:rsidRDefault="0044132A">
            <w:pPr>
              <w:spacing w:after="0"/>
              <w:rPr>
                <w:rFonts w:ascii="Arial" w:eastAsia="Arial" w:hAnsi="Arial" w:cs="Arial"/>
              </w:rPr>
            </w:pPr>
          </w:p>
        </w:tc>
        <w:tc>
          <w:tcPr>
            <w:tcW w:w="600" w:type="dxa"/>
          </w:tcPr>
          <w:p w14:paraId="78A79A3C" w14:textId="77777777" w:rsidR="0044132A" w:rsidRDefault="0044132A">
            <w:pPr>
              <w:spacing w:after="0"/>
              <w:rPr>
                <w:rFonts w:ascii="Arial" w:eastAsia="Arial" w:hAnsi="Arial" w:cs="Arial"/>
              </w:rPr>
            </w:pPr>
          </w:p>
        </w:tc>
        <w:tc>
          <w:tcPr>
            <w:tcW w:w="525" w:type="dxa"/>
          </w:tcPr>
          <w:p w14:paraId="50D4DD31" w14:textId="77777777" w:rsidR="0044132A" w:rsidRDefault="0044132A">
            <w:pPr>
              <w:spacing w:after="0"/>
              <w:rPr>
                <w:rFonts w:ascii="Arial" w:eastAsia="Arial" w:hAnsi="Arial" w:cs="Arial"/>
              </w:rPr>
            </w:pPr>
          </w:p>
        </w:tc>
        <w:tc>
          <w:tcPr>
            <w:tcW w:w="585" w:type="dxa"/>
          </w:tcPr>
          <w:p w14:paraId="11368223" w14:textId="77777777" w:rsidR="0044132A" w:rsidRDefault="0044132A">
            <w:pPr>
              <w:spacing w:after="0"/>
              <w:rPr>
                <w:rFonts w:ascii="Arial" w:eastAsia="Arial" w:hAnsi="Arial" w:cs="Arial"/>
              </w:rPr>
            </w:pPr>
          </w:p>
        </w:tc>
        <w:tc>
          <w:tcPr>
            <w:tcW w:w="540" w:type="dxa"/>
          </w:tcPr>
          <w:p w14:paraId="732B2A51" w14:textId="77777777" w:rsidR="0044132A" w:rsidRDefault="0044132A">
            <w:pPr>
              <w:spacing w:after="0"/>
              <w:rPr>
                <w:rFonts w:ascii="Arial" w:eastAsia="Arial" w:hAnsi="Arial" w:cs="Arial"/>
              </w:rPr>
            </w:pPr>
          </w:p>
        </w:tc>
        <w:tc>
          <w:tcPr>
            <w:tcW w:w="540" w:type="dxa"/>
          </w:tcPr>
          <w:p w14:paraId="5A0348B4" w14:textId="77777777" w:rsidR="0044132A" w:rsidRDefault="0044132A">
            <w:pPr>
              <w:spacing w:after="0"/>
              <w:rPr>
                <w:rFonts w:ascii="Arial" w:eastAsia="Arial" w:hAnsi="Arial" w:cs="Arial"/>
              </w:rPr>
            </w:pPr>
          </w:p>
        </w:tc>
      </w:tr>
      <w:tr w:rsidR="0044132A" w14:paraId="0C4E0BB1" w14:textId="77777777">
        <w:tc>
          <w:tcPr>
            <w:tcW w:w="3015" w:type="dxa"/>
            <w:shd w:val="clear" w:color="auto" w:fill="DBE5F1"/>
          </w:tcPr>
          <w:p w14:paraId="367D6B5C" w14:textId="77777777" w:rsidR="0044132A" w:rsidRDefault="003D2B9D">
            <w:pPr>
              <w:spacing w:after="0"/>
              <w:rPr>
                <w:rFonts w:ascii="Arial" w:eastAsia="Arial" w:hAnsi="Arial" w:cs="Arial"/>
              </w:rPr>
            </w:pPr>
            <w:r>
              <w:rPr>
                <w:rFonts w:ascii="Arial" w:eastAsia="Arial" w:hAnsi="Arial" w:cs="Arial"/>
              </w:rPr>
              <w:t>Identifying the research themes</w:t>
            </w:r>
          </w:p>
        </w:tc>
        <w:tc>
          <w:tcPr>
            <w:tcW w:w="660" w:type="dxa"/>
          </w:tcPr>
          <w:p w14:paraId="048C7B5F" w14:textId="77777777" w:rsidR="0044132A" w:rsidRDefault="0044132A">
            <w:pPr>
              <w:spacing w:after="0"/>
              <w:rPr>
                <w:rFonts w:ascii="Arial" w:eastAsia="Arial" w:hAnsi="Arial" w:cs="Arial"/>
              </w:rPr>
            </w:pPr>
          </w:p>
        </w:tc>
        <w:tc>
          <w:tcPr>
            <w:tcW w:w="645" w:type="dxa"/>
            <w:shd w:val="clear" w:color="auto" w:fill="92D050"/>
          </w:tcPr>
          <w:p w14:paraId="1C65A1EA" w14:textId="77777777" w:rsidR="0044132A" w:rsidRDefault="0044132A">
            <w:pPr>
              <w:spacing w:after="0"/>
              <w:rPr>
                <w:rFonts w:ascii="Arial" w:eastAsia="Arial" w:hAnsi="Arial" w:cs="Arial"/>
              </w:rPr>
            </w:pPr>
          </w:p>
        </w:tc>
        <w:tc>
          <w:tcPr>
            <w:tcW w:w="675" w:type="dxa"/>
            <w:shd w:val="clear" w:color="auto" w:fill="92D050"/>
          </w:tcPr>
          <w:p w14:paraId="02013C8B" w14:textId="77777777" w:rsidR="0044132A" w:rsidRDefault="0044132A">
            <w:pPr>
              <w:spacing w:after="0"/>
              <w:rPr>
                <w:rFonts w:ascii="Arial" w:eastAsia="Arial" w:hAnsi="Arial" w:cs="Arial"/>
              </w:rPr>
            </w:pPr>
          </w:p>
        </w:tc>
        <w:tc>
          <w:tcPr>
            <w:tcW w:w="570" w:type="dxa"/>
          </w:tcPr>
          <w:p w14:paraId="047C4C42" w14:textId="77777777" w:rsidR="0044132A" w:rsidRDefault="0044132A">
            <w:pPr>
              <w:spacing w:after="0"/>
              <w:rPr>
                <w:rFonts w:ascii="Arial" w:eastAsia="Arial" w:hAnsi="Arial" w:cs="Arial"/>
              </w:rPr>
            </w:pPr>
          </w:p>
        </w:tc>
        <w:tc>
          <w:tcPr>
            <w:tcW w:w="600" w:type="dxa"/>
          </w:tcPr>
          <w:p w14:paraId="2F863674" w14:textId="77777777" w:rsidR="0044132A" w:rsidRDefault="0044132A">
            <w:pPr>
              <w:spacing w:after="0"/>
              <w:rPr>
                <w:rFonts w:ascii="Arial" w:eastAsia="Arial" w:hAnsi="Arial" w:cs="Arial"/>
              </w:rPr>
            </w:pPr>
          </w:p>
        </w:tc>
        <w:tc>
          <w:tcPr>
            <w:tcW w:w="600" w:type="dxa"/>
          </w:tcPr>
          <w:p w14:paraId="4AE3CCA2" w14:textId="77777777" w:rsidR="0044132A" w:rsidRDefault="0044132A">
            <w:pPr>
              <w:spacing w:after="0"/>
              <w:rPr>
                <w:rFonts w:ascii="Arial" w:eastAsia="Arial" w:hAnsi="Arial" w:cs="Arial"/>
              </w:rPr>
            </w:pPr>
          </w:p>
        </w:tc>
        <w:tc>
          <w:tcPr>
            <w:tcW w:w="525" w:type="dxa"/>
          </w:tcPr>
          <w:p w14:paraId="202E3EE7" w14:textId="77777777" w:rsidR="0044132A" w:rsidRDefault="0044132A">
            <w:pPr>
              <w:spacing w:after="0"/>
              <w:rPr>
                <w:rFonts w:ascii="Arial" w:eastAsia="Arial" w:hAnsi="Arial" w:cs="Arial"/>
              </w:rPr>
            </w:pPr>
          </w:p>
        </w:tc>
        <w:tc>
          <w:tcPr>
            <w:tcW w:w="585" w:type="dxa"/>
          </w:tcPr>
          <w:p w14:paraId="292FF032" w14:textId="77777777" w:rsidR="0044132A" w:rsidRDefault="0044132A">
            <w:pPr>
              <w:spacing w:after="0"/>
              <w:rPr>
                <w:rFonts w:ascii="Arial" w:eastAsia="Arial" w:hAnsi="Arial" w:cs="Arial"/>
              </w:rPr>
            </w:pPr>
          </w:p>
        </w:tc>
        <w:tc>
          <w:tcPr>
            <w:tcW w:w="540" w:type="dxa"/>
          </w:tcPr>
          <w:p w14:paraId="2F1E848F" w14:textId="77777777" w:rsidR="0044132A" w:rsidRDefault="0044132A">
            <w:pPr>
              <w:spacing w:after="0"/>
              <w:rPr>
                <w:rFonts w:ascii="Arial" w:eastAsia="Arial" w:hAnsi="Arial" w:cs="Arial"/>
              </w:rPr>
            </w:pPr>
          </w:p>
        </w:tc>
        <w:tc>
          <w:tcPr>
            <w:tcW w:w="540" w:type="dxa"/>
          </w:tcPr>
          <w:p w14:paraId="40D025FC" w14:textId="77777777" w:rsidR="0044132A" w:rsidRDefault="0044132A">
            <w:pPr>
              <w:spacing w:after="0"/>
              <w:rPr>
                <w:rFonts w:ascii="Arial" w:eastAsia="Arial" w:hAnsi="Arial" w:cs="Arial"/>
              </w:rPr>
            </w:pPr>
          </w:p>
        </w:tc>
      </w:tr>
      <w:tr w:rsidR="0044132A" w14:paraId="19448EAE" w14:textId="77777777">
        <w:tc>
          <w:tcPr>
            <w:tcW w:w="3015" w:type="dxa"/>
            <w:shd w:val="clear" w:color="auto" w:fill="DBE5F1"/>
          </w:tcPr>
          <w:p w14:paraId="2923424B" w14:textId="77777777" w:rsidR="0044132A" w:rsidRDefault="003D2B9D">
            <w:pPr>
              <w:spacing w:after="0"/>
              <w:rPr>
                <w:rFonts w:ascii="Arial" w:eastAsia="Arial" w:hAnsi="Arial" w:cs="Arial"/>
              </w:rPr>
            </w:pPr>
            <w:r>
              <w:rPr>
                <w:rFonts w:ascii="Arial" w:eastAsia="Arial" w:hAnsi="Arial" w:cs="Arial"/>
              </w:rPr>
              <w:t>Constructing the literature review</w:t>
            </w:r>
          </w:p>
        </w:tc>
        <w:tc>
          <w:tcPr>
            <w:tcW w:w="660" w:type="dxa"/>
          </w:tcPr>
          <w:p w14:paraId="48B30B8A" w14:textId="77777777" w:rsidR="0044132A" w:rsidRDefault="0044132A">
            <w:pPr>
              <w:spacing w:after="0"/>
              <w:rPr>
                <w:rFonts w:ascii="Arial" w:eastAsia="Arial" w:hAnsi="Arial" w:cs="Arial"/>
              </w:rPr>
            </w:pPr>
          </w:p>
        </w:tc>
        <w:tc>
          <w:tcPr>
            <w:tcW w:w="645" w:type="dxa"/>
          </w:tcPr>
          <w:p w14:paraId="17CE943D" w14:textId="77777777" w:rsidR="0044132A" w:rsidRDefault="0044132A">
            <w:pPr>
              <w:spacing w:after="0"/>
              <w:rPr>
                <w:rFonts w:ascii="Arial" w:eastAsia="Arial" w:hAnsi="Arial" w:cs="Arial"/>
              </w:rPr>
            </w:pPr>
          </w:p>
        </w:tc>
        <w:tc>
          <w:tcPr>
            <w:tcW w:w="675" w:type="dxa"/>
          </w:tcPr>
          <w:p w14:paraId="6B19993C" w14:textId="77777777" w:rsidR="0044132A" w:rsidRDefault="0044132A">
            <w:pPr>
              <w:spacing w:after="0"/>
              <w:rPr>
                <w:rFonts w:ascii="Arial" w:eastAsia="Arial" w:hAnsi="Arial" w:cs="Arial"/>
              </w:rPr>
            </w:pPr>
          </w:p>
        </w:tc>
        <w:tc>
          <w:tcPr>
            <w:tcW w:w="570" w:type="dxa"/>
            <w:shd w:val="clear" w:color="auto" w:fill="FFC000"/>
          </w:tcPr>
          <w:p w14:paraId="50189206" w14:textId="77777777" w:rsidR="0044132A" w:rsidRDefault="0044132A">
            <w:pPr>
              <w:spacing w:after="0"/>
              <w:rPr>
                <w:rFonts w:ascii="Arial" w:eastAsia="Arial" w:hAnsi="Arial" w:cs="Arial"/>
              </w:rPr>
            </w:pPr>
          </w:p>
        </w:tc>
        <w:tc>
          <w:tcPr>
            <w:tcW w:w="600" w:type="dxa"/>
            <w:shd w:val="clear" w:color="auto" w:fill="FFC000"/>
          </w:tcPr>
          <w:p w14:paraId="59A6DA80" w14:textId="77777777" w:rsidR="0044132A" w:rsidRDefault="0044132A">
            <w:pPr>
              <w:spacing w:after="0"/>
              <w:rPr>
                <w:rFonts w:ascii="Arial" w:eastAsia="Arial" w:hAnsi="Arial" w:cs="Arial"/>
              </w:rPr>
            </w:pPr>
          </w:p>
        </w:tc>
        <w:tc>
          <w:tcPr>
            <w:tcW w:w="600" w:type="dxa"/>
          </w:tcPr>
          <w:p w14:paraId="71195709" w14:textId="77777777" w:rsidR="0044132A" w:rsidRDefault="0044132A">
            <w:pPr>
              <w:spacing w:after="0"/>
              <w:rPr>
                <w:rFonts w:ascii="Arial" w:eastAsia="Arial" w:hAnsi="Arial" w:cs="Arial"/>
              </w:rPr>
            </w:pPr>
          </w:p>
        </w:tc>
        <w:tc>
          <w:tcPr>
            <w:tcW w:w="525" w:type="dxa"/>
          </w:tcPr>
          <w:p w14:paraId="742CDBBE" w14:textId="77777777" w:rsidR="0044132A" w:rsidRDefault="0044132A">
            <w:pPr>
              <w:spacing w:after="0"/>
              <w:rPr>
                <w:rFonts w:ascii="Arial" w:eastAsia="Arial" w:hAnsi="Arial" w:cs="Arial"/>
              </w:rPr>
            </w:pPr>
          </w:p>
        </w:tc>
        <w:tc>
          <w:tcPr>
            <w:tcW w:w="585" w:type="dxa"/>
          </w:tcPr>
          <w:p w14:paraId="77F70261" w14:textId="77777777" w:rsidR="0044132A" w:rsidRDefault="0044132A">
            <w:pPr>
              <w:spacing w:after="0"/>
              <w:rPr>
                <w:rFonts w:ascii="Arial" w:eastAsia="Arial" w:hAnsi="Arial" w:cs="Arial"/>
              </w:rPr>
            </w:pPr>
          </w:p>
        </w:tc>
        <w:tc>
          <w:tcPr>
            <w:tcW w:w="540" w:type="dxa"/>
          </w:tcPr>
          <w:p w14:paraId="5A2334E7" w14:textId="77777777" w:rsidR="0044132A" w:rsidRDefault="0044132A">
            <w:pPr>
              <w:spacing w:after="0"/>
              <w:rPr>
                <w:rFonts w:ascii="Arial" w:eastAsia="Arial" w:hAnsi="Arial" w:cs="Arial"/>
              </w:rPr>
            </w:pPr>
          </w:p>
        </w:tc>
        <w:tc>
          <w:tcPr>
            <w:tcW w:w="540" w:type="dxa"/>
          </w:tcPr>
          <w:p w14:paraId="13B170E4" w14:textId="77777777" w:rsidR="0044132A" w:rsidRDefault="0044132A">
            <w:pPr>
              <w:spacing w:after="0"/>
              <w:rPr>
                <w:rFonts w:ascii="Arial" w:eastAsia="Arial" w:hAnsi="Arial" w:cs="Arial"/>
              </w:rPr>
            </w:pPr>
          </w:p>
        </w:tc>
      </w:tr>
      <w:tr w:rsidR="0044132A" w14:paraId="77BDF6AF" w14:textId="77777777">
        <w:tc>
          <w:tcPr>
            <w:tcW w:w="3015" w:type="dxa"/>
            <w:shd w:val="clear" w:color="auto" w:fill="DBE5F1"/>
          </w:tcPr>
          <w:p w14:paraId="7622775C" w14:textId="77777777" w:rsidR="0044132A" w:rsidRDefault="003D2B9D">
            <w:pPr>
              <w:spacing w:after="0"/>
              <w:rPr>
                <w:rFonts w:ascii="Arial" w:eastAsia="Arial" w:hAnsi="Arial" w:cs="Arial"/>
              </w:rPr>
            </w:pPr>
            <w:r>
              <w:rPr>
                <w:rFonts w:ascii="Arial" w:eastAsia="Arial" w:hAnsi="Arial" w:cs="Arial"/>
              </w:rPr>
              <w:t>Determining the research methodology</w:t>
            </w:r>
          </w:p>
        </w:tc>
        <w:tc>
          <w:tcPr>
            <w:tcW w:w="660" w:type="dxa"/>
          </w:tcPr>
          <w:p w14:paraId="2349EF92" w14:textId="77777777" w:rsidR="0044132A" w:rsidRDefault="0044132A">
            <w:pPr>
              <w:spacing w:after="0"/>
              <w:rPr>
                <w:rFonts w:ascii="Arial" w:eastAsia="Arial" w:hAnsi="Arial" w:cs="Arial"/>
              </w:rPr>
            </w:pPr>
          </w:p>
        </w:tc>
        <w:tc>
          <w:tcPr>
            <w:tcW w:w="645" w:type="dxa"/>
          </w:tcPr>
          <w:p w14:paraId="66788449" w14:textId="77777777" w:rsidR="0044132A" w:rsidRDefault="0044132A">
            <w:pPr>
              <w:spacing w:after="0"/>
              <w:rPr>
                <w:rFonts w:ascii="Arial" w:eastAsia="Arial" w:hAnsi="Arial" w:cs="Arial"/>
              </w:rPr>
            </w:pPr>
          </w:p>
        </w:tc>
        <w:tc>
          <w:tcPr>
            <w:tcW w:w="675" w:type="dxa"/>
          </w:tcPr>
          <w:p w14:paraId="3877D2F7" w14:textId="77777777" w:rsidR="0044132A" w:rsidRDefault="0044132A">
            <w:pPr>
              <w:spacing w:after="0"/>
              <w:rPr>
                <w:rFonts w:ascii="Arial" w:eastAsia="Arial" w:hAnsi="Arial" w:cs="Arial"/>
              </w:rPr>
            </w:pPr>
          </w:p>
        </w:tc>
        <w:tc>
          <w:tcPr>
            <w:tcW w:w="570" w:type="dxa"/>
          </w:tcPr>
          <w:p w14:paraId="67E51D87" w14:textId="77777777" w:rsidR="0044132A" w:rsidRDefault="0044132A">
            <w:pPr>
              <w:spacing w:after="0"/>
              <w:rPr>
                <w:rFonts w:ascii="Arial" w:eastAsia="Arial" w:hAnsi="Arial" w:cs="Arial"/>
              </w:rPr>
            </w:pPr>
          </w:p>
        </w:tc>
        <w:tc>
          <w:tcPr>
            <w:tcW w:w="600" w:type="dxa"/>
          </w:tcPr>
          <w:p w14:paraId="5BAAAF0A" w14:textId="77777777" w:rsidR="0044132A" w:rsidRDefault="0044132A">
            <w:pPr>
              <w:spacing w:after="0"/>
              <w:rPr>
                <w:rFonts w:ascii="Arial" w:eastAsia="Arial" w:hAnsi="Arial" w:cs="Arial"/>
              </w:rPr>
            </w:pPr>
          </w:p>
        </w:tc>
        <w:tc>
          <w:tcPr>
            <w:tcW w:w="600" w:type="dxa"/>
            <w:shd w:val="clear" w:color="auto" w:fill="00B0F0"/>
          </w:tcPr>
          <w:p w14:paraId="3E09FB29" w14:textId="77777777" w:rsidR="0044132A" w:rsidRDefault="0044132A">
            <w:pPr>
              <w:spacing w:after="0"/>
              <w:rPr>
                <w:rFonts w:ascii="Arial" w:eastAsia="Arial" w:hAnsi="Arial" w:cs="Arial"/>
              </w:rPr>
            </w:pPr>
          </w:p>
        </w:tc>
        <w:tc>
          <w:tcPr>
            <w:tcW w:w="525" w:type="dxa"/>
          </w:tcPr>
          <w:p w14:paraId="1FF51649" w14:textId="77777777" w:rsidR="0044132A" w:rsidRDefault="0044132A">
            <w:pPr>
              <w:spacing w:after="0"/>
              <w:rPr>
                <w:rFonts w:ascii="Arial" w:eastAsia="Arial" w:hAnsi="Arial" w:cs="Arial"/>
              </w:rPr>
            </w:pPr>
          </w:p>
        </w:tc>
        <w:tc>
          <w:tcPr>
            <w:tcW w:w="585" w:type="dxa"/>
          </w:tcPr>
          <w:p w14:paraId="18649F73" w14:textId="77777777" w:rsidR="0044132A" w:rsidRDefault="0044132A">
            <w:pPr>
              <w:spacing w:after="0"/>
              <w:rPr>
                <w:rFonts w:ascii="Arial" w:eastAsia="Arial" w:hAnsi="Arial" w:cs="Arial"/>
              </w:rPr>
            </w:pPr>
          </w:p>
        </w:tc>
        <w:tc>
          <w:tcPr>
            <w:tcW w:w="540" w:type="dxa"/>
          </w:tcPr>
          <w:p w14:paraId="6745C9B4" w14:textId="77777777" w:rsidR="0044132A" w:rsidRDefault="0044132A">
            <w:pPr>
              <w:spacing w:after="0"/>
              <w:rPr>
                <w:rFonts w:ascii="Arial" w:eastAsia="Arial" w:hAnsi="Arial" w:cs="Arial"/>
              </w:rPr>
            </w:pPr>
          </w:p>
        </w:tc>
        <w:tc>
          <w:tcPr>
            <w:tcW w:w="540" w:type="dxa"/>
          </w:tcPr>
          <w:p w14:paraId="7B57F0CE" w14:textId="77777777" w:rsidR="0044132A" w:rsidRDefault="0044132A">
            <w:pPr>
              <w:spacing w:after="0"/>
              <w:rPr>
                <w:rFonts w:ascii="Arial" w:eastAsia="Arial" w:hAnsi="Arial" w:cs="Arial"/>
              </w:rPr>
            </w:pPr>
          </w:p>
        </w:tc>
      </w:tr>
      <w:tr w:rsidR="0044132A" w14:paraId="40980DC7" w14:textId="77777777">
        <w:tc>
          <w:tcPr>
            <w:tcW w:w="3015" w:type="dxa"/>
            <w:shd w:val="clear" w:color="auto" w:fill="DBE5F1"/>
          </w:tcPr>
          <w:p w14:paraId="4DAD8E7C" w14:textId="77777777" w:rsidR="0044132A" w:rsidRDefault="003D2B9D">
            <w:pPr>
              <w:spacing w:after="0"/>
              <w:rPr>
                <w:rFonts w:ascii="Arial" w:eastAsia="Arial" w:hAnsi="Arial" w:cs="Arial"/>
              </w:rPr>
            </w:pPr>
            <w:r>
              <w:rPr>
                <w:rFonts w:ascii="Arial" w:eastAsia="Arial" w:hAnsi="Arial" w:cs="Arial"/>
              </w:rPr>
              <w:t>Exploring peer-reviewed journals and articles</w:t>
            </w:r>
          </w:p>
        </w:tc>
        <w:tc>
          <w:tcPr>
            <w:tcW w:w="660" w:type="dxa"/>
          </w:tcPr>
          <w:p w14:paraId="16400F14" w14:textId="77777777" w:rsidR="0044132A" w:rsidRDefault="0044132A">
            <w:pPr>
              <w:spacing w:after="0"/>
              <w:rPr>
                <w:rFonts w:ascii="Arial" w:eastAsia="Arial" w:hAnsi="Arial" w:cs="Arial"/>
              </w:rPr>
            </w:pPr>
          </w:p>
        </w:tc>
        <w:tc>
          <w:tcPr>
            <w:tcW w:w="645" w:type="dxa"/>
          </w:tcPr>
          <w:p w14:paraId="328F388D" w14:textId="77777777" w:rsidR="0044132A" w:rsidRDefault="0044132A">
            <w:pPr>
              <w:spacing w:after="0"/>
              <w:rPr>
                <w:rFonts w:ascii="Arial" w:eastAsia="Arial" w:hAnsi="Arial" w:cs="Arial"/>
              </w:rPr>
            </w:pPr>
          </w:p>
        </w:tc>
        <w:tc>
          <w:tcPr>
            <w:tcW w:w="675" w:type="dxa"/>
          </w:tcPr>
          <w:p w14:paraId="3B793B3C" w14:textId="77777777" w:rsidR="0044132A" w:rsidRDefault="0044132A">
            <w:pPr>
              <w:spacing w:after="0"/>
              <w:rPr>
                <w:rFonts w:ascii="Arial" w:eastAsia="Arial" w:hAnsi="Arial" w:cs="Arial"/>
              </w:rPr>
            </w:pPr>
          </w:p>
        </w:tc>
        <w:tc>
          <w:tcPr>
            <w:tcW w:w="570" w:type="dxa"/>
          </w:tcPr>
          <w:p w14:paraId="34E2479C" w14:textId="77777777" w:rsidR="0044132A" w:rsidRDefault="0044132A">
            <w:pPr>
              <w:spacing w:after="0"/>
              <w:rPr>
                <w:rFonts w:ascii="Arial" w:eastAsia="Arial" w:hAnsi="Arial" w:cs="Arial"/>
              </w:rPr>
            </w:pPr>
          </w:p>
        </w:tc>
        <w:tc>
          <w:tcPr>
            <w:tcW w:w="600" w:type="dxa"/>
          </w:tcPr>
          <w:p w14:paraId="67E20B34" w14:textId="77777777" w:rsidR="0044132A" w:rsidRDefault="0044132A">
            <w:pPr>
              <w:spacing w:after="0"/>
              <w:rPr>
                <w:rFonts w:ascii="Arial" w:eastAsia="Arial" w:hAnsi="Arial" w:cs="Arial"/>
              </w:rPr>
            </w:pPr>
          </w:p>
        </w:tc>
        <w:tc>
          <w:tcPr>
            <w:tcW w:w="600" w:type="dxa"/>
          </w:tcPr>
          <w:p w14:paraId="65D4BA6E" w14:textId="77777777" w:rsidR="0044132A" w:rsidRDefault="0044132A">
            <w:pPr>
              <w:spacing w:after="0"/>
              <w:rPr>
                <w:rFonts w:ascii="Arial" w:eastAsia="Arial" w:hAnsi="Arial" w:cs="Arial"/>
              </w:rPr>
            </w:pPr>
          </w:p>
        </w:tc>
        <w:tc>
          <w:tcPr>
            <w:tcW w:w="525" w:type="dxa"/>
            <w:shd w:val="clear" w:color="auto" w:fill="00B050"/>
          </w:tcPr>
          <w:p w14:paraId="2D01076C" w14:textId="77777777" w:rsidR="0044132A" w:rsidRDefault="0044132A">
            <w:pPr>
              <w:spacing w:after="0"/>
              <w:rPr>
                <w:rFonts w:ascii="Arial" w:eastAsia="Arial" w:hAnsi="Arial" w:cs="Arial"/>
              </w:rPr>
            </w:pPr>
          </w:p>
        </w:tc>
        <w:tc>
          <w:tcPr>
            <w:tcW w:w="585" w:type="dxa"/>
            <w:shd w:val="clear" w:color="auto" w:fill="00B050"/>
          </w:tcPr>
          <w:p w14:paraId="1B867E92" w14:textId="77777777" w:rsidR="0044132A" w:rsidRDefault="0044132A">
            <w:pPr>
              <w:spacing w:after="0"/>
              <w:rPr>
                <w:rFonts w:ascii="Arial" w:eastAsia="Arial" w:hAnsi="Arial" w:cs="Arial"/>
              </w:rPr>
            </w:pPr>
          </w:p>
        </w:tc>
        <w:tc>
          <w:tcPr>
            <w:tcW w:w="540" w:type="dxa"/>
          </w:tcPr>
          <w:p w14:paraId="11B273B2" w14:textId="77777777" w:rsidR="0044132A" w:rsidRDefault="0044132A">
            <w:pPr>
              <w:spacing w:after="0"/>
              <w:rPr>
                <w:rFonts w:ascii="Arial" w:eastAsia="Arial" w:hAnsi="Arial" w:cs="Arial"/>
              </w:rPr>
            </w:pPr>
          </w:p>
        </w:tc>
        <w:tc>
          <w:tcPr>
            <w:tcW w:w="540" w:type="dxa"/>
          </w:tcPr>
          <w:p w14:paraId="060D202D" w14:textId="77777777" w:rsidR="0044132A" w:rsidRDefault="0044132A">
            <w:pPr>
              <w:spacing w:after="0"/>
              <w:rPr>
                <w:rFonts w:ascii="Arial" w:eastAsia="Arial" w:hAnsi="Arial" w:cs="Arial"/>
              </w:rPr>
            </w:pPr>
          </w:p>
        </w:tc>
      </w:tr>
      <w:tr w:rsidR="0044132A" w14:paraId="5426B493" w14:textId="77777777">
        <w:tc>
          <w:tcPr>
            <w:tcW w:w="3015" w:type="dxa"/>
            <w:shd w:val="clear" w:color="auto" w:fill="DBE5F1"/>
          </w:tcPr>
          <w:p w14:paraId="2455644F" w14:textId="77777777" w:rsidR="0044132A" w:rsidRDefault="003D2B9D">
            <w:pPr>
              <w:spacing w:after="0"/>
              <w:rPr>
                <w:rFonts w:ascii="Arial" w:eastAsia="Arial" w:hAnsi="Arial" w:cs="Arial"/>
              </w:rPr>
            </w:pPr>
            <w:r>
              <w:rPr>
                <w:rFonts w:ascii="Arial" w:eastAsia="Arial" w:hAnsi="Arial" w:cs="Arial"/>
              </w:rPr>
              <w:t>Formulating the Thematic Analysis</w:t>
            </w:r>
          </w:p>
        </w:tc>
        <w:tc>
          <w:tcPr>
            <w:tcW w:w="660" w:type="dxa"/>
          </w:tcPr>
          <w:p w14:paraId="7AF5FC71" w14:textId="77777777" w:rsidR="0044132A" w:rsidRDefault="0044132A">
            <w:pPr>
              <w:spacing w:after="0"/>
              <w:rPr>
                <w:rFonts w:ascii="Arial" w:eastAsia="Arial" w:hAnsi="Arial" w:cs="Arial"/>
              </w:rPr>
            </w:pPr>
          </w:p>
        </w:tc>
        <w:tc>
          <w:tcPr>
            <w:tcW w:w="645" w:type="dxa"/>
          </w:tcPr>
          <w:p w14:paraId="49E281C6" w14:textId="77777777" w:rsidR="0044132A" w:rsidRDefault="0044132A">
            <w:pPr>
              <w:spacing w:after="0"/>
              <w:rPr>
                <w:rFonts w:ascii="Arial" w:eastAsia="Arial" w:hAnsi="Arial" w:cs="Arial"/>
              </w:rPr>
            </w:pPr>
          </w:p>
        </w:tc>
        <w:tc>
          <w:tcPr>
            <w:tcW w:w="675" w:type="dxa"/>
          </w:tcPr>
          <w:p w14:paraId="11995330" w14:textId="77777777" w:rsidR="0044132A" w:rsidRDefault="0044132A">
            <w:pPr>
              <w:spacing w:after="0"/>
              <w:rPr>
                <w:rFonts w:ascii="Arial" w:eastAsia="Arial" w:hAnsi="Arial" w:cs="Arial"/>
              </w:rPr>
            </w:pPr>
          </w:p>
        </w:tc>
        <w:tc>
          <w:tcPr>
            <w:tcW w:w="570" w:type="dxa"/>
          </w:tcPr>
          <w:p w14:paraId="42190C23" w14:textId="77777777" w:rsidR="0044132A" w:rsidRDefault="0044132A">
            <w:pPr>
              <w:spacing w:after="0"/>
              <w:rPr>
                <w:rFonts w:ascii="Arial" w:eastAsia="Arial" w:hAnsi="Arial" w:cs="Arial"/>
              </w:rPr>
            </w:pPr>
          </w:p>
        </w:tc>
        <w:tc>
          <w:tcPr>
            <w:tcW w:w="600" w:type="dxa"/>
          </w:tcPr>
          <w:p w14:paraId="55F3814A" w14:textId="77777777" w:rsidR="0044132A" w:rsidRDefault="0044132A">
            <w:pPr>
              <w:spacing w:after="0"/>
              <w:rPr>
                <w:rFonts w:ascii="Arial" w:eastAsia="Arial" w:hAnsi="Arial" w:cs="Arial"/>
              </w:rPr>
            </w:pPr>
          </w:p>
        </w:tc>
        <w:tc>
          <w:tcPr>
            <w:tcW w:w="600" w:type="dxa"/>
          </w:tcPr>
          <w:p w14:paraId="79B3E745" w14:textId="77777777" w:rsidR="0044132A" w:rsidRDefault="0044132A">
            <w:pPr>
              <w:spacing w:after="0"/>
              <w:rPr>
                <w:rFonts w:ascii="Arial" w:eastAsia="Arial" w:hAnsi="Arial" w:cs="Arial"/>
              </w:rPr>
            </w:pPr>
          </w:p>
        </w:tc>
        <w:tc>
          <w:tcPr>
            <w:tcW w:w="525" w:type="dxa"/>
          </w:tcPr>
          <w:p w14:paraId="05BC37C8" w14:textId="77777777" w:rsidR="0044132A" w:rsidRDefault="0044132A">
            <w:pPr>
              <w:spacing w:after="0"/>
              <w:rPr>
                <w:rFonts w:ascii="Arial" w:eastAsia="Arial" w:hAnsi="Arial" w:cs="Arial"/>
              </w:rPr>
            </w:pPr>
          </w:p>
        </w:tc>
        <w:tc>
          <w:tcPr>
            <w:tcW w:w="585" w:type="dxa"/>
            <w:shd w:val="clear" w:color="auto" w:fill="CCC1D9"/>
          </w:tcPr>
          <w:p w14:paraId="20B4B4EC" w14:textId="77777777" w:rsidR="0044132A" w:rsidRDefault="0044132A">
            <w:pPr>
              <w:spacing w:after="0"/>
              <w:rPr>
                <w:rFonts w:ascii="Arial" w:eastAsia="Arial" w:hAnsi="Arial" w:cs="Arial"/>
              </w:rPr>
            </w:pPr>
          </w:p>
        </w:tc>
        <w:tc>
          <w:tcPr>
            <w:tcW w:w="540" w:type="dxa"/>
            <w:shd w:val="clear" w:color="auto" w:fill="CCC1D9"/>
          </w:tcPr>
          <w:p w14:paraId="4F8D7D3A" w14:textId="77777777" w:rsidR="0044132A" w:rsidRDefault="0044132A">
            <w:pPr>
              <w:spacing w:after="0"/>
              <w:rPr>
                <w:rFonts w:ascii="Arial" w:eastAsia="Arial" w:hAnsi="Arial" w:cs="Arial"/>
              </w:rPr>
            </w:pPr>
          </w:p>
        </w:tc>
        <w:tc>
          <w:tcPr>
            <w:tcW w:w="540" w:type="dxa"/>
          </w:tcPr>
          <w:p w14:paraId="0209FC75" w14:textId="77777777" w:rsidR="0044132A" w:rsidRDefault="0044132A">
            <w:pPr>
              <w:spacing w:after="0"/>
              <w:rPr>
                <w:rFonts w:ascii="Arial" w:eastAsia="Arial" w:hAnsi="Arial" w:cs="Arial"/>
              </w:rPr>
            </w:pPr>
          </w:p>
        </w:tc>
      </w:tr>
      <w:tr w:rsidR="0044132A" w14:paraId="6F8ACAD1" w14:textId="77777777">
        <w:tc>
          <w:tcPr>
            <w:tcW w:w="3015" w:type="dxa"/>
            <w:shd w:val="clear" w:color="auto" w:fill="DBE5F1"/>
          </w:tcPr>
          <w:p w14:paraId="6BEA3B5A" w14:textId="77777777" w:rsidR="0044132A" w:rsidRDefault="003D2B9D">
            <w:pPr>
              <w:spacing w:after="0"/>
              <w:rPr>
                <w:rFonts w:ascii="Arial" w:eastAsia="Arial" w:hAnsi="Arial" w:cs="Arial"/>
              </w:rPr>
            </w:pPr>
            <w:r>
              <w:rPr>
                <w:rFonts w:ascii="Arial" w:eastAsia="Arial" w:hAnsi="Arial" w:cs="Arial"/>
              </w:rPr>
              <w:t>Interpretation of the data</w:t>
            </w:r>
          </w:p>
        </w:tc>
        <w:tc>
          <w:tcPr>
            <w:tcW w:w="660" w:type="dxa"/>
          </w:tcPr>
          <w:p w14:paraId="13F3D546" w14:textId="77777777" w:rsidR="0044132A" w:rsidRDefault="0044132A">
            <w:pPr>
              <w:spacing w:after="0"/>
              <w:rPr>
                <w:rFonts w:ascii="Arial" w:eastAsia="Arial" w:hAnsi="Arial" w:cs="Arial"/>
              </w:rPr>
            </w:pPr>
          </w:p>
        </w:tc>
        <w:tc>
          <w:tcPr>
            <w:tcW w:w="645" w:type="dxa"/>
          </w:tcPr>
          <w:p w14:paraId="0C498F5D" w14:textId="77777777" w:rsidR="0044132A" w:rsidRDefault="0044132A">
            <w:pPr>
              <w:spacing w:after="0"/>
              <w:rPr>
                <w:rFonts w:ascii="Arial" w:eastAsia="Arial" w:hAnsi="Arial" w:cs="Arial"/>
              </w:rPr>
            </w:pPr>
          </w:p>
        </w:tc>
        <w:tc>
          <w:tcPr>
            <w:tcW w:w="675" w:type="dxa"/>
          </w:tcPr>
          <w:p w14:paraId="7D0D8759" w14:textId="77777777" w:rsidR="0044132A" w:rsidRDefault="0044132A">
            <w:pPr>
              <w:spacing w:after="0"/>
              <w:rPr>
                <w:rFonts w:ascii="Arial" w:eastAsia="Arial" w:hAnsi="Arial" w:cs="Arial"/>
              </w:rPr>
            </w:pPr>
          </w:p>
        </w:tc>
        <w:tc>
          <w:tcPr>
            <w:tcW w:w="570" w:type="dxa"/>
          </w:tcPr>
          <w:p w14:paraId="0B0E53C0" w14:textId="77777777" w:rsidR="0044132A" w:rsidRDefault="0044132A">
            <w:pPr>
              <w:spacing w:after="0"/>
              <w:rPr>
                <w:rFonts w:ascii="Arial" w:eastAsia="Arial" w:hAnsi="Arial" w:cs="Arial"/>
              </w:rPr>
            </w:pPr>
          </w:p>
        </w:tc>
        <w:tc>
          <w:tcPr>
            <w:tcW w:w="600" w:type="dxa"/>
          </w:tcPr>
          <w:p w14:paraId="3FAFAE50" w14:textId="77777777" w:rsidR="0044132A" w:rsidRDefault="0044132A">
            <w:pPr>
              <w:spacing w:after="0"/>
              <w:rPr>
                <w:rFonts w:ascii="Arial" w:eastAsia="Arial" w:hAnsi="Arial" w:cs="Arial"/>
              </w:rPr>
            </w:pPr>
          </w:p>
        </w:tc>
        <w:tc>
          <w:tcPr>
            <w:tcW w:w="600" w:type="dxa"/>
          </w:tcPr>
          <w:p w14:paraId="51BF0A6E" w14:textId="77777777" w:rsidR="0044132A" w:rsidRDefault="0044132A">
            <w:pPr>
              <w:spacing w:after="0"/>
              <w:rPr>
                <w:rFonts w:ascii="Arial" w:eastAsia="Arial" w:hAnsi="Arial" w:cs="Arial"/>
              </w:rPr>
            </w:pPr>
          </w:p>
        </w:tc>
        <w:tc>
          <w:tcPr>
            <w:tcW w:w="525" w:type="dxa"/>
          </w:tcPr>
          <w:p w14:paraId="28FFEFDC" w14:textId="77777777" w:rsidR="0044132A" w:rsidRDefault="0044132A">
            <w:pPr>
              <w:spacing w:after="0"/>
              <w:rPr>
                <w:rFonts w:ascii="Arial" w:eastAsia="Arial" w:hAnsi="Arial" w:cs="Arial"/>
              </w:rPr>
            </w:pPr>
          </w:p>
        </w:tc>
        <w:tc>
          <w:tcPr>
            <w:tcW w:w="585" w:type="dxa"/>
          </w:tcPr>
          <w:p w14:paraId="7DA192D9" w14:textId="77777777" w:rsidR="0044132A" w:rsidRDefault="0044132A">
            <w:pPr>
              <w:spacing w:after="0"/>
              <w:rPr>
                <w:rFonts w:ascii="Arial" w:eastAsia="Arial" w:hAnsi="Arial" w:cs="Arial"/>
              </w:rPr>
            </w:pPr>
          </w:p>
        </w:tc>
        <w:tc>
          <w:tcPr>
            <w:tcW w:w="540" w:type="dxa"/>
            <w:shd w:val="clear" w:color="auto" w:fill="D99594"/>
          </w:tcPr>
          <w:p w14:paraId="3A8B9D6C" w14:textId="77777777" w:rsidR="0044132A" w:rsidRDefault="0044132A">
            <w:pPr>
              <w:spacing w:after="0"/>
              <w:rPr>
                <w:rFonts w:ascii="Arial" w:eastAsia="Arial" w:hAnsi="Arial" w:cs="Arial"/>
              </w:rPr>
            </w:pPr>
          </w:p>
        </w:tc>
        <w:tc>
          <w:tcPr>
            <w:tcW w:w="540" w:type="dxa"/>
          </w:tcPr>
          <w:p w14:paraId="19230530" w14:textId="77777777" w:rsidR="0044132A" w:rsidRDefault="0044132A">
            <w:pPr>
              <w:spacing w:after="0"/>
              <w:rPr>
                <w:rFonts w:ascii="Arial" w:eastAsia="Arial" w:hAnsi="Arial" w:cs="Arial"/>
              </w:rPr>
            </w:pPr>
          </w:p>
        </w:tc>
      </w:tr>
      <w:tr w:rsidR="0044132A" w14:paraId="2156521A" w14:textId="77777777">
        <w:tc>
          <w:tcPr>
            <w:tcW w:w="3015" w:type="dxa"/>
            <w:shd w:val="clear" w:color="auto" w:fill="DBE5F1"/>
          </w:tcPr>
          <w:p w14:paraId="3A939F99" w14:textId="77777777" w:rsidR="0044132A" w:rsidRDefault="003D2B9D">
            <w:pPr>
              <w:spacing w:after="0"/>
              <w:rPr>
                <w:rFonts w:ascii="Arial" w:eastAsia="Arial" w:hAnsi="Arial" w:cs="Arial"/>
              </w:rPr>
            </w:pPr>
            <w:r>
              <w:rPr>
                <w:rFonts w:ascii="Arial" w:eastAsia="Arial" w:hAnsi="Arial" w:cs="Arial"/>
              </w:rPr>
              <w:t>Final Submission</w:t>
            </w:r>
          </w:p>
        </w:tc>
        <w:tc>
          <w:tcPr>
            <w:tcW w:w="660" w:type="dxa"/>
          </w:tcPr>
          <w:p w14:paraId="4C5E8B2B" w14:textId="77777777" w:rsidR="0044132A" w:rsidRDefault="0044132A">
            <w:pPr>
              <w:spacing w:after="0"/>
              <w:rPr>
                <w:rFonts w:ascii="Arial" w:eastAsia="Arial" w:hAnsi="Arial" w:cs="Arial"/>
              </w:rPr>
            </w:pPr>
          </w:p>
        </w:tc>
        <w:tc>
          <w:tcPr>
            <w:tcW w:w="645" w:type="dxa"/>
          </w:tcPr>
          <w:p w14:paraId="620DE19C" w14:textId="77777777" w:rsidR="0044132A" w:rsidRDefault="0044132A">
            <w:pPr>
              <w:spacing w:after="0"/>
              <w:rPr>
                <w:rFonts w:ascii="Arial" w:eastAsia="Arial" w:hAnsi="Arial" w:cs="Arial"/>
              </w:rPr>
            </w:pPr>
          </w:p>
        </w:tc>
        <w:tc>
          <w:tcPr>
            <w:tcW w:w="675" w:type="dxa"/>
          </w:tcPr>
          <w:p w14:paraId="49951A94" w14:textId="77777777" w:rsidR="0044132A" w:rsidRDefault="0044132A">
            <w:pPr>
              <w:spacing w:after="0"/>
              <w:rPr>
                <w:rFonts w:ascii="Arial" w:eastAsia="Arial" w:hAnsi="Arial" w:cs="Arial"/>
              </w:rPr>
            </w:pPr>
          </w:p>
        </w:tc>
        <w:tc>
          <w:tcPr>
            <w:tcW w:w="570" w:type="dxa"/>
          </w:tcPr>
          <w:p w14:paraId="782971BC" w14:textId="77777777" w:rsidR="0044132A" w:rsidRDefault="0044132A">
            <w:pPr>
              <w:spacing w:after="0"/>
              <w:rPr>
                <w:rFonts w:ascii="Arial" w:eastAsia="Arial" w:hAnsi="Arial" w:cs="Arial"/>
              </w:rPr>
            </w:pPr>
          </w:p>
        </w:tc>
        <w:tc>
          <w:tcPr>
            <w:tcW w:w="600" w:type="dxa"/>
          </w:tcPr>
          <w:p w14:paraId="68FD2E8F" w14:textId="77777777" w:rsidR="0044132A" w:rsidRDefault="0044132A">
            <w:pPr>
              <w:spacing w:after="0"/>
              <w:rPr>
                <w:rFonts w:ascii="Arial" w:eastAsia="Arial" w:hAnsi="Arial" w:cs="Arial"/>
              </w:rPr>
            </w:pPr>
          </w:p>
        </w:tc>
        <w:tc>
          <w:tcPr>
            <w:tcW w:w="600" w:type="dxa"/>
          </w:tcPr>
          <w:p w14:paraId="53F00821" w14:textId="77777777" w:rsidR="0044132A" w:rsidRDefault="0044132A">
            <w:pPr>
              <w:spacing w:after="0"/>
              <w:rPr>
                <w:rFonts w:ascii="Arial" w:eastAsia="Arial" w:hAnsi="Arial" w:cs="Arial"/>
              </w:rPr>
            </w:pPr>
          </w:p>
        </w:tc>
        <w:tc>
          <w:tcPr>
            <w:tcW w:w="525" w:type="dxa"/>
          </w:tcPr>
          <w:p w14:paraId="3A74AE35" w14:textId="77777777" w:rsidR="0044132A" w:rsidRDefault="0044132A">
            <w:pPr>
              <w:spacing w:after="0"/>
              <w:rPr>
                <w:rFonts w:ascii="Arial" w:eastAsia="Arial" w:hAnsi="Arial" w:cs="Arial"/>
              </w:rPr>
            </w:pPr>
          </w:p>
        </w:tc>
        <w:tc>
          <w:tcPr>
            <w:tcW w:w="585" w:type="dxa"/>
          </w:tcPr>
          <w:p w14:paraId="294C0763" w14:textId="77777777" w:rsidR="0044132A" w:rsidRDefault="0044132A">
            <w:pPr>
              <w:spacing w:after="0"/>
              <w:rPr>
                <w:rFonts w:ascii="Arial" w:eastAsia="Arial" w:hAnsi="Arial" w:cs="Arial"/>
              </w:rPr>
            </w:pPr>
          </w:p>
        </w:tc>
        <w:tc>
          <w:tcPr>
            <w:tcW w:w="540" w:type="dxa"/>
          </w:tcPr>
          <w:p w14:paraId="64C43C86" w14:textId="77777777" w:rsidR="0044132A" w:rsidRDefault="0044132A">
            <w:pPr>
              <w:spacing w:after="0"/>
              <w:rPr>
                <w:rFonts w:ascii="Arial" w:eastAsia="Arial" w:hAnsi="Arial" w:cs="Arial"/>
              </w:rPr>
            </w:pPr>
          </w:p>
        </w:tc>
        <w:tc>
          <w:tcPr>
            <w:tcW w:w="540" w:type="dxa"/>
            <w:shd w:val="clear" w:color="auto" w:fill="7030A0"/>
          </w:tcPr>
          <w:p w14:paraId="5752DF88" w14:textId="77777777" w:rsidR="0044132A" w:rsidRDefault="0044132A">
            <w:pPr>
              <w:spacing w:after="0"/>
              <w:rPr>
                <w:rFonts w:ascii="Arial" w:eastAsia="Arial" w:hAnsi="Arial" w:cs="Arial"/>
              </w:rPr>
            </w:pPr>
          </w:p>
        </w:tc>
      </w:tr>
    </w:tbl>
    <w:p w14:paraId="0798864A" w14:textId="77777777" w:rsidR="0044132A" w:rsidRDefault="0044132A">
      <w:pPr>
        <w:spacing w:after="0" w:line="360" w:lineRule="auto"/>
        <w:jc w:val="both"/>
      </w:pPr>
    </w:p>
    <w:p w14:paraId="01648C5E" w14:textId="77777777" w:rsidR="0044132A" w:rsidRDefault="003D2B9D">
      <w:pPr>
        <w:pStyle w:val="Title"/>
        <w:spacing w:before="0" w:after="0" w:line="360" w:lineRule="auto"/>
        <w:jc w:val="both"/>
      </w:pPr>
      <w:bookmarkStart w:id="16" w:name="_heading=h.92i6x0wjj0er" w:colFirst="0" w:colLast="0"/>
      <w:bookmarkEnd w:id="16"/>
      <w:r>
        <w:br w:type="page"/>
      </w:r>
      <w:bookmarkStart w:id="17" w:name="_Toc144037714"/>
      <w:r>
        <w:lastRenderedPageBreak/>
        <w:t>Structure of final report</w:t>
      </w:r>
      <w:bookmarkEnd w:id="17"/>
    </w:p>
    <w:p w14:paraId="0969B091" w14:textId="77777777" w:rsidR="0044132A" w:rsidRDefault="003D2B9D">
      <w:pPr>
        <w:spacing w:after="0" w:line="360" w:lineRule="auto"/>
        <w:jc w:val="both"/>
      </w:pPr>
      <w:r>
        <w:t>The Introduction, which defines the backdrop and aims, will be one of the primary chapters in the research's final report</w:t>
      </w:r>
      <w:r w:rsidR="00716972">
        <w:t>;</w:t>
      </w:r>
      <w:r>
        <w:t xml:space="preserve"> a review of the literature that offers an overview of current studies; a description of the research methodology, including the strategy, technique, data collecting, and analysis; findings and results presentation; discussion, interpretation of the results within the framework of the theory; Conclusion, highlighting the main points; &amp; Recommendations, outlining useful solutions for HSBC and other comparable businesses.</w:t>
      </w:r>
      <w:r>
        <w:br w:type="page"/>
      </w:r>
    </w:p>
    <w:p w14:paraId="36A769EB" w14:textId="77777777" w:rsidR="0044132A" w:rsidRDefault="003D2B9D">
      <w:pPr>
        <w:pStyle w:val="Title"/>
        <w:spacing w:before="0" w:after="0" w:line="360" w:lineRule="auto"/>
      </w:pPr>
      <w:bookmarkStart w:id="18" w:name="_Toc144037715"/>
      <w:r>
        <w:lastRenderedPageBreak/>
        <w:t>List of references</w:t>
      </w:r>
      <w:bookmarkEnd w:id="18"/>
    </w:p>
    <w:p w14:paraId="4F972709" w14:textId="77777777" w:rsidR="00606B82" w:rsidRPr="00606B82" w:rsidRDefault="00606B82" w:rsidP="00606B82">
      <w:pPr>
        <w:spacing w:before="240" w:after="240" w:line="360" w:lineRule="auto"/>
        <w:jc w:val="both"/>
        <w:rPr>
          <w:color w:val="222222"/>
          <w:szCs w:val="24"/>
          <w:highlight w:val="white"/>
        </w:rPr>
      </w:pPr>
      <w:proofErr w:type="spellStart"/>
      <w:r w:rsidRPr="00606B82">
        <w:rPr>
          <w:color w:val="222222"/>
          <w:szCs w:val="24"/>
          <w:highlight w:val="white"/>
        </w:rPr>
        <w:t>Alharahsheh</w:t>
      </w:r>
      <w:proofErr w:type="spellEnd"/>
      <w:r w:rsidRPr="00606B82">
        <w:rPr>
          <w:color w:val="222222"/>
          <w:szCs w:val="24"/>
          <w:highlight w:val="white"/>
        </w:rPr>
        <w:t xml:space="preserve">, H.H. and Pius, A., 2020. A review of key paradigms: Positivism VS interpretivism. </w:t>
      </w:r>
      <w:r w:rsidRPr="00606B82">
        <w:rPr>
          <w:i/>
          <w:color w:val="222222"/>
          <w:szCs w:val="24"/>
          <w:highlight w:val="white"/>
        </w:rPr>
        <w:t>Global Academic Journal of Humanities and Social Sciences</w:t>
      </w:r>
      <w:r w:rsidRPr="00606B82">
        <w:rPr>
          <w:color w:val="222222"/>
          <w:szCs w:val="24"/>
          <w:highlight w:val="white"/>
        </w:rPr>
        <w:t xml:space="preserve">, </w:t>
      </w:r>
      <w:r w:rsidRPr="00606B82">
        <w:rPr>
          <w:i/>
          <w:color w:val="222222"/>
          <w:szCs w:val="24"/>
          <w:highlight w:val="white"/>
        </w:rPr>
        <w:t>2</w:t>
      </w:r>
      <w:r w:rsidRPr="00606B82">
        <w:rPr>
          <w:color w:val="222222"/>
          <w:szCs w:val="24"/>
          <w:highlight w:val="white"/>
        </w:rPr>
        <w:t xml:space="preserve">(3), pp.39-43. Available at:  </w:t>
      </w:r>
      <w:hyperlink r:id="rId9">
        <w:r w:rsidRPr="00606B82">
          <w:rPr>
            <w:color w:val="1155CC"/>
            <w:szCs w:val="24"/>
            <w:highlight w:val="white"/>
            <w:u w:val="single"/>
          </w:rPr>
          <w:t>https://gajrc.com/media/articles/GAJHSS_23_39-43_VMGJbOK.pdf</w:t>
        </w:r>
      </w:hyperlink>
      <w:r w:rsidRPr="00606B82">
        <w:rPr>
          <w:color w:val="222222"/>
          <w:szCs w:val="24"/>
          <w:highlight w:val="white"/>
        </w:rPr>
        <w:t xml:space="preserve"> [Accessed 19 August 2023]</w:t>
      </w:r>
    </w:p>
    <w:p w14:paraId="74C17183" w14:textId="77777777" w:rsidR="00606B82" w:rsidRPr="00606B82" w:rsidRDefault="00606B82" w:rsidP="00606B82">
      <w:pPr>
        <w:spacing w:before="240" w:after="240" w:line="360" w:lineRule="auto"/>
        <w:jc w:val="both"/>
        <w:rPr>
          <w:color w:val="222222"/>
          <w:szCs w:val="24"/>
          <w:highlight w:val="white"/>
        </w:rPr>
      </w:pPr>
      <w:r w:rsidRPr="00606B82">
        <w:rPr>
          <w:color w:val="222222"/>
          <w:szCs w:val="24"/>
          <w:highlight w:val="white"/>
        </w:rPr>
        <w:t xml:space="preserve">Balian, M.I., 2022. </w:t>
      </w:r>
      <w:r w:rsidRPr="00606B82">
        <w:rPr>
          <w:i/>
          <w:color w:val="222222"/>
          <w:szCs w:val="24"/>
          <w:highlight w:val="white"/>
        </w:rPr>
        <w:t>Reputation Risk and Reputation Risk Management: Case Study Applied on Facebook and HSBC</w:t>
      </w:r>
      <w:r w:rsidRPr="00606B82">
        <w:rPr>
          <w:color w:val="222222"/>
          <w:szCs w:val="24"/>
          <w:highlight w:val="white"/>
        </w:rPr>
        <w:t xml:space="preserve"> (Doctoral dissertation, Pharos University in Alexandria). Available at: </w:t>
      </w:r>
      <w:hyperlink r:id="rId10">
        <w:r w:rsidRPr="00606B82">
          <w:rPr>
            <w:color w:val="1155CC"/>
            <w:szCs w:val="24"/>
            <w:highlight w:val="white"/>
            <w:u w:val="single"/>
          </w:rPr>
          <w:t>https://www.researchgate.net/profile/Mai-Mahmoud-Hossni/publication/366759466_Reputation_Risk_and_Reputation_Risk_Management_Case_Study_Applied_on_Facebook_and_HSBC/links/63b1a36fa03100368a45d1a3/Reputation-Risk-and-Reputation-Risk-Management-Case-Study-Applied-on-Facebook-and-HSBC.pdf</w:t>
        </w:r>
      </w:hyperlink>
      <w:r w:rsidRPr="00606B82">
        <w:rPr>
          <w:color w:val="222222"/>
          <w:szCs w:val="24"/>
          <w:highlight w:val="white"/>
        </w:rPr>
        <w:t xml:space="preserve"> [Accessed 29 July 2023]</w:t>
      </w:r>
    </w:p>
    <w:p w14:paraId="3C2CA859" w14:textId="77777777" w:rsidR="00606B82" w:rsidRPr="00606B82" w:rsidRDefault="00606B82" w:rsidP="00606B82">
      <w:pPr>
        <w:spacing w:before="240" w:after="240" w:line="360" w:lineRule="auto"/>
        <w:jc w:val="both"/>
        <w:rPr>
          <w:color w:val="222222"/>
          <w:szCs w:val="24"/>
          <w:highlight w:val="white"/>
        </w:rPr>
      </w:pPr>
      <w:r w:rsidRPr="00606B82">
        <w:rPr>
          <w:color w:val="222222"/>
          <w:szCs w:val="24"/>
          <w:highlight w:val="white"/>
        </w:rPr>
        <w:t xml:space="preserve">Broeder, P., 2021. Informed communication in high context and low context cultures. </w:t>
      </w:r>
      <w:r w:rsidRPr="00606B82">
        <w:rPr>
          <w:i/>
          <w:color w:val="222222"/>
          <w:szCs w:val="24"/>
          <w:highlight w:val="white"/>
        </w:rPr>
        <w:t>Journal of Education, Innovation, and Communication</w:t>
      </w:r>
      <w:r w:rsidRPr="00606B82">
        <w:rPr>
          <w:color w:val="222222"/>
          <w:szCs w:val="24"/>
          <w:highlight w:val="white"/>
        </w:rPr>
        <w:t xml:space="preserve">, </w:t>
      </w:r>
      <w:r w:rsidRPr="00606B82">
        <w:rPr>
          <w:i/>
          <w:color w:val="222222"/>
          <w:szCs w:val="24"/>
          <w:highlight w:val="white"/>
        </w:rPr>
        <w:t>3</w:t>
      </w:r>
      <w:r w:rsidRPr="00606B82">
        <w:rPr>
          <w:color w:val="222222"/>
          <w:szCs w:val="24"/>
          <w:highlight w:val="white"/>
        </w:rPr>
        <w:t xml:space="preserve">(1), pp.13-24.  Available at: </w:t>
      </w:r>
      <w:hyperlink r:id="rId11">
        <w:r w:rsidRPr="00606B82">
          <w:rPr>
            <w:color w:val="1155CC"/>
            <w:szCs w:val="24"/>
            <w:highlight w:val="white"/>
            <w:u w:val="single"/>
          </w:rPr>
          <w:t>https://pure.uvt.nl/ws/portalfiles/portal/50689011/1_2021_JUNE_JEICOM_Broeder_13_24.pdf</w:t>
        </w:r>
      </w:hyperlink>
      <w:r w:rsidRPr="00606B82">
        <w:rPr>
          <w:color w:val="222222"/>
          <w:szCs w:val="24"/>
          <w:highlight w:val="white"/>
        </w:rPr>
        <w:t xml:space="preserve">  [Accessed 19 August 2023]</w:t>
      </w:r>
    </w:p>
    <w:p w14:paraId="18433E9E" w14:textId="77777777" w:rsidR="00606B82" w:rsidRPr="00606B82" w:rsidRDefault="00606B82" w:rsidP="00606B82">
      <w:pPr>
        <w:spacing w:before="240" w:after="240" w:line="360" w:lineRule="auto"/>
        <w:jc w:val="both"/>
        <w:rPr>
          <w:color w:val="222222"/>
          <w:szCs w:val="24"/>
          <w:highlight w:val="white"/>
        </w:rPr>
      </w:pPr>
      <w:r w:rsidRPr="00606B82">
        <w:rPr>
          <w:color w:val="222222"/>
          <w:szCs w:val="24"/>
          <w:highlight w:val="white"/>
        </w:rPr>
        <w:t xml:space="preserve">Brown, B., Pérez, G., </w:t>
      </w:r>
      <w:proofErr w:type="spellStart"/>
      <w:r w:rsidRPr="00606B82">
        <w:rPr>
          <w:color w:val="222222"/>
          <w:szCs w:val="24"/>
          <w:highlight w:val="white"/>
        </w:rPr>
        <w:t>Ribay</w:t>
      </w:r>
      <w:proofErr w:type="spellEnd"/>
      <w:r w:rsidRPr="00606B82">
        <w:rPr>
          <w:color w:val="222222"/>
          <w:szCs w:val="24"/>
          <w:highlight w:val="white"/>
        </w:rPr>
        <w:t xml:space="preserve">, K., Boda, P.A. and Wilsey, M., 2021. Teaching culturally relevant science in virtual </w:t>
      </w:r>
      <w:proofErr w:type="spellStart"/>
      <w:proofErr w:type="gramStart"/>
      <w:r w:rsidRPr="00606B82">
        <w:rPr>
          <w:color w:val="222222"/>
          <w:szCs w:val="24"/>
          <w:highlight w:val="white"/>
        </w:rPr>
        <w:t>reality:“</w:t>
      </w:r>
      <w:proofErr w:type="gramEnd"/>
      <w:r w:rsidRPr="00606B82">
        <w:rPr>
          <w:color w:val="222222"/>
          <w:szCs w:val="24"/>
          <w:highlight w:val="white"/>
        </w:rPr>
        <w:t>When</w:t>
      </w:r>
      <w:proofErr w:type="spellEnd"/>
      <w:r w:rsidRPr="00606B82">
        <w:rPr>
          <w:color w:val="222222"/>
          <w:szCs w:val="24"/>
          <w:highlight w:val="white"/>
        </w:rPr>
        <w:t xml:space="preserve"> a problem comes, you can solve it with science”. </w:t>
      </w:r>
      <w:r w:rsidRPr="00606B82">
        <w:rPr>
          <w:i/>
          <w:color w:val="222222"/>
          <w:szCs w:val="24"/>
          <w:highlight w:val="white"/>
        </w:rPr>
        <w:t>Journal of Science Teacher Education</w:t>
      </w:r>
      <w:r w:rsidRPr="00606B82">
        <w:rPr>
          <w:color w:val="222222"/>
          <w:szCs w:val="24"/>
          <w:highlight w:val="white"/>
        </w:rPr>
        <w:t xml:space="preserve">, </w:t>
      </w:r>
      <w:r w:rsidRPr="00606B82">
        <w:rPr>
          <w:i/>
          <w:color w:val="222222"/>
          <w:szCs w:val="24"/>
          <w:highlight w:val="white"/>
        </w:rPr>
        <w:t>32</w:t>
      </w:r>
      <w:r w:rsidRPr="00606B82">
        <w:rPr>
          <w:color w:val="222222"/>
          <w:szCs w:val="24"/>
          <w:highlight w:val="white"/>
        </w:rPr>
        <w:t xml:space="preserve">(1), pp.7-38. Available at: </w:t>
      </w:r>
      <w:hyperlink r:id="rId12">
        <w:r w:rsidRPr="00606B82">
          <w:rPr>
            <w:color w:val="1155CC"/>
            <w:szCs w:val="24"/>
            <w:highlight w:val="white"/>
            <w:u w:val="single"/>
          </w:rPr>
          <w:t>https://www.tandfonline.com/doi/abs/10.1080/1046560X.2020.1778248</w:t>
        </w:r>
      </w:hyperlink>
      <w:r w:rsidRPr="00606B82">
        <w:rPr>
          <w:color w:val="222222"/>
          <w:szCs w:val="24"/>
          <w:highlight w:val="white"/>
        </w:rPr>
        <w:t xml:space="preserve">  [Accessed 19 August 2023]</w:t>
      </w:r>
    </w:p>
    <w:p w14:paraId="66C5F688" w14:textId="77777777" w:rsidR="00606B82" w:rsidRPr="00606B82" w:rsidRDefault="00606B82" w:rsidP="00606B82">
      <w:pPr>
        <w:spacing w:before="240" w:after="240" w:line="360" w:lineRule="auto"/>
        <w:jc w:val="both"/>
        <w:rPr>
          <w:color w:val="222222"/>
          <w:szCs w:val="24"/>
          <w:highlight w:val="white"/>
        </w:rPr>
      </w:pPr>
      <w:proofErr w:type="spellStart"/>
      <w:r w:rsidRPr="00606B82">
        <w:rPr>
          <w:color w:val="222222"/>
          <w:szCs w:val="24"/>
          <w:highlight w:val="white"/>
        </w:rPr>
        <w:t>Busetto</w:t>
      </w:r>
      <w:proofErr w:type="spellEnd"/>
      <w:r w:rsidRPr="00606B82">
        <w:rPr>
          <w:color w:val="222222"/>
          <w:szCs w:val="24"/>
          <w:highlight w:val="white"/>
        </w:rPr>
        <w:t xml:space="preserve">, L., Wick, W. and Gumbinger, C., 2020. How to use and assess qualitative research methods. </w:t>
      </w:r>
      <w:r w:rsidRPr="00606B82">
        <w:rPr>
          <w:i/>
          <w:color w:val="222222"/>
          <w:szCs w:val="24"/>
          <w:highlight w:val="white"/>
        </w:rPr>
        <w:t>Neurological Research and practice</w:t>
      </w:r>
      <w:r w:rsidRPr="00606B82">
        <w:rPr>
          <w:color w:val="222222"/>
          <w:szCs w:val="24"/>
          <w:highlight w:val="white"/>
        </w:rPr>
        <w:t xml:space="preserve">, </w:t>
      </w:r>
      <w:r w:rsidRPr="00606B82">
        <w:rPr>
          <w:i/>
          <w:color w:val="222222"/>
          <w:szCs w:val="24"/>
          <w:highlight w:val="white"/>
        </w:rPr>
        <w:t>2</w:t>
      </w:r>
      <w:r w:rsidRPr="00606B82">
        <w:rPr>
          <w:color w:val="222222"/>
          <w:szCs w:val="24"/>
          <w:highlight w:val="white"/>
        </w:rPr>
        <w:t xml:space="preserve">, pp.1-10. Available at: </w:t>
      </w:r>
      <w:hyperlink r:id="rId13">
        <w:r w:rsidRPr="00606B82">
          <w:rPr>
            <w:color w:val="1155CC"/>
            <w:szCs w:val="24"/>
            <w:highlight w:val="white"/>
            <w:u w:val="single"/>
          </w:rPr>
          <w:t>https://link.springer.com/article/10.1186/s42466-020-00059-z</w:t>
        </w:r>
      </w:hyperlink>
      <w:r w:rsidRPr="00606B82">
        <w:rPr>
          <w:color w:val="222222"/>
          <w:szCs w:val="24"/>
          <w:highlight w:val="white"/>
        </w:rPr>
        <w:t xml:space="preserve"> [Accessed 19 August 2023]</w:t>
      </w:r>
    </w:p>
    <w:p w14:paraId="538FB604" w14:textId="77777777" w:rsidR="00606B82" w:rsidRPr="00606B82" w:rsidRDefault="00606B82" w:rsidP="00606B82">
      <w:pPr>
        <w:spacing w:before="240" w:after="240" w:line="360" w:lineRule="auto"/>
        <w:jc w:val="both"/>
        <w:rPr>
          <w:color w:val="222222"/>
          <w:szCs w:val="24"/>
          <w:highlight w:val="white"/>
        </w:rPr>
      </w:pPr>
      <w:r w:rsidRPr="00606B82">
        <w:rPr>
          <w:color w:val="222222"/>
          <w:szCs w:val="24"/>
          <w:highlight w:val="white"/>
        </w:rPr>
        <w:t xml:space="preserve">Cappelli, P., 2021. </w:t>
      </w:r>
      <w:r w:rsidRPr="00606B82">
        <w:rPr>
          <w:i/>
          <w:color w:val="222222"/>
          <w:szCs w:val="24"/>
          <w:highlight w:val="white"/>
        </w:rPr>
        <w:t>The future of the office: Work from home, remote work, and the hard choices we all face</w:t>
      </w:r>
      <w:r w:rsidRPr="00606B82">
        <w:rPr>
          <w:color w:val="222222"/>
          <w:szCs w:val="24"/>
          <w:highlight w:val="white"/>
        </w:rPr>
        <w:t xml:space="preserve">. Wharton School Press. Available at: </w:t>
      </w:r>
      <w:hyperlink r:id="rId14" w:anchor="v=onepage&amp;q&amp;f=false">
        <w:r w:rsidRPr="00606B82">
          <w:rPr>
            <w:color w:val="1155CC"/>
            <w:szCs w:val="24"/>
            <w:highlight w:val="white"/>
            <w:u w:val="single"/>
          </w:rPr>
          <w:t>https://books.google.co.in/books?hl=en&amp;lr=&amp;id=1dE4EAAAQBAJ&amp;oi=fnd&amp;pg=PP7&amp;dq=74%25+of+companies+plan+to+shift+some+employees+to+remote+work+permanently,+a+trend+HSBC+follows,+evidenced+by+their+plan+to+reduce+office+spac</w:t>
        </w:r>
        <w:r w:rsidRPr="00606B82">
          <w:rPr>
            <w:color w:val="1155CC"/>
            <w:szCs w:val="24"/>
            <w:highlight w:val="white"/>
            <w:u w:val="single"/>
          </w:rPr>
          <w:lastRenderedPageBreak/>
          <w:t>e+by+40%25+in+the+next+few+years&amp;ots=53xgMPJMB0&amp;sig=bT4-tvuz9eI7JAYmXu6ZAxAQJT0&amp;redir_esc=y#v=onepage&amp;q&amp;f=false</w:t>
        </w:r>
      </w:hyperlink>
      <w:r w:rsidRPr="00606B82">
        <w:rPr>
          <w:color w:val="222222"/>
          <w:szCs w:val="24"/>
          <w:highlight w:val="white"/>
        </w:rPr>
        <w:t xml:space="preserve">  [Accessed 29 July 2023]</w:t>
      </w:r>
    </w:p>
    <w:p w14:paraId="4B46A5E6" w14:textId="77777777" w:rsidR="00606B82" w:rsidRPr="00606B82" w:rsidRDefault="00606B82" w:rsidP="00606B82">
      <w:pPr>
        <w:spacing w:before="240" w:after="240" w:line="360" w:lineRule="auto"/>
        <w:jc w:val="both"/>
        <w:rPr>
          <w:color w:val="222222"/>
          <w:szCs w:val="24"/>
          <w:highlight w:val="white"/>
        </w:rPr>
      </w:pPr>
      <w:r w:rsidRPr="00606B82">
        <w:rPr>
          <w:color w:val="222222"/>
          <w:szCs w:val="24"/>
          <w:highlight w:val="white"/>
        </w:rPr>
        <w:t xml:space="preserve">Casula, M., Rangarajan, N. and Shields, P., 2021. The potential of working hypotheses for deductive exploratory research. </w:t>
      </w:r>
      <w:r w:rsidRPr="00606B82">
        <w:rPr>
          <w:i/>
          <w:color w:val="222222"/>
          <w:szCs w:val="24"/>
          <w:highlight w:val="white"/>
        </w:rPr>
        <w:t>Quality &amp; Quantity</w:t>
      </w:r>
      <w:r w:rsidRPr="00606B82">
        <w:rPr>
          <w:color w:val="222222"/>
          <w:szCs w:val="24"/>
          <w:highlight w:val="white"/>
        </w:rPr>
        <w:t xml:space="preserve">, </w:t>
      </w:r>
      <w:r w:rsidRPr="00606B82">
        <w:rPr>
          <w:i/>
          <w:color w:val="222222"/>
          <w:szCs w:val="24"/>
          <w:highlight w:val="white"/>
        </w:rPr>
        <w:t>55</w:t>
      </w:r>
      <w:r w:rsidRPr="00606B82">
        <w:rPr>
          <w:color w:val="222222"/>
          <w:szCs w:val="24"/>
          <w:highlight w:val="white"/>
        </w:rPr>
        <w:t xml:space="preserve">(5), pp.1703-1725. Available at:  </w:t>
      </w:r>
      <w:hyperlink r:id="rId15">
        <w:r w:rsidRPr="00606B82">
          <w:rPr>
            <w:color w:val="1155CC"/>
            <w:szCs w:val="24"/>
            <w:highlight w:val="white"/>
            <w:u w:val="single"/>
          </w:rPr>
          <w:t>https://link.springer.com/article/10.1007/s11135-020-01072-9</w:t>
        </w:r>
      </w:hyperlink>
      <w:r w:rsidRPr="00606B82">
        <w:rPr>
          <w:color w:val="222222"/>
          <w:szCs w:val="24"/>
          <w:highlight w:val="white"/>
        </w:rPr>
        <w:t xml:space="preserve"> [Accessed 19 August 2023]</w:t>
      </w:r>
    </w:p>
    <w:p w14:paraId="7057385A" w14:textId="77777777" w:rsidR="00606B82" w:rsidRPr="00606B82" w:rsidRDefault="00606B82" w:rsidP="00606B82">
      <w:pPr>
        <w:spacing w:before="240" w:after="240" w:line="360" w:lineRule="auto"/>
        <w:jc w:val="both"/>
        <w:rPr>
          <w:color w:val="222222"/>
          <w:szCs w:val="24"/>
          <w:highlight w:val="white"/>
        </w:rPr>
      </w:pPr>
      <w:r w:rsidRPr="00606B82">
        <w:rPr>
          <w:color w:val="222222"/>
          <w:szCs w:val="24"/>
          <w:highlight w:val="white"/>
        </w:rPr>
        <w:t xml:space="preserve">Gallego-Álvarez, I. and Pucheta-Martínez, M.C., 2021. Hofstede’s cultural dimensions and R&amp;D intensity as an innovation strategy: A view from different institutional contexts. </w:t>
      </w:r>
      <w:r w:rsidRPr="00606B82">
        <w:rPr>
          <w:i/>
          <w:color w:val="222222"/>
          <w:szCs w:val="24"/>
          <w:highlight w:val="white"/>
        </w:rPr>
        <w:t>Eurasian Business Review</w:t>
      </w:r>
      <w:r w:rsidRPr="00606B82">
        <w:rPr>
          <w:color w:val="222222"/>
          <w:szCs w:val="24"/>
          <w:highlight w:val="white"/>
        </w:rPr>
        <w:t xml:space="preserve">, </w:t>
      </w:r>
      <w:r w:rsidRPr="00606B82">
        <w:rPr>
          <w:i/>
          <w:color w:val="222222"/>
          <w:szCs w:val="24"/>
          <w:highlight w:val="white"/>
        </w:rPr>
        <w:t>11</w:t>
      </w:r>
      <w:r w:rsidRPr="00606B82">
        <w:rPr>
          <w:color w:val="222222"/>
          <w:szCs w:val="24"/>
          <w:highlight w:val="white"/>
        </w:rPr>
        <w:t xml:space="preserve">, pp.191-220. Available at: </w:t>
      </w:r>
      <w:hyperlink r:id="rId16">
        <w:r w:rsidRPr="00606B82">
          <w:rPr>
            <w:color w:val="1155CC"/>
            <w:szCs w:val="24"/>
            <w:highlight w:val="white"/>
            <w:u w:val="single"/>
          </w:rPr>
          <w:t>https://link.springer.com/article/10.1007/s40821-020-00168-4</w:t>
        </w:r>
      </w:hyperlink>
      <w:r w:rsidRPr="00606B82">
        <w:rPr>
          <w:color w:val="222222"/>
          <w:szCs w:val="24"/>
          <w:highlight w:val="white"/>
        </w:rPr>
        <w:t xml:space="preserve">  [Accessed 29 July 2023]</w:t>
      </w:r>
    </w:p>
    <w:p w14:paraId="5D19BFB1" w14:textId="77777777" w:rsidR="00606B82" w:rsidRPr="00606B82" w:rsidRDefault="00606B82" w:rsidP="00606B82">
      <w:pPr>
        <w:spacing w:before="240" w:after="240" w:line="360" w:lineRule="auto"/>
        <w:jc w:val="both"/>
        <w:rPr>
          <w:color w:val="222222"/>
          <w:szCs w:val="24"/>
          <w:highlight w:val="white"/>
        </w:rPr>
      </w:pPr>
      <w:r w:rsidRPr="00606B82">
        <w:rPr>
          <w:color w:val="222222"/>
          <w:szCs w:val="24"/>
          <w:highlight w:val="white"/>
        </w:rPr>
        <w:t xml:space="preserve">Garro-Abarca, V., Palos-Sanchez, P. and Aguayo-Camacho, M., 2021. Virtual teams in times of pandemic: Factors that influence performance. </w:t>
      </w:r>
      <w:r w:rsidRPr="00606B82">
        <w:rPr>
          <w:i/>
          <w:color w:val="222222"/>
          <w:szCs w:val="24"/>
          <w:highlight w:val="white"/>
        </w:rPr>
        <w:t>Frontiers in Psychology</w:t>
      </w:r>
      <w:r w:rsidRPr="00606B82">
        <w:rPr>
          <w:color w:val="222222"/>
          <w:szCs w:val="24"/>
          <w:highlight w:val="white"/>
        </w:rPr>
        <w:t xml:space="preserve">, </w:t>
      </w:r>
      <w:r w:rsidRPr="00606B82">
        <w:rPr>
          <w:i/>
          <w:color w:val="222222"/>
          <w:szCs w:val="24"/>
          <w:highlight w:val="white"/>
        </w:rPr>
        <w:t>12</w:t>
      </w:r>
      <w:r w:rsidRPr="00606B82">
        <w:rPr>
          <w:color w:val="222222"/>
          <w:szCs w:val="24"/>
          <w:highlight w:val="white"/>
        </w:rPr>
        <w:t xml:space="preserve">, p.624637. Available at:  </w:t>
      </w:r>
      <w:hyperlink r:id="rId17">
        <w:r w:rsidRPr="00606B82">
          <w:rPr>
            <w:color w:val="1155CC"/>
            <w:szCs w:val="24"/>
            <w:highlight w:val="white"/>
            <w:u w:val="single"/>
          </w:rPr>
          <w:t>https://www.frontiersin.org/articles/10.3389/fpsyg.2021.624637/full</w:t>
        </w:r>
      </w:hyperlink>
      <w:r w:rsidRPr="00606B82">
        <w:rPr>
          <w:color w:val="222222"/>
          <w:szCs w:val="24"/>
          <w:highlight w:val="white"/>
        </w:rPr>
        <w:t xml:space="preserve">  [Accessed 19 August 2023]</w:t>
      </w:r>
    </w:p>
    <w:p w14:paraId="3FDBD1D3" w14:textId="77777777" w:rsidR="00606B82" w:rsidRPr="00606B82" w:rsidRDefault="00606B82" w:rsidP="00606B82">
      <w:pPr>
        <w:spacing w:before="240" w:after="240" w:line="360" w:lineRule="auto"/>
        <w:jc w:val="both"/>
        <w:rPr>
          <w:color w:val="222222"/>
          <w:szCs w:val="24"/>
          <w:highlight w:val="white"/>
        </w:rPr>
      </w:pPr>
      <w:r w:rsidRPr="00606B82">
        <w:rPr>
          <w:color w:val="222222"/>
          <w:szCs w:val="24"/>
          <w:highlight w:val="white"/>
        </w:rPr>
        <w:t xml:space="preserve">Gerlach, P. and Eriksson, K., 2021. Measuring cultural dimensions: external validity and internal consistency of Hofstede's VSM 2013 Scales. </w:t>
      </w:r>
      <w:r w:rsidRPr="00606B82">
        <w:rPr>
          <w:i/>
          <w:color w:val="222222"/>
          <w:szCs w:val="24"/>
          <w:highlight w:val="white"/>
        </w:rPr>
        <w:t>Frontiers in Psychology</w:t>
      </w:r>
      <w:r w:rsidRPr="00606B82">
        <w:rPr>
          <w:color w:val="222222"/>
          <w:szCs w:val="24"/>
          <w:highlight w:val="white"/>
        </w:rPr>
        <w:t xml:space="preserve">, </w:t>
      </w:r>
      <w:r w:rsidRPr="00606B82">
        <w:rPr>
          <w:i/>
          <w:color w:val="222222"/>
          <w:szCs w:val="24"/>
          <w:highlight w:val="white"/>
        </w:rPr>
        <w:t>12</w:t>
      </w:r>
      <w:r w:rsidRPr="00606B82">
        <w:rPr>
          <w:color w:val="222222"/>
          <w:szCs w:val="24"/>
          <w:highlight w:val="white"/>
        </w:rPr>
        <w:t xml:space="preserve">, p.662604. Available at: </w:t>
      </w:r>
      <w:hyperlink r:id="rId18">
        <w:r w:rsidRPr="00606B82">
          <w:rPr>
            <w:color w:val="1155CC"/>
            <w:szCs w:val="24"/>
            <w:highlight w:val="white"/>
            <w:u w:val="single"/>
          </w:rPr>
          <w:t>https://www.frontiersin.org/articles/10.3389/fpsyg.2021.662604/full</w:t>
        </w:r>
      </w:hyperlink>
      <w:r w:rsidRPr="00606B82">
        <w:rPr>
          <w:color w:val="222222"/>
          <w:szCs w:val="24"/>
          <w:highlight w:val="white"/>
        </w:rPr>
        <w:t xml:space="preserve"> [Accessed 19 August 2023]</w:t>
      </w:r>
    </w:p>
    <w:p w14:paraId="6F0D7466" w14:textId="77777777" w:rsidR="00606B82" w:rsidRPr="00606B82" w:rsidRDefault="00606B82" w:rsidP="00606B82">
      <w:pPr>
        <w:spacing w:before="240" w:after="240" w:line="360" w:lineRule="auto"/>
        <w:jc w:val="both"/>
        <w:rPr>
          <w:color w:val="222222"/>
          <w:szCs w:val="24"/>
          <w:highlight w:val="white"/>
        </w:rPr>
      </w:pPr>
      <w:r w:rsidRPr="00606B82">
        <w:rPr>
          <w:color w:val="222222"/>
          <w:szCs w:val="24"/>
          <w:highlight w:val="white"/>
        </w:rPr>
        <w:t xml:space="preserve">Gupta, A.D., 2020. </w:t>
      </w:r>
      <w:r w:rsidRPr="00606B82">
        <w:rPr>
          <w:i/>
          <w:color w:val="222222"/>
          <w:szCs w:val="24"/>
          <w:highlight w:val="white"/>
        </w:rPr>
        <w:t>Strategic human resource management: Formulating and implementing HR strategies for a competitive advantage</w:t>
      </w:r>
      <w:r w:rsidRPr="00606B82">
        <w:rPr>
          <w:color w:val="222222"/>
          <w:szCs w:val="24"/>
          <w:highlight w:val="white"/>
        </w:rPr>
        <w:t xml:space="preserve">. CRC Press. Available at: </w:t>
      </w:r>
      <w:hyperlink r:id="rId19" w:anchor="v=onepage&amp;q&amp;f=false">
        <w:r w:rsidRPr="00606B82">
          <w:rPr>
            <w:color w:val="1155CC"/>
            <w:szCs w:val="24"/>
            <w:highlight w:val="white"/>
            <w:u w:val="single"/>
          </w:rPr>
          <w:t>https://books.google.co.in/books?hl=en&amp;lr=&amp;id=MNfYDwAAQBAJ&amp;oi=fnd&amp;pg=PT7&amp;dq=Studies+on+organizations+like+HSBC+emphasize+the+need+for+culturally+sensitive+management+and+team-building+strategies&amp;ots=MjIunGZfDW&amp;sig=0qQ1pBNQN-hq-0oQqDcH8N0TtGs&amp;redir_esc=y#v=onepage&amp;q&amp;f=false</w:t>
        </w:r>
      </w:hyperlink>
      <w:r w:rsidRPr="00606B82">
        <w:rPr>
          <w:color w:val="222222"/>
          <w:szCs w:val="24"/>
          <w:highlight w:val="white"/>
        </w:rPr>
        <w:t xml:space="preserve"> [Accessed 19 August 2023]</w:t>
      </w:r>
    </w:p>
    <w:p w14:paraId="72376AB5" w14:textId="77777777" w:rsidR="00606B82" w:rsidRPr="00606B82" w:rsidRDefault="00606B82" w:rsidP="00606B82">
      <w:pPr>
        <w:spacing w:before="240" w:after="240" w:line="360" w:lineRule="auto"/>
        <w:jc w:val="both"/>
        <w:rPr>
          <w:color w:val="222222"/>
          <w:szCs w:val="24"/>
          <w:highlight w:val="white"/>
        </w:rPr>
      </w:pPr>
      <w:r w:rsidRPr="00606B82">
        <w:rPr>
          <w:color w:val="222222"/>
          <w:szCs w:val="24"/>
          <w:highlight w:val="white"/>
        </w:rPr>
        <w:lastRenderedPageBreak/>
        <w:t xml:space="preserve">HBR (2021) </w:t>
      </w:r>
      <w:r w:rsidRPr="00606B82">
        <w:rPr>
          <w:i/>
          <w:color w:val="222222"/>
          <w:szCs w:val="24"/>
          <w:highlight w:val="white"/>
        </w:rPr>
        <w:t>Social-impact efforts that create real value</w:t>
      </w:r>
      <w:r w:rsidRPr="00606B82">
        <w:rPr>
          <w:color w:val="222222"/>
          <w:szCs w:val="24"/>
          <w:highlight w:val="white"/>
        </w:rPr>
        <w:t xml:space="preserve">, </w:t>
      </w:r>
      <w:r w:rsidRPr="00606B82">
        <w:rPr>
          <w:i/>
          <w:color w:val="222222"/>
          <w:szCs w:val="24"/>
          <w:highlight w:val="white"/>
        </w:rPr>
        <w:t>Harvard Business Review</w:t>
      </w:r>
      <w:r w:rsidRPr="00606B82">
        <w:rPr>
          <w:color w:val="222222"/>
          <w:szCs w:val="24"/>
          <w:highlight w:val="white"/>
        </w:rPr>
        <w:t xml:space="preserve">. Available at: https://hbr.org/2020/09/social-impact-efforts-that-create-real-value (Accessed: 29 July 2023). </w:t>
      </w:r>
    </w:p>
    <w:p w14:paraId="5305931F" w14:textId="77777777" w:rsidR="00606B82" w:rsidRPr="00606B82" w:rsidRDefault="00606B82" w:rsidP="00606B82">
      <w:pPr>
        <w:spacing w:before="240" w:after="240" w:line="360" w:lineRule="auto"/>
        <w:jc w:val="both"/>
        <w:rPr>
          <w:color w:val="222222"/>
          <w:szCs w:val="24"/>
          <w:highlight w:val="white"/>
        </w:rPr>
      </w:pPr>
      <w:r w:rsidRPr="00606B82">
        <w:rPr>
          <w:color w:val="222222"/>
          <w:szCs w:val="24"/>
          <w:highlight w:val="white"/>
        </w:rPr>
        <w:t xml:space="preserve">HSBC (2023) </w:t>
      </w:r>
      <w:r w:rsidRPr="00606B82">
        <w:rPr>
          <w:i/>
          <w:color w:val="222222"/>
          <w:szCs w:val="24"/>
          <w:highlight w:val="white"/>
        </w:rPr>
        <w:t>Our culture: HSBC Holdings plc</w:t>
      </w:r>
      <w:r w:rsidRPr="00606B82">
        <w:rPr>
          <w:color w:val="222222"/>
          <w:szCs w:val="24"/>
          <w:highlight w:val="white"/>
        </w:rPr>
        <w:t xml:space="preserve">, </w:t>
      </w:r>
      <w:r w:rsidRPr="00606B82">
        <w:rPr>
          <w:i/>
          <w:color w:val="222222"/>
          <w:szCs w:val="24"/>
          <w:highlight w:val="white"/>
        </w:rPr>
        <w:t>HSBC</w:t>
      </w:r>
      <w:r w:rsidRPr="00606B82">
        <w:rPr>
          <w:color w:val="222222"/>
          <w:szCs w:val="24"/>
          <w:highlight w:val="white"/>
        </w:rPr>
        <w:t xml:space="preserve">. Available at: https://www.hsbc.com/who-we-are/our-people-and-communities/inclusion/our-culture (Accessed: 29 July 2023). </w:t>
      </w:r>
    </w:p>
    <w:p w14:paraId="17E9DF5C" w14:textId="77777777" w:rsidR="00606B82" w:rsidRPr="00606B82" w:rsidRDefault="00606B82" w:rsidP="00606B82">
      <w:pPr>
        <w:spacing w:before="240" w:after="240" w:line="360" w:lineRule="auto"/>
        <w:jc w:val="both"/>
        <w:rPr>
          <w:color w:val="222222"/>
          <w:szCs w:val="24"/>
          <w:highlight w:val="white"/>
        </w:rPr>
      </w:pPr>
      <w:r w:rsidRPr="00606B82">
        <w:rPr>
          <w:color w:val="222222"/>
          <w:szCs w:val="24"/>
          <w:highlight w:val="white"/>
        </w:rPr>
        <w:t xml:space="preserve">Iwao, K., 2020. </w:t>
      </w:r>
      <w:r w:rsidRPr="00606B82">
        <w:rPr>
          <w:i/>
          <w:color w:val="222222"/>
          <w:szCs w:val="24"/>
          <w:highlight w:val="white"/>
        </w:rPr>
        <w:t>Strategies for Cultural Integration Following Cross-Border Mergers and Acquisitions</w:t>
      </w:r>
      <w:r w:rsidRPr="00606B82">
        <w:rPr>
          <w:color w:val="222222"/>
          <w:szCs w:val="24"/>
          <w:highlight w:val="white"/>
        </w:rPr>
        <w:t xml:space="preserve"> (Doctoral dissertation, Walden University). Available at: </w:t>
      </w:r>
      <w:hyperlink r:id="rId20">
        <w:r w:rsidRPr="00606B82">
          <w:rPr>
            <w:color w:val="1155CC"/>
            <w:szCs w:val="24"/>
            <w:highlight w:val="white"/>
            <w:u w:val="single"/>
          </w:rPr>
          <w:t>https://www.proquest.com/openview/e3097a71740ed2431ef60573db76b534/1?pq-origsite=gscholar&amp;cbl=18750&amp;diss=y</w:t>
        </w:r>
      </w:hyperlink>
      <w:r w:rsidRPr="00606B82">
        <w:rPr>
          <w:color w:val="222222"/>
          <w:szCs w:val="24"/>
          <w:highlight w:val="white"/>
        </w:rPr>
        <w:t xml:space="preserve"> [Accessed 29 July 2023]</w:t>
      </w:r>
    </w:p>
    <w:p w14:paraId="022A90C3" w14:textId="77777777" w:rsidR="00606B82" w:rsidRPr="00606B82" w:rsidRDefault="00606B82" w:rsidP="00606B82">
      <w:pPr>
        <w:spacing w:before="240" w:after="240" w:line="360" w:lineRule="auto"/>
        <w:jc w:val="both"/>
        <w:rPr>
          <w:color w:val="222222"/>
          <w:szCs w:val="24"/>
          <w:highlight w:val="white"/>
        </w:rPr>
      </w:pPr>
      <w:proofErr w:type="spellStart"/>
      <w:r w:rsidRPr="00606B82">
        <w:rPr>
          <w:color w:val="222222"/>
          <w:szCs w:val="24"/>
          <w:highlight w:val="white"/>
        </w:rPr>
        <w:t>Khezri</w:t>
      </w:r>
      <w:proofErr w:type="spellEnd"/>
      <w:r w:rsidRPr="00606B82">
        <w:rPr>
          <w:color w:val="222222"/>
          <w:szCs w:val="24"/>
          <w:highlight w:val="white"/>
        </w:rPr>
        <w:t xml:space="preserve">, E., 2022. An Analysis of Trompenaars and Hampden-Turner Cultural Dimensions applied to Iran. Available at: </w:t>
      </w:r>
      <w:hyperlink r:id="rId21">
        <w:r w:rsidRPr="00606B82">
          <w:rPr>
            <w:color w:val="1155CC"/>
            <w:szCs w:val="24"/>
            <w:highlight w:val="white"/>
            <w:u w:val="single"/>
          </w:rPr>
          <w:t>https://www.researchgate.net/profile/Elaheh-Khezri/publication/365476188_Trompenaars_and_Hampden-Turner_Cultural_Dimensions_applied_to_Iran/links/6376907e54eb5f547cde9696/Trompenaars-and-Hampden-Turner-Cultural-Dimensions-applied-to-Iran.pdf</w:t>
        </w:r>
      </w:hyperlink>
      <w:r w:rsidRPr="00606B82">
        <w:rPr>
          <w:color w:val="222222"/>
          <w:szCs w:val="24"/>
          <w:highlight w:val="white"/>
        </w:rPr>
        <w:t xml:space="preserve"> [Accessed 19 August 2023]</w:t>
      </w:r>
    </w:p>
    <w:p w14:paraId="36002F21" w14:textId="77777777" w:rsidR="00606B82" w:rsidRPr="00606B82" w:rsidRDefault="00606B82" w:rsidP="00606B82">
      <w:pPr>
        <w:spacing w:before="240" w:after="240" w:line="360" w:lineRule="auto"/>
        <w:jc w:val="both"/>
        <w:rPr>
          <w:color w:val="222222"/>
          <w:szCs w:val="24"/>
          <w:highlight w:val="white"/>
        </w:rPr>
      </w:pPr>
      <w:r w:rsidRPr="00606B82">
        <w:rPr>
          <w:color w:val="222222"/>
          <w:szCs w:val="24"/>
          <w:highlight w:val="white"/>
        </w:rPr>
        <w:t xml:space="preserve">Lal, B., Dwivedi, Y.K. and Haag, M., 2021. Working from home during Covid-19: doing and managing technology-enabled social interaction with colleagues at a distance. </w:t>
      </w:r>
      <w:r w:rsidRPr="00606B82">
        <w:rPr>
          <w:i/>
          <w:color w:val="222222"/>
          <w:szCs w:val="24"/>
          <w:highlight w:val="white"/>
        </w:rPr>
        <w:t>Information Systems Frontiers</w:t>
      </w:r>
      <w:r w:rsidRPr="00606B82">
        <w:rPr>
          <w:color w:val="222222"/>
          <w:szCs w:val="24"/>
          <w:highlight w:val="white"/>
        </w:rPr>
        <w:t xml:space="preserve">, pp.1-18. Available at: </w:t>
      </w:r>
      <w:hyperlink r:id="rId22">
        <w:r w:rsidRPr="00606B82">
          <w:rPr>
            <w:color w:val="1155CC"/>
            <w:szCs w:val="24"/>
            <w:highlight w:val="white"/>
            <w:u w:val="single"/>
          </w:rPr>
          <w:t>https://link.springer.com/article/10.1007/s10796-021-10182-0</w:t>
        </w:r>
      </w:hyperlink>
      <w:r w:rsidRPr="00606B82">
        <w:rPr>
          <w:color w:val="222222"/>
          <w:szCs w:val="24"/>
          <w:highlight w:val="white"/>
        </w:rPr>
        <w:t xml:space="preserve">  [Accessed 19 August 2023]</w:t>
      </w:r>
    </w:p>
    <w:p w14:paraId="401CD7DD" w14:textId="77777777" w:rsidR="00606B82" w:rsidRPr="00606B82" w:rsidRDefault="00606B82" w:rsidP="00606B82">
      <w:pPr>
        <w:spacing w:before="240" w:after="240" w:line="360" w:lineRule="auto"/>
        <w:jc w:val="both"/>
        <w:rPr>
          <w:color w:val="222222"/>
          <w:szCs w:val="24"/>
          <w:highlight w:val="white"/>
        </w:rPr>
      </w:pPr>
      <w:r w:rsidRPr="00606B82">
        <w:rPr>
          <w:color w:val="222222"/>
          <w:szCs w:val="24"/>
          <w:highlight w:val="white"/>
        </w:rPr>
        <w:t xml:space="preserve">Lilla, S. and Anton, M., 2023. Leadership and Employee Satisfaction in Cross-Border Mergers: A Comparison of Transformational and Transactional Styles. Available at: </w:t>
      </w:r>
      <w:hyperlink r:id="rId23">
        <w:r w:rsidRPr="00606B82">
          <w:rPr>
            <w:color w:val="1155CC"/>
            <w:szCs w:val="24"/>
            <w:highlight w:val="white"/>
            <w:u w:val="single"/>
          </w:rPr>
          <w:t>https://www.diva-portal.org/smash/record.jsf?pid=diva2%3A1761983&amp;dswid=4898</w:t>
        </w:r>
      </w:hyperlink>
      <w:r w:rsidRPr="00606B82">
        <w:rPr>
          <w:color w:val="222222"/>
          <w:szCs w:val="24"/>
          <w:highlight w:val="white"/>
        </w:rPr>
        <w:t xml:space="preserve">  [Accessed 19 August 2023]</w:t>
      </w:r>
    </w:p>
    <w:p w14:paraId="2D91FFB8" w14:textId="77777777" w:rsidR="00606B82" w:rsidRPr="00606B82" w:rsidRDefault="00606B82" w:rsidP="00606B82">
      <w:pPr>
        <w:spacing w:before="240" w:after="240" w:line="360" w:lineRule="auto"/>
        <w:jc w:val="both"/>
        <w:rPr>
          <w:color w:val="222222"/>
          <w:szCs w:val="24"/>
          <w:highlight w:val="white"/>
        </w:rPr>
      </w:pPr>
      <w:proofErr w:type="spellStart"/>
      <w:r w:rsidRPr="00606B82">
        <w:rPr>
          <w:color w:val="222222"/>
          <w:szCs w:val="24"/>
          <w:highlight w:val="white"/>
        </w:rPr>
        <w:t>Mannucci</w:t>
      </w:r>
      <w:proofErr w:type="spellEnd"/>
      <w:r w:rsidRPr="00606B82">
        <w:rPr>
          <w:color w:val="222222"/>
          <w:szCs w:val="24"/>
          <w:highlight w:val="white"/>
        </w:rPr>
        <w:t xml:space="preserve">, P.V. and Shalley, C.E., 2022. Embracing multicultural tensions: How team members’ multicultural paradox mindsets foster team information elaboration and creativity. </w:t>
      </w:r>
      <w:r w:rsidRPr="00606B82">
        <w:rPr>
          <w:i/>
          <w:color w:val="222222"/>
          <w:szCs w:val="24"/>
          <w:highlight w:val="white"/>
        </w:rPr>
        <w:t xml:space="preserve">Organizational </w:t>
      </w:r>
      <w:proofErr w:type="spellStart"/>
      <w:r w:rsidRPr="00606B82">
        <w:rPr>
          <w:i/>
          <w:color w:val="222222"/>
          <w:szCs w:val="24"/>
          <w:highlight w:val="white"/>
        </w:rPr>
        <w:t>Behavior</w:t>
      </w:r>
      <w:proofErr w:type="spellEnd"/>
      <w:r w:rsidRPr="00606B82">
        <w:rPr>
          <w:i/>
          <w:color w:val="222222"/>
          <w:szCs w:val="24"/>
          <w:highlight w:val="white"/>
        </w:rPr>
        <w:t xml:space="preserve"> and Human Decision Processes</w:t>
      </w:r>
      <w:r w:rsidRPr="00606B82">
        <w:rPr>
          <w:color w:val="222222"/>
          <w:szCs w:val="24"/>
          <w:highlight w:val="white"/>
        </w:rPr>
        <w:t xml:space="preserve">, </w:t>
      </w:r>
      <w:r w:rsidRPr="00606B82">
        <w:rPr>
          <w:i/>
          <w:color w:val="222222"/>
          <w:szCs w:val="24"/>
          <w:highlight w:val="white"/>
        </w:rPr>
        <w:t>173</w:t>
      </w:r>
      <w:r w:rsidRPr="00606B82">
        <w:rPr>
          <w:color w:val="222222"/>
          <w:szCs w:val="24"/>
          <w:highlight w:val="white"/>
        </w:rPr>
        <w:t xml:space="preserve">, p.104191. Available at: </w:t>
      </w:r>
      <w:hyperlink r:id="rId24">
        <w:r w:rsidRPr="00606B82">
          <w:rPr>
            <w:color w:val="1155CC"/>
            <w:szCs w:val="24"/>
            <w:highlight w:val="white"/>
            <w:u w:val="single"/>
          </w:rPr>
          <w:t>https://www.sciencedirect.com/science/article/abs/pii/S0749597822000802</w:t>
        </w:r>
      </w:hyperlink>
      <w:r w:rsidRPr="00606B82">
        <w:rPr>
          <w:color w:val="222222"/>
          <w:szCs w:val="24"/>
          <w:highlight w:val="white"/>
        </w:rPr>
        <w:t xml:space="preserve">  [Accessed 29 July 2023]</w:t>
      </w:r>
    </w:p>
    <w:p w14:paraId="550C05CB" w14:textId="77777777" w:rsidR="00606B82" w:rsidRPr="00606B82" w:rsidRDefault="00606B82" w:rsidP="00606B82">
      <w:pPr>
        <w:spacing w:before="240" w:after="240" w:line="360" w:lineRule="auto"/>
        <w:jc w:val="both"/>
        <w:rPr>
          <w:color w:val="222222"/>
          <w:szCs w:val="24"/>
          <w:highlight w:val="white"/>
        </w:rPr>
      </w:pPr>
      <w:r w:rsidRPr="00606B82">
        <w:rPr>
          <w:color w:val="222222"/>
          <w:szCs w:val="24"/>
          <w:highlight w:val="white"/>
        </w:rPr>
        <w:t xml:space="preserve">Peel, K.L., 2020. A beginner's guide to applied educational research using thematic analysis. </w:t>
      </w:r>
      <w:r w:rsidRPr="00606B82">
        <w:rPr>
          <w:i/>
          <w:color w:val="222222"/>
          <w:szCs w:val="24"/>
          <w:highlight w:val="white"/>
        </w:rPr>
        <w:t>Practical Assessment, Research, and Evaluation</w:t>
      </w:r>
      <w:r w:rsidRPr="00606B82">
        <w:rPr>
          <w:color w:val="222222"/>
          <w:szCs w:val="24"/>
          <w:highlight w:val="white"/>
        </w:rPr>
        <w:t xml:space="preserve">, </w:t>
      </w:r>
      <w:r w:rsidRPr="00606B82">
        <w:rPr>
          <w:i/>
          <w:color w:val="222222"/>
          <w:szCs w:val="24"/>
          <w:highlight w:val="white"/>
        </w:rPr>
        <w:t>25</w:t>
      </w:r>
      <w:r w:rsidRPr="00606B82">
        <w:rPr>
          <w:color w:val="222222"/>
          <w:szCs w:val="24"/>
          <w:highlight w:val="white"/>
        </w:rPr>
        <w:t xml:space="preserve">(1), p.2. Available at: </w:t>
      </w:r>
      <w:hyperlink r:id="rId25">
        <w:r w:rsidRPr="00606B82">
          <w:rPr>
            <w:color w:val="1155CC"/>
            <w:szCs w:val="24"/>
            <w:highlight w:val="white"/>
            <w:u w:val="single"/>
          </w:rPr>
          <w:t>https://scholarworks.umass.edu/cgi/viewcontent.cgi?article=1390&amp;context=pare</w:t>
        </w:r>
      </w:hyperlink>
      <w:r w:rsidRPr="00606B82">
        <w:rPr>
          <w:color w:val="222222"/>
          <w:szCs w:val="24"/>
          <w:highlight w:val="white"/>
        </w:rPr>
        <w:t xml:space="preserve"> [Accessed 19 August 2023]</w:t>
      </w:r>
    </w:p>
    <w:p w14:paraId="49470F51" w14:textId="77777777" w:rsidR="00606B82" w:rsidRPr="00606B82" w:rsidRDefault="00606B82" w:rsidP="00606B82">
      <w:pPr>
        <w:spacing w:before="240" w:after="240" w:line="360" w:lineRule="auto"/>
        <w:jc w:val="both"/>
        <w:rPr>
          <w:color w:val="222222"/>
          <w:szCs w:val="24"/>
          <w:highlight w:val="white"/>
        </w:rPr>
      </w:pPr>
      <w:r w:rsidRPr="00606B82">
        <w:rPr>
          <w:color w:val="222222"/>
          <w:szCs w:val="24"/>
          <w:highlight w:val="white"/>
        </w:rPr>
        <w:t xml:space="preserve">Ruggiano, N. and Perry, T.E., 2019. Conducting secondary analysis of qualitative data: Should we, can we, and </w:t>
      </w:r>
      <w:proofErr w:type="gramStart"/>
      <w:r w:rsidRPr="00606B82">
        <w:rPr>
          <w:color w:val="222222"/>
          <w:szCs w:val="24"/>
          <w:highlight w:val="white"/>
        </w:rPr>
        <w:t>how?.</w:t>
      </w:r>
      <w:proofErr w:type="gramEnd"/>
      <w:r w:rsidRPr="00606B82">
        <w:rPr>
          <w:color w:val="222222"/>
          <w:szCs w:val="24"/>
          <w:highlight w:val="white"/>
        </w:rPr>
        <w:t xml:space="preserve"> </w:t>
      </w:r>
      <w:r w:rsidRPr="00606B82">
        <w:rPr>
          <w:i/>
          <w:color w:val="222222"/>
          <w:szCs w:val="24"/>
          <w:highlight w:val="white"/>
        </w:rPr>
        <w:t>Qualitative Social Work</w:t>
      </w:r>
      <w:r w:rsidRPr="00606B82">
        <w:rPr>
          <w:color w:val="222222"/>
          <w:szCs w:val="24"/>
          <w:highlight w:val="white"/>
        </w:rPr>
        <w:t xml:space="preserve">, </w:t>
      </w:r>
      <w:r w:rsidRPr="00606B82">
        <w:rPr>
          <w:i/>
          <w:color w:val="222222"/>
          <w:szCs w:val="24"/>
          <w:highlight w:val="white"/>
        </w:rPr>
        <w:t>18</w:t>
      </w:r>
      <w:r w:rsidRPr="00606B82">
        <w:rPr>
          <w:color w:val="222222"/>
          <w:szCs w:val="24"/>
          <w:highlight w:val="white"/>
        </w:rPr>
        <w:t xml:space="preserve">(1), pp.81-97. Available at: </w:t>
      </w:r>
      <w:hyperlink r:id="rId26">
        <w:r w:rsidRPr="00606B82">
          <w:rPr>
            <w:color w:val="1155CC"/>
            <w:szCs w:val="24"/>
            <w:highlight w:val="white"/>
            <w:u w:val="single"/>
          </w:rPr>
          <w:t>https://journals.sagepub.com/doi/full/10.1177/1473325017700701</w:t>
        </w:r>
      </w:hyperlink>
      <w:r w:rsidRPr="00606B82">
        <w:rPr>
          <w:color w:val="222222"/>
          <w:szCs w:val="24"/>
          <w:highlight w:val="white"/>
        </w:rPr>
        <w:t xml:space="preserve"> [Accessed 19 August 2023]</w:t>
      </w:r>
    </w:p>
    <w:p w14:paraId="462376B5" w14:textId="77777777" w:rsidR="00606B82" w:rsidRPr="00606B82" w:rsidRDefault="00606B82" w:rsidP="00606B82">
      <w:pPr>
        <w:spacing w:before="240" w:after="240" w:line="360" w:lineRule="auto"/>
        <w:jc w:val="both"/>
        <w:rPr>
          <w:color w:val="222222"/>
          <w:szCs w:val="24"/>
          <w:highlight w:val="white"/>
        </w:rPr>
      </w:pPr>
      <w:r w:rsidRPr="00606B82">
        <w:rPr>
          <w:color w:val="222222"/>
          <w:szCs w:val="24"/>
          <w:highlight w:val="white"/>
        </w:rPr>
        <w:t>Spencer-</w:t>
      </w:r>
      <w:proofErr w:type="spellStart"/>
      <w:r w:rsidRPr="00606B82">
        <w:rPr>
          <w:color w:val="222222"/>
          <w:szCs w:val="24"/>
          <w:highlight w:val="white"/>
        </w:rPr>
        <w:t>Oatey</w:t>
      </w:r>
      <w:proofErr w:type="spellEnd"/>
      <w:r w:rsidRPr="00606B82">
        <w:rPr>
          <w:color w:val="222222"/>
          <w:szCs w:val="24"/>
          <w:highlight w:val="white"/>
        </w:rPr>
        <w:t xml:space="preserve">, H. and Debray, C., 2020. Linguistically and culturally diverse project partnerships and teams. Available at: </w:t>
      </w:r>
      <w:hyperlink r:id="rId27">
        <w:r w:rsidRPr="00606B82">
          <w:rPr>
            <w:color w:val="1155CC"/>
            <w:szCs w:val="24"/>
            <w:highlight w:val="white"/>
            <w:u w:val="single"/>
          </w:rPr>
          <w:t>https://wrap.warwick.ac.uk/139026/</w:t>
        </w:r>
      </w:hyperlink>
      <w:r w:rsidRPr="00606B82">
        <w:rPr>
          <w:color w:val="222222"/>
          <w:szCs w:val="24"/>
          <w:highlight w:val="white"/>
        </w:rPr>
        <w:t xml:space="preserve">  [Accessed 19 August 2023]</w:t>
      </w:r>
    </w:p>
    <w:p w14:paraId="598DE740" w14:textId="77777777" w:rsidR="00606B82" w:rsidRPr="00606B82" w:rsidRDefault="00606B82" w:rsidP="00606B82">
      <w:pPr>
        <w:spacing w:before="240" w:after="240" w:line="360" w:lineRule="auto"/>
        <w:jc w:val="both"/>
        <w:rPr>
          <w:color w:val="222222"/>
          <w:szCs w:val="24"/>
          <w:highlight w:val="white"/>
        </w:rPr>
      </w:pPr>
      <w:r w:rsidRPr="00606B82">
        <w:rPr>
          <w:color w:val="222222"/>
          <w:szCs w:val="24"/>
          <w:highlight w:val="white"/>
        </w:rPr>
        <w:t xml:space="preserve">Stahl, G.K. and </w:t>
      </w:r>
      <w:proofErr w:type="spellStart"/>
      <w:r w:rsidRPr="00606B82">
        <w:rPr>
          <w:color w:val="222222"/>
          <w:szCs w:val="24"/>
          <w:highlight w:val="white"/>
        </w:rPr>
        <w:t>Maznevski</w:t>
      </w:r>
      <w:proofErr w:type="spellEnd"/>
      <w:r w:rsidRPr="00606B82">
        <w:rPr>
          <w:color w:val="222222"/>
          <w:szCs w:val="24"/>
          <w:highlight w:val="white"/>
        </w:rPr>
        <w:t xml:space="preserve">, M.L., 2021. </w:t>
      </w:r>
      <w:proofErr w:type="spellStart"/>
      <w:r w:rsidRPr="00606B82">
        <w:rPr>
          <w:color w:val="222222"/>
          <w:szCs w:val="24"/>
          <w:highlight w:val="white"/>
        </w:rPr>
        <w:t>Unraveling</w:t>
      </w:r>
      <w:proofErr w:type="spellEnd"/>
      <w:r w:rsidRPr="00606B82">
        <w:rPr>
          <w:color w:val="222222"/>
          <w:szCs w:val="24"/>
          <w:highlight w:val="white"/>
        </w:rPr>
        <w:t xml:space="preserve"> the effects of cultural diversity in teams: A retrospective of research on multicultural work groups and an agenda for future research. </w:t>
      </w:r>
      <w:r w:rsidRPr="00606B82">
        <w:rPr>
          <w:i/>
          <w:color w:val="222222"/>
          <w:szCs w:val="24"/>
          <w:highlight w:val="white"/>
        </w:rPr>
        <w:t>Journal of International Business Studies</w:t>
      </w:r>
      <w:r w:rsidRPr="00606B82">
        <w:rPr>
          <w:color w:val="222222"/>
          <w:szCs w:val="24"/>
          <w:highlight w:val="white"/>
        </w:rPr>
        <w:t xml:space="preserve">, </w:t>
      </w:r>
      <w:r w:rsidRPr="00606B82">
        <w:rPr>
          <w:i/>
          <w:color w:val="222222"/>
          <w:szCs w:val="24"/>
          <w:highlight w:val="white"/>
        </w:rPr>
        <w:t>52</w:t>
      </w:r>
      <w:r w:rsidRPr="00606B82">
        <w:rPr>
          <w:color w:val="222222"/>
          <w:szCs w:val="24"/>
          <w:highlight w:val="white"/>
        </w:rPr>
        <w:t xml:space="preserve">, pp.4-22. Available at: </w:t>
      </w:r>
      <w:hyperlink r:id="rId28">
        <w:r w:rsidRPr="00606B82">
          <w:rPr>
            <w:color w:val="1155CC"/>
            <w:szCs w:val="24"/>
            <w:highlight w:val="white"/>
            <w:u w:val="single"/>
          </w:rPr>
          <w:t>https://link.springer.com/article/10.1057/s41267-020-00389-9</w:t>
        </w:r>
      </w:hyperlink>
      <w:r w:rsidRPr="00606B82">
        <w:rPr>
          <w:color w:val="222222"/>
          <w:szCs w:val="24"/>
          <w:highlight w:val="white"/>
        </w:rPr>
        <w:t xml:space="preserve"> [Accessed 19 August 2023]</w:t>
      </w:r>
    </w:p>
    <w:p w14:paraId="33ED78DD" w14:textId="77777777" w:rsidR="00606B82" w:rsidRPr="00606B82" w:rsidRDefault="00606B82" w:rsidP="00606B82">
      <w:pPr>
        <w:spacing w:before="240" w:after="240" w:line="360" w:lineRule="auto"/>
        <w:jc w:val="both"/>
        <w:rPr>
          <w:szCs w:val="24"/>
        </w:rPr>
      </w:pPr>
      <w:r w:rsidRPr="00606B82">
        <w:rPr>
          <w:szCs w:val="24"/>
        </w:rPr>
        <w:t xml:space="preserve">Statista (2023) </w:t>
      </w:r>
      <w:r w:rsidRPr="00606B82">
        <w:rPr>
          <w:i/>
          <w:szCs w:val="24"/>
        </w:rPr>
        <w:t>Global: HSBC Annual Revenue by region 2022</w:t>
      </w:r>
      <w:r w:rsidRPr="00606B82">
        <w:rPr>
          <w:szCs w:val="24"/>
        </w:rPr>
        <w:t xml:space="preserve">, </w:t>
      </w:r>
      <w:r w:rsidRPr="00606B82">
        <w:rPr>
          <w:i/>
          <w:szCs w:val="24"/>
        </w:rPr>
        <w:t>Statista</w:t>
      </w:r>
      <w:r w:rsidRPr="00606B82">
        <w:rPr>
          <w:szCs w:val="24"/>
        </w:rPr>
        <w:t xml:space="preserve">. Available at: https://www.statista.com/statistics/688781/annual-revenue-of-hsbc-bank-worldwide-by-region/#:~:text=Reported%20revenue%20of%20HSBC%20Holdings,came%20from%20the%20Asia%20region. (Accessed: 29 July 2023). </w:t>
      </w:r>
    </w:p>
    <w:p w14:paraId="38427E5E" w14:textId="77777777" w:rsidR="00606B82" w:rsidRPr="00606B82" w:rsidRDefault="00606B82" w:rsidP="00606B82">
      <w:pPr>
        <w:spacing w:before="240" w:after="240" w:line="360" w:lineRule="auto"/>
        <w:jc w:val="both"/>
        <w:rPr>
          <w:color w:val="222222"/>
          <w:szCs w:val="24"/>
          <w:highlight w:val="white"/>
        </w:rPr>
      </w:pPr>
      <w:r w:rsidRPr="00606B82">
        <w:rPr>
          <w:color w:val="222222"/>
          <w:szCs w:val="24"/>
          <w:highlight w:val="white"/>
        </w:rPr>
        <w:t xml:space="preserve">Swart, K., Bond-Barnard, T. and Chugh, R., 2022. Challenges and critical success factors of digital communication, collaboration and knowledge sharing in project management virtual teams: a review. </w:t>
      </w:r>
      <w:r w:rsidRPr="00606B82">
        <w:rPr>
          <w:i/>
          <w:color w:val="222222"/>
          <w:szCs w:val="24"/>
          <w:highlight w:val="white"/>
        </w:rPr>
        <w:t>International Journal of Information Systems and Project Management</w:t>
      </w:r>
      <w:r w:rsidRPr="00606B82">
        <w:rPr>
          <w:color w:val="222222"/>
          <w:szCs w:val="24"/>
          <w:highlight w:val="white"/>
        </w:rPr>
        <w:t xml:space="preserve">, </w:t>
      </w:r>
      <w:r w:rsidRPr="00606B82">
        <w:rPr>
          <w:i/>
          <w:color w:val="222222"/>
          <w:szCs w:val="24"/>
          <w:highlight w:val="white"/>
        </w:rPr>
        <w:t>10</w:t>
      </w:r>
      <w:r w:rsidRPr="00606B82">
        <w:rPr>
          <w:color w:val="222222"/>
          <w:szCs w:val="24"/>
          <w:highlight w:val="white"/>
        </w:rPr>
        <w:t xml:space="preserve">(4), pp.84-103. Available at:  </w:t>
      </w:r>
      <w:hyperlink r:id="rId29">
        <w:r w:rsidRPr="00606B82">
          <w:rPr>
            <w:color w:val="1155CC"/>
            <w:szCs w:val="24"/>
            <w:highlight w:val="white"/>
            <w:u w:val="single"/>
          </w:rPr>
          <w:t>https://aisel.aisnet.org/ijispm/vol10/iss4/5/</w:t>
        </w:r>
      </w:hyperlink>
      <w:r w:rsidRPr="00606B82">
        <w:rPr>
          <w:color w:val="222222"/>
          <w:szCs w:val="24"/>
          <w:highlight w:val="white"/>
        </w:rPr>
        <w:t xml:space="preserve"> [Accessed 19 August 2023]</w:t>
      </w:r>
    </w:p>
    <w:p w14:paraId="69F6ABF2" w14:textId="77777777" w:rsidR="00606B82" w:rsidRPr="00606B82" w:rsidRDefault="00606B82" w:rsidP="00606B82">
      <w:pPr>
        <w:spacing w:before="240" w:after="240" w:line="360" w:lineRule="auto"/>
        <w:jc w:val="both"/>
        <w:rPr>
          <w:color w:val="222222"/>
          <w:szCs w:val="24"/>
          <w:highlight w:val="white"/>
        </w:rPr>
      </w:pPr>
      <w:r w:rsidRPr="00606B82">
        <w:rPr>
          <w:color w:val="222222"/>
          <w:szCs w:val="24"/>
          <w:highlight w:val="white"/>
        </w:rPr>
        <w:lastRenderedPageBreak/>
        <w:t xml:space="preserve">Szulc, J.M., McGregor, F.L. and Cakir, E., 2023. Neurodiversity and remote work in times of crisis: lessons for HR. </w:t>
      </w:r>
      <w:r w:rsidRPr="00606B82">
        <w:rPr>
          <w:i/>
          <w:color w:val="222222"/>
          <w:szCs w:val="24"/>
          <w:highlight w:val="white"/>
        </w:rPr>
        <w:t>Personnel Review</w:t>
      </w:r>
      <w:r w:rsidRPr="00606B82">
        <w:rPr>
          <w:color w:val="222222"/>
          <w:szCs w:val="24"/>
          <w:highlight w:val="white"/>
        </w:rPr>
        <w:t xml:space="preserve">, </w:t>
      </w:r>
      <w:r w:rsidRPr="00606B82">
        <w:rPr>
          <w:i/>
          <w:color w:val="222222"/>
          <w:szCs w:val="24"/>
          <w:highlight w:val="white"/>
        </w:rPr>
        <w:t>52</w:t>
      </w:r>
      <w:r w:rsidRPr="00606B82">
        <w:rPr>
          <w:color w:val="222222"/>
          <w:szCs w:val="24"/>
          <w:highlight w:val="white"/>
        </w:rPr>
        <w:t xml:space="preserve">(6), pp.1677-1692. Available at: </w:t>
      </w:r>
      <w:hyperlink r:id="rId30">
        <w:r w:rsidRPr="00606B82">
          <w:rPr>
            <w:color w:val="1155CC"/>
            <w:szCs w:val="24"/>
            <w:highlight w:val="white"/>
            <w:u w:val="single"/>
          </w:rPr>
          <w:t>https://www.emerald.com/insight/content/doi/10.1108/PR-06-2021-0469/full/html</w:t>
        </w:r>
      </w:hyperlink>
      <w:r w:rsidRPr="00606B82">
        <w:rPr>
          <w:color w:val="222222"/>
          <w:szCs w:val="24"/>
          <w:highlight w:val="white"/>
        </w:rPr>
        <w:t xml:space="preserve"> [Accessed 19 August 2023]</w:t>
      </w:r>
    </w:p>
    <w:p w14:paraId="372F4DEA" w14:textId="77777777" w:rsidR="00606B82" w:rsidRPr="00606B82" w:rsidRDefault="00606B82" w:rsidP="00606B82">
      <w:pPr>
        <w:spacing w:before="240" w:after="240" w:line="360" w:lineRule="auto"/>
        <w:jc w:val="both"/>
        <w:rPr>
          <w:color w:val="222222"/>
          <w:szCs w:val="24"/>
          <w:highlight w:val="white"/>
        </w:rPr>
      </w:pPr>
      <w:r w:rsidRPr="00606B82">
        <w:rPr>
          <w:color w:val="222222"/>
          <w:szCs w:val="24"/>
          <w:highlight w:val="white"/>
        </w:rPr>
        <w:t xml:space="preserve">Vance, A., Siponen, M.T. and Straub, D.W., 2020. Effects of sanctions, moral beliefs, and neutralization on information security policy violations across cultures. </w:t>
      </w:r>
      <w:r w:rsidRPr="00606B82">
        <w:rPr>
          <w:i/>
          <w:color w:val="222222"/>
          <w:szCs w:val="24"/>
          <w:highlight w:val="white"/>
        </w:rPr>
        <w:t>Information &amp; Management</w:t>
      </w:r>
      <w:r w:rsidRPr="00606B82">
        <w:rPr>
          <w:color w:val="222222"/>
          <w:szCs w:val="24"/>
          <w:highlight w:val="white"/>
        </w:rPr>
        <w:t xml:space="preserve">, </w:t>
      </w:r>
      <w:r w:rsidRPr="00606B82">
        <w:rPr>
          <w:i/>
          <w:color w:val="222222"/>
          <w:szCs w:val="24"/>
          <w:highlight w:val="white"/>
        </w:rPr>
        <w:t>57</w:t>
      </w:r>
      <w:r w:rsidRPr="00606B82">
        <w:rPr>
          <w:color w:val="222222"/>
          <w:szCs w:val="24"/>
          <w:highlight w:val="white"/>
        </w:rPr>
        <w:t xml:space="preserve">(4), p.103212. Available at: </w:t>
      </w:r>
      <w:hyperlink r:id="rId31">
        <w:r w:rsidRPr="00606B82">
          <w:rPr>
            <w:color w:val="1155CC"/>
            <w:szCs w:val="24"/>
            <w:highlight w:val="white"/>
            <w:u w:val="single"/>
          </w:rPr>
          <w:t>https://www.sciencedirect.com/science/article/abs/pii/S0378720617307012</w:t>
        </w:r>
      </w:hyperlink>
      <w:r w:rsidRPr="00606B82">
        <w:rPr>
          <w:color w:val="222222"/>
          <w:szCs w:val="24"/>
          <w:highlight w:val="white"/>
        </w:rPr>
        <w:t xml:space="preserve"> [Accessed 19 August 2023]</w:t>
      </w:r>
    </w:p>
    <w:p w14:paraId="2CCCCC2C" w14:textId="77777777" w:rsidR="00606B82" w:rsidRPr="00606B82" w:rsidRDefault="00606B82" w:rsidP="00606B82">
      <w:pPr>
        <w:spacing w:before="240" w:after="240" w:line="360" w:lineRule="auto"/>
        <w:jc w:val="both"/>
        <w:rPr>
          <w:color w:val="222222"/>
          <w:szCs w:val="24"/>
          <w:highlight w:val="white"/>
        </w:rPr>
      </w:pPr>
      <w:r w:rsidRPr="00606B82">
        <w:rPr>
          <w:color w:val="222222"/>
          <w:szCs w:val="24"/>
          <w:highlight w:val="white"/>
        </w:rPr>
        <w:t xml:space="preserve">Walsh, L. and Cooney, T., 2022. Understanding the interplay between immigrant nascent entrepreneurship and cross-cultural adaptation. </w:t>
      </w:r>
      <w:r w:rsidRPr="00606B82">
        <w:rPr>
          <w:i/>
          <w:color w:val="222222"/>
          <w:szCs w:val="24"/>
          <w:highlight w:val="white"/>
        </w:rPr>
        <w:t>Journal of Small Business and Enterprise Development</w:t>
      </w:r>
      <w:r w:rsidRPr="00606B82">
        <w:rPr>
          <w:color w:val="222222"/>
          <w:szCs w:val="24"/>
          <w:highlight w:val="white"/>
        </w:rPr>
        <w:t xml:space="preserve">.  Available at:  </w:t>
      </w:r>
      <w:hyperlink r:id="rId32">
        <w:r w:rsidRPr="00606B82">
          <w:rPr>
            <w:color w:val="1155CC"/>
            <w:szCs w:val="24"/>
            <w:highlight w:val="white"/>
            <w:u w:val="single"/>
          </w:rPr>
          <w:t>https://www.emerald.com/insight/content/doi/10.1108/JSBED-12-2021-0472/full/html</w:t>
        </w:r>
      </w:hyperlink>
      <w:r w:rsidRPr="00606B82">
        <w:rPr>
          <w:color w:val="222222"/>
          <w:szCs w:val="24"/>
          <w:highlight w:val="white"/>
        </w:rPr>
        <w:t xml:space="preserve"> [Accessed 19 August 2023]</w:t>
      </w:r>
    </w:p>
    <w:p w14:paraId="47C1765F" w14:textId="77777777" w:rsidR="00606B82" w:rsidRPr="00606B82" w:rsidRDefault="00606B82" w:rsidP="00606B82">
      <w:pPr>
        <w:spacing w:before="240" w:after="240" w:line="360" w:lineRule="auto"/>
        <w:jc w:val="both"/>
        <w:rPr>
          <w:color w:val="222222"/>
          <w:szCs w:val="24"/>
          <w:highlight w:val="white"/>
        </w:rPr>
      </w:pPr>
      <w:r w:rsidRPr="00606B82">
        <w:rPr>
          <w:color w:val="222222"/>
          <w:szCs w:val="24"/>
          <w:highlight w:val="white"/>
        </w:rPr>
        <w:t xml:space="preserve">Yang, L., Holtz, D., Jaffe, S., Suri, S., Sinha, S., Weston, J., Joyce, C., Shah, N., Sherman, K., Hecht, B. and Teevan, J., 2022. The effects of remote work on collaboration among information workers. </w:t>
      </w:r>
      <w:r w:rsidRPr="00606B82">
        <w:rPr>
          <w:i/>
          <w:color w:val="222222"/>
          <w:szCs w:val="24"/>
          <w:highlight w:val="white"/>
        </w:rPr>
        <w:t>Nature human behaviour</w:t>
      </w:r>
      <w:r w:rsidRPr="00606B82">
        <w:rPr>
          <w:color w:val="222222"/>
          <w:szCs w:val="24"/>
          <w:highlight w:val="white"/>
        </w:rPr>
        <w:t xml:space="preserve">, </w:t>
      </w:r>
      <w:r w:rsidRPr="00606B82">
        <w:rPr>
          <w:i/>
          <w:color w:val="222222"/>
          <w:szCs w:val="24"/>
          <w:highlight w:val="white"/>
        </w:rPr>
        <w:t>6</w:t>
      </w:r>
      <w:r w:rsidRPr="00606B82">
        <w:rPr>
          <w:color w:val="222222"/>
          <w:szCs w:val="24"/>
          <w:highlight w:val="white"/>
        </w:rPr>
        <w:t xml:space="preserve">(1), pp.43-54. Available at: </w:t>
      </w:r>
      <w:hyperlink r:id="rId33">
        <w:r w:rsidRPr="00606B82">
          <w:rPr>
            <w:color w:val="1155CC"/>
            <w:szCs w:val="24"/>
            <w:highlight w:val="white"/>
            <w:u w:val="single"/>
          </w:rPr>
          <w:t>https://www.nature.com/articles/s41562-021-01196-4</w:t>
        </w:r>
      </w:hyperlink>
      <w:r w:rsidRPr="00606B82">
        <w:rPr>
          <w:color w:val="222222"/>
          <w:szCs w:val="24"/>
          <w:highlight w:val="white"/>
        </w:rPr>
        <w:t xml:space="preserve"> [Accessed 19 August 2023]</w:t>
      </w:r>
    </w:p>
    <w:p w14:paraId="63E6F1CD" w14:textId="77777777" w:rsidR="0044132A" w:rsidRDefault="0044132A">
      <w:pPr>
        <w:spacing w:before="240" w:after="240" w:line="360" w:lineRule="auto"/>
        <w:jc w:val="both"/>
        <w:rPr>
          <w:color w:val="222222"/>
          <w:sz w:val="20"/>
          <w:szCs w:val="20"/>
          <w:highlight w:val="white"/>
        </w:rPr>
      </w:pPr>
    </w:p>
    <w:p w14:paraId="2DD736C4" w14:textId="77777777" w:rsidR="0044132A" w:rsidRDefault="0044132A">
      <w:pPr>
        <w:spacing w:before="240" w:after="240" w:line="360" w:lineRule="auto"/>
        <w:jc w:val="both"/>
        <w:rPr>
          <w:color w:val="222222"/>
          <w:sz w:val="20"/>
          <w:szCs w:val="20"/>
          <w:highlight w:val="white"/>
        </w:rPr>
      </w:pPr>
    </w:p>
    <w:p w14:paraId="345CC942" w14:textId="77777777" w:rsidR="0044132A" w:rsidRDefault="0044132A">
      <w:pPr>
        <w:spacing w:before="240" w:after="240" w:line="360" w:lineRule="auto"/>
        <w:jc w:val="both"/>
        <w:rPr>
          <w:color w:val="222222"/>
          <w:sz w:val="20"/>
          <w:szCs w:val="20"/>
          <w:highlight w:val="white"/>
        </w:rPr>
      </w:pPr>
    </w:p>
    <w:p w14:paraId="66A1AA76" w14:textId="77777777" w:rsidR="0044132A" w:rsidRDefault="0044132A">
      <w:pPr>
        <w:spacing w:before="240" w:after="240" w:line="360" w:lineRule="auto"/>
        <w:jc w:val="both"/>
        <w:rPr>
          <w:color w:val="222222"/>
          <w:sz w:val="20"/>
          <w:szCs w:val="20"/>
          <w:highlight w:val="white"/>
        </w:rPr>
      </w:pPr>
    </w:p>
    <w:p w14:paraId="631567A0" w14:textId="77777777" w:rsidR="0044132A" w:rsidRDefault="0044132A">
      <w:pPr>
        <w:spacing w:before="240" w:after="240" w:line="360" w:lineRule="auto"/>
        <w:jc w:val="both"/>
        <w:rPr>
          <w:color w:val="222222"/>
          <w:sz w:val="20"/>
          <w:szCs w:val="20"/>
          <w:highlight w:val="white"/>
        </w:rPr>
      </w:pPr>
    </w:p>
    <w:p w14:paraId="47356181" w14:textId="77777777" w:rsidR="0044132A" w:rsidRDefault="0044132A">
      <w:pPr>
        <w:spacing w:before="240" w:after="240" w:line="360" w:lineRule="auto"/>
        <w:jc w:val="both"/>
        <w:rPr>
          <w:color w:val="222222"/>
          <w:sz w:val="20"/>
          <w:szCs w:val="20"/>
          <w:highlight w:val="white"/>
        </w:rPr>
      </w:pPr>
    </w:p>
    <w:p w14:paraId="65EA7FC8" w14:textId="77777777" w:rsidR="0044132A" w:rsidRDefault="0044132A">
      <w:pPr>
        <w:spacing w:before="240" w:after="240" w:line="360" w:lineRule="auto"/>
        <w:jc w:val="both"/>
        <w:rPr>
          <w:color w:val="222222"/>
          <w:sz w:val="20"/>
          <w:szCs w:val="20"/>
          <w:highlight w:val="white"/>
        </w:rPr>
      </w:pPr>
    </w:p>
    <w:p w14:paraId="70350767" w14:textId="77777777" w:rsidR="0044132A" w:rsidRDefault="0044132A">
      <w:pPr>
        <w:spacing w:before="240" w:after="240" w:line="360" w:lineRule="auto"/>
        <w:jc w:val="both"/>
        <w:rPr>
          <w:color w:val="222222"/>
          <w:sz w:val="20"/>
          <w:szCs w:val="20"/>
          <w:highlight w:val="white"/>
        </w:rPr>
      </w:pPr>
    </w:p>
    <w:p w14:paraId="3D69DBE6" w14:textId="77777777" w:rsidR="0044132A" w:rsidRDefault="0044132A">
      <w:pPr>
        <w:spacing w:before="240" w:after="240" w:line="360" w:lineRule="auto"/>
        <w:jc w:val="both"/>
        <w:rPr>
          <w:color w:val="222222"/>
          <w:sz w:val="20"/>
          <w:szCs w:val="20"/>
          <w:highlight w:val="white"/>
        </w:rPr>
      </w:pPr>
    </w:p>
    <w:p w14:paraId="2125EC89" w14:textId="77777777" w:rsidR="0044132A" w:rsidRDefault="0044132A">
      <w:pPr>
        <w:spacing w:after="0" w:line="360" w:lineRule="auto"/>
        <w:jc w:val="both"/>
      </w:pPr>
    </w:p>
    <w:p w14:paraId="46EFFF6A" w14:textId="77777777" w:rsidR="0044132A" w:rsidRDefault="0044132A">
      <w:pPr>
        <w:pStyle w:val="Heading1"/>
        <w:spacing w:before="0" w:after="0" w:line="360" w:lineRule="auto"/>
      </w:pPr>
    </w:p>
    <w:p w14:paraId="00264F77" w14:textId="77777777" w:rsidR="0044132A" w:rsidRDefault="0044132A">
      <w:pPr>
        <w:spacing w:after="0" w:line="360" w:lineRule="auto"/>
      </w:pPr>
    </w:p>
    <w:p w14:paraId="58C3466B" w14:textId="77777777" w:rsidR="0044132A" w:rsidRDefault="0044132A">
      <w:pPr>
        <w:spacing w:after="0" w:line="360" w:lineRule="auto"/>
      </w:pPr>
    </w:p>
    <w:sectPr w:rsidR="0044132A">
      <w:headerReference w:type="default" r:id="rId34"/>
      <w:pgSz w:w="11906" w:h="16838"/>
      <w:pgMar w:top="1440" w:right="1440" w:bottom="1440" w:left="1440"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28256" w14:textId="77777777" w:rsidR="009E6C5D" w:rsidRDefault="009E6C5D">
      <w:pPr>
        <w:spacing w:after="0" w:line="240" w:lineRule="auto"/>
      </w:pPr>
      <w:r>
        <w:separator/>
      </w:r>
    </w:p>
  </w:endnote>
  <w:endnote w:type="continuationSeparator" w:id="0">
    <w:p w14:paraId="2B0E53ED" w14:textId="77777777" w:rsidR="009E6C5D" w:rsidRDefault="009E6C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AC471" w14:textId="77777777" w:rsidR="009E6C5D" w:rsidRDefault="009E6C5D">
      <w:pPr>
        <w:spacing w:after="0" w:line="240" w:lineRule="auto"/>
      </w:pPr>
      <w:r>
        <w:separator/>
      </w:r>
    </w:p>
  </w:footnote>
  <w:footnote w:type="continuationSeparator" w:id="0">
    <w:p w14:paraId="700157F2" w14:textId="77777777" w:rsidR="009E6C5D" w:rsidRDefault="009E6C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FD540" w14:textId="301C78EC" w:rsidR="0044132A" w:rsidRDefault="003D2B9D">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821A50">
      <w:rPr>
        <w:noProof/>
        <w:color w:val="000000"/>
      </w:rPr>
      <w:t>11</w:t>
    </w:r>
    <w:r>
      <w:rPr>
        <w:color w:val="000000"/>
      </w:rPr>
      <w:fldChar w:fldCharType="end"/>
    </w:r>
  </w:p>
  <w:p w14:paraId="5E54EA24" w14:textId="77777777" w:rsidR="0044132A" w:rsidRDefault="0044132A">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CE1811"/>
    <w:multiLevelType w:val="hybridMultilevel"/>
    <w:tmpl w:val="17DEE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AE0735"/>
    <w:multiLevelType w:val="hybridMultilevel"/>
    <w:tmpl w:val="7E5E6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A02B22"/>
    <w:multiLevelType w:val="multilevel"/>
    <w:tmpl w:val="DE8AFA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3152371"/>
    <w:multiLevelType w:val="multilevel"/>
    <w:tmpl w:val="B8AC3E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02727947">
    <w:abstractNumId w:val="3"/>
  </w:num>
  <w:num w:numId="2" w16cid:durableId="204683262">
    <w:abstractNumId w:val="2"/>
  </w:num>
  <w:num w:numId="3" w16cid:durableId="1609242050">
    <w:abstractNumId w:val="1"/>
  </w:num>
  <w:num w:numId="4" w16cid:durableId="983121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rM0NLA0NTE1NLEAMpR0lIJTi4sz8/NACgxrAYaY6FwsAAAA"/>
  </w:docVars>
  <w:rsids>
    <w:rsidRoot w:val="0044132A"/>
    <w:rsid w:val="002054A5"/>
    <w:rsid w:val="002C4BD1"/>
    <w:rsid w:val="002D468A"/>
    <w:rsid w:val="003D2B9D"/>
    <w:rsid w:val="004332C4"/>
    <w:rsid w:val="0044132A"/>
    <w:rsid w:val="005642FE"/>
    <w:rsid w:val="0057391E"/>
    <w:rsid w:val="00606B82"/>
    <w:rsid w:val="00716972"/>
    <w:rsid w:val="007D709D"/>
    <w:rsid w:val="00821A50"/>
    <w:rsid w:val="00866EBA"/>
    <w:rsid w:val="008D7743"/>
    <w:rsid w:val="008E7882"/>
    <w:rsid w:val="009E6C5D"/>
    <w:rsid w:val="009F61FE"/>
    <w:rsid w:val="009F7970"/>
    <w:rsid w:val="00A95650"/>
    <w:rsid w:val="00AB75BE"/>
    <w:rsid w:val="00D42493"/>
    <w:rsid w:val="00D65989"/>
    <w:rsid w:val="00DC30B4"/>
    <w:rsid w:val="00DE61A3"/>
    <w:rsid w:val="00E85959"/>
    <w:rsid w:val="00F56A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2EE1BE"/>
  <w15:docId w15:val="{3596AFDC-600D-413E-A311-10E1697B3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78D0"/>
    <w:rPr>
      <w:szCs w:val="22"/>
      <w:lang w:eastAsia="en-US"/>
    </w:rPr>
  </w:style>
  <w:style w:type="paragraph" w:styleId="Heading1">
    <w:name w:val="heading 1"/>
    <w:basedOn w:val="Normal"/>
    <w:next w:val="Normal"/>
    <w:link w:val="Heading1Char"/>
    <w:uiPriority w:val="9"/>
    <w:qFormat/>
    <w:rsid w:val="00392577"/>
    <w:pPr>
      <w:keepNext/>
      <w:spacing w:before="240" w:after="60"/>
      <w:outlineLvl w:val="0"/>
    </w:pPr>
    <w:rPr>
      <w:rFonts w:eastAsia="Times New Roman"/>
      <w:b/>
      <w:bCs/>
      <w:kern w:val="32"/>
      <w:sz w:val="28"/>
      <w:szCs w:val="32"/>
    </w:rPr>
  </w:style>
  <w:style w:type="paragraph" w:styleId="Heading2">
    <w:name w:val="heading 2"/>
    <w:basedOn w:val="Normal"/>
    <w:next w:val="Normal"/>
    <w:link w:val="Heading2Char"/>
    <w:uiPriority w:val="9"/>
    <w:semiHidden/>
    <w:unhideWhenUsed/>
    <w:qFormat/>
    <w:rsid w:val="000878D0"/>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92577"/>
    <w:pPr>
      <w:spacing w:before="240" w:after="60"/>
      <w:jc w:val="center"/>
      <w:outlineLvl w:val="0"/>
    </w:pPr>
    <w:rPr>
      <w:rFonts w:eastAsia="Times New Roman"/>
      <w:b/>
      <w:bCs/>
      <w:kern w:val="28"/>
      <w:sz w:val="32"/>
      <w:szCs w:val="32"/>
    </w:rPr>
  </w:style>
  <w:style w:type="paragraph" w:customStyle="1" w:styleId="MediumShading1-Accent11">
    <w:name w:val="Medium Shading 1 - Accent 11"/>
    <w:link w:val="MediumShading1-Accent1Char"/>
    <w:uiPriority w:val="1"/>
    <w:qFormat/>
    <w:rsid w:val="00900816"/>
    <w:rPr>
      <w:rFonts w:eastAsia="Times New Roman"/>
      <w:sz w:val="22"/>
      <w:szCs w:val="22"/>
      <w:lang w:val="en-US" w:eastAsia="en-US"/>
    </w:rPr>
  </w:style>
  <w:style w:type="character" w:customStyle="1" w:styleId="MediumShading1-Accent1Char">
    <w:name w:val="Medium Shading 1 - Accent 1 Char"/>
    <w:link w:val="MediumShading1-Accent11"/>
    <w:uiPriority w:val="1"/>
    <w:rsid w:val="00900816"/>
    <w:rPr>
      <w:rFonts w:eastAsia="Times New Roman"/>
      <w:sz w:val="22"/>
      <w:szCs w:val="22"/>
      <w:lang w:val="en-US" w:eastAsia="en-US" w:bidi="ar-SA"/>
    </w:rPr>
  </w:style>
  <w:style w:type="paragraph" w:styleId="BalloonText">
    <w:name w:val="Balloon Text"/>
    <w:basedOn w:val="Normal"/>
    <w:link w:val="BalloonTextChar"/>
    <w:uiPriority w:val="99"/>
    <w:semiHidden/>
    <w:unhideWhenUsed/>
    <w:rsid w:val="00900816"/>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00816"/>
    <w:rPr>
      <w:rFonts w:ascii="Tahoma" w:hAnsi="Tahoma" w:cs="Tahoma"/>
      <w:sz w:val="16"/>
      <w:szCs w:val="16"/>
    </w:rPr>
  </w:style>
  <w:style w:type="paragraph" w:styleId="Header">
    <w:name w:val="header"/>
    <w:basedOn w:val="Normal"/>
    <w:link w:val="HeaderChar"/>
    <w:uiPriority w:val="99"/>
    <w:unhideWhenUsed/>
    <w:rsid w:val="009008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0816"/>
  </w:style>
  <w:style w:type="paragraph" w:styleId="Footer">
    <w:name w:val="footer"/>
    <w:basedOn w:val="Normal"/>
    <w:link w:val="FooterChar"/>
    <w:uiPriority w:val="99"/>
    <w:unhideWhenUsed/>
    <w:rsid w:val="009008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816"/>
  </w:style>
  <w:style w:type="character" w:customStyle="1" w:styleId="Heading1Char">
    <w:name w:val="Heading 1 Char"/>
    <w:link w:val="Heading1"/>
    <w:uiPriority w:val="9"/>
    <w:rsid w:val="00392577"/>
    <w:rPr>
      <w:rFonts w:ascii="Arial" w:eastAsia="Times New Roman" w:hAnsi="Arial" w:cs="Times New Roman"/>
      <w:b/>
      <w:bCs/>
      <w:kern w:val="32"/>
      <w:sz w:val="28"/>
      <w:szCs w:val="32"/>
      <w:lang w:eastAsia="en-US"/>
    </w:rPr>
  </w:style>
  <w:style w:type="character" w:customStyle="1" w:styleId="TitleChar">
    <w:name w:val="Title Char"/>
    <w:link w:val="Title"/>
    <w:uiPriority w:val="10"/>
    <w:rsid w:val="00392577"/>
    <w:rPr>
      <w:rFonts w:ascii="Arial" w:eastAsia="Times New Roman" w:hAnsi="Arial" w:cs="Times New Roman"/>
      <w:b/>
      <w:bCs/>
      <w:kern w:val="28"/>
      <w:sz w:val="32"/>
      <w:szCs w:val="32"/>
      <w:lang w:eastAsia="en-US"/>
    </w:rPr>
  </w:style>
  <w:style w:type="character" w:customStyle="1" w:styleId="Heading2Char">
    <w:name w:val="Heading 2 Char"/>
    <w:link w:val="Heading2"/>
    <w:uiPriority w:val="9"/>
    <w:rsid w:val="000878D0"/>
    <w:rPr>
      <w:rFonts w:ascii="Cambria" w:eastAsia="Times New Roman" w:hAnsi="Cambria" w:cs="Times New Roman"/>
      <w:b/>
      <w:bCs/>
      <w:i/>
      <w:iCs/>
      <w:sz w:val="28"/>
      <w:szCs w:val="28"/>
      <w:lang w:eastAsia="en-US"/>
    </w:rPr>
  </w:style>
  <w:style w:type="paragraph" w:customStyle="1" w:styleId="GridTable5Dark-Accent11">
    <w:name w:val="Grid Table 5 Dark - Accent 11"/>
    <w:basedOn w:val="Heading1"/>
    <w:next w:val="Normal"/>
    <w:uiPriority w:val="39"/>
    <w:semiHidden/>
    <w:unhideWhenUsed/>
    <w:qFormat/>
    <w:rsid w:val="000878D0"/>
    <w:pPr>
      <w:keepLines/>
      <w:spacing w:before="480" w:after="0"/>
      <w:outlineLvl w:val="9"/>
    </w:pPr>
    <w:rPr>
      <w:rFonts w:ascii="Cambria" w:hAnsi="Cambria"/>
      <w:color w:val="365F91"/>
      <w:kern w:val="0"/>
      <w:szCs w:val="28"/>
      <w:lang w:val="en-US"/>
    </w:rPr>
  </w:style>
  <w:style w:type="paragraph" w:styleId="TOC2">
    <w:name w:val="toc 2"/>
    <w:basedOn w:val="Normal"/>
    <w:next w:val="Normal"/>
    <w:autoRedefine/>
    <w:uiPriority w:val="39"/>
    <w:unhideWhenUsed/>
    <w:qFormat/>
    <w:rsid w:val="000878D0"/>
    <w:pPr>
      <w:spacing w:after="100"/>
      <w:ind w:left="220"/>
    </w:pPr>
    <w:rPr>
      <w:rFonts w:ascii="Calibri" w:eastAsia="Times New Roman" w:hAnsi="Calibri"/>
      <w:sz w:val="22"/>
      <w:lang w:val="en-US"/>
    </w:rPr>
  </w:style>
  <w:style w:type="paragraph" w:styleId="TOC1">
    <w:name w:val="toc 1"/>
    <w:basedOn w:val="Normal"/>
    <w:next w:val="Normal"/>
    <w:autoRedefine/>
    <w:uiPriority w:val="39"/>
    <w:unhideWhenUsed/>
    <w:qFormat/>
    <w:rsid w:val="000878D0"/>
    <w:pPr>
      <w:spacing w:after="100"/>
    </w:pPr>
    <w:rPr>
      <w:rFonts w:ascii="Calibri" w:eastAsia="Times New Roman" w:hAnsi="Calibri"/>
      <w:sz w:val="22"/>
      <w:lang w:val="en-US"/>
    </w:rPr>
  </w:style>
  <w:style w:type="paragraph" w:styleId="TOC3">
    <w:name w:val="toc 3"/>
    <w:basedOn w:val="Normal"/>
    <w:next w:val="Normal"/>
    <w:autoRedefine/>
    <w:uiPriority w:val="39"/>
    <w:unhideWhenUsed/>
    <w:qFormat/>
    <w:rsid w:val="000878D0"/>
    <w:pPr>
      <w:spacing w:after="100"/>
      <w:ind w:left="440"/>
    </w:pPr>
    <w:rPr>
      <w:rFonts w:ascii="Calibri" w:eastAsia="Times New Roman" w:hAnsi="Calibri"/>
      <w:sz w:val="22"/>
      <w:lang w:val="en-US"/>
    </w:rPr>
  </w:style>
  <w:style w:type="character" w:styleId="Hyperlink">
    <w:name w:val="Hyperlink"/>
    <w:uiPriority w:val="99"/>
    <w:unhideWhenUsed/>
    <w:rsid w:val="000878D0"/>
    <w:rPr>
      <w:color w:val="0000FF"/>
      <w:u w:val="single"/>
    </w:rPr>
  </w:style>
  <w:style w:type="paragraph" w:customStyle="1" w:styleId="Default">
    <w:name w:val="Default"/>
    <w:rsid w:val="00550726"/>
    <w:pPr>
      <w:autoSpaceDE w:val="0"/>
      <w:autoSpaceDN w:val="0"/>
      <w:adjustRightInd w:val="0"/>
    </w:pPr>
    <w:rPr>
      <w:rFonts w:cs="Calibri"/>
      <w:color w:val="000000"/>
    </w:rPr>
  </w:style>
  <w:style w:type="character" w:styleId="CommentReference">
    <w:name w:val="annotation reference"/>
    <w:uiPriority w:val="99"/>
    <w:semiHidden/>
    <w:unhideWhenUsed/>
    <w:rsid w:val="006F406F"/>
    <w:rPr>
      <w:sz w:val="18"/>
      <w:szCs w:val="18"/>
    </w:rPr>
  </w:style>
  <w:style w:type="paragraph" w:styleId="CommentText">
    <w:name w:val="annotation text"/>
    <w:basedOn w:val="Normal"/>
    <w:link w:val="CommentTextChar"/>
    <w:uiPriority w:val="99"/>
    <w:unhideWhenUsed/>
    <w:rsid w:val="006F406F"/>
    <w:rPr>
      <w:szCs w:val="24"/>
    </w:rPr>
  </w:style>
  <w:style w:type="character" w:customStyle="1" w:styleId="CommentTextChar">
    <w:name w:val="Comment Text Char"/>
    <w:link w:val="CommentText"/>
    <w:uiPriority w:val="99"/>
    <w:rsid w:val="006F406F"/>
    <w:rPr>
      <w:rFonts w:ascii="Arial" w:hAnsi="Arial"/>
      <w:sz w:val="24"/>
      <w:szCs w:val="24"/>
      <w:lang w:eastAsia="en-US"/>
    </w:rPr>
  </w:style>
  <w:style w:type="paragraph" w:styleId="CommentSubject">
    <w:name w:val="annotation subject"/>
    <w:basedOn w:val="CommentText"/>
    <w:next w:val="CommentText"/>
    <w:link w:val="CommentSubjectChar"/>
    <w:uiPriority w:val="99"/>
    <w:semiHidden/>
    <w:unhideWhenUsed/>
    <w:rsid w:val="006F406F"/>
    <w:rPr>
      <w:b/>
      <w:bCs/>
      <w:sz w:val="20"/>
      <w:szCs w:val="20"/>
    </w:rPr>
  </w:style>
  <w:style w:type="character" w:customStyle="1" w:styleId="CommentSubjectChar">
    <w:name w:val="Comment Subject Char"/>
    <w:link w:val="CommentSubject"/>
    <w:uiPriority w:val="99"/>
    <w:semiHidden/>
    <w:rsid w:val="006F406F"/>
    <w:rPr>
      <w:rFonts w:ascii="Arial" w:hAnsi="Arial"/>
      <w:b/>
      <w:bCs/>
      <w:sz w:val="24"/>
      <w:szCs w:val="24"/>
      <w:lang w:eastAsia="en-US"/>
    </w:rPr>
  </w:style>
  <w:style w:type="paragraph" w:styleId="DocumentMap">
    <w:name w:val="Document Map"/>
    <w:basedOn w:val="Normal"/>
    <w:link w:val="DocumentMapChar"/>
    <w:uiPriority w:val="99"/>
    <w:semiHidden/>
    <w:unhideWhenUsed/>
    <w:rsid w:val="006815A0"/>
    <w:rPr>
      <w:rFonts w:ascii="Tahoma" w:hAnsi="Tahoma" w:cs="Tahoma"/>
      <w:sz w:val="16"/>
      <w:szCs w:val="16"/>
    </w:rPr>
  </w:style>
  <w:style w:type="character" w:customStyle="1" w:styleId="DocumentMapChar">
    <w:name w:val="Document Map Char"/>
    <w:basedOn w:val="DefaultParagraphFont"/>
    <w:link w:val="DocumentMap"/>
    <w:uiPriority w:val="99"/>
    <w:semiHidden/>
    <w:rsid w:val="006815A0"/>
    <w:rPr>
      <w:rFonts w:ascii="Tahoma" w:hAnsi="Tahoma" w:cs="Tahoma"/>
      <w:sz w:val="16"/>
      <w:szCs w:val="16"/>
      <w:lang w:eastAsia="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rFonts w:ascii="Cambria" w:eastAsia="Cambria" w:hAnsi="Cambria" w:cs="Cambria"/>
      <w:sz w:val="22"/>
      <w:szCs w:val="22"/>
    </w:rPr>
    <w:tblPr>
      <w:tblStyleRowBandSize w:val="1"/>
      <w:tblStyleColBandSize w:val="1"/>
    </w:tblPr>
  </w:style>
  <w:style w:type="paragraph" w:styleId="ListParagraph">
    <w:name w:val="List Paragraph"/>
    <w:basedOn w:val="Normal"/>
    <w:uiPriority w:val="34"/>
    <w:qFormat/>
    <w:rsid w:val="00606B82"/>
    <w:pPr>
      <w:ind w:left="720"/>
      <w:contextualSpacing/>
    </w:pPr>
  </w:style>
  <w:style w:type="paragraph" w:styleId="TOCHeading">
    <w:name w:val="TOC Heading"/>
    <w:basedOn w:val="Heading1"/>
    <w:next w:val="Normal"/>
    <w:uiPriority w:val="39"/>
    <w:unhideWhenUsed/>
    <w:qFormat/>
    <w:rsid w:val="00DC30B4"/>
    <w:pPr>
      <w:keepLines/>
      <w:spacing w:after="0" w:line="259" w:lineRule="auto"/>
      <w:outlineLvl w:val="9"/>
    </w:pPr>
    <w:rPr>
      <w:rFonts w:asciiTheme="majorHAnsi" w:eastAsiaTheme="majorEastAsia" w:hAnsiTheme="majorHAnsi" w:cstheme="majorBidi"/>
      <w:b w:val="0"/>
      <w:bCs w:val="0"/>
      <w:color w:val="365F91" w:themeColor="accent1" w:themeShade="BF"/>
      <w:kern w:val="0"/>
      <w:sz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link.springer.com/article/10.1186/s42466-020-00059-z" TargetMode="External"/><Relationship Id="rId18" Type="http://schemas.openxmlformats.org/officeDocument/2006/relationships/hyperlink" Target="https://www.frontiersin.org/articles/10.3389/fpsyg.2021.662604/full" TargetMode="External"/><Relationship Id="rId26" Type="http://schemas.openxmlformats.org/officeDocument/2006/relationships/hyperlink" Target="https://journals.sagepub.com/doi/full/10.1177/1473325017700701" TargetMode="External"/><Relationship Id="rId3" Type="http://schemas.openxmlformats.org/officeDocument/2006/relationships/styles" Target="styles.xml"/><Relationship Id="rId21" Type="http://schemas.openxmlformats.org/officeDocument/2006/relationships/hyperlink" Target="https://www.researchgate.net/profile/Elaheh-Khezri/publication/365476188_Trompenaars_and_Hampden-Turner_Cultural_Dimensions_applied_to_Iran/links/6376907e54eb5f547cde9696/Trompenaars-and-Hampden-Turner-Cultural-Dimensions-applied-to-Iran.pdf"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tandfonline.com/doi/abs/10.1080/1046560X.2020.1778248" TargetMode="External"/><Relationship Id="rId17" Type="http://schemas.openxmlformats.org/officeDocument/2006/relationships/hyperlink" Target="https://www.frontiersin.org/articles/10.3389/fpsyg.2021.624637/full" TargetMode="External"/><Relationship Id="rId25" Type="http://schemas.openxmlformats.org/officeDocument/2006/relationships/hyperlink" Target="https://scholarworks.umass.edu/cgi/viewcontent.cgi?article=1390&amp;context=pare" TargetMode="External"/><Relationship Id="rId33" Type="http://schemas.openxmlformats.org/officeDocument/2006/relationships/hyperlink" Target="https://www.nature.com/articles/s41562-021-01196-4" TargetMode="External"/><Relationship Id="rId2" Type="http://schemas.openxmlformats.org/officeDocument/2006/relationships/numbering" Target="numbering.xml"/><Relationship Id="rId16" Type="http://schemas.openxmlformats.org/officeDocument/2006/relationships/hyperlink" Target="https://link.springer.com/article/10.1007/s40821-020-00168-4" TargetMode="External"/><Relationship Id="rId20" Type="http://schemas.openxmlformats.org/officeDocument/2006/relationships/hyperlink" Target="https://www.proquest.com/openview/e3097a71740ed2431ef60573db76b534/1?pq-origsite=gscholar&amp;cbl=18750&amp;diss=y" TargetMode="External"/><Relationship Id="rId29" Type="http://schemas.openxmlformats.org/officeDocument/2006/relationships/hyperlink" Target="https://aisel.aisnet.org/ijispm/vol10/iss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ure.uvt.nl/ws/portalfiles/portal/50689011/1_2021_JUNE_JEICOM_Broeder_13_24.pdf" TargetMode="External"/><Relationship Id="rId24" Type="http://schemas.openxmlformats.org/officeDocument/2006/relationships/hyperlink" Target="https://www.sciencedirect.com/science/article/abs/pii/S0749597822000802" TargetMode="External"/><Relationship Id="rId32" Type="http://schemas.openxmlformats.org/officeDocument/2006/relationships/hyperlink" Target="https://www.emerald.com/insight/content/doi/10.1108/JSBED-12-2021-0472/full/html" TargetMode="External"/><Relationship Id="rId5" Type="http://schemas.openxmlformats.org/officeDocument/2006/relationships/webSettings" Target="webSettings.xml"/><Relationship Id="rId15" Type="http://schemas.openxmlformats.org/officeDocument/2006/relationships/hyperlink" Target="https://link.springer.com/article/10.1007/s11135-020-01072-9" TargetMode="External"/><Relationship Id="rId23" Type="http://schemas.openxmlformats.org/officeDocument/2006/relationships/hyperlink" Target="https://www.diva-portal.org/smash/record.jsf?pid=diva2%3A1761983&amp;dswid=4898" TargetMode="External"/><Relationship Id="rId28" Type="http://schemas.openxmlformats.org/officeDocument/2006/relationships/hyperlink" Target="https://link.springer.com/article/10.1057/s41267-020-00389-9" TargetMode="External"/><Relationship Id="rId36" Type="http://schemas.openxmlformats.org/officeDocument/2006/relationships/theme" Target="theme/theme1.xml"/><Relationship Id="rId10" Type="http://schemas.openxmlformats.org/officeDocument/2006/relationships/hyperlink" Target="https://www.researchgate.net/profile/Mai-Mahmoud-Hossni/publication/366759466_Reputation_Risk_and_Reputation_Risk_Management_Case_Study_Applied_on_Facebook_and_HSBC/links/63b1a36fa03100368a45d1a3/Reputation-Risk-and-Reputation-Risk-Management-Case-Study-Applied-on-Facebook-and-HSBC.pdf" TargetMode="External"/><Relationship Id="rId19" Type="http://schemas.openxmlformats.org/officeDocument/2006/relationships/hyperlink" Target="https://books.google.co.in/books?hl=en&amp;lr=&amp;id=MNfYDwAAQBAJ&amp;oi=fnd&amp;pg=PT7&amp;dq=Studies+on+organizations+like+HSBC+emphasize+the+need+for+culturally+sensitive+management+and+team-building+strategies&amp;ots=MjIunGZfDW&amp;sig=0qQ1pBNQN-hq-0oQqDcH8N0TtGs&amp;redir_esc=y" TargetMode="External"/><Relationship Id="rId31" Type="http://schemas.openxmlformats.org/officeDocument/2006/relationships/hyperlink" Target="https://www.sciencedirect.com/science/article/abs/pii/S0378720617307012" TargetMode="External"/><Relationship Id="rId4" Type="http://schemas.openxmlformats.org/officeDocument/2006/relationships/settings" Target="settings.xml"/><Relationship Id="rId9" Type="http://schemas.openxmlformats.org/officeDocument/2006/relationships/hyperlink" Target="https://gajrc.com/media/articles/GAJHSS_23_39-43_VMGJbOK.pdf" TargetMode="External"/><Relationship Id="rId14" Type="http://schemas.openxmlformats.org/officeDocument/2006/relationships/hyperlink" Target="https://books.google.co.in/books?hl=en&amp;lr=&amp;id=1dE4EAAAQBAJ&amp;oi=fnd&amp;pg=PP7&amp;dq=74%25+of+companies+plan+to+shift+some+employees+to+remote+work+permanently,+a+trend+HSBC+follows,+evidenced+by+their+plan+to+reduce+office+space+by+40%25+in+the+next+few+years&amp;ots=53xgMPJMB0&amp;sig=bT4-tvuz9eI7JAYmXu6ZAxAQJT0&amp;redir_esc=y" TargetMode="External"/><Relationship Id="rId22" Type="http://schemas.openxmlformats.org/officeDocument/2006/relationships/hyperlink" Target="https://link.springer.com/article/10.1007/s10796-021-10182-0" TargetMode="External"/><Relationship Id="rId27" Type="http://schemas.openxmlformats.org/officeDocument/2006/relationships/hyperlink" Target="https://wrap.warwick.ac.uk/139026/" TargetMode="External"/><Relationship Id="rId30" Type="http://schemas.openxmlformats.org/officeDocument/2006/relationships/hyperlink" Target="https://www.emerald.com/insight/content/doi/10.1108/PR-06-2021-0469/full/html"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bf6JL5AsIiPMDmn410N9y2M5gw==">CgMxLjAyCGguZ2pkZ3hzMgloLjMwajB6bGwyCWguMWZvYjl0ZTIJaC4zem55c2g3MgloLjJldDkycDAyDmguaWFvOGlkY3ppMDZwMg5oLnltOWVjdTc3cWdyNjIOaC5oMzgyZzFiMzltY3EyDmgudmh4eHMzbzJiNjFjMg5oLmtsNTM5ZmEyeHZmZzIOaC56OWx3bDlhMmxsczUyDmguOTJpNngwd2pqMGVyMgloLjNkeTZ2a204AHIhMVNKMDFVbUVVSnFDTjNMNXE1YXhJRkJrdXFwbzNzSXN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4463</Words>
  <Characters>25444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Yordan Gospodinov</dc:creator>
  <cp:lastModifiedBy>Yordan Gospodinov</cp:lastModifiedBy>
  <cp:revision>3</cp:revision>
  <dcterms:created xsi:type="dcterms:W3CDTF">2023-08-27T13:16:00Z</dcterms:created>
  <dcterms:modified xsi:type="dcterms:W3CDTF">2023-08-27T15:13:00Z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fdd57c809be87a9debe1e02a97e0c75295ac904c2d3f965132ba90572ac40393</vt:lpwstr>
  </property>
</Properties>
</file>