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40BB" w:rsidRPr="00D80FBD" w:rsidRDefault="00D80FBD">
      <w:pPr>
        <w:rPr>
          <w:rFonts w:cstheme="minorHAnsi"/>
          <w:b/>
        </w:rPr>
      </w:pPr>
      <w:r w:rsidRPr="00D80FBD">
        <w:rPr>
          <w:rFonts w:cstheme="minorHAnsi"/>
          <w:b/>
        </w:rPr>
        <w:t xml:space="preserve">Does Quinton offer a compelling defence of the claim that it is continuity of psychological characteristics that is crucial to </w:t>
      </w:r>
      <w:proofErr w:type="gramStart"/>
      <w:r w:rsidRPr="00D80FBD">
        <w:rPr>
          <w:rFonts w:cstheme="minorHAnsi"/>
          <w:b/>
        </w:rPr>
        <w:t>being</w:t>
      </w:r>
      <w:proofErr w:type="gramEnd"/>
      <w:r w:rsidRPr="00D80FBD">
        <w:rPr>
          <w:rFonts w:cstheme="minorHAnsi"/>
          <w:b/>
        </w:rPr>
        <w:t xml:space="preserve"> the same person? Is it true, as he suggests, that this account provides a more satisfactory understanding of personal relationships than does a view that gives central place to continuity of the body?</w:t>
      </w:r>
    </w:p>
    <w:p w:rsidR="00452467" w:rsidRDefault="00A21EE5">
      <w:pPr>
        <w:rPr>
          <w:rFonts w:cstheme="minorHAnsi"/>
        </w:rPr>
      </w:pPr>
      <w:r>
        <w:rPr>
          <w:rFonts w:cstheme="minorHAnsi"/>
        </w:rPr>
        <w:t>Here it will be argued that Quinton does offer a strong defence to the importance of psychological continuity in being the same person over time</w:t>
      </w:r>
      <w:r w:rsidR="00100AF0">
        <w:rPr>
          <w:rFonts w:cstheme="minorHAnsi"/>
        </w:rPr>
        <w:t xml:space="preserve">, however his defence does not completely rule out the importance of the continuity of the body. It will be argued that the bodily and psychological continuity complement one another </w:t>
      </w:r>
      <w:r w:rsidR="003F7D3C">
        <w:rPr>
          <w:rFonts w:cstheme="minorHAnsi"/>
        </w:rPr>
        <w:t>in personal identity</w:t>
      </w:r>
      <w:r w:rsidR="00BF44F1">
        <w:rPr>
          <w:rFonts w:cstheme="minorHAnsi"/>
        </w:rPr>
        <w:t xml:space="preserve"> and in relationships between individuals</w:t>
      </w:r>
      <w:r w:rsidR="003F7D3C">
        <w:rPr>
          <w:rFonts w:cstheme="minorHAnsi"/>
        </w:rPr>
        <w:t>. This perspective is carried over when discussing personal relationships</w:t>
      </w:r>
      <w:r w:rsidR="00C45DEC">
        <w:rPr>
          <w:rFonts w:cstheme="minorHAnsi"/>
        </w:rPr>
        <w:t xml:space="preserve"> as here both the body and the psychological characteristics are important, however it is true (as Quinton argues) that it is the psychological </w:t>
      </w:r>
      <w:r w:rsidR="001E17F9">
        <w:rPr>
          <w:rFonts w:cstheme="minorHAnsi"/>
        </w:rPr>
        <w:t>characteristics that should be given the greatest weight in the case of personal relationships.</w:t>
      </w:r>
      <w:r w:rsidR="007F2DF8">
        <w:rPr>
          <w:rFonts w:cstheme="minorHAnsi"/>
        </w:rPr>
        <w:t xml:space="preserve"> This perspective will be explored through Quinton’s own arguments for psychological continuity being compared to arguments for bodily continuity.</w:t>
      </w:r>
      <w:r w:rsidR="00E424FE">
        <w:rPr>
          <w:rFonts w:cstheme="minorHAnsi"/>
        </w:rPr>
        <w:t xml:space="preserve"> </w:t>
      </w:r>
    </w:p>
    <w:p w:rsidR="003A0B01" w:rsidRDefault="009727E0">
      <w:pPr>
        <w:rPr>
          <w:rFonts w:cstheme="minorHAnsi"/>
        </w:rPr>
      </w:pPr>
      <w:r>
        <w:rPr>
          <w:rFonts w:cstheme="minorHAnsi"/>
        </w:rPr>
        <w:t xml:space="preserve">Quinton’s argument that bodily </w:t>
      </w:r>
      <w:r w:rsidR="002C02F2">
        <w:rPr>
          <w:rFonts w:cstheme="minorHAnsi"/>
        </w:rPr>
        <w:t>identity is of lesser importance than psychological continuity begins with by arguing that the soul, when the soul is taken to mean some abstract, non-material, “spiritual substance” if it is in fact real, cannot be used as the criterion of personal identity. Even if such a “spiritual substance” exists, Quinton identifies three main wea</w:t>
      </w:r>
      <w:r w:rsidR="00CE35EE">
        <w:rPr>
          <w:rFonts w:cstheme="minorHAnsi"/>
        </w:rPr>
        <w:t xml:space="preserve">knesses against this “spiritual substance” </w:t>
      </w:r>
      <w:r w:rsidR="00C02EBC">
        <w:rPr>
          <w:rFonts w:cstheme="minorHAnsi"/>
        </w:rPr>
        <w:t>being used as a criterion for identity.</w:t>
      </w:r>
      <w:r w:rsidR="00CE35EE">
        <w:rPr>
          <w:rFonts w:cstheme="minorHAnsi"/>
        </w:rPr>
        <w:t xml:space="preserve"> </w:t>
      </w:r>
    </w:p>
    <w:p w:rsidR="00CE35EE" w:rsidRDefault="00CE35EE">
      <w:pPr>
        <w:rPr>
          <w:rFonts w:cstheme="minorHAnsi"/>
        </w:rPr>
      </w:pPr>
      <w:r>
        <w:rPr>
          <w:rFonts w:cstheme="minorHAnsi"/>
        </w:rPr>
        <w:t xml:space="preserve">The first of these is that the “spiritual substance” is regressive. By this </w:t>
      </w:r>
      <w:r w:rsidR="005F4DD8">
        <w:rPr>
          <w:rFonts w:cstheme="minorHAnsi"/>
        </w:rPr>
        <w:t xml:space="preserve">Quinton means that the account of the identity of a material object </w:t>
      </w:r>
      <w:r w:rsidR="00A358EE">
        <w:rPr>
          <w:rFonts w:cstheme="minorHAnsi"/>
        </w:rPr>
        <w:t xml:space="preserve">cannot be given by the presence of another individual thing within said object. In other words, the </w:t>
      </w:r>
      <w:r w:rsidR="000C31D6">
        <w:rPr>
          <w:rFonts w:cstheme="minorHAnsi"/>
        </w:rPr>
        <w:t xml:space="preserve">whole, composed of many parts, cannot be accounted for by one part. </w:t>
      </w:r>
      <w:r w:rsidR="00A358EE">
        <w:rPr>
          <w:rFonts w:cstheme="minorHAnsi"/>
          <w:vertAlign w:val="superscript"/>
        </w:rPr>
        <w:t>[</w:t>
      </w:r>
      <w:r w:rsidR="00A358EE">
        <w:rPr>
          <w:rStyle w:val="FootnoteReference"/>
          <w:rFonts w:cstheme="minorHAnsi"/>
        </w:rPr>
        <w:footnoteReference w:id="1"/>
      </w:r>
      <w:r w:rsidR="00A358EE">
        <w:rPr>
          <w:rFonts w:cstheme="minorHAnsi"/>
          <w:vertAlign w:val="superscript"/>
        </w:rPr>
        <w:t>]</w:t>
      </w:r>
      <w:r w:rsidR="003E28AE">
        <w:rPr>
          <w:rFonts w:cstheme="minorHAnsi"/>
          <w:vertAlign w:val="superscript"/>
        </w:rPr>
        <w:t xml:space="preserve"> </w:t>
      </w:r>
      <w:r w:rsidR="00850274">
        <w:rPr>
          <w:rFonts w:cstheme="minorHAnsi"/>
        </w:rPr>
        <w:t>A w</w:t>
      </w:r>
      <w:bookmarkStart w:id="2" w:name="_GoBack"/>
      <w:bookmarkEnd w:id="2"/>
      <w:r w:rsidR="003E28AE">
        <w:rPr>
          <w:rFonts w:cstheme="minorHAnsi"/>
        </w:rPr>
        <w:t xml:space="preserve">eakness in this argument is that it is common, even by those in favour of the body being what is key to personal identity, </w:t>
      </w:r>
      <w:r w:rsidR="00FA0D3E">
        <w:rPr>
          <w:rFonts w:cstheme="minorHAnsi"/>
        </w:rPr>
        <w:t xml:space="preserve">to </w:t>
      </w:r>
      <w:r w:rsidR="003E28AE">
        <w:rPr>
          <w:rFonts w:cstheme="minorHAnsi"/>
        </w:rPr>
        <w:t xml:space="preserve">place more importance on some physical components than others. For example, take the body: if an arm is lost, we do not say that this is no longer the same person. However, if the brain-another physical component of the body-was lost one may be inclined to think that the person was no longer who they once were. This can be seen in practice in </w:t>
      </w:r>
      <w:r w:rsidR="0003622A">
        <w:rPr>
          <w:rFonts w:cstheme="minorHAnsi"/>
        </w:rPr>
        <w:t>medical cases when once person X</w:t>
      </w:r>
      <w:r w:rsidR="003E28AE">
        <w:rPr>
          <w:rFonts w:cstheme="minorHAnsi"/>
        </w:rPr>
        <w:t xml:space="preserve"> is brain dead, even if their other bodily functions are continued by replacing the </w:t>
      </w:r>
      <w:r w:rsidR="0003622A">
        <w:rPr>
          <w:rFonts w:cstheme="minorHAnsi"/>
        </w:rPr>
        <w:t>brains signals by machinery, it is generally considered that they are no longer still X, hence turning off the machine and causing their bodily functions to cease is not considered murder.</w:t>
      </w:r>
      <w:r w:rsidR="00D35CF7">
        <w:rPr>
          <w:rFonts w:cstheme="minorHAnsi"/>
        </w:rPr>
        <w:t xml:space="preserve"> Through this reasoning it seems that some parts are more accountable than others fo</w:t>
      </w:r>
      <w:r w:rsidR="00355839">
        <w:rPr>
          <w:rFonts w:cstheme="minorHAnsi"/>
        </w:rPr>
        <w:t>r personal identity, so this could</w:t>
      </w:r>
      <w:r w:rsidR="00D35CF7">
        <w:rPr>
          <w:rFonts w:cstheme="minorHAnsi"/>
        </w:rPr>
        <w:t xml:space="preserve"> be extrapolated </w:t>
      </w:r>
      <w:r w:rsidR="00355839">
        <w:rPr>
          <w:rFonts w:cstheme="minorHAnsi"/>
        </w:rPr>
        <w:t>so one part can be completely accountable for personal identity.  Although the argument that some parts are of more importance than others, there is a jump from this to one part being of single importance that does not seem</w:t>
      </w:r>
      <w:r w:rsidR="003939E9">
        <w:rPr>
          <w:rFonts w:cstheme="minorHAnsi"/>
        </w:rPr>
        <w:t xml:space="preserve"> to fully follow, therefore Quin</w:t>
      </w:r>
      <w:r w:rsidR="00D34AF4">
        <w:rPr>
          <w:rFonts w:cstheme="minorHAnsi"/>
        </w:rPr>
        <w:t>ton seems correct here. R</w:t>
      </w:r>
      <w:r w:rsidR="003939E9">
        <w:rPr>
          <w:rFonts w:cstheme="minorHAnsi"/>
        </w:rPr>
        <w:t>oom is left to say that the psychological characterist</w:t>
      </w:r>
      <w:r w:rsidR="00D34AF4">
        <w:rPr>
          <w:rFonts w:cstheme="minorHAnsi"/>
        </w:rPr>
        <w:t>ics that of the brain produces are also an important component in accounting for identity, as the importance of physical components is determined by their effects: a heart’s worth is based on it pumping blood, so a brain’s worth is in its production of thoughts, beliefs and so on.</w:t>
      </w:r>
    </w:p>
    <w:p w:rsidR="009D2EC7" w:rsidRDefault="00BE06E7">
      <w:pPr>
        <w:rPr>
          <w:rFonts w:cstheme="minorHAnsi"/>
        </w:rPr>
      </w:pPr>
      <w:r>
        <w:rPr>
          <w:rFonts w:cstheme="minorHAnsi"/>
        </w:rPr>
        <w:t xml:space="preserve">Quinton offers further weaknesses to the concept of the soul as a “spiritual substance.” </w:t>
      </w:r>
      <w:r w:rsidR="000212AC">
        <w:rPr>
          <w:rFonts w:cstheme="minorHAnsi"/>
        </w:rPr>
        <w:t>O</w:t>
      </w:r>
      <w:r>
        <w:rPr>
          <w:rFonts w:cstheme="minorHAnsi"/>
        </w:rPr>
        <w:t xml:space="preserve">ne is that there is no sufficient “observable mental entity that can effectively serve as a criterion…” </w:t>
      </w:r>
      <w:r w:rsidR="00C60F83">
        <w:rPr>
          <w:rFonts w:cstheme="minorHAnsi"/>
        </w:rPr>
        <w:t>B</w:t>
      </w:r>
      <w:r w:rsidR="00A37228">
        <w:rPr>
          <w:rFonts w:cstheme="minorHAnsi"/>
        </w:rPr>
        <w:t xml:space="preserve">y this he </w:t>
      </w:r>
      <w:r w:rsidR="00A37228">
        <w:rPr>
          <w:rFonts w:cstheme="minorHAnsi"/>
        </w:rPr>
        <w:lastRenderedPageBreak/>
        <w:t xml:space="preserve">means that </w:t>
      </w:r>
      <w:r w:rsidR="003A3D7D">
        <w:rPr>
          <w:rFonts w:cstheme="minorHAnsi"/>
        </w:rPr>
        <w:t>there is no</w:t>
      </w:r>
      <w:r w:rsidR="00C912BC">
        <w:rPr>
          <w:rFonts w:cstheme="minorHAnsi"/>
        </w:rPr>
        <w:t xml:space="preserve"> </w:t>
      </w:r>
      <w:r w:rsidR="009D2EC7">
        <w:rPr>
          <w:rFonts w:cstheme="minorHAnsi"/>
        </w:rPr>
        <w:t xml:space="preserve">unchanging </w:t>
      </w:r>
      <w:r w:rsidR="00C912BC">
        <w:rPr>
          <w:rFonts w:cstheme="minorHAnsi"/>
        </w:rPr>
        <w:t xml:space="preserve">mental entity that </w:t>
      </w:r>
      <w:r w:rsidR="009D2EC7">
        <w:rPr>
          <w:rFonts w:cstheme="minorHAnsi"/>
        </w:rPr>
        <w:t xml:space="preserve">can be ascribed as the part of oneself that is responsible for identity. He uses the example to explain how people’s psychological characteristics can change of a cathedral: a piece of the cathedral can be knocked off, but it remains the same cathedral, this is the same with people losing a belief/emotion and so on. </w:t>
      </w:r>
      <w:r w:rsidR="009D2EC7">
        <w:rPr>
          <w:rFonts w:cstheme="minorHAnsi"/>
          <w:vertAlign w:val="superscript"/>
        </w:rPr>
        <w:t>[</w:t>
      </w:r>
      <w:r w:rsidR="009D2EC7">
        <w:rPr>
          <w:rStyle w:val="FootnoteReference"/>
          <w:rFonts w:cstheme="minorHAnsi"/>
        </w:rPr>
        <w:footnoteReference w:id="2"/>
      </w:r>
      <w:r w:rsidR="009D2EC7">
        <w:rPr>
          <w:rFonts w:cstheme="minorHAnsi"/>
          <w:vertAlign w:val="superscript"/>
        </w:rPr>
        <w:t>]</w:t>
      </w:r>
      <w:r w:rsidR="009D2EC7">
        <w:rPr>
          <w:rFonts w:cstheme="minorHAnsi"/>
        </w:rPr>
        <w:t xml:space="preserve"> This is a strong argument as it demonstrates how change doesn’t have to be equated with a new identity </w:t>
      </w:r>
      <w:r w:rsidR="007D676D">
        <w:rPr>
          <w:rFonts w:cstheme="minorHAnsi"/>
        </w:rPr>
        <w:t>concerning psychological characteristics, and it is logically possible for this thinking to be e</w:t>
      </w:r>
      <w:r w:rsidR="000E5014">
        <w:rPr>
          <w:rFonts w:cstheme="minorHAnsi"/>
        </w:rPr>
        <w:t>xtrapolated to physical characteristics</w:t>
      </w:r>
      <w:r w:rsidR="007D676D">
        <w:rPr>
          <w:rFonts w:cstheme="minorHAnsi"/>
        </w:rPr>
        <w:t xml:space="preserve"> as well.</w:t>
      </w:r>
      <w:r w:rsidR="000212AC">
        <w:rPr>
          <w:rFonts w:cstheme="minorHAnsi"/>
        </w:rPr>
        <w:t xml:space="preserve"> The final weakness he expresses is that even if a “spiritual substance” does exist it would be useless for the purposes of identification as it would also be unobservable. </w:t>
      </w:r>
      <w:r w:rsidR="000212AC">
        <w:rPr>
          <w:rFonts w:cstheme="minorHAnsi"/>
          <w:vertAlign w:val="superscript"/>
        </w:rPr>
        <w:t>[</w:t>
      </w:r>
      <w:r w:rsidR="000212AC">
        <w:rPr>
          <w:rStyle w:val="FootnoteReference"/>
          <w:rFonts w:cstheme="minorHAnsi"/>
        </w:rPr>
        <w:footnoteReference w:id="3"/>
      </w:r>
      <w:r w:rsidR="00D170A5">
        <w:rPr>
          <w:rFonts w:cstheme="minorHAnsi"/>
          <w:vertAlign w:val="superscript"/>
        </w:rPr>
        <w:t xml:space="preserve">] </w:t>
      </w:r>
      <w:r w:rsidR="000212AC">
        <w:rPr>
          <w:rFonts w:cstheme="minorHAnsi"/>
        </w:rPr>
        <w:t xml:space="preserve">This point is </w:t>
      </w:r>
      <w:r w:rsidR="007764EC">
        <w:rPr>
          <w:rFonts w:cstheme="minorHAnsi"/>
        </w:rPr>
        <w:t>usef</w:t>
      </w:r>
      <w:r w:rsidR="001C263F">
        <w:rPr>
          <w:rFonts w:cstheme="minorHAnsi"/>
        </w:rPr>
        <w:t xml:space="preserve">ul </w:t>
      </w:r>
      <w:r w:rsidR="00B406AF">
        <w:rPr>
          <w:rFonts w:cstheme="minorHAnsi"/>
        </w:rPr>
        <w:t xml:space="preserve">in helping </w:t>
      </w:r>
      <w:r w:rsidR="001C263F">
        <w:rPr>
          <w:rFonts w:cstheme="minorHAnsi"/>
        </w:rPr>
        <w:t xml:space="preserve">to establish </w:t>
      </w:r>
      <w:r w:rsidR="00B406AF">
        <w:rPr>
          <w:rFonts w:cstheme="minorHAnsi"/>
        </w:rPr>
        <w:t>that continuity of psychological characteristics and bodily continuity are important</w:t>
      </w:r>
      <w:r w:rsidR="001C263F">
        <w:rPr>
          <w:rFonts w:cstheme="minorHAnsi"/>
        </w:rPr>
        <w:t xml:space="preserve"> in personal identity</w:t>
      </w:r>
      <w:r w:rsidR="00E500AA">
        <w:rPr>
          <w:rFonts w:cstheme="minorHAnsi"/>
        </w:rPr>
        <w:t xml:space="preserve"> and relationships between individuals</w:t>
      </w:r>
      <w:r w:rsidR="00B406AF">
        <w:rPr>
          <w:rFonts w:cstheme="minorHAnsi"/>
        </w:rPr>
        <w:t xml:space="preserve"> as it demonstrates how we do not recognise people by something that is over and above their psychological characteristics and their body</w:t>
      </w:r>
      <w:r w:rsidR="001C263F">
        <w:rPr>
          <w:rFonts w:cstheme="minorHAnsi"/>
        </w:rPr>
        <w:t>.</w:t>
      </w:r>
    </w:p>
    <w:p w:rsidR="008E01A4" w:rsidRDefault="00275ADE">
      <w:pPr>
        <w:rPr>
          <w:rFonts w:cstheme="minorHAnsi"/>
        </w:rPr>
      </w:pPr>
      <w:r>
        <w:rPr>
          <w:rFonts w:cstheme="minorHAnsi"/>
        </w:rPr>
        <w:t xml:space="preserve">Quinton goes on to say how the soul can be defined empirically as “a series of mental states connected by continuity of character and memory,” a definition </w:t>
      </w:r>
      <w:r w:rsidR="00F31078">
        <w:rPr>
          <w:rFonts w:cstheme="minorHAnsi"/>
        </w:rPr>
        <w:t xml:space="preserve">that is </w:t>
      </w:r>
      <w:r w:rsidR="00F2286F">
        <w:rPr>
          <w:rFonts w:cstheme="minorHAnsi"/>
        </w:rPr>
        <w:t xml:space="preserve">compatible with reductionism. </w:t>
      </w:r>
      <w:r w:rsidR="00F2286F">
        <w:rPr>
          <w:rFonts w:cstheme="minorHAnsi"/>
          <w:vertAlign w:val="superscript"/>
        </w:rPr>
        <w:t>[</w:t>
      </w:r>
      <w:r w:rsidR="00F2286F">
        <w:rPr>
          <w:rStyle w:val="FootnoteReference"/>
          <w:rFonts w:cstheme="minorHAnsi"/>
        </w:rPr>
        <w:footnoteReference w:id="4"/>
      </w:r>
      <w:r w:rsidR="00F2286F">
        <w:rPr>
          <w:rFonts w:cstheme="minorHAnsi"/>
          <w:vertAlign w:val="superscript"/>
        </w:rPr>
        <w:t>]</w:t>
      </w:r>
      <w:r w:rsidR="00F2286F">
        <w:rPr>
          <w:rFonts w:cstheme="minorHAnsi"/>
        </w:rPr>
        <w:t xml:space="preserve"> </w:t>
      </w:r>
      <w:r w:rsidR="00364EE1">
        <w:rPr>
          <w:rFonts w:cstheme="minorHAnsi"/>
        </w:rPr>
        <w:t xml:space="preserve">Here, the view seems to be that the soul is not something over and above </w:t>
      </w:r>
      <w:r w:rsidR="00293564">
        <w:rPr>
          <w:rFonts w:cstheme="minorHAnsi"/>
        </w:rPr>
        <w:t>characteristics, or the body, but he is of the view that the body is not necessary to remaining the same person, whereas continuity of psychological characteristics are. His reasoning for this is certainly persuasive</w:t>
      </w:r>
      <w:r w:rsidR="0052764C">
        <w:rPr>
          <w:rFonts w:cstheme="minorHAnsi"/>
        </w:rPr>
        <w:t>. He argues that the possession of certain character traits does not require the possession of a certain body</w:t>
      </w:r>
      <w:r w:rsidR="00C90234">
        <w:rPr>
          <w:rFonts w:cstheme="minorHAnsi"/>
        </w:rPr>
        <w:t xml:space="preserve">. Furthermore, </w:t>
      </w:r>
      <w:r w:rsidR="00825FBA">
        <w:rPr>
          <w:rFonts w:cstheme="minorHAnsi"/>
        </w:rPr>
        <w:t xml:space="preserve">if a body were to undergo sudden, drastic change (such as injuries acquired in an accident) </w:t>
      </w:r>
      <w:r w:rsidR="0014730A">
        <w:rPr>
          <w:rFonts w:cstheme="minorHAnsi"/>
        </w:rPr>
        <w:t>cha</w:t>
      </w:r>
      <w:r w:rsidR="00B53BBC">
        <w:rPr>
          <w:rFonts w:cstheme="minorHAnsi"/>
        </w:rPr>
        <w:t xml:space="preserve">racter traits can </w:t>
      </w:r>
      <w:proofErr w:type="gramStart"/>
      <w:r w:rsidR="00B53BBC">
        <w:rPr>
          <w:rFonts w:cstheme="minorHAnsi"/>
        </w:rPr>
        <w:t>still persist</w:t>
      </w:r>
      <w:proofErr w:type="gramEnd"/>
      <w:r w:rsidR="00B53BBC">
        <w:rPr>
          <w:rFonts w:cstheme="minorHAnsi"/>
        </w:rPr>
        <w:t xml:space="preserve"> despite it being harder to </w:t>
      </w:r>
      <w:r w:rsidR="00334DF5">
        <w:rPr>
          <w:rFonts w:cstheme="minorHAnsi"/>
        </w:rPr>
        <w:t>recognise bodily continuity.</w:t>
      </w:r>
      <w:r w:rsidR="007A2683">
        <w:rPr>
          <w:rFonts w:cstheme="minorHAnsi"/>
        </w:rPr>
        <w:t xml:space="preserve"> </w:t>
      </w:r>
    </w:p>
    <w:p w:rsidR="003263A4" w:rsidRPr="00867FD1" w:rsidRDefault="00A375D6">
      <w:pPr>
        <w:rPr>
          <w:rFonts w:cstheme="minorHAnsi"/>
          <w:vertAlign w:val="superscript"/>
        </w:rPr>
      </w:pPr>
      <w:r>
        <w:rPr>
          <w:rFonts w:cstheme="minorHAnsi"/>
        </w:rPr>
        <w:t xml:space="preserve">In the third section of </w:t>
      </w:r>
      <w:r w:rsidR="00D0547E">
        <w:rPr>
          <w:rFonts w:cstheme="minorHAnsi"/>
        </w:rPr>
        <w:t>“</w:t>
      </w:r>
      <w:r>
        <w:rPr>
          <w:rFonts w:cstheme="minorHAnsi"/>
        </w:rPr>
        <w:t xml:space="preserve">The </w:t>
      </w:r>
      <w:r w:rsidR="00D0547E">
        <w:rPr>
          <w:rFonts w:cstheme="minorHAnsi"/>
        </w:rPr>
        <w:t>Soul”</w:t>
      </w:r>
      <w:r w:rsidR="00E434E9">
        <w:rPr>
          <w:rFonts w:cstheme="minorHAnsi"/>
        </w:rPr>
        <w:t xml:space="preserve"> Quinton argues against the body being the deciding factor on whether </w:t>
      </w:r>
      <w:r w:rsidR="005E23AA">
        <w:rPr>
          <w:rFonts w:cstheme="minorHAnsi"/>
        </w:rPr>
        <w:t>one is the same person.</w:t>
      </w:r>
      <w:r w:rsidR="00FD02FE">
        <w:rPr>
          <w:rFonts w:cstheme="minorHAnsi"/>
        </w:rPr>
        <w:t xml:space="preserve"> </w:t>
      </w:r>
      <w:r w:rsidR="00D32AA9">
        <w:rPr>
          <w:rFonts w:cstheme="minorHAnsi"/>
        </w:rPr>
        <w:t xml:space="preserve">He argues that it seems wrong to claim that someone doesn’t exist if you can hear them speaking in a way that reflects psychological characteristics consistent to their manner, just because you cannot see a body associated to the voice. </w:t>
      </w:r>
      <w:r w:rsidR="00AA2FD3">
        <w:rPr>
          <w:rFonts w:cstheme="minorHAnsi"/>
        </w:rPr>
        <w:t xml:space="preserve">Moreover, in a situation where there are two people-Person A and Person B-if the person with A’s body woke up with B’s characteristics and visa versa, we naturally claim that the two have switched bodies rather than switching characteristics. </w:t>
      </w:r>
      <w:r w:rsidR="00D2052B">
        <w:rPr>
          <w:rFonts w:cstheme="minorHAnsi"/>
        </w:rPr>
        <w:t>When looked at regarding personal relationships, it seems that those with the closest relationships to Persons A and B would be most concerned with the characters of each, and after engaging in conversation with each, they would</w:t>
      </w:r>
      <w:r w:rsidR="001A0519" w:rsidRPr="001A0519">
        <w:rPr>
          <w:rFonts w:cstheme="minorHAnsi"/>
        </w:rPr>
        <w:t xml:space="preserve"> </w:t>
      </w:r>
      <w:r w:rsidR="001A0519">
        <w:rPr>
          <w:rFonts w:cstheme="minorHAnsi"/>
        </w:rPr>
        <w:t>be more persuaded of the identity of A and B based on</w:t>
      </w:r>
      <w:r w:rsidR="00D2052B">
        <w:rPr>
          <w:rFonts w:cstheme="minorHAnsi"/>
        </w:rPr>
        <w:t xml:space="preserve"> </w:t>
      </w:r>
      <w:r w:rsidR="001A0519">
        <w:rPr>
          <w:rFonts w:cstheme="minorHAnsi"/>
        </w:rPr>
        <w:t xml:space="preserve">which </w:t>
      </w:r>
      <w:r w:rsidR="00D2052B">
        <w:rPr>
          <w:rFonts w:cstheme="minorHAnsi"/>
        </w:rPr>
        <w:t>spoke with memories of A/B and in a way consistent to their general temperament</w:t>
      </w:r>
      <w:r w:rsidR="00EA6F66">
        <w:rPr>
          <w:rFonts w:cstheme="minorHAnsi"/>
        </w:rPr>
        <w:t xml:space="preserve">, </w:t>
      </w:r>
      <w:r w:rsidR="001A0519">
        <w:rPr>
          <w:rFonts w:cstheme="minorHAnsi"/>
        </w:rPr>
        <w:t>than their external form. Ultimately, Quinton argues, bodies merely provide a helpful tool for recognition.</w:t>
      </w:r>
      <w:r w:rsidR="00215605">
        <w:rPr>
          <w:rFonts w:cstheme="minorHAnsi"/>
        </w:rPr>
        <w:t xml:space="preserve"> </w:t>
      </w:r>
      <w:r w:rsidR="00215605">
        <w:rPr>
          <w:rFonts w:cstheme="minorHAnsi"/>
          <w:vertAlign w:val="superscript"/>
        </w:rPr>
        <w:t>[</w:t>
      </w:r>
      <w:r w:rsidR="00215605">
        <w:rPr>
          <w:rStyle w:val="FootnoteReference"/>
          <w:rFonts w:cstheme="minorHAnsi"/>
        </w:rPr>
        <w:footnoteReference w:id="5"/>
      </w:r>
      <w:r w:rsidR="00215605">
        <w:rPr>
          <w:rFonts w:cstheme="minorHAnsi"/>
          <w:vertAlign w:val="superscript"/>
        </w:rPr>
        <w:t>]</w:t>
      </w:r>
      <w:r w:rsidR="00180084">
        <w:rPr>
          <w:rFonts w:cstheme="minorHAnsi"/>
          <w:vertAlign w:val="superscript"/>
        </w:rPr>
        <w:t xml:space="preserve"> </w:t>
      </w:r>
      <w:r w:rsidR="00180084">
        <w:rPr>
          <w:rFonts w:cstheme="minorHAnsi"/>
        </w:rPr>
        <w:t xml:space="preserve">He goes on to say that in so far as we regard the individual as a “person” rather than merely a sexual object, then our affections to them are tied to memories and psychological characteristics rather than their body, which is more fallible to change over time through ageing, in which case if the body was key in defining the person, relationships would be cast aside as the ageing process took its course. </w:t>
      </w:r>
      <w:r w:rsidR="00833B97">
        <w:rPr>
          <w:rFonts w:cstheme="minorHAnsi"/>
        </w:rPr>
        <w:t>Of course,</w:t>
      </w:r>
      <w:r w:rsidR="00180084">
        <w:rPr>
          <w:rFonts w:cstheme="minorHAnsi"/>
        </w:rPr>
        <w:t xml:space="preserve"> some relationships are cast aside due to </w:t>
      </w:r>
      <w:r w:rsidR="00180084">
        <w:rPr>
          <w:rFonts w:cstheme="minorHAnsi"/>
        </w:rPr>
        <w:lastRenderedPageBreak/>
        <w:t xml:space="preserve">changes in physical </w:t>
      </w:r>
      <w:r w:rsidR="00A80A3E">
        <w:rPr>
          <w:rFonts w:cstheme="minorHAnsi"/>
        </w:rPr>
        <w:t>traits</w:t>
      </w:r>
      <w:r w:rsidR="00180084">
        <w:rPr>
          <w:rFonts w:cstheme="minorHAnsi"/>
        </w:rPr>
        <w:t xml:space="preserve">, but Quinton argues this is only true when the relationship </w:t>
      </w:r>
      <w:r w:rsidR="00A80A3E">
        <w:rPr>
          <w:rFonts w:cstheme="minorHAnsi"/>
        </w:rPr>
        <w:t>is only of a sexual nature</w:t>
      </w:r>
      <w:r w:rsidR="004A6F3A">
        <w:rPr>
          <w:rFonts w:cstheme="minorHAnsi"/>
        </w:rPr>
        <w:t xml:space="preserve"> where the individual is not regarded by the other individual as a person but as “an instrument.”</w:t>
      </w:r>
      <w:r w:rsidR="00A80A3E">
        <w:rPr>
          <w:rFonts w:cstheme="minorHAnsi"/>
        </w:rPr>
        <w:t xml:space="preserve"> Furthermore, even here there is interest on behalf of the partner in psycho</w:t>
      </w:r>
      <w:r w:rsidR="00892F17">
        <w:rPr>
          <w:rFonts w:cstheme="minorHAnsi"/>
        </w:rPr>
        <w:t>logical characteristics, and even if the</w:t>
      </w:r>
      <w:r w:rsidR="004A6F3A">
        <w:rPr>
          <w:rFonts w:cstheme="minorHAnsi"/>
        </w:rPr>
        <w:t xml:space="preserve">y are traits that enhance the partner’s regard for them as an object, such as submissiveness. </w:t>
      </w:r>
      <w:r w:rsidR="00867FD1">
        <w:rPr>
          <w:rFonts w:cstheme="minorHAnsi"/>
          <w:vertAlign w:val="superscript"/>
        </w:rPr>
        <w:t>[</w:t>
      </w:r>
      <w:r w:rsidR="004A6F3A">
        <w:rPr>
          <w:rStyle w:val="FootnoteReference"/>
          <w:rFonts w:cstheme="minorHAnsi"/>
        </w:rPr>
        <w:footnoteReference w:id="6"/>
      </w:r>
      <w:r w:rsidR="00867FD1">
        <w:rPr>
          <w:rFonts w:cstheme="minorHAnsi"/>
          <w:vertAlign w:val="superscript"/>
        </w:rPr>
        <w:t>]</w:t>
      </w:r>
    </w:p>
    <w:p w:rsidR="00EB0F92" w:rsidRDefault="00776EC6">
      <w:pPr>
        <w:rPr>
          <w:rFonts w:cstheme="minorHAnsi"/>
        </w:rPr>
      </w:pPr>
      <w:r>
        <w:rPr>
          <w:rFonts w:cstheme="minorHAnsi"/>
        </w:rPr>
        <w:t xml:space="preserve">The opposing side of the argument is that </w:t>
      </w:r>
      <w:r w:rsidR="003D5B51">
        <w:rPr>
          <w:rFonts w:cstheme="minorHAnsi"/>
        </w:rPr>
        <w:t>put forward by David Co</w:t>
      </w:r>
      <w:r w:rsidR="00833B97">
        <w:rPr>
          <w:rFonts w:cstheme="minorHAnsi"/>
        </w:rPr>
        <w:t>ck</w:t>
      </w:r>
      <w:r w:rsidR="003D5B51">
        <w:rPr>
          <w:rFonts w:cstheme="minorHAnsi"/>
        </w:rPr>
        <w:t>burn. He argues that</w:t>
      </w:r>
      <w:r w:rsidR="00C03BA1">
        <w:rPr>
          <w:rFonts w:cstheme="minorHAnsi"/>
        </w:rPr>
        <w:t>,</w:t>
      </w:r>
      <w:r w:rsidR="003D5B51">
        <w:rPr>
          <w:rFonts w:cstheme="minorHAnsi"/>
        </w:rPr>
        <w:t xml:space="preserve"> </w:t>
      </w:r>
      <w:r w:rsidR="003C1500">
        <w:rPr>
          <w:rFonts w:cstheme="minorHAnsi"/>
        </w:rPr>
        <w:t xml:space="preserve">although Quinton suggests a focus on the body </w:t>
      </w:r>
      <w:r w:rsidR="00D170A5">
        <w:rPr>
          <w:rFonts w:cstheme="minorHAnsi"/>
        </w:rPr>
        <w:t>implies</w:t>
      </w:r>
      <w:r w:rsidR="003C1500">
        <w:rPr>
          <w:rFonts w:cstheme="minorHAnsi"/>
        </w:rPr>
        <w:t xml:space="preserve"> an interest with </w:t>
      </w:r>
      <w:r w:rsidR="00D170A5">
        <w:rPr>
          <w:rFonts w:cstheme="minorHAnsi"/>
        </w:rPr>
        <w:t xml:space="preserve">only </w:t>
      </w:r>
      <w:r w:rsidR="003C1500">
        <w:rPr>
          <w:rFonts w:cstheme="minorHAnsi"/>
        </w:rPr>
        <w:t xml:space="preserve">the bodily characteristics of individuals, </w:t>
      </w:r>
      <w:r w:rsidR="00007295">
        <w:rPr>
          <w:rFonts w:cstheme="minorHAnsi"/>
        </w:rPr>
        <w:t xml:space="preserve">rather than commitment to them as a person, this is in fact not the case. </w:t>
      </w:r>
      <w:r w:rsidR="00D170A5">
        <w:rPr>
          <w:rFonts w:cstheme="minorHAnsi"/>
        </w:rPr>
        <w:t>Cockburn</w:t>
      </w:r>
      <w:r w:rsidR="00007295">
        <w:rPr>
          <w:rFonts w:cstheme="minorHAnsi"/>
        </w:rPr>
        <w:t xml:space="preserve"> argues that</w:t>
      </w:r>
      <w:r w:rsidR="00B42E59">
        <w:rPr>
          <w:rFonts w:cstheme="minorHAnsi"/>
        </w:rPr>
        <w:t xml:space="preserve"> it in fact shows more </w:t>
      </w:r>
      <w:r w:rsidR="00833B97">
        <w:rPr>
          <w:rFonts w:cstheme="minorHAnsi"/>
        </w:rPr>
        <w:t>commitment and</w:t>
      </w:r>
      <w:r w:rsidR="00B42E59">
        <w:rPr>
          <w:rFonts w:cstheme="minorHAnsi"/>
        </w:rPr>
        <w:t xml:space="preserve"> resilience</w:t>
      </w:r>
      <w:r w:rsidR="00CC1C41">
        <w:rPr>
          <w:rFonts w:cstheme="minorHAnsi"/>
        </w:rPr>
        <w:t xml:space="preserve"> </w:t>
      </w:r>
      <w:r w:rsidR="00833B97">
        <w:rPr>
          <w:rFonts w:cstheme="minorHAnsi"/>
        </w:rPr>
        <w:t>in a relationship</w:t>
      </w:r>
      <w:r w:rsidR="00B42E59">
        <w:rPr>
          <w:rFonts w:cstheme="minorHAnsi"/>
        </w:rPr>
        <w:t xml:space="preserve"> to an individual to remain in a relationship to said person “in the face of change of this kind” and that “loving a ‘persisting character and memory complex’” as “a very different thing from loving a person.” </w:t>
      </w:r>
      <w:r w:rsidR="00114B31">
        <w:rPr>
          <w:rFonts w:cstheme="minorHAnsi"/>
          <w:vertAlign w:val="superscript"/>
        </w:rPr>
        <w:t>[</w:t>
      </w:r>
      <w:r w:rsidR="00833B97">
        <w:rPr>
          <w:rStyle w:val="FootnoteReference"/>
          <w:rFonts w:cstheme="minorHAnsi"/>
        </w:rPr>
        <w:footnoteReference w:id="7"/>
      </w:r>
      <w:r w:rsidR="00114B31">
        <w:rPr>
          <w:rFonts w:cstheme="minorHAnsi"/>
          <w:vertAlign w:val="superscript"/>
        </w:rPr>
        <w:t>]</w:t>
      </w:r>
      <w:r w:rsidR="00833B97">
        <w:rPr>
          <w:rFonts w:cstheme="minorHAnsi"/>
        </w:rPr>
        <w:t xml:space="preserve"> Cockburn seems to be suggesting that by trying to escape a cynical view of relationships, Quinton merely creates a situation where we are attracted to a set of mental characteristics in a similar way to how attraction to bodily features is characterised. </w:t>
      </w:r>
      <w:r w:rsidR="00CC1C41">
        <w:rPr>
          <w:rFonts w:cstheme="minorHAnsi"/>
        </w:rPr>
        <w:t>Furthermore,</w:t>
      </w:r>
      <w:r w:rsidR="00AE453A">
        <w:rPr>
          <w:rFonts w:cstheme="minorHAnsi"/>
        </w:rPr>
        <w:t xml:space="preserve"> most personal relationships do not come about out of choice. For example, the relationships of parents and children, siblings and so on, </w:t>
      </w:r>
      <w:r w:rsidR="00114B31">
        <w:rPr>
          <w:rFonts w:cstheme="minorHAnsi"/>
        </w:rPr>
        <w:t xml:space="preserve">do not rely on a person choosing to be in a relationship with another person, so are not </w:t>
      </w:r>
      <w:proofErr w:type="gramStart"/>
      <w:r w:rsidR="00114B31">
        <w:rPr>
          <w:rFonts w:cstheme="minorHAnsi"/>
        </w:rPr>
        <w:t>as a result of</w:t>
      </w:r>
      <w:proofErr w:type="gramEnd"/>
      <w:r w:rsidR="00114B31">
        <w:rPr>
          <w:rFonts w:cstheme="minorHAnsi"/>
        </w:rPr>
        <w:t xml:space="preserve"> being attracted to a certain set of psychological characteristics. A parent loves their child from birth, at which point no set of </w:t>
      </w:r>
      <w:proofErr w:type="gramStart"/>
      <w:r w:rsidR="00114B31">
        <w:rPr>
          <w:rFonts w:cstheme="minorHAnsi"/>
        </w:rPr>
        <w:t>particular psychological</w:t>
      </w:r>
      <w:proofErr w:type="gramEnd"/>
      <w:r w:rsidR="00114B31">
        <w:rPr>
          <w:rFonts w:cstheme="minorHAnsi"/>
        </w:rPr>
        <w:t xml:space="preserve"> characteristics has been established, and continues to love them as they grow into adolescence and then to adulthood. </w:t>
      </w:r>
      <w:r w:rsidR="00114B31">
        <w:rPr>
          <w:rFonts w:cstheme="minorHAnsi"/>
          <w:vertAlign w:val="superscript"/>
        </w:rPr>
        <w:t>[</w:t>
      </w:r>
      <w:r w:rsidR="00114B31">
        <w:rPr>
          <w:rStyle w:val="FootnoteReference"/>
          <w:rFonts w:cstheme="minorHAnsi"/>
        </w:rPr>
        <w:footnoteReference w:id="8"/>
      </w:r>
      <w:r w:rsidR="00114B31">
        <w:rPr>
          <w:rFonts w:cstheme="minorHAnsi"/>
          <w:vertAlign w:val="superscript"/>
        </w:rPr>
        <w:t>]</w:t>
      </w:r>
      <w:r w:rsidR="00114B31">
        <w:rPr>
          <w:rFonts w:cstheme="minorHAnsi"/>
        </w:rPr>
        <w:t xml:space="preserve"> This demonstrates how bodily continuity is key in </w:t>
      </w:r>
      <w:r w:rsidR="00EB0F92">
        <w:rPr>
          <w:rFonts w:cstheme="minorHAnsi"/>
        </w:rPr>
        <w:t>establishing personal identity, and how it offers a less cynical view towards personal relationships than Quinton offers.</w:t>
      </w:r>
    </w:p>
    <w:p w:rsidR="00AA1561" w:rsidRDefault="00AA1561">
      <w:pPr>
        <w:rPr>
          <w:rFonts w:cstheme="minorHAnsi"/>
        </w:rPr>
      </w:pPr>
      <w:r>
        <w:rPr>
          <w:rFonts w:cstheme="minorHAnsi"/>
        </w:rPr>
        <w:t xml:space="preserve">However, returning </w:t>
      </w:r>
      <w:r w:rsidR="0096441E">
        <w:rPr>
          <w:rFonts w:cstheme="minorHAnsi"/>
        </w:rPr>
        <w:t xml:space="preserve">to </w:t>
      </w:r>
      <w:r>
        <w:rPr>
          <w:rFonts w:cstheme="minorHAnsi"/>
        </w:rPr>
        <w:t>Quinton’s case of the “switched bodies” it seems that a family member would feel somewhat like they had lost something if they were presented with the person with A’s body and B’s psychology and told this was their son</w:t>
      </w:r>
      <w:r w:rsidR="0096441E">
        <w:rPr>
          <w:rFonts w:cstheme="minorHAnsi"/>
        </w:rPr>
        <w:t>, but similarly they would feel equal discomfort if they were presented with someone, allegedly still their son, with B’s body and A’s psychology. Therefore, it seems clear that there is some intrinsic link between mind and body.</w:t>
      </w:r>
    </w:p>
    <w:p w:rsidR="0096441E" w:rsidRPr="00F2286F" w:rsidRDefault="001D53F4" w:rsidP="0096441E">
      <w:pPr>
        <w:rPr>
          <w:rFonts w:cstheme="minorHAnsi"/>
        </w:rPr>
      </w:pPr>
      <w:r>
        <w:rPr>
          <w:rFonts w:cstheme="minorHAnsi"/>
        </w:rPr>
        <w:t>To conclude,</w:t>
      </w:r>
      <w:r w:rsidR="00FA1D83">
        <w:rPr>
          <w:rFonts w:cstheme="minorHAnsi"/>
        </w:rPr>
        <w:t xml:space="preserve"> both psychological and physical characteristics seem necessary to personal identity but not one alone is not sufficient</w:t>
      </w:r>
      <w:r w:rsidR="005E5D84">
        <w:rPr>
          <w:rFonts w:cstheme="minorHAnsi"/>
        </w:rPr>
        <w:t xml:space="preserve">. </w:t>
      </w:r>
      <w:r w:rsidR="00712290">
        <w:rPr>
          <w:rFonts w:cstheme="minorHAnsi"/>
        </w:rPr>
        <w:t>Quinton’s argument has strengths in its defence of psychological continuity as crucial to per</w:t>
      </w:r>
      <w:r w:rsidR="00353084">
        <w:rPr>
          <w:rFonts w:cstheme="minorHAnsi"/>
        </w:rPr>
        <w:t>sonal identity</w:t>
      </w:r>
      <w:r w:rsidR="003A0E47">
        <w:rPr>
          <w:rFonts w:cstheme="minorHAnsi"/>
        </w:rPr>
        <w:t xml:space="preserve">, and that to some extent that our </w:t>
      </w:r>
      <w:r w:rsidR="00046BD9">
        <w:rPr>
          <w:rFonts w:cstheme="minorHAnsi"/>
        </w:rPr>
        <w:t>personality</w:t>
      </w:r>
      <w:r w:rsidR="003A0E47">
        <w:rPr>
          <w:rFonts w:cstheme="minorHAnsi"/>
        </w:rPr>
        <w:t xml:space="preserve"> is important in </w:t>
      </w:r>
      <w:r w:rsidR="00046BD9">
        <w:rPr>
          <w:rFonts w:cstheme="minorHAnsi"/>
        </w:rPr>
        <w:t xml:space="preserve">forming and maintaining personal relationships. However, Cockburn’s </w:t>
      </w:r>
      <w:r w:rsidR="00FA1D83">
        <w:rPr>
          <w:rFonts w:cstheme="minorHAnsi"/>
        </w:rPr>
        <w:t>defence for bodily continuity also seems to be necessary in forming personal identity</w:t>
      </w:r>
      <w:r w:rsidR="00DA1D87">
        <w:rPr>
          <w:rFonts w:cstheme="minorHAnsi"/>
        </w:rPr>
        <w:t>, and his account for relationships</w:t>
      </w:r>
      <w:r w:rsidR="00624552">
        <w:rPr>
          <w:rFonts w:cstheme="minorHAnsi"/>
        </w:rPr>
        <w:t xml:space="preserve"> is</w:t>
      </w:r>
      <w:r w:rsidR="009022E9">
        <w:rPr>
          <w:rFonts w:cstheme="minorHAnsi"/>
        </w:rPr>
        <w:t xml:space="preserve"> also coherent. Both theories contribute to a more satisfactory view of personal relationships when viewed holistically. </w:t>
      </w:r>
    </w:p>
    <w:p w:rsidR="0053573B" w:rsidRPr="00F2286F" w:rsidRDefault="0053573B">
      <w:pPr>
        <w:rPr>
          <w:rFonts w:cstheme="minorHAnsi"/>
        </w:rPr>
      </w:pPr>
    </w:p>
    <w:sectPr w:rsidR="0053573B" w:rsidRPr="00F2286F" w:rsidSect="00CE7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4BBD" w:rsidRDefault="00B54BBD" w:rsidP="00A358EE">
      <w:pPr>
        <w:spacing w:after="0" w:line="240" w:lineRule="auto"/>
      </w:pPr>
      <w:r>
        <w:separator/>
      </w:r>
    </w:p>
  </w:endnote>
  <w:endnote w:type="continuationSeparator" w:id="0">
    <w:p w:rsidR="00B54BBD" w:rsidRDefault="00B54BBD" w:rsidP="00A35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4BBD" w:rsidRDefault="00B54BBD" w:rsidP="00A358EE">
      <w:pPr>
        <w:spacing w:after="0" w:line="240" w:lineRule="auto"/>
      </w:pPr>
      <w:r>
        <w:separator/>
      </w:r>
    </w:p>
  </w:footnote>
  <w:footnote w:type="continuationSeparator" w:id="0">
    <w:p w:rsidR="00B54BBD" w:rsidRDefault="00B54BBD" w:rsidP="00A358EE">
      <w:pPr>
        <w:spacing w:after="0" w:line="240" w:lineRule="auto"/>
      </w:pPr>
      <w:r>
        <w:continuationSeparator/>
      </w:r>
    </w:p>
  </w:footnote>
  <w:footnote w:id="1">
    <w:p w:rsidR="00A358EE" w:rsidRDefault="00A80E2A">
      <w:pPr>
        <w:pStyle w:val="FootnoteText"/>
      </w:pPr>
      <w:r>
        <w:rPr>
          <w:vertAlign w:val="superscript"/>
        </w:rPr>
        <w:t xml:space="preserve"> </w:t>
      </w:r>
      <w:r w:rsidR="00A358EE">
        <w:rPr>
          <w:vertAlign w:val="superscript"/>
        </w:rPr>
        <w:t>[</w:t>
      </w:r>
      <w:r w:rsidR="00A358EE">
        <w:rPr>
          <w:rStyle w:val="FootnoteReference"/>
        </w:rPr>
        <w:footnoteRef/>
      </w:r>
      <w:r w:rsidR="00A358EE">
        <w:rPr>
          <w:vertAlign w:val="superscript"/>
        </w:rPr>
        <w:t>]</w:t>
      </w:r>
      <w:r w:rsidR="00A358EE">
        <w:t xml:space="preserve"> Quinton</w:t>
      </w:r>
      <w:r w:rsidR="007C6D62">
        <w:t>, Anthony.</w:t>
      </w:r>
      <w:r w:rsidR="00A358EE">
        <w:t xml:space="preserve"> </w:t>
      </w:r>
      <w:bookmarkStart w:id="0" w:name="_Hlk499115776"/>
      <w:r w:rsidR="007C6D62">
        <w:t>“T</w:t>
      </w:r>
      <w:r w:rsidR="00A358EE">
        <w:t xml:space="preserve">he </w:t>
      </w:r>
      <w:r w:rsidR="007C6D62">
        <w:t>S</w:t>
      </w:r>
      <w:r w:rsidR="00A358EE">
        <w:t>oul</w:t>
      </w:r>
      <w:r w:rsidR="007C6D62">
        <w:t>.” The Journal of Philosophy, Vol. 59, No.15 (</w:t>
      </w:r>
      <w:r w:rsidR="00B07213">
        <w:t>19 Jul.</w:t>
      </w:r>
      <w:r w:rsidR="007C6D62">
        <w:t xml:space="preserve"> 1962), </w:t>
      </w:r>
      <w:r w:rsidR="00B07213">
        <w:tab/>
      </w:r>
      <w:r w:rsidR="00B07213">
        <w:tab/>
        <w:t>Accessed 08 Nov. 2017.</w:t>
      </w:r>
      <w:bookmarkEnd w:id="0"/>
      <w:r w:rsidR="00B07213">
        <w:t xml:space="preserve">  </w:t>
      </w:r>
      <w:r w:rsidR="007C6D62">
        <w:t>pp.393-394</w:t>
      </w:r>
      <w:r w:rsidR="00B07213">
        <w:t>.</w:t>
      </w:r>
    </w:p>
    <w:p w:rsidR="00B07213" w:rsidRDefault="00B07213">
      <w:pPr>
        <w:pStyle w:val="FootnoteText"/>
      </w:pPr>
      <w:r>
        <w:tab/>
      </w:r>
      <w:bookmarkStart w:id="1" w:name="_Hlk499115816"/>
      <w:r>
        <w:t>&lt;</w:t>
      </w:r>
      <w:r w:rsidRPr="00B07213">
        <w:t>http://www.jstor.org/stable/pdf/2022957.pdf</w:t>
      </w:r>
      <w:r>
        <w:t>&gt;</w:t>
      </w:r>
    </w:p>
    <w:bookmarkEnd w:id="1"/>
  </w:footnote>
  <w:footnote w:id="2">
    <w:p w:rsidR="009D2EC7" w:rsidRDefault="009D2EC7" w:rsidP="009D2EC7">
      <w:pPr>
        <w:pStyle w:val="FootnoteText"/>
      </w:pPr>
      <w:r>
        <w:rPr>
          <w:vertAlign w:val="superscript"/>
        </w:rPr>
        <w:t>[</w:t>
      </w:r>
      <w:r>
        <w:rPr>
          <w:rStyle w:val="FootnoteReference"/>
        </w:rPr>
        <w:footnoteRef/>
      </w:r>
      <w:r>
        <w:rPr>
          <w:vertAlign w:val="superscript"/>
        </w:rPr>
        <w:t>]</w:t>
      </w:r>
      <w:r>
        <w:t xml:space="preserve"> </w:t>
      </w:r>
      <w:r w:rsidR="00B07213">
        <w:t>Quinton, Anthony.</w:t>
      </w:r>
      <w:r w:rsidR="00B07213" w:rsidRPr="00B07213">
        <w:t xml:space="preserve"> </w:t>
      </w:r>
      <w:r w:rsidR="00B07213">
        <w:t xml:space="preserve">“The Soul.” The Journal of Philosophy, Vol. 59, No.15 (19 Jul. 1962), </w:t>
      </w:r>
      <w:r w:rsidR="00B07213">
        <w:tab/>
      </w:r>
      <w:r w:rsidR="00B07213">
        <w:tab/>
      </w:r>
      <w:r w:rsidR="00B07213">
        <w:t>Accessed 08 Nov. 2017.</w:t>
      </w:r>
      <w:r w:rsidR="00B07213">
        <w:t xml:space="preserve"> p. 394.</w:t>
      </w:r>
    </w:p>
    <w:p w:rsidR="00B07213" w:rsidRDefault="00B07213" w:rsidP="009D2EC7">
      <w:pPr>
        <w:pStyle w:val="FootnoteText"/>
      </w:pPr>
      <w:r>
        <w:tab/>
      </w:r>
      <w:r w:rsidR="006E0D6A">
        <w:t>&lt;</w:t>
      </w:r>
      <w:r w:rsidR="006E0D6A" w:rsidRPr="006E0D6A">
        <w:t>http://www.jstor.org/stable/pdf/2022957.pdf</w:t>
      </w:r>
      <w:r w:rsidR="006E0D6A">
        <w:t>&gt;</w:t>
      </w:r>
    </w:p>
    <w:p w:rsidR="006E0D6A" w:rsidRDefault="006E0D6A" w:rsidP="009D2EC7">
      <w:pPr>
        <w:pStyle w:val="FootnoteText"/>
      </w:pPr>
    </w:p>
  </w:footnote>
  <w:footnote w:id="3">
    <w:p w:rsidR="000212AC" w:rsidRDefault="00B07213">
      <w:pPr>
        <w:pStyle w:val="FootnoteText"/>
      </w:pPr>
      <w:r>
        <w:rPr>
          <w:vertAlign w:val="superscript"/>
        </w:rPr>
        <w:t>[</w:t>
      </w:r>
      <w:r w:rsidR="000212AC">
        <w:rPr>
          <w:rStyle w:val="FootnoteReference"/>
        </w:rPr>
        <w:footnoteRef/>
      </w:r>
      <w:r>
        <w:rPr>
          <w:vertAlign w:val="superscript"/>
        </w:rPr>
        <w:t>]</w:t>
      </w:r>
      <w:r w:rsidR="000212AC">
        <w:t xml:space="preserve"> </w:t>
      </w:r>
      <w:r>
        <w:t>ibid</w:t>
      </w:r>
      <w:r w:rsidR="006E0D6A">
        <w:t>., pp. 394-395.</w:t>
      </w:r>
    </w:p>
  </w:footnote>
  <w:footnote w:id="4">
    <w:p w:rsidR="00F2286F" w:rsidRDefault="00B07213">
      <w:pPr>
        <w:pStyle w:val="FootnoteText"/>
      </w:pPr>
      <w:r>
        <w:rPr>
          <w:vertAlign w:val="superscript"/>
        </w:rPr>
        <w:t>[</w:t>
      </w:r>
      <w:r w:rsidR="00F2286F">
        <w:rPr>
          <w:rStyle w:val="FootnoteReference"/>
        </w:rPr>
        <w:footnoteRef/>
      </w:r>
      <w:r>
        <w:rPr>
          <w:vertAlign w:val="superscript"/>
        </w:rPr>
        <w:t>]</w:t>
      </w:r>
      <w:r w:rsidR="00F2286F">
        <w:t xml:space="preserve"> </w:t>
      </w:r>
      <w:r w:rsidR="000F4D36">
        <w:t>ibid., pp. 397-398.</w:t>
      </w:r>
    </w:p>
  </w:footnote>
  <w:footnote w:id="5">
    <w:p w:rsidR="00215605" w:rsidRDefault="00B07213" w:rsidP="00215605">
      <w:pPr>
        <w:pStyle w:val="FootnoteText"/>
      </w:pPr>
      <w:r>
        <w:rPr>
          <w:vertAlign w:val="superscript"/>
        </w:rPr>
        <w:t>[</w:t>
      </w:r>
      <w:r w:rsidR="00215605">
        <w:rPr>
          <w:rStyle w:val="FootnoteReference"/>
        </w:rPr>
        <w:footnoteRef/>
      </w:r>
      <w:r>
        <w:rPr>
          <w:vertAlign w:val="superscript"/>
        </w:rPr>
        <w:t>]</w:t>
      </w:r>
      <w:r w:rsidR="00215605">
        <w:t xml:space="preserve"> </w:t>
      </w:r>
      <w:r w:rsidR="000F4D36">
        <w:t xml:space="preserve">ibid., </w:t>
      </w:r>
      <w:r w:rsidR="00867FD1">
        <w:t>pp. 401-402</w:t>
      </w:r>
    </w:p>
  </w:footnote>
  <w:footnote w:id="6">
    <w:p w:rsidR="004A6F3A" w:rsidRDefault="00867FD1">
      <w:pPr>
        <w:pStyle w:val="FootnoteText"/>
      </w:pPr>
      <w:r>
        <w:rPr>
          <w:vertAlign w:val="superscript"/>
        </w:rPr>
        <w:t>[</w:t>
      </w:r>
      <w:r w:rsidR="004A6F3A">
        <w:rPr>
          <w:rStyle w:val="FootnoteReference"/>
        </w:rPr>
        <w:footnoteRef/>
      </w:r>
      <w:r>
        <w:rPr>
          <w:vertAlign w:val="superscript"/>
        </w:rPr>
        <w:t>]</w:t>
      </w:r>
      <w:r w:rsidR="004A6F3A">
        <w:t xml:space="preserve"> </w:t>
      </w:r>
      <w:r>
        <w:t>i</w:t>
      </w:r>
      <w:r w:rsidR="004A6F3A">
        <w:t>bid</w:t>
      </w:r>
      <w:r>
        <w:t>.,</w:t>
      </w:r>
      <w:r w:rsidR="004A6F3A">
        <w:t xml:space="preserve"> p</w:t>
      </w:r>
      <w:r>
        <w:t>p</w:t>
      </w:r>
      <w:r w:rsidR="004A6F3A">
        <w:t>. 403-404</w:t>
      </w:r>
      <w:r>
        <w:t>.</w:t>
      </w:r>
    </w:p>
  </w:footnote>
  <w:footnote w:id="7">
    <w:p w:rsidR="00833B97" w:rsidRDefault="00867FD1">
      <w:pPr>
        <w:pStyle w:val="FootnoteText"/>
      </w:pPr>
      <w:r>
        <w:rPr>
          <w:vertAlign w:val="superscript"/>
        </w:rPr>
        <w:t>[</w:t>
      </w:r>
      <w:r w:rsidR="00833B97">
        <w:rPr>
          <w:rStyle w:val="FootnoteReference"/>
        </w:rPr>
        <w:footnoteRef/>
      </w:r>
      <w:r>
        <w:rPr>
          <w:vertAlign w:val="superscript"/>
        </w:rPr>
        <w:t>]</w:t>
      </w:r>
      <w:r w:rsidR="00833B97">
        <w:t xml:space="preserve"> Cockburn</w:t>
      </w:r>
      <w:r>
        <w:t xml:space="preserve">, David. </w:t>
      </w:r>
      <w:r w:rsidR="00A00351">
        <w:rPr>
          <w:i/>
        </w:rPr>
        <w:t xml:space="preserve">Other Human Beings. </w:t>
      </w:r>
      <w:r w:rsidR="00A00351">
        <w:t>(New York: St. Martin’s Press, 1990), pp. 138-140.</w:t>
      </w:r>
    </w:p>
  </w:footnote>
  <w:footnote w:id="8">
    <w:p w:rsidR="00114B31" w:rsidRPr="00A00351" w:rsidRDefault="00A00351">
      <w:pPr>
        <w:pStyle w:val="FootnoteText"/>
      </w:pPr>
      <w:r>
        <w:rPr>
          <w:vertAlign w:val="superscript"/>
        </w:rPr>
        <w:t>[</w:t>
      </w:r>
      <w:r w:rsidR="00114B31">
        <w:rPr>
          <w:rStyle w:val="FootnoteReference"/>
        </w:rPr>
        <w:footnoteRef/>
      </w:r>
      <w:r>
        <w:rPr>
          <w:vertAlign w:val="superscript"/>
        </w:rPr>
        <w:t xml:space="preserve">] </w:t>
      </w:r>
      <w:r>
        <w:t xml:space="preserve">ibid.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467"/>
    <w:rsid w:val="00007295"/>
    <w:rsid w:val="00011C02"/>
    <w:rsid w:val="000212AC"/>
    <w:rsid w:val="0003622A"/>
    <w:rsid w:val="00046BD9"/>
    <w:rsid w:val="000C31D6"/>
    <w:rsid w:val="000E5014"/>
    <w:rsid w:val="000F4D36"/>
    <w:rsid w:val="00100AF0"/>
    <w:rsid w:val="001054B5"/>
    <w:rsid w:val="00114B31"/>
    <w:rsid w:val="0014730A"/>
    <w:rsid w:val="00180084"/>
    <w:rsid w:val="001A0519"/>
    <w:rsid w:val="001A6E0E"/>
    <w:rsid w:val="001C263F"/>
    <w:rsid w:val="001D53F4"/>
    <w:rsid w:val="001E17F9"/>
    <w:rsid w:val="00215605"/>
    <w:rsid w:val="00275ADE"/>
    <w:rsid w:val="00293564"/>
    <w:rsid w:val="002C02F2"/>
    <w:rsid w:val="003263A4"/>
    <w:rsid w:val="00334DF5"/>
    <w:rsid w:val="00334E8A"/>
    <w:rsid w:val="00353084"/>
    <w:rsid w:val="00355839"/>
    <w:rsid w:val="00357A06"/>
    <w:rsid w:val="00364EE1"/>
    <w:rsid w:val="003828F1"/>
    <w:rsid w:val="00382A20"/>
    <w:rsid w:val="003939E9"/>
    <w:rsid w:val="003A0B01"/>
    <w:rsid w:val="003A0E47"/>
    <w:rsid w:val="003A3D7D"/>
    <w:rsid w:val="003C1500"/>
    <w:rsid w:val="003D5B51"/>
    <w:rsid w:val="003E28AE"/>
    <w:rsid w:val="003F7D3C"/>
    <w:rsid w:val="00452467"/>
    <w:rsid w:val="00481170"/>
    <w:rsid w:val="004A6F3A"/>
    <w:rsid w:val="00517D4F"/>
    <w:rsid w:val="0052764C"/>
    <w:rsid w:val="0053573B"/>
    <w:rsid w:val="00594939"/>
    <w:rsid w:val="005E0D9E"/>
    <w:rsid w:val="005E23AA"/>
    <w:rsid w:val="005E5D84"/>
    <w:rsid w:val="005F4DD8"/>
    <w:rsid w:val="00624552"/>
    <w:rsid w:val="006840BB"/>
    <w:rsid w:val="006E0D6A"/>
    <w:rsid w:val="00712290"/>
    <w:rsid w:val="007764EC"/>
    <w:rsid w:val="00776EC6"/>
    <w:rsid w:val="007A2683"/>
    <w:rsid w:val="007C6D62"/>
    <w:rsid w:val="007D676D"/>
    <w:rsid w:val="007F2DF8"/>
    <w:rsid w:val="00825FBA"/>
    <w:rsid w:val="00833B97"/>
    <w:rsid w:val="00850274"/>
    <w:rsid w:val="00867FD1"/>
    <w:rsid w:val="0089165C"/>
    <w:rsid w:val="00892F17"/>
    <w:rsid w:val="008B38CB"/>
    <w:rsid w:val="008E01A4"/>
    <w:rsid w:val="008E29C5"/>
    <w:rsid w:val="008F7FD6"/>
    <w:rsid w:val="009022E9"/>
    <w:rsid w:val="0096441E"/>
    <w:rsid w:val="009727E0"/>
    <w:rsid w:val="009B70A8"/>
    <w:rsid w:val="009D2EC7"/>
    <w:rsid w:val="00A00351"/>
    <w:rsid w:val="00A16454"/>
    <w:rsid w:val="00A21EE5"/>
    <w:rsid w:val="00A358EE"/>
    <w:rsid w:val="00A37228"/>
    <w:rsid w:val="00A375D6"/>
    <w:rsid w:val="00A80A3E"/>
    <w:rsid w:val="00A80E2A"/>
    <w:rsid w:val="00AA1561"/>
    <w:rsid w:val="00AA2FD3"/>
    <w:rsid w:val="00AE453A"/>
    <w:rsid w:val="00B07213"/>
    <w:rsid w:val="00B406AF"/>
    <w:rsid w:val="00B42E59"/>
    <w:rsid w:val="00B501B9"/>
    <w:rsid w:val="00B53BBC"/>
    <w:rsid w:val="00B54BBD"/>
    <w:rsid w:val="00BD1D92"/>
    <w:rsid w:val="00BE06E7"/>
    <w:rsid w:val="00BF44F1"/>
    <w:rsid w:val="00C02EBC"/>
    <w:rsid w:val="00C03BA1"/>
    <w:rsid w:val="00C45DEC"/>
    <w:rsid w:val="00C60F83"/>
    <w:rsid w:val="00C65145"/>
    <w:rsid w:val="00C90234"/>
    <w:rsid w:val="00C912BC"/>
    <w:rsid w:val="00CC1C41"/>
    <w:rsid w:val="00CE35EE"/>
    <w:rsid w:val="00CE7928"/>
    <w:rsid w:val="00D0547E"/>
    <w:rsid w:val="00D170A5"/>
    <w:rsid w:val="00D2052B"/>
    <w:rsid w:val="00D32AA9"/>
    <w:rsid w:val="00D34AF4"/>
    <w:rsid w:val="00D35CF7"/>
    <w:rsid w:val="00D80FBD"/>
    <w:rsid w:val="00DA1D87"/>
    <w:rsid w:val="00DB0C92"/>
    <w:rsid w:val="00DB4B8E"/>
    <w:rsid w:val="00DD2771"/>
    <w:rsid w:val="00E212CF"/>
    <w:rsid w:val="00E424FE"/>
    <w:rsid w:val="00E434E9"/>
    <w:rsid w:val="00E500AA"/>
    <w:rsid w:val="00E82C01"/>
    <w:rsid w:val="00EA6F66"/>
    <w:rsid w:val="00EB0F92"/>
    <w:rsid w:val="00ED279A"/>
    <w:rsid w:val="00F2286F"/>
    <w:rsid w:val="00F31078"/>
    <w:rsid w:val="00FA0D3E"/>
    <w:rsid w:val="00FA1D83"/>
    <w:rsid w:val="00FD0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8F0D16"/>
  <w15:chartTrackingRefBased/>
  <w15:docId w15:val="{890ECC3F-E0AF-44F8-9229-56AC229F5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79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358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58EE"/>
    <w:rPr>
      <w:sz w:val="20"/>
      <w:szCs w:val="20"/>
    </w:rPr>
  </w:style>
  <w:style w:type="character" w:styleId="FootnoteReference">
    <w:name w:val="footnote reference"/>
    <w:basedOn w:val="DefaultParagraphFont"/>
    <w:uiPriority w:val="99"/>
    <w:semiHidden/>
    <w:unhideWhenUsed/>
    <w:rsid w:val="00A358EE"/>
    <w:rPr>
      <w:vertAlign w:val="superscript"/>
    </w:rPr>
  </w:style>
  <w:style w:type="character" w:styleId="Hyperlink">
    <w:name w:val="Hyperlink"/>
    <w:basedOn w:val="DefaultParagraphFont"/>
    <w:uiPriority w:val="99"/>
    <w:unhideWhenUsed/>
    <w:rsid w:val="006E0D6A"/>
    <w:rPr>
      <w:color w:val="0000FF" w:themeColor="hyperlink"/>
      <w:u w:val="single"/>
    </w:rPr>
  </w:style>
  <w:style w:type="character" w:styleId="UnresolvedMention">
    <w:name w:val="Unresolved Mention"/>
    <w:basedOn w:val="DefaultParagraphFont"/>
    <w:uiPriority w:val="99"/>
    <w:semiHidden/>
    <w:unhideWhenUsed/>
    <w:rsid w:val="006E0D6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9FF59-8B94-4353-BD2F-A46A31077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3670</TotalTime>
  <Pages>3</Pages>
  <Words>1523</Words>
  <Characters>8686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74</cp:revision>
  <dcterms:created xsi:type="dcterms:W3CDTF">2017-11-14T10:02:00Z</dcterms:created>
  <dcterms:modified xsi:type="dcterms:W3CDTF">2017-11-22T12:36:00Z</dcterms:modified>
</cp:coreProperties>
</file>