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1927030893"/>
        <w:docPartObj>
          <w:docPartGallery w:val="Cover Pages"/>
          <w:docPartUnique/>
        </w:docPartObj>
      </w:sdtPr>
      <w:sdtEndPr>
        <w:rPr>
          <w:rFonts w:ascii="Arial" w:eastAsiaTheme="minorHAnsi" w:hAnsi="Arial" w:cs="Arial"/>
          <w:color w:val="auto"/>
          <w:kern w:val="2"/>
          <w:lang w:val="en-GB"/>
          <w14:ligatures w14:val="standardContextual"/>
        </w:rPr>
      </w:sdtEndPr>
      <w:sdtContent>
        <w:p w14:paraId="7F265B47" w14:textId="74F71949" w:rsidR="007B144F" w:rsidRDefault="007B144F">
          <w:pPr>
            <w:pStyle w:val="NoSpacing"/>
            <w:spacing w:before="1540" w:after="240"/>
            <w:jc w:val="center"/>
            <w:rPr>
              <w:color w:val="4472C4" w:themeColor="accent1"/>
            </w:rPr>
          </w:pPr>
          <w:r>
            <w:rPr>
              <w:noProof/>
              <w:color w:val="4472C4" w:themeColor="accent1"/>
            </w:rPr>
            <w:drawing>
              <wp:inline distT="0" distB="0" distL="0" distR="0" wp14:anchorId="2E529F2F" wp14:editId="32B1969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Calibri" w:hAnsi="Arial" w:cs="Arial"/>
              <w:b/>
              <w:bCs/>
            </w:rPr>
            <w:alias w:val="Title"/>
            <w:tag w:val=""/>
            <w:id w:val="1735040861"/>
            <w:placeholder>
              <w:docPart w:val="1AAF726414CD427E983DFD3819E00AC9"/>
            </w:placeholder>
            <w:dataBinding w:prefixMappings="xmlns:ns0='http://purl.org/dc/elements/1.1/' xmlns:ns1='http://schemas.openxmlformats.org/package/2006/metadata/core-properties' " w:xpath="/ns1:coreProperties[1]/ns0:title[1]" w:storeItemID="{6C3C8BC8-F283-45AE-878A-BAB7291924A1}"/>
            <w:text/>
          </w:sdtPr>
          <w:sdtContent>
            <w:p w14:paraId="7D88B40A" w14:textId="33F214F8" w:rsidR="007B144F" w:rsidRDefault="007B144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7B144F">
                <w:rPr>
                  <w:rFonts w:ascii="Arial" w:eastAsia="Calibri" w:hAnsi="Arial" w:cs="Arial"/>
                  <w:b/>
                  <w:bCs/>
                </w:rPr>
                <w:t xml:space="preserve">Module Code and Title: BMHP5023 Introduction to Physiology </w:t>
              </w:r>
            </w:p>
          </w:sdtContent>
        </w:sdt>
        <w:sdt>
          <w:sdtPr>
            <w:rPr>
              <w:rFonts w:ascii="Arial" w:eastAsia="Calibri" w:hAnsi="Arial" w:cs="Arial"/>
              <w:b/>
              <w:bCs/>
            </w:rPr>
            <w:alias w:val="Subtitle"/>
            <w:tag w:val=""/>
            <w:id w:val="328029620"/>
            <w:placeholder>
              <w:docPart w:val="A686995748994FCFB9FB22FCE1DCAE6E"/>
            </w:placeholder>
            <w:dataBinding w:prefixMappings="xmlns:ns0='http://purl.org/dc/elements/1.1/' xmlns:ns1='http://schemas.openxmlformats.org/package/2006/metadata/core-properties' " w:xpath="/ns1:coreProperties[1]/ns0:subject[1]" w:storeItemID="{6C3C8BC8-F283-45AE-878A-BAB7291924A1}"/>
            <w:text/>
          </w:sdtPr>
          <w:sdtContent>
            <w:p w14:paraId="006FF094" w14:textId="2458B015" w:rsidR="007B144F" w:rsidRDefault="007B144F">
              <w:pPr>
                <w:pStyle w:val="NoSpacing"/>
                <w:jc w:val="center"/>
                <w:rPr>
                  <w:color w:val="4472C4" w:themeColor="accent1"/>
                  <w:sz w:val="28"/>
                  <w:szCs w:val="28"/>
                </w:rPr>
              </w:pPr>
              <w:r w:rsidRPr="007B144F">
                <w:rPr>
                  <w:rFonts w:ascii="Arial" w:eastAsia="Calibri" w:hAnsi="Arial" w:cs="Arial"/>
                  <w:b/>
                  <w:bCs/>
                </w:rPr>
                <w:t>Assignment Title: Case Study Report: Type 2 Diabetes</w:t>
              </w:r>
            </w:p>
          </w:sdtContent>
        </w:sdt>
        <w:p w14:paraId="616D0480" w14:textId="16D8A8B6" w:rsidR="007B144F" w:rsidRDefault="007B144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1EB8B8D" wp14:editId="245598DC">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10-24T00:00:00Z">
                                    <w:dateFormat w:val="MMMM d, yyyy"/>
                                    <w:lid w:val="en-US"/>
                                    <w:storeMappedDataAs w:val="dateTime"/>
                                    <w:calendar w:val="gregorian"/>
                                  </w:date>
                                </w:sdtPr>
                                <w:sdtContent>
                                  <w:p w14:paraId="2ED35794" w14:textId="2633AFB0" w:rsidR="007B144F" w:rsidRDefault="007B144F">
                                    <w:pPr>
                                      <w:pStyle w:val="NoSpacing"/>
                                      <w:spacing w:after="40"/>
                                      <w:jc w:val="center"/>
                                      <w:rPr>
                                        <w:caps/>
                                        <w:color w:val="4472C4" w:themeColor="accent1"/>
                                        <w:sz w:val="28"/>
                                        <w:szCs w:val="28"/>
                                      </w:rPr>
                                    </w:pPr>
                                    <w:r>
                                      <w:rPr>
                                        <w:caps/>
                                        <w:color w:val="4472C4" w:themeColor="accent1"/>
                                        <w:sz w:val="28"/>
                                        <w:szCs w:val="28"/>
                                      </w:rPr>
                                      <w:t>October 24, 2026</w:t>
                                    </w:r>
                                  </w:p>
                                </w:sdtContent>
                              </w:sdt>
                              <w:p w14:paraId="7CD388FA" w14:textId="16981778" w:rsidR="007B144F" w:rsidRDefault="007B144F">
                                <w:pPr>
                                  <w:pStyle w:val="NoSpacing"/>
                                  <w:jc w:val="center"/>
                                  <w:rPr>
                                    <w:color w:val="4472C4" w:themeColor="accent1"/>
                                  </w:rPr>
                                </w:pPr>
                              </w:p>
                              <w:p w14:paraId="5A3AD235" w14:textId="7DC2F6C4" w:rsidR="007B144F" w:rsidRDefault="007B144F">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1EB8B8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10-24T00:00:00Z">
                              <w:dateFormat w:val="MMMM d, yyyy"/>
                              <w:lid w:val="en-US"/>
                              <w:storeMappedDataAs w:val="dateTime"/>
                              <w:calendar w:val="gregorian"/>
                            </w:date>
                          </w:sdtPr>
                          <w:sdtContent>
                            <w:p w14:paraId="2ED35794" w14:textId="2633AFB0" w:rsidR="007B144F" w:rsidRDefault="007B144F">
                              <w:pPr>
                                <w:pStyle w:val="NoSpacing"/>
                                <w:spacing w:after="40"/>
                                <w:jc w:val="center"/>
                                <w:rPr>
                                  <w:caps/>
                                  <w:color w:val="4472C4" w:themeColor="accent1"/>
                                  <w:sz w:val="28"/>
                                  <w:szCs w:val="28"/>
                                </w:rPr>
                              </w:pPr>
                              <w:r>
                                <w:rPr>
                                  <w:caps/>
                                  <w:color w:val="4472C4" w:themeColor="accent1"/>
                                  <w:sz w:val="28"/>
                                  <w:szCs w:val="28"/>
                                </w:rPr>
                                <w:t>October 24, 2026</w:t>
                              </w:r>
                            </w:p>
                          </w:sdtContent>
                        </w:sdt>
                        <w:p w14:paraId="7CD388FA" w14:textId="16981778" w:rsidR="007B144F" w:rsidRDefault="007B144F">
                          <w:pPr>
                            <w:pStyle w:val="NoSpacing"/>
                            <w:jc w:val="center"/>
                            <w:rPr>
                              <w:color w:val="4472C4" w:themeColor="accent1"/>
                            </w:rPr>
                          </w:pPr>
                        </w:p>
                        <w:p w14:paraId="5A3AD235" w14:textId="7DC2F6C4" w:rsidR="007B144F" w:rsidRDefault="007B144F">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02D5F456" wp14:editId="650B347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ECD85A" w14:textId="77777777" w:rsidR="007B144F" w:rsidRPr="007B144F" w:rsidRDefault="007B144F">
          <w:pPr>
            <w:pStyle w:val="NoSpacing"/>
            <w:spacing w:before="480"/>
            <w:jc w:val="center"/>
            <w:rPr>
              <w:rFonts w:ascii="Arial Black" w:hAnsi="Arial Black"/>
              <w:color w:val="4472C4" w:themeColor="accent1"/>
              <w:sz w:val="28"/>
              <w:szCs w:val="28"/>
            </w:rPr>
          </w:pPr>
          <w:r w:rsidRPr="007B144F">
            <w:rPr>
              <w:rFonts w:ascii="Arial Black" w:hAnsi="Arial Black"/>
              <w:color w:val="4472C4" w:themeColor="accent1"/>
              <w:sz w:val="28"/>
              <w:szCs w:val="28"/>
            </w:rPr>
            <w:t>MODULE CODE: BMHP5023</w:t>
          </w:r>
        </w:p>
        <w:p w14:paraId="10CCF934" w14:textId="3026147D" w:rsidR="007B144F" w:rsidRPr="007B144F" w:rsidRDefault="007B144F">
          <w:pPr>
            <w:pStyle w:val="NoSpacing"/>
            <w:spacing w:before="480"/>
            <w:jc w:val="center"/>
            <w:rPr>
              <w:rFonts w:ascii="Arial Black" w:hAnsi="Arial Black"/>
              <w:color w:val="4472C4" w:themeColor="accent1"/>
              <w:sz w:val="28"/>
              <w:szCs w:val="28"/>
            </w:rPr>
          </w:pPr>
          <w:r w:rsidRPr="007B144F">
            <w:rPr>
              <w:rFonts w:ascii="Arial Black" w:hAnsi="Arial Black"/>
              <w:color w:val="4472C4" w:themeColor="accent1"/>
              <w:sz w:val="28"/>
              <w:szCs w:val="28"/>
            </w:rPr>
            <w:t>Student Name: Saidatina Duarte</w:t>
          </w:r>
        </w:p>
        <w:p w14:paraId="58253043" w14:textId="7757BC2F" w:rsidR="007B144F" w:rsidRDefault="007B144F">
          <w:pPr>
            <w:pStyle w:val="NoSpacing"/>
            <w:spacing w:before="480"/>
            <w:jc w:val="center"/>
            <w:rPr>
              <w:rFonts w:ascii="Arial Black" w:hAnsi="Arial Black"/>
              <w:color w:val="4472C4" w:themeColor="accent1"/>
              <w:sz w:val="28"/>
              <w:szCs w:val="28"/>
            </w:rPr>
          </w:pPr>
          <w:r w:rsidRPr="007B144F">
            <w:rPr>
              <w:rFonts w:ascii="Arial Black" w:hAnsi="Arial Black"/>
              <w:color w:val="4472C4" w:themeColor="accent1"/>
              <w:sz w:val="28"/>
              <w:szCs w:val="28"/>
            </w:rPr>
            <w:t>Student ID: 2511206</w:t>
          </w:r>
        </w:p>
        <w:p w14:paraId="7BDB4AC3" w14:textId="06D023B2" w:rsidR="00E94CC9" w:rsidRPr="007B144F" w:rsidRDefault="00E94CC9">
          <w:pPr>
            <w:pStyle w:val="NoSpacing"/>
            <w:spacing w:before="480"/>
            <w:jc w:val="center"/>
            <w:rPr>
              <w:rFonts w:ascii="Arial Black" w:hAnsi="Arial Black"/>
              <w:color w:val="4472C4" w:themeColor="accent1"/>
              <w:sz w:val="28"/>
              <w:szCs w:val="28"/>
            </w:rPr>
          </w:pPr>
          <w:r>
            <w:rPr>
              <w:rFonts w:ascii="Arial Black" w:hAnsi="Arial Black"/>
              <w:color w:val="4472C4" w:themeColor="accent1"/>
              <w:sz w:val="28"/>
              <w:szCs w:val="28"/>
            </w:rPr>
            <w:t>LECTURER’S NAME: Robert Nartowski</w:t>
          </w:r>
        </w:p>
        <w:p w14:paraId="79946693" w14:textId="77777777" w:rsidR="007B144F" w:rsidRDefault="007B144F">
          <w:pPr>
            <w:pStyle w:val="NoSpacing"/>
            <w:spacing w:before="480"/>
            <w:jc w:val="center"/>
            <w:rPr>
              <w:color w:val="4472C4" w:themeColor="accent1"/>
            </w:rPr>
          </w:pPr>
        </w:p>
        <w:p w14:paraId="259075EF" w14:textId="30F102A0" w:rsidR="007B144F" w:rsidRDefault="007B144F">
          <w:pPr>
            <w:rPr>
              <w:rFonts w:ascii="Arial" w:hAnsi="Arial" w:cs="Arial"/>
              <w:sz w:val="22"/>
              <w:szCs w:val="22"/>
            </w:rPr>
          </w:pPr>
          <w:r>
            <w:rPr>
              <w:rFonts w:ascii="Arial" w:hAnsi="Arial" w:cs="Arial"/>
              <w:sz w:val="22"/>
              <w:szCs w:val="22"/>
            </w:rP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515880944"/>
        <w:docPartObj>
          <w:docPartGallery w:val="Table of Contents"/>
          <w:docPartUnique/>
        </w:docPartObj>
      </w:sdtPr>
      <w:sdtEndPr>
        <w:rPr>
          <w:noProof/>
        </w:rPr>
      </w:sdtEndPr>
      <w:sdtContent>
        <w:p w14:paraId="4F873747" w14:textId="77777777" w:rsidR="00597F1D" w:rsidRDefault="00597F1D">
          <w:pPr>
            <w:pStyle w:val="TOCHeading"/>
          </w:pPr>
          <w:r>
            <w:t>Table of Contents</w:t>
          </w:r>
        </w:p>
        <w:p w14:paraId="11607843" w14:textId="77777777" w:rsidR="00597F1D" w:rsidRDefault="00597F1D">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243668637" w:history="1">
            <w:r w:rsidRPr="009113E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_Toc243668637 \h </w:instrText>
            </w:r>
            <w:r>
              <w:rPr>
                <w:noProof/>
                <w:webHidden/>
              </w:rPr>
            </w:r>
            <w:r>
              <w:rPr>
                <w:noProof/>
                <w:webHidden/>
              </w:rPr>
              <w:fldChar w:fldCharType="separate"/>
            </w:r>
            <w:r>
              <w:rPr>
                <w:noProof/>
                <w:webHidden/>
              </w:rPr>
              <w:t>3</w:t>
            </w:r>
            <w:r>
              <w:rPr>
                <w:noProof/>
                <w:webHidden/>
              </w:rPr>
              <w:fldChar w:fldCharType="end"/>
            </w:r>
          </w:hyperlink>
        </w:p>
        <w:p w14:paraId="3CF2512C" w14:textId="77777777" w:rsidR="00597F1D" w:rsidRDefault="00810B95">
          <w:pPr>
            <w:pStyle w:val="TOC1"/>
            <w:tabs>
              <w:tab w:val="right" w:leader="dot" w:pos="9010"/>
            </w:tabs>
            <w:rPr>
              <w:noProof/>
            </w:rPr>
          </w:pPr>
          <w:hyperlink w:anchor="_Toc243668638" w:history="1">
            <w:r w:rsidR="00597F1D" w:rsidRPr="009113EC">
              <w:rPr>
                <w:rStyle w:val="Hyperlink"/>
                <w:rFonts w:ascii="Arial" w:eastAsia="Aptos" w:hAnsi="Arial" w:cs="Arial"/>
                <w:noProof/>
              </w:rPr>
              <w:t>Section 1: Anatomy &amp; Physiology</w:t>
            </w:r>
            <w:r w:rsidR="00597F1D">
              <w:rPr>
                <w:noProof/>
                <w:webHidden/>
              </w:rPr>
              <w:tab/>
            </w:r>
            <w:r w:rsidR="00597F1D">
              <w:rPr>
                <w:noProof/>
                <w:webHidden/>
              </w:rPr>
              <w:fldChar w:fldCharType="begin"/>
            </w:r>
            <w:r w:rsidR="00597F1D">
              <w:rPr>
                <w:noProof/>
                <w:webHidden/>
              </w:rPr>
              <w:instrText xml:space="preserve"> PAGEREF _Toc243668638 \h </w:instrText>
            </w:r>
            <w:r w:rsidR="00597F1D">
              <w:rPr>
                <w:noProof/>
                <w:webHidden/>
              </w:rPr>
            </w:r>
            <w:r w:rsidR="00597F1D">
              <w:rPr>
                <w:noProof/>
                <w:webHidden/>
              </w:rPr>
              <w:fldChar w:fldCharType="separate"/>
            </w:r>
            <w:r w:rsidR="00597F1D">
              <w:rPr>
                <w:noProof/>
                <w:webHidden/>
              </w:rPr>
              <w:t>3</w:t>
            </w:r>
            <w:r w:rsidR="00597F1D">
              <w:rPr>
                <w:noProof/>
                <w:webHidden/>
              </w:rPr>
              <w:fldChar w:fldCharType="end"/>
            </w:r>
          </w:hyperlink>
        </w:p>
        <w:p w14:paraId="3720CC9E" w14:textId="77777777" w:rsidR="00597F1D" w:rsidRDefault="00810B95">
          <w:pPr>
            <w:pStyle w:val="TOC2"/>
            <w:tabs>
              <w:tab w:val="right" w:leader="dot" w:pos="9010"/>
            </w:tabs>
            <w:rPr>
              <w:noProof/>
            </w:rPr>
          </w:pPr>
          <w:hyperlink w:anchor="_Toc243668639" w:history="1">
            <w:r w:rsidR="00597F1D" w:rsidRPr="009113EC">
              <w:rPr>
                <w:rStyle w:val="Hyperlink"/>
                <w:rFonts w:ascii="Arial" w:hAnsi="Arial" w:cs="Arial"/>
                <w:noProof/>
              </w:rPr>
              <w:t>Regulation of blood glucose</w:t>
            </w:r>
            <w:r w:rsidR="00597F1D">
              <w:rPr>
                <w:noProof/>
                <w:webHidden/>
              </w:rPr>
              <w:tab/>
            </w:r>
            <w:r w:rsidR="00597F1D">
              <w:rPr>
                <w:noProof/>
                <w:webHidden/>
              </w:rPr>
              <w:fldChar w:fldCharType="begin"/>
            </w:r>
            <w:r w:rsidR="00597F1D">
              <w:rPr>
                <w:noProof/>
                <w:webHidden/>
              </w:rPr>
              <w:instrText xml:space="preserve"> PAGEREF _Toc243668639 \h </w:instrText>
            </w:r>
            <w:r w:rsidR="00597F1D">
              <w:rPr>
                <w:noProof/>
                <w:webHidden/>
              </w:rPr>
            </w:r>
            <w:r w:rsidR="00597F1D">
              <w:rPr>
                <w:noProof/>
                <w:webHidden/>
              </w:rPr>
              <w:fldChar w:fldCharType="separate"/>
            </w:r>
            <w:r w:rsidR="00597F1D">
              <w:rPr>
                <w:noProof/>
                <w:webHidden/>
              </w:rPr>
              <w:t>3</w:t>
            </w:r>
            <w:r w:rsidR="00597F1D">
              <w:rPr>
                <w:noProof/>
                <w:webHidden/>
              </w:rPr>
              <w:fldChar w:fldCharType="end"/>
            </w:r>
          </w:hyperlink>
        </w:p>
        <w:p w14:paraId="005695C1" w14:textId="77777777" w:rsidR="00597F1D" w:rsidRDefault="00810B95">
          <w:pPr>
            <w:pStyle w:val="TOC2"/>
            <w:tabs>
              <w:tab w:val="right" w:leader="dot" w:pos="9010"/>
            </w:tabs>
            <w:rPr>
              <w:noProof/>
            </w:rPr>
          </w:pPr>
          <w:hyperlink w:anchor="_Toc243668640" w:history="1">
            <w:r w:rsidR="00597F1D" w:rsidRPr="009113EC">
              <w:rPr>
                <w:rStyle w:val="Hyperlink"/>
                <w:rFonts w:ascii="Arial" w:hAnsi="Arial" w:cs="Arial"/>
                <w:noProof/>
              </w:rPr>
              <w:t>C</w:t>
            </w:r>
            <w:r w:rsidR="00597F1D" w:rsidRPr="009113EC">
              <w:rPr>
                <w:rStyle w:val="Hyperlink"/>
                <w:rFonts w:ascii="Arial" w:hAnsi="Arial" w:cs="Arial"/>
                <w:noProof/>
                <w:lang/>
              </w:rPr>
              <w:t>ellular</w:t>
            </w:r>
            <w:r w:rsidR="00597F1D" w:rsidRPr="009113EC">
              <w:rPr>
                <w:rStyle w:val="Hyperlink"/>
                <w:rFonts w:ascii="Arial" w:hAnsi="Arial" w:cs="Arial"/>
                <w:b/>
                <w:bCs/>
                <w:noProof/>
                <w:lang/>
              </w:rPr>
              <w:t xml:space="preserve"> </w:t>
            </w:r>
            <w:r w:rsidR="00597F1D" w:rsidRPr="009113EC">
              <w:rPr>
                <w:rStyle w:val="Hyperlink"/>
                <w:rFonts w:ascii="Arial" w:hAnsi="Arial" w:cs="Arial"/>
                <w:noProof/>
                <w:lang/>
              </w:rPr>
              <w:t>respiration and energy production</w:t>
            </w:r>
            <w:r w:rsidR="00597F1D">
              <w:rPr>
                <w:noProof/>
                <w:webHidden/>
              </w:rPr>
              <w:tab/>
            </w:r>
            <w:r w:rsidR="00597F1D">
              <w:rPr>
                <w:noProof/>
                <w:webHidden/>
              </w:rPr>
              <w:fldChar w:fldCharType="begin"/>
            </w:r>
            <w:r w:rsidR="00597F1D">
              <w:rPr>
                <w:noProof/>
                <w:webHidden/>
              </w:rPr>
              <w:instrText xml:space="preserve"> PAGEREF _Toc243668640 \h </w:instrText>
            </w:r>
            <w:r w:rsidR="00597F1D">
              <w:rPr>
                <w:noProof/>
                <w:webHidden/>
              </w:rPr>
            </w:r>
            <w:r w:rsidR="00597F1D">
              <w:rPr>
                <w:noProof/>
                <w:webHidden/>
              </w:rPr>
              <w:fldChar w:fldCharType="separate"/>
            </w:r>
            <w:r w:rsidR="00597F1D">
              <w:rPr>
                <w:noProof/>
                <w:webHidden/>
              </w:rPr>
              <w:t>4</w:t>
            </w:r>
            <w:r w:rsidR="00597F1D">
              <w:rPr>
                <w:noProof/>
                <w:webHidden/>
              </w:rPr>
              <w:fldChar w:fldCharType="end"/>
            </w:r>
          </w:hyperlink>
        </w:p>
        <w:p w14:paraId="14BBC41D" w14:textId="77777777" w:rsidR="00597F1D" w:rsidRDefault="00810B95">
          <w:pPr>
            <w:pStyle w:val="TOC1"/>
            <w:tabs>
              <w:tab w:val="right" w:leader="dot" w:pos="9010"/>
            </w:tabs>
            <w:rPr>
              <w:noProof/>
            </w:rPr>
          </w:pPr>
          <w:hyperlink w:anchor="_Toc243668641" w:history="1">
            <w:r w:rsidR="00597F1D" w:rsidRPr="009113EC">
              <w:rPr>
                <w:rStyle w:val="Hyperlink"/>
                <w:rFonts w:ascii="Arial" w:eastAsia="Aptos" w:hAnsi="Arial" w:cs="Arial"/>
                <w:noProof/>
              </w:rPr>
              <w:t>Section 2: Pathophysiology</w:t>
            </w:r>
            <w:r w:rsidR="00597F1D">
              <w:rPr>
                <w:noProof/>
                <w:webHidden/>
              </w:rPr>
              <w:tab/>
            </w:r>
            <w:r w:rsidR="00597F1D">
              <w:rPr>
                <w:noProof/>
                <w:webHidden/>
              </w:rPr>
              <w:fldChar w:fldCharType="begin"/>
            </w:r>
            <w:r w:rsidR="00597F1D">
              <w:rPr>
                <w:noProof/>
                <w:webHidden/>
              </w:rPr>
              <w:instrText xml:space="preserve"> PAGEREF _Toc243668641 \h </w:instrText>
            </w:r>
            <w:r w:rsidR="00597F1D">
              <w:rPr>
                <w:noProof/>
                <w:webHidden/>
              </w:rPr>
            </w:r>
            <w:r w:rsidR="00597F1D">
              <w:rPr>
                <w:noProof/>
                <w:webHidden/>
              </w:rPr>
              <w:fldChar w:fldCharType="separate"/>
            </w:r>
            <w:r w:rsidR="00597F1D">
              <w:rPr>
                <w:noProof/>
                <w:webHidden/>
              </w:rPr>
              <w:t>4</w:t>
            </w:r>
            <w:r w:rsidR="00597F1D">
              <w:rPr>
                <w:noProof/>
                <w:webHidden/>
              </w:rPr>
              <w:fldChar w:fldCharType="end"/>
            </w:r>
          </w:hyperlink>
        </w:p>
        <w:p w14:paraId="025F4C74" w14:textId="77777777" w:rsidR="00597F1D" w:rsidRDefault="00810B95">
          <w:pPr>
            <w:pStyle w:val="TOC1"/>
            <w:tabs>
              <w:tab w:val="right" w:leader="dot" w:pos="9010"/>
            </w:tabs>
            <w:rPr>
              <w:noProof/>
            </w:rPr>
          </w:pPr>
          <w:hyperlink w:anchor="_Toc243668642" w:history="1">
            <w:r w:rsidR="00597F1D" w:rsidRPr="009113EC">
              <w:rPr>
                <w:rStyle w:val="Hyperlink"/>
                <w:rFonts w:ascii="Arial" w:eastAsia="Aptos" w:hAnsi="Arial" w:cs="Arial"/>
                <w:noProof/>
              </w:rPr>
              <w:t>Section 3: Monitoring &amp; Data Use</w:t>
            </w:r>
            <w:r w:rsidR="00597F1D">
              <w:rPr>
                <w:noProof/>
                <w:webHidden/>
              </w:rPr>
              <w:tab/>
            </w:r>
            <w:r w:rsidR="00597F1D">
              <w:rPr>
                <w:noProof/>
                <w:webHidden/>
              </w:rPr>
              <w:fldChar w:fldCharType="begin"/>
            </w:r>
            <w:r w:rsidR="00597F1D">
              <w:rPr>
                <w:noProof/>
                <w:webHidden/>
              </w:rPr>
              <w:instrText xml:space="preserve"> PAGEREF _Toc243668642 \h </w:instrText>
            </w:r>
            <w:r w:rsidR="00597F1D">
              <w:rPr>
                <w:noProof/>
                <w:webHidden/>
              </w:rPr>
            </w:r>
            <w:r w:rsidR="00597F1D">
              <w:rPr>
                <w:noProof/>
                <w:webHidden/>
              </w:rPr>
              <w:fldChar w:fldCharType="separate"/>
            </w:r>
            <w:r w:rsidR="00597F1D">
              <w:rPr>
                <w:noProof/>
                <w:webHidden/>
              </w:rPr>
              <w:t>5</w:t>
            </w:r>
            <w:r w:rsidR="00597F1D">
              <w:rPr>
                <w:noProof/>
                <w:webHidden/>
              </w:rPr>
              <w:fldChar w:fldCharType="end"/>
            </w:r>
          </w:hyperlink>
        </w:p>
        <w:p w14:paraId="1D04BDAA" w14:textId="77777777" w:rsidR="00597F1D" w:rsidRDefault="00810B95">
          <w:pPr>
            <w:pStyle w:val="TOC1"/>
            <w:tabs>
              <w:tab w:val="right" w:leader="dot" w:pos="9010"/>
            </w:tabs>
            <w:rPr>
              <w:noProof/>
            </w:rPr>
          </w:pPr>
          <w:hyperlink w:anchor="_Toc243668643" w:history="1">
            <w:r w:rsidR="00597F1D" w:rsidRPr="009113EC">
              <w:rPr>
                <w:rStyle w:val="Hyperlink"/>
                <w:rFonts w:ascii="Arial" w:eastAsia="Aptos" w:hAnsi="Arial" w:cs="Arial"/>
                <w:noProof/>
              </w:rPr>
              <w:t>Section 4: Evidence-Based Lifestyle Recommendations</w:t>
            </w:r>
            <w:r w:rsidR="00597F1D">
              <w:rPr>
                <w:noProof/>
                <w:webHidden/>
              </w:rPr>
              <w:tab/>
            </w:r>
            <w:r w:rsidR="00597F1D">
              <w:rPr>
                <w:noProof/>
                <w:webHidden/>
              </w:rPr>
              <w:fldChar w:fldCharType="begin"/>
            </w:r>
            <w:r w:rsidR="00597F1D">
              <w:rPr>
                <w:noProof/>
                <w:webHidden/>
              </w:rPr>
              <w:instrText xml:space="preserve"> PAGEREF _Toc243668643 \h </w:instrText>
            </w:r>
            <w:r w:rsidR="00597F1D">
              <w:rPr>
                <w:noProof/>
                <w:webHidden/>
              </w:rPr>
            </w:r>
            <w:r w:rsidR="00597F1D">
              <w:rPr>
                <w:noProof/>
                <w:webHidden/>
              </w:rPr>
              <w:fldChar w:fldCharType="separate"/>
            </w:r>
            <w:r w:rsidR="00597F1D">
              <w:rPr>
                <w:noProof/>
                <w:webHidden/>
              </w:rPr>
              <w:t>6</w:t>
            </w:r>
            <w:r w:rsidR="00597F1D">
              <w:rPr>
                <w:noProof/>
                <w:webHidden/>
              </w:rPr>
              <w:fldChar w:fldCharType="end"/>
            </w:r>
          </w:hyperlink>
        </w:p>
        <w:p w14:paraId="59ECDF48" w14:textId="77777777" w:rsidR="00597F1D" w:rsidRDefault="00810B95">
          <w:pPr>
            <w:pStyle w:val="TOC2"/>
            <w:tabs>
              <w:tab w:val="right" w:leader="dot" w:pos="9010"/>
            </w:tabs>
            <w:rPr>
              <w:noProof/>
            </w:rPr>
          </w:pPr>
          <w:hyperlink w:anchor="_Toc243668644" w:history="1">
            <w:r w:rsidR="00597F1D" w:rsidRPr="009113EC">
              <w:rPr>
                <w:rStyle w:val="Hyperlink"/>
                <w:rFonts w:ascii="Arial" w:hAnsi="Arial" w:cs="Arial"/>
                <w:noProof/>
              </w:rPr>
              <w:t>Healthy eating and dietary management</w:t>
            </w:r>
            <w:r w:rsidR="00597F1D">
              <w:rPr>
                <w:noProof/>
                <w:webHidden/>
              </w:rPr>
              <w:tab/>
            </w:r>
            <w:r w:rsidR="00597F1D">
              <w:rPr>
                <w:noProof/>
                <w:webHidden/>
              </w:rPr>
              <w:fldChar w:fldCharType="begin"/>
            </w:r>
            <w:r w:rsidR="00597F1D">
              <w:rPr>
                <w:noProof/>
                <w:webHidden/>
              </w:rPr>
              <w:instrText xml:space="preserve"> PAGEREF _Toc243668644 \h </w:instrText>
            </w:r>
            <w:r w:rsidR="00597F1D">
              <w:rPr>
                <w:noProof/>
                <w:webHidden/>
              </w:rPr>
            </w:r>
            <w:r w:rsidR="00597F1D">
              <w:rPr>
                <w:noProof/>
                <w:webHidden/>
              </w:rPr>
              <w:fldChar w:fldCharType="separate"/>
            </w:r>
            <w:r w:rsidR="00597F1D">
              <w:rPr>
                <w:noProof/>
                <w:webHidden/>
              </w:rPr>
              <w:t>6</w:t>
            </w:r>
            <w:r w:rsidR="00597F1D">
              <w:rPr>
                <w:noProof/>
                <w:webHidden/>
              </w:rPr>
              <w:fldChar w:fldCharType="end"/>
            </w:r>
          </w:hyperlink>
        </w:p>
        <w:p w14:paraId="6F3EBCD6" w14:textId="77777777" w:rsidR="00597F1D" w:rsidRDefault="00810B95">
          <w:pPr>
            <w:pStyle w:val="TOC2"/>
            <w:tabs>
              <w:tab w:val="right" w:leader="dot" w:pos="9010"/>
            </w:tabs>
            <w:rPr>
              <w:noProof/>
            </w:rPr>
          </w:pPr>
          <w:hyperlink w:anchor="_Toc243668645" w:history="1">
            <w:r w:rsidR="00597F1D" w:rsidRPr="009113EC">
              <w:rPr>
                <w:rStyle w:val="Hyperlink"/>
                <w:rFonts w:ascii="Arial" w:hAnsi="Arial" w:cs="Arial"/>
                <w:noProof/>
              </w:rPr>
              <w:t>Regular physical activity</w:t>
            </w:r>
            <w:r w:rsidR="00597F1D">
              <w:rPr>
                <w:noProof/>
                <w:webHidden/>
              </w:rPr>
              <w:tab/>
            </w:r>
            <w:r w:rsidR="00597F1D">
              <w:rPr>
                <w:noProof/>
                <w:webHidden/>
              </w:rPr>
              <w:fldChar w:fldCharType="begin"/>
            </w:r>
            <w:r w:rsidR="00597F1D">
              <w:rPr>
                <w:noProof/>
                <w:webHidden/>
              </w:rPr>
              <w:instrText xml:space="preserve"> PAGEREF _Toc243668645 \h </w:instrText>
            </w:r>
            <w:r w:rsidR="00597F1D">
              <w:rPr>
                <w:noProof/>
                <w:webHidden/>
              </w:rPr>
            </w:r>
            <w:r w:rsidR="00597F1D">
              <w:rPr>
                <w:noProof/>
                <w:webHidden/>
              </w:rPr>
              <w:fldChar w:fldCharType="separate"/>
            </w:r>
            <w:r w:rsidR="00597F1D">
              <w:rPr>
                <w:noProof/>
                <w:webHidden/>
              </w:rPr>
              <w:t>6</w:t>
            </w:r>
            <w:r w:rsidR="00597F1D">
              <w:rPr>
                <w:noProof/>
                <w:webHidden/>
              </w:rPr>
              <w:fldChar w:fldCharType="end"/>
            </w:r>
          </w:hyperlink>
        </w:p>
        <w:p w14:paraId="54DF40A6" w14:textId="77777777" w:rsidR="00597F1D" w:rsidRDefault="00810B95">
          <w:pPr>
            <w:pStyle w:val="TOC2"/>
            <w:tabs>
              <w:tab w:val="right" w:leader="dot" w:pos="9010"/>
            </w:tabs>
            <w:rPr>
              <w:noProof/>
            </w:rPr>
          </w:pPr>
          <w:hyperlink w:anchor="_Toc243668646" w:history="1">
            <w:r w:rsidR="00597F1D" w:rsidRPr="009113EC">
              <w:rPr>
                <w:rStyle w:val="Hyperlink"/>
                <w:rFonts w:ascii="Arial" w:hAnsi="Arial" w:cs="Arial"/>
                <w:noProof/>
              </w:rPr>
              <w:t>Weight management</w:t>
            </w:r>
            <w:r w:rsidR="00597F1D">
              <w:rPr>
                <w:noProof/>
                <w:webHidden/>
              </w:rPr>
              <w:tab/>
            </w:r>
            <w:r w:rsidR="00597F1D">
              <w:rPr>
                <w:noProof/>
                <w:webHidden/>
              </w:rPr>
              <w:fldChar w:fldCharType="begin"/>
            </w:r>
            <w:r w:rsidR="00597F1D">
              <w:rPr>
                <w:noProof/>
                <w:webHidden/>
              </w:rPr>
              <w:instrText xml:space="preserve"> PAGEREF _Toc243668646 \h </w:instrText>
            </w:r>
            <w:r w:rsidR="00597F1D">
              <w:rPr>
                <w:noProof/>
                <w:webHidden/>
              </w:rPr>
            </w:r>
            <w:r w:rsidR="00597F1D">
              <w:rPr>
                <w:noProof/>
                <w:webHidden/>
              </w:rPr>
              <w:fldChar w:fldCharType="separate"/>
            </w:r>
            <w:r w:rsidR="00597F1D">
              <w:rPr>
                <w:noProof/>
                <w:webHidden/>
              </w:rPr>
              <w:t>7</w:t>
            </w:r>
            <w:r w:rsidR="00597F1D">
              <w:rPr>
                <w:noProof/>
                <w:webHidden/>
              </w:rPr>
              <w:fldChar w:fldCharType="end"/>
            </w:r>
          </w:hyperlink>
        </w:p>
        <w:p w14:paraId="13BFF128" w14:textId="77777777" w:rsidR="00597F1D" w:rsidRDefault="00810B95">
          <w:pPr>
            <w:pStyle w:val="TOC2"/>
            <w:tabs>
              <w:tab w:val="right" w:leader="dot" w:pos="9010"/>
            </w:tabs>
            <w:rPr>
              <w:noProof/>
            </w:rPr>
          </w:pPr>
          <w:hyperlink w:anchor="_Toc243668647" w:history="1">
            <w:r w:rsidR="00597F1D" w:rsidRPr="009113EC">
              <w:rPr>
                <w:rStyle w:val="Hyperlink"/>
                <w:rFonts w:ascii="Arial" w:hAnsi="Arial" w:cs="Arial"/>
                <w:noProof/>
              </w:rPr>
              <w:t>Smoking cessation</w:t>
            </w:r>
            <w:r w:rsidR="00597F1D">
              <w:rPr>
                <w:noProof/>
                <w:webHidden/>
              </w:rPr>
              <w:tab/>
            </w:r>
            <w:r w:rsidR="00597F1D">
              <w:rPr>
                <w:noProof/>
                <w:webHidden/>
              </w:rPr>
              <w:fldChar w:fldCharType="begin"/>
            </w:r>
            <w:r w:rsidR="00597F1D">
              <w:rPr>
                <w:noProof/>
                <w:webHidden/>
              </w:rPr>
              <w:instrText xml:space="preserve"> PAGEREF _Toc243668647 \h </w:instrText>
            </w:r>
            <w:r w:rsidR="00597F1D">
              <w:rPr>
                <w:noProof/>
                <w:webHidden/>
              </w:rPr>
            </w:r>
            <w:r w:rsidR="00597F1D">
              <w:rPr>
                <w:noProof/>
                <w:webHidden/>
              </w:rPr>
              <w:fldChar w:fldCharType="separate"/>
            </w:r>
            <w:r w:rsidR="00597F1D">
              <w:rPr>
                <w:noProof/>
                <w:webHidden/>
              </w:rPr>
              <w:t>7</w:t>
            </w:r>
            <w:r w:rsidR="00597F1D">
              <w:rPr>
                <w:noProof/>
                <w:webHidden/>
              </w:rPr>
              <w:fldChar w:fldCharType="end"/>
            </w:r>
          </w:hyperlink>
        </w:p>
        <w:p w14:paraId="45933EA2" w14:textId="77777777" w:rsidR="00597F1D" w:rsidRDefault="00810B95">
          <w:pPr>
            <w:pStyle w:val="TOC1"/>
            <w:tabs>
              <w:tab w:val="right" w:leader="dot" w:pos="9010"/>
            </w:tabs>
            <w:rPr>
              <w:noProof/>
            </w:rPr>
          </w:pPr>
          <w:hyperlink w:anchor="_Toc243668648" w:history="1">
            <w:r w:rsidR="00597F1D" w:rsidRPr="009113EC">
              <w:rPr>
                <w:rStyle w:val="Hyperlink"/>
                <w:rFonts w:ascii="Arial" w:eastAsia="Aptos" w:hAnsi="Arial" w:cs="Arial"/>
                <w:noProof/>
              </w:rPr>
              <w:t>Conclusion</w:t>
            </w:r>
            <w:r w:rsidR="00597F1D">
              <w:rPr>
                <w:noProof/>
                <w:webHidden/>
              </w:rPr>
              <w:tab/>
            </w:r>
            <w:r w:rsidR="00597F1D">
              <w:rPr>
                <w:noProof/>
                <w:webHidden/>
              </w:rPr>
              <w:fldChar w:fldCharType="begin"/>
            </w:r>
            <w:r w:rsidR="00597F1D">
              <w:rPr>
                <w:noProof/>
                <w:webHidden/>
              </w:rPr>
              <w:instrText xml:space="preserve"> PAGEREF _Toc243668648 \h </w:instrText>
            </w:r>
            <w:r w:rsidR="00597F1D">
              <w:rPr>
                <w:noProof/>
                <w:webHidden/>
              </w:rPr>
            </w:r>
            <w:r w:rsidR="00597F1D">
              <w:rPr>
                <w:noProof/>
                <w:webHidden/>
              </w:rPr>
              <w:fldChar w:fldCharType="separate"/>
            </w:r>
            <w:r w:rsidR="00597F1D">
              <w:rPr>
                <w:noProof/>
                <w:webHidden/>
              </w:rPr>
              <w:t>7</w:t>
            </w:r>
            <w:r w:rsidR="00597F1D">
              <w:rPr>
                <w:noProof/>
                <w:webHidden/>
              </w:rPr>
              <w:fldChar w:fldCharType="end"/>
            </w:r>
          </w:hyperlink>
        </w:p>
        <w:p w14:paraId="3CD6A20C" w14:textId="77777777" w:rsidR="00597F1D" w:rsidRDefault="00810B95">
          <w:pPr>
            <w:pStyle w:val="TOC1"/>
            <w:tabs>
              <w:tab w:val="right" w:leader="dot" w:pos="9010"/>
            </w:tabs>
            <w:rPr>
              <w:noProof/>
            </w:rPr>
          </w:pPr>
          <w:hyperlink w:anchor="_Toc243668649" w:history="1">
            <w:r w:rsidR="00597F1D" w:rsidRPr="009113EC">
              <w:rPr>
                <w:rStyle w:val="Hyperlink"/>
                <w:rFonts w:ascii="Arial" w:hAnsi="Arial" w:cs="Arial"/>
                <w:noProof/>
              </w:rPr>
              <w:t>Reference</w:t>
            </w:r>
            <w:r w:rsidR="00597F1D">
              <w:rPr>
                <w:noProof/>
                <w:webHidden/>
              </w:rPr>
              <w:tab/>
            </w:r>
            <w:r w:rsidR="00597F1D">
              <w:rPr>
                <w:noProof/>
                <w:webHidden/>
              </w:rPr>
              <w:fldChar w:fldCharType="begin"/>
            </w:r>
            <w:r w:rsidR="00597F1D">
              <w:rPr>
                <w:noProof/>
                <w:webHidden/>
              </w:rPr>
              <w:instrText xml:space="preserve"> PAGEREF _Toc243668649 \h </w:instrText>
            </w:r>
            <w:r w:rsidR="00597F1D">
              <w:rPr>
                <w:noProof/>
                <w:webHidden/>
              </w:rPr>
            </w:r>
            <w:r w:rsidR="00597F1D">
              <w:rPr>
                <w:noProof/>
                <w:webHidden/>
              </w:rPr>
              <w:fldChar w:fldCharType="separate"/>
            </w:r>
            <w:r w:rsidR="00597F1D">
              <w:rPr>
                <w:noProof/>
                <w:webHidden/>
              </w:rPr>
              <w:t>9</w:t>
            </w:r>
            <w:r w:rsidR="00597F1D">
              <w:rPr>
                <w:noProof/>
                <w:webHidden/>
              </w:rPr>
              <w:fldChar w:fldCharType="end"/>
            </w:r>
          </w:hyperlink>
        </w:p>
        <w:p w14:paraId="11136DFE" w14:textId="77777777" w:rsidR="00597F1D" w:rsidRDefault="00597F1D">
          <w:r>
            <w:rPr>
              <w:b/>
              <w:bCs/>
              <w:noProof/>
            </w:rPr>
            <w:fldChar w:fldCharType="end"/>
          </w:r>
        </w:p>
      </w:sdtContent>
    </w:sdt>
    <w:p w14:paraId="316F75A0"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br w:type="page"/>
      </w:r>
    </w:p>
    <w:p w14:paraId="1C00587D" w14:textId="77777777" w:rsidR="005B2F63" w:rsidRPr="004D5068" w:rsidRDefault="005B2F63" w:rsidP="00466589">
      <w:pPr>
        <w:pStyle w:val="Heading1"/>
        <w:spacing w:before="0" w:after="240" w:line="360" w:lineRule="auto"/>
        <w:jc w:val="both"/>
        <w:rPr>
          <w:rFonts w:ascii="Arial" w:hAnsi="Arial" w:cs="Arial"/>
          <w:sz w:val="22"/>
          <w:szCs w:val="22"/>
        </w:rPr>
      </w:pPr>
      <w:bookmarkStart w:id="0" w:name="_Toc243668637"/>
      <w:r w:rsidRPr="004D5068">
        <w:rPr>
          <w:rFonts w:ascii="Arial" w:hAnsi="Arial" w:cs="Arial"/>
          <w:sz w:val="22"/>
          <w:szCs w:val="22"/>
        </w:rPr>
        <w:lastRenderedPageBreak/>
        <w:t>Introduction</w:t>
      </w:r>
      <w:bookmarkEnd w:id="0"/>
    </w:p>
    <w:p w14:paraId="544F7353" w14:textId="77777777" w:rsidR="005058DE" w:rsidRPr="005058DE" w:rsidRDefault="005058DE" w:rsidP="005058DE">
      <w:pPr>
        <w:spacing w:after="240" w:line="360" w:lineRule="auto"/>
        <w:jc w:val="both"/>
        <w:rPr>
          <w:rFonts w:ascii="Arial" w:hAnsi="Arial" w:cs="Arial"/>
          <w:sz w:val="22"/>
          <w:szCs w:val="22"/>
        </w:rPr>
      </w:pPr>
      <w:r w:rsidRPr="005058DE">
        <w:rPr>
          <w:rFonts w:ascii="Arial" w:hAnsi="Arial" w:cs="Arial"/>
          <w:sz w:val="22"/>
          <w:szCs w:val="22"/>
        </w:rPr>
        <w:t>Type 2 Diabetes Mellitus is a chronic (long-term) disease of blood glucose control. It occurs when the body's cells are less sensitive to the insulin that it produces or when the pancreas no longer makes enough insulin. Insulin facilitates the transfer of glucose from the blood into the cells, where it is converted to energy. If this process fails to function correctly the glucose accumulates in the blood and can lead to heart, kidney, nerve and eye damage (NHS, 2026).</w:t>
      </w:r>
    </w:p>
    <w:p w14:paraId="07080EAC" w14:textId="77777777" w:rsidR="005058DE" w:rsidRPr="005058DE" w:rsidRDefault="005058DE" w:rsidP="005058DE">
      <w:pPr>
        <w:spacing w:after="240" w:line="360" w:lineRule="auto"/>
        <w:jc w:val="both"/>
        <w:rPr>
          <w:rFonts w:ascii="Arial" w:hAnsi="Arial" w:cs="Arial"/>
          <w:sz w:val="22"/>
          <w:szCs w:val="22"/>
        </w:rPr>
      </w:pPr>
      <w:r w:rsidRPr="005058DE">
        <w:rPr>
          <w:rFonts w:ascii="Arial" w:hAnsi="Arial" w:cs="Arial"/>
          <w:sz w:val="22"/>
          <w:szCs w:val="22"/>
        </w:rPr>
        <w:t>There are several factors that may make an individual more susceptible to develop Type 2 diabetes. These include excess body weight, restricted physical activity, poor nutrition, older age and family history of the disease. Ethnicity is also relevant because black African, African-Caribbean and South Asian people and those from Chinese communities might be at increased risk. But personal lifestyle choices aren't the only reason for diabetes. A person's health and risk management abilities can also be affected by income, access to nutritious food and opportunities to exercise (Diabetes UK, 2024a).</w:t>
      </w:r>
    </w:p>
    <w:p w14:paraId="5B2795F4" w14:textId="77777777" w:rsidR="006810D8" w:rsidRPr="004D5068" w:rsidRDefault="005058DE" w:rsidP="005058DE">
      <w:pPr>
        <w:spacing w:after="240" w:line="360" w:lineRule="auto"/>
        <w:jc w:val="both"/>
        <w:rPr>
          <w:rFonts w:ascii="Arial" w:hAnsi="Arial" w:cs="Arial"/>
          <w:sz w:val="22"/>
          <w:szCs w:val="22"/>
        </w:rPr>
      </w:pPr>
      <w:r w:rsidRPr="005058DE">
        <w:rPr>
          <w:rFonts w:ascii="Arial" w:hAnsi="Arial" w:cs="Arial"/>
          <w:sz w:val="22"/>
          <w:szCs w:val="22"/>
        </w:rPr>
        <w:t>This report looks at how the body normally controls blood glucose and generates energy, and then discusses what happens in Type 2 diabetes. It also takes into account the importance of glucose monitoring and reviewing health records to identify changes and to help make treatment decisions. Finally, practical, evidence-based lifestyle advice, such as healthy eating, regular exercise and stopping smoking, and the potential for these actions to enhance diabetes management and minimise risk of diabetes-related complications is discussed</w:t>
      </w:r>
      <w:r w:rsidR="00466589" w:rsidRPr="004D5068">
        <w:rPr>
          <w:rFonts w:ascii="Arial" w:hAnsi="Arial" w:cs="Arial"/>
          <w:sz w:val="22"/>
          <w:szCs w:val="22"/>
        </w:rPr>
        <w:t>.</w:t>
      </w:r>
    </w:p>
    <w:p w14:paraId="18B097B2" w14:textId="77777777" w:rsidR="005B2F63" w:rsidRDefault="005B2F63" w:rsidP="005B2F63">
      <w:pPr>
        <w:pStyle w:val="Heading1"/>
        <w:spacing w:before="0" w:after="240" w:line="360" w:lineRule="auto"/>
        <w:jc w:val="both"/>
        <w:rPr>
          <w:rFonts w:ascii="Arial" w:eastAsia="Aptos" w:hAnsi="Arial" w:cs="Arial"/>
          <w:sz w:val="22"/>
          <w:szCs w:val="22"/>
        </w:rPr>
      </w:pPr>
      <w:bookmarkStart w:id="1" w:name="_Toc243668638"/>
      <w:r w:rsidRPr="004D5068">
        <w:rPr>
          <w:rFonts w:ascii="Arial" w:eastAsia="Aptos" w:hAnsi="Arial" w:cs="Arial"/>
          <w:sz w:val="22"/>
          <w:szCs w:val="22"/>
        </w:rPr>
        <w:t>Section 1: Anatomy &amp; Physiology</w:t>
      </w:r>
      <w:bookmarkEnd w:id="1"/>
      <w:r w:rsidRPr="004D5068">
        <w:rPr>
          <w:rFonts w:ascii="Arial" w:eastAsia="Aptos" w:hAnsi="Arial" w:cs="Arial"/>
          <w:sz w:val="22"/>
          <w:szCs w:val="22"/>
        </w:rPr>
        <w:t xml:space="preserve"> </w:t>
      </w:r>
    </w:p>
    <w:p w14:paraId="49B84A46" w14:textId="77777777" w:rsidR="00E003B3" w:rsidRDefault="00E003B3" w:rsidP="00E003B3">
      <w:pPr>
        <w:spacing w:after="240" w:line="360" w:lineRule="auto"/>
        <w:jc w:val="both"/>
        <w:rPr>
          <w:rFonts w:ascii="Arial" w:hAnsi="Arial" w:cs="Arial"/>
          <w:sz w:val="22"/>
          <w:szCs w:val="22"/>
        </w:rPr>
      </w:pPr>
      <w:r>
        <w:fldChar w:fldCharType="begin"/>
      </w:r>
      <w:r>
        <w:instrText xml:space="preserve"> INCLUDEPICTURE "https://media.springernature.com/lw1200/springer-static/image/art%3A10.1038%2Fnrdp.2015.19/MediaObjects/41572_2015_Article_BFnrdp201519_Fig3_HTML.jpg" \* MERGEFORMATINET </w:instrText>
      </w:r>
      <w:r>
        <w:fldChar w:fldCharType="separate"/>
      </w:r>
      <w:r>
        <w:rPr>
          <w:noProof/>
        </w:rPr>
        <w:drawing>
          <wp:inline distT="0" distB="0" distL="0" distR="0" wp14:anchorId="2A3067F3" wp14:editId="1E109FD5">
            <wp:extent cx="4930346" cy="2859273"/>
            <wp:effectExtent l="0" t="0" r="0" b="0"/>
            <wp:docPr id="1489372984" name="Picture 1" descr="Type 2 diabetes mellitus | Nature Reviews Disease Pri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 2 diabetes mellitus | Nature Reviews Disease Prime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42872" cy="2866537"/>
                    </a:xfrm>
                    <a:prstGeom prst="rect">
                      <a:avLst/>
                    </a:prstGeom>
                    <a:noFill/>
                    <a:ln>
                      <a:noFill/>
                    </a:ln>
                  </pic:spPr>
                </pic:pic>
              </a:graphicData>
            </a:graphic>
          </wp:inline>
        </w:drawing>
      </w:r>
      <w:r>
        <w:fldChar w:fldCharType="end"/>
      </w:r>
    </w:p>
    <w:p w14:paraId="3E064BA0" w14:textId="77777777" w:rsidR="00E003B3" w:rsidRDefault="00E003B3" w:rsidP="00E003B3">
      <w:pPr>
        <w:spacing w:after="240" w:line="360" w:lineRule="auto"/>
        <w:jc w:val="both"/>
        <w:rPr>
          <w:rFonts w:ascii="Arial" w:hAnsi="Arial" w:cs="Arial"/>
          <w:sz w:val="22"/>
          <w:szCs w:val="22"/>
        </w:rPr>
      </w:pPr>
      <w:r>
        <w:rPr>
          <w:rFonts w:ascii="Arial" w:hAnsi="Arial" w:cs="Arial"/>
          <w:sz w:val="22"/>
          <w:szCs w:val="22"/>
        </w:rPr>
        <w:t xml:space="preserve">Fig 1: </w:t>
      </w:r>
      <w:r w:rsidRPr="00E003B3">
        <w:rPr>
          <w:rFonts w:ascii="Arial" w:hAnsi="Arial" w:cs="Arial"/>
          <w:sz w:val="22"/>
          <w:szCs w:val="22"/>
        </w:rPr>
        <w:t>Type 2 Diabetes Mellitus</w:t>
      </w:r>
      <w:r>
        <w:rPr>
          <w:rFonts w:ascii="Arial" w:hAnsi="Arial" w:cs="Arial"/>
          <w:sz w:val="22"/>
          <w:szCs w:val="22"/>
        </w:rPr>
        <w:t xml:space="preserve"> </w:t>
      </w:r>
      <w:r w:rsidRPr="000B4FDC">
        <w:rPr>
          <w:rFonts w:ascii="Arial" w:hAnsi="Arial" w:cs="Arial"/>
          <w:sz w:val="22"/>
          <w:szCs w:val="22"/>
        </w:rPr>
        <w:t>(Diabetes UK, 2020</w:t>
      </w:r>
      <w:r w:rsidRPr="004D5068">
        <w:rPr>
          <w:rFonts w:ascii="Arial" w:hAnsi="Arial" w:cs="Arial"/>
          <w:sz w:val="22"/>
          <w:szCs w:val="22"/>
        </w:rPr>
        <w:t>).</w:t>
      </w:r>
    </w:p>
    <w:p w14:paraId="12901E0E" w14:textId="77777777" w:rsidR="00E003B3" w:rsidRPr="00E003B3" w:rsidRDefault="00E003B3" w:rsidP="00E003B3">
      <w:pPr>
        <w:spacing w:after="240" w:line="360" w:lineRule="auto"/>
        <w:jc w:val="both"/>
        <w:rPr>
          <w:rFonts w:ascii="Arial" w:hAnsi="Arial" w:cs="Arial"/>
          <w:sz w:val="22"/>
          <w:szCs w:val="22"/>
        </w:rPr>
      </w:pPr>
    </w:p>
    <w:p w14:paraId="3DDDCC43" w14:textId="77777777" w:rsidR="00466589" w:rsidRPr="004D5068" w:rsidRDefault="00466589" w:rsidP="002454D1">
      <w:pPr>
        <w:pStyle w:val="Heading2"/>
        <w:spacing w:before="0" w:line="360" w:lineRule="auto"/>
        <w:jc w:val="both"/>
        <w:rPr>
          <w:rFonts w:ascii="Arial" w:hAnsi="Arial" w:cs="Arial"/>
          <w:sz w:val="22"/>
          <w:szCs w:val="22"/>
        </w:rPr>
      </w:pPr>
      <w:bookmarkStart w:id="2" w:name="_Toc243668639"/>
      <w:r w:rsidRPr="004D5068">
        <w:rPr>
          <w:rFonts w:ascii="Arial" w:hAnsi="Arial" w:cs="Arial"/>
          <w:sz w:val="22"/>
          <w:szCs w:val="22"/>
        </w:rPr>
        <w:t>Regulation of blood glucose</w:t>
      </w:r>
      <w:bookmarkEnd w:id="2"/>
    </w:p>
    <w:p w14:paraId="00F203A1" w14:textId="7CF85D2E" w:rsidR="005058DE" w:rsidRPr="005058DE" w:rsidRDefault="005058DE" w:rsidP="005058DE">
      <w:pPr>
        <w:spacing w:after="240" w:line="360" w:lineRule="auto"/>
        <w:jc w:val="both"/>
        <w:rPr>
          <w:rFonts w:ascii="Arial" w:hAnsi="Arial" w:cs="Arial"/>
          <w:sz w:val="22"/>
          <w:szCs w:val="22"/>
          <w:lang/>
        </w:rPr>
      </w:pPr>
      <w:r w:rsidRPr="005058DE">
        <w:rPr>
          <w:rFonts w:ascii="Arial" w:hAnsi="Arial" w:cs="Arial"/>
          <w:sz w:val="22"/>
          <w:szCs w:val="22"/>
          <w:lang/>
        </w:rPr>
        <w:t>To enable the cells to utili</w:t>
      </w:r>
      <w:r w:rsidR="007B144F">
        <w:rPr>
          <w:rFonts w:ascii="Arial" w:hAnsi="Arial" w:cs="Arial"/>
          <w:sz w:val="22"/>
          <w:szCs w:val="22"/>
        </w:rPr>
        <w:t>s</w:t>
      </w:r>
      <w:r w:rsidRPr="005058DE">
        <w:rPr>
          <w:rFonts w:ascii="Arial" w:hAnsi="Arial" w:cs="Arial"/>
          <w:sz w:val="22"/>
          <w:szCs w:val="22"/>
          <w:lang/>
        </w:rPr>
        <w:t>e energy for optimum functioning, the body must maintain blood glucose within a proper level. The pancreas helps regulate glucose through the release of two hormones: insulin and glucagon. Carbohydrates break down to glucose after food is eaten and absorbed into the bloodstream. When blood glucose levels increase, insulin is secreted from the pancreas's beta cells. This hormone allows the glucose to get into the muscle cells and fat cells, and also stimulate the liver to store extra glucose as glycogen. These processes assist to lower blood glucose (NHS, 2026).</w:t>
      </w:r>
    </w:p>
    <w:p w14:paraId="5F81F06F" w14:textId="77777777" w:rsidR="005058DE" w:rsidRDefault="005058DE" w:rsidP="005058DE">
      <w:pPr>
        <w:spacing w:after="240" w:line="360" w:lineRule="auto"/>
        <w:jc w:val="both"/>
        <w:rPr>
          <w:rFonts w:ascii="Arial" w:hAnsi="Arial" w:cs="Arial"/>
          <w:sz w:val="22"/>
          <w:szCs w:val="22"/>
          <w:lang/>
        </w:rPr>
      </w:pPr>
      <w:r w:rsidRPr="005058DE">
        <w:rPr>
          <w:rFonts w:ascii="Arial" w:hAnsi="Arial" w:cs="Arial"/>
          <w:sz w:val="22"/>
          <w:szCs w:val="22"/>
          <w:lang/>
        </w:rPr>
        <w:t>Alpha cells in the pancreas will produce glucagon when blood glucose is low. This hormone signals the liver to break down stored glycogen and release glucose into the bloodstream. Therefore, insulin and glucagon act together to keep the energy demands of the body in balance with the supply of glucose. However, in Type 2 diabetes, the cells become less responsive to insulin, and glucose is unable to enter the cells. Initially the pancreas may make more insulin to make up for it, but as the disease gets worse it may not be able to do this (National Institute for Health and Care Excellence, 2026a).</w:t>
      </w:r>
    </w:p>
    <w:p w14:paraId="16F1ADF7" w14:textId="77777777" w:rsidR="005058DE" w:rsidRPr="005058DE" w:rsidRDefault="005058DE" w:rsidP="005058DE">
      <w:pPr>
        <w:pStyle w:val="Heading2"/>
        <w:spacing w:before="0" w:line="360" w:lineRule="auto"/>
        <w:jc w:val="both"/>
        <w:rPr>
          <w:rFonts w:ascii="Arial" w:hAnsi="Arial" w:cs="Arial"/>
          <w:sz w:val="22"/>
          <w:szCs w:val="22"/>
        </w:rPr>
      </w:pPr>
      <w:bookmarkStart w:id="3" w:name="_Toc243668640"/>
      <w:r w:rsidRPr="005058DE">
        <w:rPr>
          <w:rFonts w:ascii="Arial" w:hAnsi="Arial" w:cs="Arial"/>
          <w:sz w:val="22"/>
          <w:szCs w:val="22"/>
        </w:rPr>
        <w:t>C</w:t>
      </w:r>
      <w:r w:rsidRPr="005058DE">
        <w:rPr>
          <w:rFonts w:ascii="Arial" w:hAnsi="Arial" w:cs="Arial"/>
          <w:sz w:val="22"/>
          <w:szCs w:val="22"/>
          <w:lang/>
        </w:rPr>
        <w:t>ellular</w:t>
      </w:r>
      <w:r w:rsidRPr="005058DE">
        <w:rPr>
          <w:rFonts w:ascii="Arial" w:hAnsi="Arial" w:cs="Arial"/>
          <w:b/>
          <w:bCs/>
          <w:sz w:val="22"/>
          <w:szCs w:val="22"/>
          <w:lang/>
        </w:rPr>
        <w:t xml:space="preserve"> </w:t>
      </w:r>
      <w:r w:rsidRPr="005058DE">
        <w:rPr>
          <w:rFonts w:ascii="Arial" w:hAnsi="Arial" w:cs="Arial"/>
          <w:sz w:val="22"/>
          <w:szCs w:val="22"/>
          <w:lang/>
        </w:rPr>
        <w:t>respiration and energy production</w:t>
      </w:r>
      <w:bookmarkEnd w:id="3"/>
    </w:p>
    <w:p w14:paraId="50ABA14A" w14:textId="43D1DCFE" w:rsidR="005058DE" w:rsidRPr="005058DE" w:rsidRDefault="002733A7" w:rsidP="005058DE">
      <w:pPr>
        <w:spacing w:after="240" w:line="360" w:lineRule="auto"/>
        <w:jc w:val="both"/>
        <w:rPr>
          <w:rFonts w:ascii="Arial" w:hAnsi="Arial" w:cs="Arial"/>
          <w:sz w:val="22"/>
          <w:szCs w:val="22"/>
          <w:lang/>
        </w:rPr>
      </w:pPr>
      <w:r w:rsidRPr="002733A7">
        <w:rPr>
          <w:rFonts w:ascii="Arial" w:hAnsi="Arial" w:cs="Arial"/>
          <w:sz w:val="22"/>
          <w:szCs w:val="22"/>
          <w:lang/>
        </w:rPr>
        <w:t>Glucose supplies energy that cells need to carry out their functions. In cellular respiration, glucose undergoes a series of chemical reactions, releasing energy which can be utili</w:t>
      </w:r>
      <w:r w:rsidR="007B144F">
        <w:rPr>
          <w:rFonts w:ascii="Arial" w:hAnsi="Arial" w:cs="Arial"/>
          <w:sz w:val="22"/>
          <w:szCs w:val="22"/>
        </w:rPr>
        <w:t>s</w:t>
      </w:r>
      <w:r w:rsidRPr="002733A7">
        <w:rPr>
          <w:rFonts w:ascii="Arial" w:hAnsi="Arial" w:cs="Arial"/>
          <w:sz w:val="22"/>
          <w:szCs w:val="22"/>
          <w:lang/>
        </w:rPr>
        <w:t>ed by the body. For efficient energy production, oxygen is needed in aerobic respiration. Much of this process occurs in the mitochondria where energy is stored in the form of adenosine triphosphate (ATP). ATP is used in cells for such activities as muscle contraction, moving substances into and out of the cells, and repairing tissue.</w:t>
      </w:r>
      <w:r>
        <w:rPr>
          <w:rFonts w:ascii="Arial" w:hAnsi="Arial" w:cs="Arial"/>
          <w:sz w:val="22"/>
          <w:szCs w:val="22"/>
          <w:lang/>
        </w:rPr>
        <w:t xml:space="preserve"> </w:t>
      </w:r>
      <w:r w:rsidR="005058DE" w:rsidRPr="005058DE">
        <w:rPr>
          <w:rFonts w:ascii="Arial" w:hAnsi="Arial" w:cs="Arial"/>
          <w:sz w:val="22"/>
          <w:szCs w:val="22"/>
          <w:lang/>
        </w:rPr>
        <w:t>The overall equation for aerobic respiration is:</w:t>
      </w:r>
    </w:p>
    <w:p w14:paraId="63577570" w14:textId="77777777" w:rsidR="005058DE" w:rsidRPr="005058DE" w:rsidRDefault="005058DE" w:rsidP="005058DE">
      <w:pPr>
        <w:spacing w:after="240" w:line="360" w:lineRule="auto"/>
        <w:jc w:val="both"/>
        <w:rPr>
          <w:rFonts w:ascii="Arial" w:hAnsi="Arial" w:cs="Arial"/>
          <w:sz w:val="22"/>
          <w:szCs w:val="22"/>
          <w:lang/>
        </w:rPr>
      </w:pPr>
      <w:r w:rsidRPr="005058DE">
        <w:rPr>
          <w:rFonts w:ascii="Arial" w:hAnsi="Arial" w:cs="Arial"/>
          <w:sz w:val="22"/>
          <w:szCs w:val="22"/>
          <w:lang/>
        </w:rPr>
        <w:t>Glucose + oxygen → carbon dioxide + water + energy (ATP)</w:t>
      </w:r>
    </w:p>
    <w:p w14:paraId="2D41368F" w14:textId="77777777" w:rsidR="005B2F63" w:rsidRPr="005058DE" w:rsidRDefault="002733A7" w:rsidP="005B2F63">
      <w:pPr>
        <w:spacing w:after="240" w:line="360" w:lineRule="auto"/>
        <w:jc w:val="both"/>
        <w:rPr>
          <w:rFonts w:ascii="Arial" w:hAnsi="Arial" w:cs="Arial"/>
          <w:sz w:val="22"/>
          <w:szCs w:val="22"/>
          <w:lang/>
        </w:rPr>
      </w:pPr>
      <w:r w:rsidRPr="002733A7">
        <w:rPr>
          <w:rFonts w:ascii="Arial" w:hAnsi="Arial" w:cs="Arial"/>
          <w:sz w:val="22"/>
          <w:szCs w:val="22"/>
          <w:lang/>
        </w:rPr>
        <w:t>Glucose and oxygen are carried by the blood to the tissues, and carbon dioxide is carried from the tissues to the lungs where it is exhaled. In Type 2 diabetes, the glucose may build up in the blood because the tissues which require insulin do not react to insulin as effectively. This relationship between insulin, glucose and cellular respiration can be used to understand why maintaining a normal blood glucose level is important for normal body functions and the risk of complications (NHS, 2026</w:t>
      </w:r>
      <w:r w:rsidR="002454D1" w:rsidRPr="004D5068">
        <w:rPr>
          <w:rFonts w:ascii="Arial" w:hAnsi="Arial" w:cs="Arial"/>
          <w:sz w:val="22"/>
          <w:szCs w:val="22"/>
        </w:rPr>
        <w:t>).</w:t>
      </w:r>
    </w:p>
    <w:p w14:paraId="39D6E2DE" w14:textId="77777777" w:rsidR="005B2F63" w:rsidRPr="004D5068" w:rsidRDefault="005B2F63" w:rsidP="002454D1">
      <w:pPr>
        <w:pStyle w:val="Heading1"/>
        <w:spacing w:before="0" w:after="240" w:line="360" w:lineRule="auto"/>
        <w:jc w:val="both"/>
        <w:rPr>
          <w:rFonts w:ascii="Arial" w:eastAsia="Aptos" w:hAnsi="Arial" w:cs="Arial"/>
          <w:i/>
          <w:iCs/>
          <w:sz w:val="22"/>
          <w:szCs w:val="22"/>
        </w:rPr>
      </w:pPr>
      <w:bookmarkStart w:id="4" w:name="_Toc243668641"/>
      <w:r w:rsidRPr="004D5068">
        <w:rPr>
          <w:rFonts w:ascii="Arial" w:eastAsia="Aptos" w:hAnsi="Arial" w:cs="Arial"/>
          <w:sz w:val="22"/>
          <w:szCs w:val="22"/>
        </w:rPr>
        <w:lastRenderedPageBreak/>
        <w:t>Section 2: Pathophysiology</w:t>
      </w:r>
      <w:bookmarkEnd w:id="4"/>
      <w:r w:rsidRPr="004D5068">
        <w:rPr>
          <w:rFonts w:ascii="Arial" w:eastAsia="Aptos" w:hAnsi="Arial" w:cs="Arial"/>
          <w:i/>
          <w:iCs/>
          <w:sz w:val="22"/>
          <w:szCs w:val="22"/>
        </w:rPr>
        <w:t xml:space="preserve"> </w:t>
      </w:r>
    </w:p>
    <w:p w14:paraId="03CA2D1A" w14:textId="77777777" w:rsidR="00052ABA" w:rsidRPr="00052ABA" w:rsidRDefault="00052ABA" w:rsidP="00052ABA">
      <w:pPr>
        <w:spacing w:after="240" w:line="360" w:lineRule="auto"/>
        <w:jc w:val="both"/>
        <w:rPr>
          <w:rFonts w:ascii="Arial" w:hAnsi="Arial" w:cs="Arial"/>
          <w:sz w:val="22"/>
          <w:szCs w:val="22"/>
        </w:rPr>
      </w:pPr>
      <w:r w:rsidRPr="00052ABA">
        <w:rPr>
          <w:rFonts w:ascii="Arial" w:hAnsi="Arial" w:cs="Arial"/>
          <w:sz w:val="22"/>
          <w:szCs w:val="22"/>
        </w:rPr>
        <w:t>Pathophysiology focuses on the alteration of body functions caused by a disease. With Type 2 diabetes, blood glucose control is impaired by insulin resistance and by a progressive loss of insulin production. Insulin resistance means that muscle, fat and liver cells do not respond to insulin as effectively as they should. This causes a reduction in glucose going to muscle and fat cells and the liver may keep releasing glucose into the blood. The pancreas may try to make up for this in the early stages, but this can fail over time and this can leave blood glucose levels high (National Institute for Health and Care Excellence, 2026a).</w:t>
      </w:r>
    </w:p>
    <w:p w14:paraId="7E30F8BC" w14:textId="60527320" w:rsidR="00052ABA" w:rsidRPr="00052ABA" w:rsidRDefault="00052ABA" w:rsidP="00052ABA">
      <w:pPr>
        <w:spacing w:after="240" w:line="360" w:lineRule="auto"/>
        <w:jc w:val="both"/>
        <w:rPr>
          <w:rFonts w:ascii="Arial" w:hAnsi="Arial" w:cs="Arial"/>
          <w:sz w:val="22"/>
          <w:szCs w:val="22"/>
        </w:rPr>
      </w:pPr>
      <w:r w:rsidRPr="00052ABA">
        <w:rPr>
          <w:rFonts w:ascii="Arial" w:hAnsi="Arial" w:cs="Arial"/>
          <w:sz w:val="22"/>
          <w:szCs w:val="22"/>
        </w:rPr>
        <w:t>Leaving blood glucose at high levels for long periods of time can create damage to blood vessels and nerves. This can lead to an increased risk of cardiovascular disease, kidney ailments, retinal disease and peripheral neuropathy. These symptoms show that type 2 diabetes can impact more than just the body's blood glucose levels. It is important for early identification and management to help preserve health and minimi</w:t>
      </w:r>
      <w:r w:rsidR="007B144F">
        <w:rPr>
          <w:rFonts w:ascii="Arial" w:hAnsi="Arial" w:cs="Arial"/>
          <w:sz w:val="22"/>
          <w:szCs w:val="22"/>
        </w:rPr>
        <w:t>s</w:t>
      </w:r>
      <w:r w:rsidRPr="00052ABA">
        <w:rPr>
          <w:rFonts w:ascii="Arial" w:hAnsi="Arial" w:cs="Arial"/>
          <w:sz w:val="22"/>
          <w:szCs w:val="22"/>
        </w:rPr>
        <w:t>e the risk of complications in the future (NHS, 2026).</w:t>
      </w:r>
    </w:p>
    <w:p w14:paraId="37C350A3" w14:textId="77777777" w:rsidR="00052ABA" w:rsidRPr="00052ABA" w:rsidRDefault="00052ABA" w:rsidP="00052ABA">
      <w:pPr>
        <w:spacing w:after="240" w:line="360" w:lineRule="auto"/>
        <w:jc w:val="both"/>
        <w:rPr>
          <w:rFonts w:ascii="Arial" w:hAnsi="Arial" w:cs="Arial"/>
          <w:sz w:val="22"/>
          <w:szCs w:val="22"/>
        </w:rPr>
      </w:pPr>
      <w:r w:rsidRPr="00052ABA">
        <w:rPr>
          <w:rFonts w:ascii="Arial" w:hAnsi="Arial" w:cs="Arial"/>
          <w:sz w:val="22"/>
          <w:szCs w:val="22"/>
        </w:rPr>
        <w:t>Other lifestyle factors can affect diabetes control. If energy intake is consistently higher than the body's requirements, it can lead to an increase in body weight, especially from foods and drinks that are high in added sugar and energy density. More insulin resistance is seen in people who have excess body fat, particularly in their bellies. A healthy diet and a healthy weight can provide assistance with blood glucose control (Department of Health and Social Care, 2023).</w:t>
      </w:r>
    </w:p>
    <w:p w14:paraId="5AF95F4B" w14:textId="5E692337" w:rsidR="005B2F63" w:rsidRPr="004D5068" w:rsidRDefault="00052ABA" w:rsidP="00052ABA">
      <w:pPr>
        <w:spacing w:after="240" w:line="360" w:lineRule="auto"/>
        <w:jc w:val="both"/>
        <w:rPr>
          <w:rFonts w:ascii="Arial" w:hAnsi="Arial" w:cs="Arial"/>
          <w:sz w:val="22"/>
          <w:szCs w:val="22"/>
        </w:rPr>
      </w:pPr>
      <w:r w:rsidRPr="00052ABA">
        <w:rPr>
          <w:rFonts w:ascii="Arial" w:hAnsi="Arial" w:cs="Arial"/>
          <w:sz w:val="22"/>
          <w:szCs w:val="22"/>
        </w:rPr>
        <w:t>Exercise stimulates the use of glucose by working muscles, and may increase insulin sensitivity. However, the prolonged inactivity will decrease the muscles' ability to utili</w:t>
      </w:r>
      <w:r w:rsidR="007B144F">
        <w:rPr>
          <w:rFonts w:ascii="Arial" w:hAnsi="Arial" w:cs="Arial"/>
          <w:sz w:val="22"/>
          <w:szCs w:val="22"/>
        </w:rPr>
        <w:t>s</w:t>
      </w:r>
      <w:r w:rsidRPr="00052ABA">
        <w:rPr>
          <w:rFonts w:ascii="Arial" w:hAnsi="Arial" w:cs="Arial"/>
          <w:sz w:val="22"/>
          <w:szCs w:val="22"/>
        </w:rPr>
        <w:t>e glucose. Another is smoking, as it can enhance cardiovascular risk in those who already have an elevated risk with diabetes. However, lifestyle changes alone do not ensure reversal of diabetes, as there are also genetic and other factors to consider. Combining personalised lifestyle advice and appropriate monitoring and prescribed treatment as needed, where appropriate, should be considered by management (National Institute for Health and Care Excellence, 2026a)</w:t>
      </w:r>
      <w:r w:rsidR="002454D1" w:rsidRPr="004D5068">
        <w:rPr>
          <w:rFonts w:ascii="Arial" w:hAnsi="Arial" w:cs="Arial"/>
          <w:sz w:val="22"/>
          <w:szCs w:val="22"/>
        </w:rPr>
        <w:t>.</w:t>
      </w:r>
    </w:p>
    <w:p w14:paraId="2BC9B789" w14:textId="77777777" w:rsidR="005B2F63" w:rsidRPr="004D5068" w:rsidRDefault="005B2F63" w:rsidP="002454D1">
      <w:pPr>
        <w:pStyle w:val="Heading1"/>
        <w:spacing w:before="0" w:after="240" w:line="360" w:lineRule="auto"/>
        <w:jc w:val="both"/>
        <w:rPr>
          <w:rFonts w:ascii="Arial" w:eastAsia="Aptos" w:hAnsi="Arial" w:cs="Arial"/>
          <w:sz w:val="22"/>
          <w:szCs w:val="22"/>
        </w:rPr>
      </w:pPr>
      <w:bookmarkStart w:id="5" w:name="_Toc243668642"/>
      <w:r w:rsidRPr="004D5068">
        <w:rPr>
          <w:rFonts w:ascii="Arial" w:eastAsia="Aptos" w:hAnsi="Arial" w:cs="Arial"/>
          <w:sz w:val="22"/>
          <w:szCs w:val="22"/>
        </w:rPr>
        <w:t>Section 3: Monitoring &amp; Data Use</w:t>
      </w:r>
      <w:bookmarkEnd w:id="5"/>
      <w:r w:rsidRPr="004D5068">
        <w:rPr>
          <w:rFonts w:ascii="Arial" w:eastAsia="Aptos" w:hAnsi="Arial" w:cs="Arial"/>
          <w:sz w:val="22"/>
          <w:szCs w:val="22"/>
        </w:rPr>
        <w:t xml:space="preserve"> </w:t>
      </w:r>
    </w:p>
    <w:p w14:paraId="7492BCD6" w14:textId="77777777" w:rsidR="00BE4176" w:rsidRDefault="00BE4176" w:rsidP="000B4FDC">
      <w:pPr>
        <w:spacing w:after="240" w:line="360" w:lineRule="auto"/>
        <w:jc w:val="both"/>
        <w:rPr>
          <w:rFonts w:ascii="Arial" w:hAnsi="Arial" w:cs="Arial"/>
          <w:sz w:val="22"/>
          <w:szCs w:val="22"/>
        </w:rPr>
      </w:pPr>
      <w:r w:rsidRPr="00BE4176">
        <w:rPr>
          <w:rFonts w:ascii="Arial" w:hAnsi="Arial" w:cs="Arial"/>
          <w:sz w:val="22"/>
          <w:szCs w:val="22"/>
        </w:rPr>
        <w:t xml:space="preserve">People with Type 2 diabetes can use regular blood glucose monitoring and reviewing health information to get a clearer idea of how well their condition is being controlled. These records can also help health care workers understand how effective the treatment is, whether or not glucose levels are improving or deteriorating, and whether care needs to be adjusted. One </w:t>
      </w:r>
      <w:r w:rsidRPr="00BE4176">
        <w:rPr>
          <w:rFonts w:ascii="Arial" w:hAnsi="Arial" w:cs="Arial"/>
          <w:sz w:val="22"/>
          <w:szCs w:val="22"/>
        </w:rPr>
        <w:lastRenderedPageBreak/>
        <w:t>important measure is glycated haemoglobin (HbA1c), which provides an indication of average blood glucose levels over approximately two to three months. NICE advises HbA1c testing every three to six-months until glucose levels and treatment are stable, and then testing every six-months once the person's condition is stable (National Institute for Health and Care Excellence, 2026b).</w:t>
      </w:r>
    </w:p>
    <w:p w14:paraId="3C63552E" w14:textId="77777777" w:rsidR="000B4FDC" w:rsidRPr="000B4FDC" w:rsidRDefault="000B4FDC" w:rsidP="000B4FDC">
      <w:pPr>
        <w:spacing w:after="240" w:line="360" w:lineRule="auto"/>
        <w:jc w:val="both"/>
        <w:rPr>
          <w:rFonts w:ascii="Arial" w:hAnsi="Arial" w:cs="Arial"/>
          <w:sz w:val="22"/>
          <w:szCs w:val="22"/>
        </w:rPr>
      </w:pPr>
      <w:r w:rsidRPr="000B4FDC">
        <w:rPr>
          <w:rFonts w:ascii="Arial" w:hAnsi="Arial" w:cs="Arial"/>
          <w:sz w:val="22"/>
          <w:szCs w:val="22"/>
        </w:rPr>
        <w:t xml:space="preserve">Keeping a record of blood glucose levels can help people learn how food, exercise, illness, and meds affect their blood glucose. For instance, if readings are persistently high, it may be necessary to review the diet and/or need additional clinical support or medication. Readings below normal, on the other hand, may indicate low blood sugar, particularly if the individual is taking insulin or certain medications to decrease blood sugar. Patients may be advised and </w:t>
      </w:r>
      <w:r w:rsidR="002D0E66" w:rsidRPr="000B4FDC">
        <w:rPr>
          <w:rFonts w:ascii="Arial" w:hAnsi="Arial" w:cs="Arial"/>
          <w:sz w:val="22"/>
          <w:szCs w:val="22"/>
        </w:rPr>
        <w:t>counselled</w:t>
      </w:r>
      <w:r w:rsidRPr="000B4FDC">
        <w:rPr>
          <w:rFonts w:ascii="Arial" w:hAnsi="Arial" w:cs="Arial"/>
          <w:sz w:val="22"/>
          <w:szCs w:val="22"/>
        </w:rPr>
        <w:t xml:space="preserve"> appropriately if these patterns are recognised, preventing complications.</w:t>
      </w:r>
    </w:p>
    <w:p w14:paraId="49C78DDE" w14:textId="77777777" w:rsidR="000B4FDC" w:rsidRPr="000B4FDC" w:rsidRDefault="000B4FDC" w:rsidP="000B4FDC">
      <w:pPr>
        <w:spacing w:after="240" w:line="360" w:lineRule="auto"/>
        <w:jc w:val="both"/>
        <w:rPr>
          <w:rFonts w:ascii="Arial" w:hAnsi="Arial" w:cs="Arial"/>
          <w:sz w:val="22"/>
          <w:szCs w:val="22"/>
        </w:rPr>
      </w:pPr>
      <w:r w:rsidRPr="000B4FDC">
        <w:rPr>
          <w:rFonts w:ascii="Arial" w:hAnsi="Arial" w:cs="Arial"/>
          <w:sz w:val="22"/>
          <w:szCs w:val="22"/>
        </w:rPr>
        <w:t>However, not all adults with Type-2 diabetes require routine blood sugar testing. NICE does not recommend self-monitoring unless there are certain reasons including insulin therapy and the risk of hypoglycaemia. Monitoring should therefore be individualised according to treatment, clinical needs and the person's ability to interpret results (National Institute for Health and Care Excellence, 2026b).</w:t>
      </w:r>
    </w:p>
    <w:p w14:paraId="079A546B" w14:textId="77777777" w:rsidR="002454D1" w:rsidRPr="004D5068" w:rsidRDefault="000B4FDC" w:rsidP="000B4FDC">
      <w:pPr>
        <w:spacing w:after="240" w:line="360" w:lineRule="auto"/>
        <w:jc w:val="both"/>
        <w:rPr>
          <w:rFonts w:ascii="Arial" w:hAnsi="Arial" w:cs="Arial"/>
          <w:sz w:val="22"/>
          <w:szCs w:val="22"/>
        </w:rPr>
      </w:pPr>
      <w:r w:rsidRPr="000B4FDC">
        <w:rPr>
          <w:rFonts w:ascii="Arial" w:hAnsi="Arial" w:cs="Arial"/>
          <w:sz w:val="22"/>
          <w:szCs w:val="22"/>
        </w:rPr>
        <w:t>Healthcare workers should be able to describe how to get accurate results, when to know results are of concern, and when to seek assistance. Collecting data throughout appointments may also facilitate together making decisions regarding treatment and lifestyle modifications. However, risk of complications cannot be prevented with monitoring alone if the results of the monitoring do not result in the appropriate action</w:t>
      </w:r>
      <w:r w:rsidR="00CF6B3C" w:rsidRPr="004D5068">
        <w:rPr>
          <w:rFonts w:ascii="Arial" w:hAnsi="Arial" w:cs="Arial"/>
          <w:sz w:val="22"/>
          <w:szCs w:val="22"/>
        </w:rPr>
        <w:t>.</w:t>
      </w:r>
    </w:p>
    <w:p w14:paraId="46A54D62" w14:textId="77777777" w:rsidR="005B2F63" w:rsidRPr="004D5068" w:rsidRDefault="005B2F63" w:rsidP="005B2F63">
      <w:pPr>
        <w:pStyle w:val="Heading1"/>
        <w:spacing w:before="0" w:after="240" w:line="360" w:lineRule="auto"/>
        <w:jc w:val="both"/>
        <w:rPr>
          <w:rFonts w:ascii="Arial" w:eastAsia="Aptos" w:hAnsi="Arial" w:cs="Arial"/>
          <w:sz w:val="22"/>
          <w:szCs w:val="22"/>
        </w:rPr>
      </w:pPr>
      <w:bookmarkStart w:id="6" w:name="_Toc243668643"/>
      <w:r w:rsidRPr="004D5068">
        <w:rPr>
          <w:rFonts w:ascii="Arial" w:eastAsia="Aptos" w:hAnsi="Arial" w:cs="Arial"/>
          <w:sz w:val="22"/>
          <w:szCs w:val="22"/>
        </w:rPr>
        <w:t>Section 4: Evidence-Based Lifestyle Recommendations</w:t>
      </w:r>
      <w:bookmarkEnd w:id="6"/>
      <w:r w:rsidRPr="004D5068">
        <w:rPr>
          <w:rFonts w:ascii="Arial" w:eastAsia="Aptos" w:hAnsi="Arial" w:cs="Arial"/>
          <w:sz w:val="22"/>
          <w:szCs w:val="22"/>
        </w:rPr>
        <w:t xml:space="preserve"> </w:t>
      </w:r>
    </w:p>
    <w:p w14:paraId="4E969180" w14:textId="77777777" w:rsidR="00CF6B3C" w:rsidRPr="00CF6B3C" w:rsidRDefault="000B4FDC" w:rsidP="00CF6B3C">
      <w:pPr>
        <w:spacing w:after="240" w:line="360" w:lineRule="auto"/>
        <w:jc w:val="both"/>
        <w:rPr>
          <w:rFonts w:ascii="Arial" w:hAnsi="Arial" w:cs="Arial"/>
          <w:sz w:val="22"/>
          <w:szCs w:val="22"/>
        </w:rPr>
      </w:pPr>
      <w:r w:rsidRPr="000B4FDC">
        <w:rPr>
          <w:rFonts w:ascii="Arial" w:hAnsi="Arial" w:cs="Arial"/>
          <w:sz w:val="22"/>
          <w:szCs w:val="22"/>
        </w:rPr>
        <w:t>Lifestyle changes are an important part of the treatment for Type 2 diabetes, as adopting a healthy lifestyle can help to reduce the risk of cardiovascular conditions, normalise blood glucose levels and maintain long-term health. Recommendations need to be realistic, sustainable, and to be tailored to each person's situation, preferences, and treatment plan</w:t>
      </w:r>
      <w:r w:rsidR="00CF6B3C" w:rsidRPr="004D5068">
        <w:rPr>
          <w:rFonts w:ascii="Arial" w:hAnsi="Arial" w:cs="Arial"/>
          <w:sz w:val="22"/>
          <w:szCs w:val="22"/>
        </w:rPr>
        <w:t>.</w:t>
      </w:r>
    </w:p>
    <w:p w14:paraId="0158C0BB" w14:textId="77777777" w:rsidR="00CF6B3C" w:rsidRPr="004D5068" w:rsidRDefault="00CF6B3C" w:rsidP="009B2523">
      <w:pPr>
        <w:pStyle w:val="Heading2"/>
        <w:spacing w:before="0" w:line="360" w:lineRule="auto"/>
        <w:jc w:val="both"/>
        <w:rPr>
          <w:rFonts w:ascii="Arial" w:hAnsi="Arial" w:cs="Arial"/>
          <w:sz w:val="22"/>
          <w:szCs w:val="22"/>
        </w:rPr>
      </w:pPr>
      <w:bookmarkStart w:id="7" w:name="_Toc243668644"/>
      <w:r w:rsidRPr="004D5068">
        <w:rPr>
          <w:rFonts w:ascii="Arial" w:hAnsi="Arial" w:cs="Arial"/>
          <w:sz w:val="22"/>
          <w:szCs w:val="22"/>
        </w:rPr>
        <w:t>Healthy eating and dietary management</w:t>
      </w:r>
      <w:bookmarkEnd w:id="7"/>
    </w:p>
    <w:p w14:paraId="44E6889F" w14:textId="77777777" w:rsidR="00CF6B3C" w:rsidRPr="00CF6B3C" w:rsidRDefault="000B4FDC" w:rsidP="00CF6B3C">
      <w:pPr>
        <w:spacing w:after="240" w:line="360" w:lineRule="auto"/>
        <w:jc w:val="both"/>
        <w:rPr>
          <w:rFonts w:ascii="Arial" w:hAnsi="Arial" w:cs="Arial"/>
          <w:sz w:val="22"/>
          <w:szCs w:val="22"/>
        </w:rPr>
      </w:pPr>
      <w:r w:rsidRPr="000B4FDC">
        <w:rPr>
          <w:rFonts w:ascii="Arial" w:hAnsi="Arial" w:cs="Arial"/>
          <w:sz w:val="22"/>
          <w:szCs w:val="22"/>
        </w:rPr>
        <w:t xml:space="preserve">A healthy diet helps to balance blood glucose levels and also ensures a healthy weight. Individuals should be encouraged to eat vegetables, wholegrains, fruit in appropriate portions, pulses and other fibre-rich foods. Other lifestyle changes, including water consumption and avoiding high saturated fat and added sugar foods, will also help improve metabolic health. The Department of Health and Social Care (2023) states that good nutrition is crucial in preventing and controlling diet-related health risks. However, dietary guidance should not be </w:t>
      </w:r>
      <w:r w:rsidRPr="000B4FDC">
        <w:rPr>
          <w:rFonts w:ascii="Arial" w:hAnsi="Arial" w:cs="Arial"/>
          <w:sz w:val="22"/>
          <w:szCs w:val="22"/>
        </w:rPr>
        <w:lastRenderedPageBreak/>
        <w:t>too restrictive as drastic changes may be difficult to sustain. Lower carbohydrate diets may be suitable for certain adults but should be discussed with a health care professional, especially if medication for diabetes may need to be adjusted (Diabetes UK, 2020</w:t>
      </w:r>
      <w:r w:rsidR="00CF6B3C" w:rsidRPr="004D5068">
        <w:rPr>
          <w:rFonts w:ascii="Arial" w:hAnsi="Arial" w:cs="Arial"/>
          <w:sz w:val="22"/>
          <w:szCs w:val="22"/>
        </w:rPr>
        <w:t>).</w:t>
      </w:r>
    </w:p>
    <w:p w14:paraId="5B140890" w14:textId="77777777" w:rsidR="00CF6B3C" w:rsidRPr="004D5068" w:rsidRDefault="00CF6B3C" w:rsidP="00CF6B3C">
      <w:pPr>
        <w:pStyle w:val="Heading2"/>
        <w:spacing w:before="0" w:line="360" w:lineRule="auto"/>
        <w:jc w:val="both"/>
        <w:rPr>
          <w:rFonts w:ascii="Arial" w:hAnsi="Arial" w:cs="Arial"/>
          <w:sz w:val="22"/>
          <w:szCs w:val="22"/>
        </w:rPr>
      </w:pPr>
      <w:bookmarkStart w:id="8" w:name="_Toc243668645"/>
      <w:r w:rsidRPr="004D5068">
        <w:rPr>
          <w:rFonts w:ascii="Arial" w:hAnsi="Arial" w:cs="Arial"/>
          <w:sz w:val="22"/>
          <w:szCs w:val="22"/>
        </w:rPr>
        <w:t>Regular physical activity</w:t>
      </w:r>
      <w:bookmarkEnd w:id="8"/>
    </w:p>
    <w:p w14:paraId="2A996896" w14:textId="77777777" w:rsidR="00CF6B3C" w:rsidRPr="00CF6B3C" w:rsidRDefault="009B2523" w:rsidP="00CF6B3C">
      <w:pPr>
        <w:spacing w:after="240" w:line="360" w:lineRule="auto"/>
        <w:jc w:val="both"/>
        <w:rPr>
          <w:rFonts w:ascii="Arial" w:hAnsi="Arial" w:cs="Arial"/>
          <w:sz w:val="22"/>
          <w:szCs w:val="22"/>
        </w:rPr>
      </w:pPr>
      <w:r w:rsidRPr="004D5068">
        <w:rPr>
          <w:rFonts w:ascii="Arial" w:hAnsi="Arial" w:cs="Arial"/>
          <w:sz w:val="22"/>
          <w:szCs w:val="22"/>
        </w:rPr>
        <w:t>Exercise enhances insulin sensitivity and increases the effectiveness of muscle uptake of glucose. Adults should be encouraged to work towards at least 150 minutes of moderate-intensity activity each week, where appropriate, alongside activities that strengthen muscles. There are also practical suggestions to consider, such as walking, cycling and swimming being part of everyday life (Department of Health and Social Care, 2026). Slowly introducing the program and establishing attainable objectives can enhance engagement, especially among those who are not active. Exercise plans should consider mobility limitations and other health conditions.</w:t>
      </w:r>
    </w:p>
    <w:p w14:paraId="5A4E0806" w14:textId="77777777" w:rsidR="00CF6B3C" w:rsidRPr="004D5068" w:rsidRDefault="00CF6B3C" w:rsidP="00CF6B3C">
      <w:pPr>
        <w:pStyle w:val="Heading2"/>
        <w:spacing w:before="0" w:line="360" w:lineRule="auto"/>
        <w:jc w:val="both"/>
        <w:rPr>
          <w:rFonts w:ascii="Arial" w:hAnsi="Arial" w:cs="Arial"/>
          <w:sz w:val="22"/>
          <w:szCs w:val="22"/>
        </w:rPr>
      </w:pPr>
      <w:bookmarkStart w:id="9" w:name="_Toc243668646"/>
      <w:r w:rsidRPr="004D5068">
        <w:rPr>
          <w:rFonts w:ascii="Arial" w:hAnsi="Arial" w:cs="Arial"/>
          <w:sz w:val="22"/>
          <w:szCs w:val="22"/>
        </w:rPr>
        <w:t>Weight management</w:t>
      </w:r>
      <w:bookmarkEnd w:id="9"/>
    </w:p>
    <w:p w14:paraId="7E96BD98" w14:textId="77777777" w:rsidR="00CF6B3C" w:rsidRPr="00CF6B3C" w:rsidRDefault="009B2523" w:rsidP="00CF6B3C">
      <w:pPr>
        <w:spacing w:after="240" w:line="360" w:lineRule="auto"/>
        <w:jc w:val="both"/>
        <w:rPr>
          <w:rFonts w:ascii="Arial" w:hAnsi="Arial" w:cs="Arial"/>
          <w:sz w:val="22"/>
          <w:szCs w:val="22"/>
        </w:rPr>
      </w:pPr>
      <w:r w:rsidRPr="004D5068">
        <w:rPr>
          <w:rFonts w:ascii="Arial" w:hAnsi="Arial" w:cs="Arial"/>
          <w:sz w:val="22"/>
          <w:szCs w:val="22"/>
        </w:rPr>
        <w:t>Maintaining a healthy weight can enhance insulin sensitivity and glucose control in people with overweight or obesity. NICE (2025) advocates for weight management, using supportive and person-centred approaches. Healthcare professionals need to avoid stigmatising language and set realistic targets with patients. As well as weight loss, improvements in physical activity, glucose control and overall wellbeing are also important and should be presented as weight loss is not the only measure of success.</w:t>
      </w:r>
    </w:p>
    <w:p w14:paraId="77F4743D" w14:textId="77777777" w:rsidR="00CF6B3C" w:rsidRPr="004D5068" w:rsidRDefault="00CF6B3C" w:rsidP="00CF6B3C">
      <w:pPr>
        <w:pStyle w:val="Heading2"/>
        <w:spacing w:before="0" w:line="360" w:lineRule="auto"/>
        <w:jc w:val="both"/>
        <w:rPr>
          <w:rFonts w:ascii="Arial" w:hAnsi="Arial" w:cs="Arial"/>
          <w:sz w:val="22"/>
          <w:szCs w:val="22"/>
        </w:rPr>
      </w:pPr>
      <w:bookmarkStart w:id="10" w:name="_Toc243668647"/>
      <w:r w:rsidRPr="004D5068">
        <w:rPr>
          <w:rFonts w:ascii="Arial" w:hAnsi="Arial" w:cs="Arial"/>
          <w:sz w:val="22"/>
          <w:szCs w:val="22"/>
        </w:rPr>
        <w:t>Smoking cessation</w:t>
      </w:r>
      <w:bookmarkEnd w:id="10"/>
    </w:p>
    <w:p w14:paraId="781C4A75" w14:textId="77777777" w:rsidR="00C33F1C" w:rsidRPr="004D5068" w:rsidRDefault="009B2523" w:rsidP="005B2F63">
      <w:pPr>
        <w:spacing w:after="240" w:line="360" w:lineRule="auto"/>
        <w:jc w:val="both"/>
        <w:rPr>
          <w:rFonts w:ascii="Arial" w:hAnsi="Arial" w:cs="Arial"/>
          <w:sz w:val="22"/>
          <w:szCs w:val="22"/>
        </w:rPr>
      </w:pPr>
      <w:r w:rsidRPr="004D5068">
        <w:rPr>
          <w:rFonts w:ascii="Arial" w:hAnsi="Arial" w:cs="Arial"/>
          <w:sz w:val="22"/>
          <w:szCs w:val="22"/>
        </w:rPr>
        <w:t>Quitting smoking is especially beneficial because diabetes and smoking are both risk factors for heart disease. Nurses can offer short-term counselling, talk to patients about the reasons they are not quitting, and refer patients to available quit services. While quitting smoking won't cure diabetes, it will lower an important modifiable health risk.</w:t>
      </w:r>
    </w:p>
    <w:p w14:paraId="706165E8" w14:textId="77777777" w:rsidR="005B2F63" w:rsidRPr="004D5068" w:rsidRDefault="005B2F63" w:rsidP="005B2F63">
      <w:pPr>
        <w:pStyle w:val="Heading1"/>
        <w:spacing w:before="0" w:line="360" w:lineRule="auto"/>
        <w:rPr>
          <w:rFonts w:ascii="Arial" w:eastAsia="Aptos" w:hAnsi="Arial" w:cs="Arial"/>
          <w:sz w:val="22"/>
          <w:szCs w:val="22"/>
        </w:rPr>
      </w:pPr>
      <w:bookmarkStart w:id="11" w:name="_Toc243668648"/>
      <w:r w:rsidRPr="004D5068">
        <w:rPr>
          <w:rFonts w:ascii="Arial" w:eastAsia="Aptos" w:hAnsi="Arial" w:cs="Arial"/>
          <w:sz w:val="22"/>
          <w:szCs w:val="22"/>
        </w:rPr>
        <w:t>Conclusion</w:t>
      </w:r>
      <w:bookmarkEnd w:id="11"/>
      <w:r w:rsidRPr="004D5068">
        <w:rPr>
          <w:rFonts w:ascii="Arial" w:eastAsia="Aptos" w:hAnsi="Arial" w:cs="Arial"/>
          <w:sz w:val="22"/>
          <w:szCs w:val="22"/>
        </w:rPr>
        <w:t xml:space="preserve"> </w:t>
      </w:r>
    </w:p>
    <w:p w14:paraId="638F7BC7" w14:textId="77777777" w:rsidR="000E1E7A" w:rsidRPr="000E1E7A" w:rsidRDefault="000E1E7A" w:rsidP="000E1E7A">
      <w:pPr>
        <w:spacing w:after="240" w:line="360" w:lineRule="auto"/>
        <w:jc w:val="both"/>
        <w:rPr>
          <w:rFonts w:ascii="Arial" w:hAnsi="Arial" w:cs="Arial"/>
          <w:sz w:val="22"/>
          <w:szCs w:val="22"/>
        </w:rPr>
      </w:pPr>
      <w:r w:rsidRPr="000E1E7A">
        <w:rPr>
          <w:rFonts w:ascii="Arial" w:hAnsi="Arial" w:cs="Arial"/>
          <w:sz w:val="22"/>
          <w:szCs w:val="22"/>
        </w:rPr>
        <w:t>Type 2 diabetes is a chronic disease in which the body doesn't use insulin as it should, and doesn't make enough insulin. Knowing the relationship between the pancreas, insulin and glucagon contributes to the understanding of why glucose will rise. Glucose and oxygen are also important in cellular respiration because they produce ATP that is the energy for important cellular processes. Regularly raised blood glucose levels can cause complications to different systems of the body due to damage to blood vessels and nerves (NHS, 2026).</w:t>
      </w:r>
    </w:p>
    <w:p w14:paraId="128C5CEF" w14:textId="77777777" w:rsidR="000E1E7A" w:rsidRPr="000E1E7A" w:rsidRDefault="000E1E7A" w:rsidP="000E1E7A">
      <w:pPr>
        <w:spacing w:after="240" w:line="360" w:lineRule="auto"/>
        <w:jc w:val="both"/>
        <w:rPr>
          <w:rFonts w:ascii="Arial" w:hAnsi="Arial" w:cs="Arial"/>
          <w:sz w:val="22"/>
          <w:szCs w:val="22"/>
        </w:rPr>
      </w:pPr>
      <w:r w:rsidRPr="000E1E7A">
        <w:rPr>
          <w:rFonts w:ascii="Arial" w:hAnsi="Arial" w:cs="Arial"/>
          <w:sz w:val="22"/>
          <w:szCs w:val="22"/>
        </w:rPr>
        <w:t xml:space="preserve">This report has demonstrated the importance of measuring, and looking at health data over time. HbA1c testing and, if necessary, personal glucose readings can be used to monitor the </w:t>
      </w:r>
      <w:r w:rsidRPr="000E1E7A">
        <w:rPr>
          <w:rFonts w:ascii="Arial" w:hAnsi="Arial" w:cs="Arial"/>
          <w:sz w:val="22"/>
          <w:szCs w:val="22"/>
        </w:rPr>
        <w:lastRenderedPageBreak/>
        <w:t>effectiveness of treatment and changes that need to be made. However, there is more involved than collecting measurements, and the results have to be interpreted accurately and action taken appropriately based on the data (National Institute for Health and Care Excellence, 2026b).</w:t>
      </w:r>
    </w:p>
    <w:p w14:paraId="2DD5F5EC" w14:textId="77777777" w:rsidR="000E1E7A" w:rsidRPr="000E1E7A" w:rsidRDefault="000E1E7A" w:rsidP="000E1E7A">
      <w:pPr>
        <w:spacing w:after="240" w:line="360" w:lineRule="auto"/>
        <w:jc w:val="both"/>
        <w:rPr>
          <w:rFonts w:ascii="Arial" w:hAnsi="Arial" w:cs="Arial"/>
          <w:sz w:val="22"/>
          <w:szCs w:val="22"/>
        </w:rPr>
      </w:pPr>
      <w:r w:rsidRPr="000E1E7A">
        <w:rPr>
          <w:rFonts w:ascii="Arial" w:hAnsi="Arial" w:cs="Arial"/>
          <w:sz w:val="22"/>
          <w:szCs w:val="22"/>
        </w:rPr>
        <w:t>Good nutrition, regular exercise, healthy weight management and quit smoking will help control glucose and decrease cardiovascular risk. These measures must be tailored to the needs of each individual and used in conjunction with prescribed medication, if needed, but not as a substitute for medical treatment.</w:t>
      </w:r>
    </w:p>
    <w:p w14:paraId="044821F3" w14:textId="77777777" w:rsidR="00C33F1C" w:rsidRPr="004D5068" w:rsidRDefault="000E1E7A" w:rsidP="000E1E7A">
      <w:pPr>
        <w:spacing w:after="240" w:line="360" w:lineRule="auto"/>
        <w:jc w:val="both"/>
        <w:rPr>
          <w:rFonts w:ascii="Arial" w:hAnsi="Arial" w:cs="Arial"/>
          <w:sz w:val="22"/>
          <w:szCs w:val="22"/>
        </w:rPr>
      </w:pPr>
      <w:r w:rsidRPr="000E1E7A">
        <w:rPr>
          <w:rFonts w:ascii="Arial" w:hAnsi="Arial" w:cs="Arial"/>
          <w:sz w:val="22"/>
          <w:szCs w:val="22"/>
        </w:rPr>
        <w:t>Healthcare professionals including practice nurses play a crucial role in providing information and education about diabetes, assisting patients to interpret their monitoring data and ensuring that they are able to make informed choices regarding treatment. Recommendations need to consider personal preferences, cultural food practices and financial means in the advice given as this may impact on the feasibility of recommendations. Overall, with patient education, appropriate monitoring, regular clinical review and sustainable lifestyle changes, people with Type 2 diabetes can manage their condition better, keep up their quality of life and minimise the risk of complications.</w:t>
      </w:r>
    </w:p>
    <w:p w14:paraId="5E4B1821" w14:textId="77777777" w:rsidR="00C33F1C" w:rsidRPr="004D5068" w:rsidRDefault="00C33F1C" w:rsidP="005B2F63">
      <w:pPr>
        <w:spacing w:after="240" w:line="360" w:lineRule="auto"/>
        <w:jc w:val="both"/>
        <w:rPr>
          <w:rFonts w:ascii="Arial" w:hAnsi="Arial" w:cs="Arial"/>
          <w:sz w:val="22"/>
          <w:szCs w:val="22"/>
        </w:rPr>
      </w:pPr>
    </w:p>
    <w:p w14:paraId="01E99451" w14:textId="77777777" w:rsidR="00C33F1C" w:rsidRPr="004D5068" w:rsidRDefault="00C33F1C" w:rsidP="005B2F63">
      <w:pPr>
        <w:spacing w:after="240" w:line="360" w:lineRule="auto"/>
        <w:jc w:val="both"/>
        <w:rPr>
          <w:rFonts w:ascii="Arial" w:hAnsi="Arial" w:cs="Arial"/>
          <w:sz w:val="22"/>
          <w:szCs w:val="22"/>
        </w:rPr>
      </w:pPr>
    </w:p>
    <w:p w14:paraId="78EB913C" w14:textId="77777777" w:rsidR="00C33F1C" w:rsidRPr="004D5068" w:rsidRDefault="00C33F1C" w:rsidP="005B2F63">
      <w:pPr>
        <w:spacing w:after="240" w:line="360" w:lineRule="auto"/>
        <w:jc w:val="both"/>
        <w:rPr>
          <w:rFonts w:ascii="Arial" w:hAnsi="Arial" w:cs="Arial"/>
          <w:sz w:val="22"/>
          <w:szCs w:val="22"/>
        </w:rPr>
      </w:pPr>
    </w:p>
    <w:p w14:paraId="002F9248"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br w:type="page"/>
      </w:r>
    </w:p>
    <w:p w14:paraId="3C0B725A" w14:textId="77777777" w:rsidR="00C33F1C" w:rsidRPr="004D5068" w:rsidRDefault="00C33F1C" w:rsidP="005B2F63">
      <w:pPr>
        <w:pStyle w:val="Heading1"/>
        <w:spacing w:before="0" w:after="240" w:line="360" w:lineRule="auto"/>
        <w:jc w:val="both"/>
        <w:rPr>
          <w:rFonts w:ascii="Arial" w:hAnsi="Arial" w:cs="Arial"/>
          <w:sz w:val="22"/>
          <w:szCs w:val="22"/>
        </w:rPr>
      </w:pPr>
      <w:bookmarkStart w:id="12" w:name="_Toc243668649"/>
      <w:r w:rsidRPr="004D5068">
        <w:rPr>
          <w:rFonts w:ascii="Arial" w:hAnsi="Arial" w:cs="Arial"/>
          <w:sz w:val="22"/>
          <w:szCs w:val="22"/>
        </w:rPr>
        <w:lastRenderedPageBreak/>
        <w:t>Reference</w:t>
      </w:r>
      <w:bookmarkEnd w:id="12"/>
    </w:p>
    <w:p w14:paraId="1E2EC841"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 xml:space="preserve">Department of Health and Social Care (2023). Healthy eating: applying All Our Health. Available at: </w:t>
      </w:r>
      <w:hyperlink r:id="rId12" w:history="1">
        <w:r w:rsidRPr="004D5068">
          <w:rPr>
            <w:rStyle w:val="Hyperlink"/>
            <w:rFonts w:ascii="Arial" w:hAnsi="Arial" w:cs="Arial"/>
            <w:sz w:val="22"/>
            <w:szCs w:val="22"/>
          </w:rPr>
          <w:t>https://www.gov.uk/government/publications/healthy-eating-applying-all-our-health/healthy-eating-applying-all-our-health</w:t>
        </w:r>
      </w:hyperlink>
      <w:r w:rsidRPr="004D5068">
        <w:rPr>
          <w:rFonts w:ascii="Arial" w:hAnsi="Arial" w:cs="Arial"/>
          <w:sz w:val="22"/>
          <w:szCs w:val="22"/>
        </w:rPr>
        <w:t xml:space="preserve"> (Accessed: 20 October 2026).</w:t>
      </w:r>
    </w:p>
    <w:p w14:paraId="03C53A83"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 xml:space="preserve">Department of Health and Social Care (2026). UK Chief Medical Officers’ physical activity guidelines. Available at: </w:t>
      </w:r>
      <w:hyperlink r:id="rId13" w:history="1">
        <w:r w:rsidR="00645584" w:rsidRPr="004D5068">
          <w:rPr>
            <w:rStyle w:val="Hyperlink"/>
            <w:rFonts w:ascii="Arial" w:hAnsi="Arial" w:cs="Arial"/>
            <w:sz w:val="22"/>
            <w:szCs w:val="22"/>
          </w:rPr>
          <w:t>https://www.gov.uk/government/publications/physical-activity-guidelines-uk-chief-medical-officers-report/uk-chief-medical-officers-physical-activity-guidelines</w:t>
        </w:r>
      </w:hyperlink>
      <w:r w:rsidR="00645584" w:rsidRPr="004D5068">
        <w:rPr>
          <w:rFonts w:ascii="Arial" w:hAnsi="Arial" w:cs="Arial"/>
          <w:sz w:val="22"/>
          <w:szCs w:val="22"/>
        </w:rPr>
        <w:t xml:space="preserve"> </w:t>
      </w:r>
      <w:r w:rsidRPr="004D5068">
        <w:rPr>
          <w:rFonts w:ascii="Arial" w:hAnsi="Arial" w:cs="Arial"/>
          <w:sz w:val="22"/>
          <w:szCs w:val="22"/>
        </w:rPr>
        <w:t>(Accessed: 20 October 2026).</w:t>
      </w:r>
    </w:p>
    <w:p w14:paraId="40625F59"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Diabetes UK (202</w:t>
      </w:r>
      <w:r w:rsidR="00645584" w:rsidRPr="004D5068">
        <w:rPr>
          <w:rFonts w:ascii="Arial" w:hAnsi="Arial" w:cs="Arial"/>
          <w:sz w:val="22"/>
          <w:szCs w:val="22"/>
        </w:rPr>
        <w:t>0</w:t>
      </w:r>
      <w:r w:rsidRPr="004D5068">
        <w:rPr>
          <w:rFonts w:ascii="Arial" w:hAnsi="Arial" w:cs="Arial"/>
          <w:sz w:val="22"/>
          <w:szCs w:val="22"/>
        </w:rPr>
        <w:t>)</w:t>
      </w:r>
      <w:r w:rsidR="00645584" w:rsidRPr="004D5068">
        <w:rPr>
          <w:rFonts w:ascii="Arial" w:hAnsi="Arial" w:cs="Arial"/>
          <w:sz w:val="22"/>
          <w:szCs w:val="22"/>
        </w:rPr>
        <w:t>.</w:t>
      </w:r>
      <w:r w:rsidRPr="004D5068">
        <w:rPr>
          <w:rFonts w:ascii="Arial" w:hAnsi="Arial" w:cs="Arial"/>
          <w:sz w:val="22"/>
          <w:szCs w:val="22"/>
        </w:rPr>
        <w:t xml:space="preserve"> Lower carbohydrate diets for adults with type 2 diabetes: SACN report. Available at: </w:t>
      </w:r>
      <w:hyperlink r:id="rId14" w:history="1">
        <w:r w:rsidR="00645584" w:rsidRPr="004D5068">
          <w:rPr>
            <w:rStyle w:val="Hyperlink"/>
            <w:rFonts w:ascii="Arial" w:hAnsi="Arial" w:cs="Arial"/>
            <w:sz w:val="22"/>
            <w:szCs w:val="22"/>
          </w:rPr>
          <w:t>https://assets.publishing.service.gov.uk/media/612f9de2e90e070418e4af32/SACN_report_on_lower_carbohydrate_diets_for_type_2_diabetes.pdf</w:t>
        </w:r>
      </w:hyperlink>
      <w:r w:rsidR="00645584" w:rsidRPr="004D5068">
        <w:rPr>
          <w:rFonts w:ascii="Arial" w:hAnsi="Arial" w:cs="Arial"/>
          <w:sz w:val="22"/>
          <w:szCs w:val="22"/>
        </w:rPr>
        <w:t xml:space="preserve"> </w:t>
      </w:r>
      <w:r w:rsidRPr="004D5068">
        <w:rPr>
          <w:rFonts w:ascii="Arial" w:hAnsi="Arial" w:cs="Arial"/>
          <w:sz w:val="22"/>
          <w:szCs w:val="22"/>
        </w:rPr>
        <w:t>(Accessed: 20 October 2026).</w:t>
      </w:r>
    </w:p>
    <w:p w14:paraId="18F0B62C"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Diabetes UK (2024</w:t>
      </w:r>
      <w:r w:rsidR="00AC1294" w:rsidRPr="004D5068">
        <w:rPr>
          <w:rFonts w:ascii="Arial" w:hAnsi="Arial" w:cs="Arial"/>
          <w:sz w:val="22"/>
          <w:szCs w:val="22"/>
        </w:rPr>
        <w:t>a</w:t>
      </w:r>
      <w:r w:rsidRPr="004D5068">
        <w:rPr>
          <w:rFonts w:ascii="Arial" w:hAnsi="Arial" w:cs="Arial"/>
          <w:sz w:val="22"/>
          <w:szCs w:val="22"/>
        </w:rPr>
        <w:t>)</w:t>
      </w:r>
      <w:r w:rsidR="0060730F" w:rsidRPr="004D5068">
        <w:rPr>
          <w:rFonts w:ascii="Arial" w:hAnsi="Arial" w:cs="Arial"/>
          <w:sz w:val="22"/>
          <w:szCs w:val="22"/>
        </w:rPr>
        <w:t>.</w:t>
      </w:r>
      <w:r w:rsidRPr="004D5068">
        <w:rPr>
          <w:rFonts w:ascii="Arial" w:hAnsi="Arial" w:cs="Arial"/>
          <w:sz w:val="22"/>
          <w:szCs w:val="22"/>
        </w:rPr>
        <w:t xml:space="preserve"> Diabetes is Serious: Reports from Across the UK. Available at: </w:t>
      </w:r>
      <w:hyperlink r:id="rId15" w:history="1">
        <w:r w:rsidR="00AC1294" w:rsidRPr="004D5068">
          <w:rPr>
            <w:rStyle w:val="Hyperlink"/>
            <w:rFonts w:ascii="Arial" w:hAnsi="Arial" w:cs="Arial"/>
            <w:sz w:val="22"/>
            <w:szCs w:val="22"/>
          </w:rPr>
          <w:t>https://www.diabetes.org.uk/support-us/campaign/diabetes-is-serious/across-the-UK/our-reports</w:t>
        </w:r>
      </w:hyperlink>
      <w:r w:rsidR="00AC1294" w:rsidRPr="004D5068">
        <w:rPr>
          <w:rFonts w:ascii="Arial" w:hAnsi="Arial" w:cs="Arial"/>
          <w:sz w:val="22"/>
          <w:szCs w:val="22"/>
        </w:rPr>
        <w:t xml:space="preserve"> </w:t>
      </w:r>
      <w:r w:rsidRPr="004D5068">
        <w:rPr>
          <w:rFonts w:ascii="Arial" w:hAnsi="Arial" w:cs="Arial"/>
          <w:sz w:val="22"/>
          <w:szCs w:val="22"/>
        </w:rPr>
        <w:t>((Accessed: 20 October 2026).</w:t>
      </w:r>
    </w:p>
    <w:p w14:paraId="65896B7B" w14:textId="77777777" w:rsidR="00AC1294" w:rsidRPr="004D5068" w:rsidRDefault="00AC1294" w:rsidP="005B2F63">
      <w:pPr>
        <w:spacing w:after="240" w:line="360" w:lineRule="auto"/>
        <w:jc w:val="both"/>
        <w:rPr>
          <w:rFonts w:ascii="Arial" w:hAnsi="Arial" w:cs="Arial"/>
          <w:sz w:val="22"/>
          <w:szCs w:val="22"/>
        </w:rPr>
      </w:pPr>
      <w:r w:rsidRPr="004D5068">
        <w:rPr>
          <w:rFonts w:ascii="Arial" w:hAnsi="Arial" w:cs="Arial"/>
          <w:sz w:val="22"/>
          <w:szCs w:val="22"/>
        </w:rPr>
        <w:t xml:space="preserve">Diabetes UK (2024b). Reverse the Trend: Reducing Type 2 Diabetes in Young People. Available at: </w:t>
      </w:r>
      <w:hyperlink r:id="rId16" w:history="1">
        <w:r w:rsidRPr="004D5068">
          <w:rPr>
            <w:rStyle w:val="Hyperlink"/>
            <w:rFonts w:ascii="Arial" w:hAnsi="Arial" w:cs="Arial"/>
            <w:sz w:val="22"/>
            <w:szCs w:val="22"/>
          </w:rPr>
          <w:t>https://www.diabetes.org.uk/sites/default/files/2024-06/Reverse%20the%20Trend%20report%20V2.pdf</w:t>
        </w:r>
      </w:hyperlink>
      <w:r w:rsidRPr="004D5068">
        <w:rPr>
          <w:rFonts w:ascii="Arial" w:hAnsi="Arial" w:cs="Arial"/>
          <w:sz w:val="22"/>
          <w:szCs w:val="22"/>
        </w:rPr>
        <w:t>? (Accessed: 20 October 2026).</w:t>
      </w:r>
    </w:p>
    <w:p w14:paraId="63ED420C"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National Institute for Health and Care Excellence (202</w:t>
      </w:r>
      <w:r w:rsidR="0060730F" w:rsidRPr="004D5068">
        <w:rPr>
          <w:rFonts w:ascii="Arial" w:hAnsi="Arial" w:cs="Arial"/>
          <w:sz w:val="22"/>
          <w:szCs w:val="22"/>
        </w:rPr>
        <w:t>3b</w:t>
      </w:r>
      <w:r w:rsidRPr="004D5068">
        <w:rPr>
          <w:rFonts w:ascii="Arial" w:hAnsi="Arial" w:cs="Arial"/>
          <w:sz w:val="22"/>
          <w:szCs w:val="22"/>
        </w:rPr>
        <w:t>)</w:t>
      </w:r>
      <w:r w:rsidR="0060730F" w:rsidRPr="004D5068">
        <w:rPr>
          <w:rFonts w:ascii="Arial" w:hAnsi="Arial" w:cs="Arial"/>
          <w:sz w:val="22"/>
          <w:szCs w:val="22"/>
        </w:rPr>
        <w:t xml:space="preserve">. </w:t>
      </w:r>
      <w:r w:rsidRPr="004D5068">
        <w:rPr>
          <w:rFonts w:ascii="Arial" w:hAnsi="Arial" w:cs="Arial"/>
          <w:sz w:val="22"/>
          <w:szCs w:val="22"/>
        </w:rPr>
        <w:t xml:space="preserve">Type 2 diabetes in adults. Quality standard QS209. Available at: </w:t>
      </w:r>
      <w:hyperlink r:id="rId17" w:history="1">
        <w:r w:rsidR="0060730F" w:rsidRPr="004D5068">
          <w:rPr>
            <w:rStyle w:val="Hyperlink"/>
            <w:rFonts w:ascii="Arial" w:hAnsi="Arial" w:cs="Arial"/>
            <w:sz w:val="22"/>
            <w:szCs w:val="22"/>
          </w:rPr>
          <w:t>https://www.nice.org.uk/guidance/qs209</w:t>
        </w:r>
      </w:hyperlink>
      <w:r w:rsidR="0060730F" w:rsidRPr="004D5068">
        <w:rPr>
          <w:rFonts w:ascii="Arial" w:hAnsi="Arial" w:cs="Arial"/>
          <w:sz w:val="22"/>
          <w:szCs w:val="22"/>
        </w:rPr>
        <w:t xml:space="preserve"> </w:t>
      </w:r>
      <w:r w:rsidRPr="004D5068">
        <w:rPr>
          <w:rFonts w:ascii="Arial" w:hAnsi="Arial" w:cs="Arial"/>
          <w:sz w:val="22"/>
          <w:szCs w:val="22"/>
        </w:rPr>
        <w:t>(Accessed: 20 October 2026).</w:t>
      </w:r>
    </w:p>
    <w:p w14:paraId="200BA393"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National Institute for Health and Care Excellence (202</w:t>
      </w:r>
      <w:r w:rsidR="0060730F" w:rsidRPr="004D5068">
        <w:rPr>
          <w:rFonts w:ascii="Arial" w:hAnsi="Arial" w:cs="Arial"/>
          <w:sz w:val="22"/>
          <w:szCs w:val="22"/>
        </w:rPr>
        <w:t>3a</w:t>
      </w:r>
      <w:r w:rsidRPr="004D5068">
        <w:rPr>
          <w:rFonts w:ascii="Arial" w:hAnsi="Arial" w:cs="Arial"/>
          <w:sz w:val="22"/>
          <w:szCs w:val="22"/>
        </w:rPr>
        <w:t>)</w:t>
      </w:r>
      <w:r w:rsidR="0060730F" w:rsidRPr="004D5068">
        <w:rPr>
          <w:rFonts w:ascii="Arial" w:hAnsi="Arial" w:cs="Arial"/>
          <w:sz w:val="22"/>
          <w:szCs w:val="22"/>
        </w:rPr>
        <w:t>.</w:t>
      </w:r>
      <w:r w:rsidRPr="004D5068">
        <w:rPr>
          <w:rFonts w:ascii="Arial" w:hAnsi="Arial" w:cs="Arial"/>
          <w:sz w:val="22"/>
          <w:szCs w:val="22"/>
        </w:rPr>
        <w:t xml:space="preserve"> </w:t>
      </w:r>
      <w:r w:rsidR="0060730F" w:rsidRPr="004D5068">
        <w:rPr>
          <w:rFonts w:ascii="Arial" w:hAnsi="Arial" w:cs="Arial"/>
          <w:sz w:val="22"/>
          <w:szCs w:val="22"/>
        </w:rPr>
        <w:t xml:space="preserve">Type 2 diabetes in adults. </w:t>
      </w:r>
      <w:r w:rsidRPr="004D5068">
        <w:rPr>
          <w:rFonts w:ascii="Arial" w:hAnsi="Arial" w:cs="Arial"/>
          <w:sz w:val="22"/>
          <w:szCs w:val="22"/>
        </w:rPr>
        <w:t xml:space="preserve">Quality statement 1: Preventing type 2 diabetes. Available at: </w:t>
      </w:r>
      <w:hyperlink r:id="rId18" w:history="1">
        <w:r w:rsidR="0060730F" w:rsidRPr="004D5068">
          <w:rPr>
            <w:rStyle w:val="Hyperlink"/>
            <w:rFonts w:ascii="Arial" w:hAnsi="Arial" w:cs="Arial"/>
            <w:sz w:val="22"/>
            <w:szCs w:val="22"/>
          </w:rPr>
          <w:t>https://www.nice.org.uk/guidance/qs209/chapter/Quality-statement-1-Preventing-type-2-diabetes</w:t>
        </w:r>
      </w:hyperlink>
      <w:r w:rsidR="0060730F" w:rsidRPr="004D5068">
        <w:rPr>
          <w:rFonts w:ascii="Arial" w:hAnsi="Arial" w:cs="Arial"/>
          <w:sz w:val="22"/>
          <w:szCs w:val="22"/>
        </w:rPr>
        <w:t xml:space="preserve"> </w:t>
      </w:r>
      <w:r w:rsidRPr="004D5068">
        <w:rPr>
          <w:rFonts w:ascii="Arial" w:hAnsi="Arial" w:cs="Arial"/>
          <w:sz w:val="22"/>
          <w:szCs w:val="22"/>
        </w:rPr>
        <w:t>(Accessed: 20 October 2026).</w:t>
      </w:r>
    </w:p>
    <w:p w14:paraId="798EF060"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National Institute for Health and Care Excellence (202</w:t>
      </w:r>
      <w:r w:rsidR="0060730F" w:rsidRPr="004D5068">
        <w:rPr>
          <w:rFonts w:ascii="Arial" w:hAnsi="Arial" w:cs="Arial"/>
          <w:sz w:val="22"/>
          <w:szCs w:val="22"/>
        </w:rPr>
        <w:t>5</w:t>
      </w:r>
      <w:r w:rsidRPr="004D5068">
        <w:rPr>
          <w:rFonts w:ascii="Arial" w:hAnsi="Arial" w:cs="Arial"/>
          <w:sz w:val="22"/>
          <w:szCs w:val="22"/>
        </w:rPr>
        <w:t>)</w:t>
      </w:r>
      <w:r w:rsidR="0060730F" w:rsidRPr="004D5068">
        <w:rPr>
          <w:rFonts w:ascii="Arial" w:hAnsi="Arial" w:cs="Arial"/>
          <w:sz w:val="22"/>
          <w:szCs w:val="22"/>
        </w:rPr>
        <w:t>.</w:t>
      </w:r>
      <w:r w:rsidRPr="004D5068">
        <w:rPr>
          <w:rFonts w:ascii="Arial" w:hAnsi="Arial" w:cs="Arial"/>
          <w:sz w:val="22"/>
          <w:szCs w:val="22"/>
        </w:rPr>
        <w:t xml:space="preserve"> Overweight and obesity management. NICE guideline NG246. Available at: </w:t>
      </w:r>
      <w:hyperlink r:id="rId19" w:history="1">
        <w:r w:rsidR="0060730F" w:rsidRPr="004D5068">
          <w:rPr>
            <w:rStyle w:val="Hyperlink"/>
            <w:rFonts w:ascii="Arial" w:hAnsi="Arial" w:cs="Arial"/>
            <w:sz w:val="22"/>
            <w:szCs w:val="22"/>
          </w:rPr>
          <w:t>https://www.nice.org.uk/guidance/ng246</w:t>
        </w:r>
      </w:hyperlink>
      <w:r w:rsidR="0060730F" w:rsidRPr="004D5068">
        <w:rPr>
          <w:rFonts w:ascii="Arial" w:hAnsi="Arial" w:cs="Arial"/>
          <w:sz w:val="22"/>
          <w:szCs w:val="22"/>
        </w:rPr>
        <w:t xml:space="preserve"> </w:t>
      </w:r>
      <w:r w:rsidRPr="004D5068">
        <w:rPr>
          <w:rFonts w:ascii="Arial" w:hAnsi="Arial" w:cs="Arial"/>
          <w:sz w:val="22"/>
          <w:szCs w:val="22"/>
        </w:rPr>
        <w:t>(Accessed: 20 October 2026).</w:t>
      </w:r>
    </w:p>
    <w:p w14:paraId="7BA898FE"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National Institute for Health and Care Excellence (2026</w:t>
      </w:r>
      <w:r w:rsidR="0060730F" w:rsidRPr="004D5068">
        <w:rPr>
          <w:rFonts w:ascii="Arial" w:hAnsi="Arial" w:cs="Arial"/>
          <w:sz w:val="22"/>
          <w:szCs w:val="22"/>
        </w:rPr>
        <w:t>a</w:t>
      </w:r>
      <w:r w:rsidRPr="004D5068">
        <w:rPr>
          <w:rFonts w:ascii="Arial" w:hAnsi="Arial" w:cs="Arial"/>
          <w:sz w:val="22"/>
          <w:szCs w:val="22"/>
        </w:rPr>
        <w:t>)</w:t>
      </w:r>
      <w:r w:rsidR="0060730F" w:rsidRPr="004D5068">
        <w:rPr>
          <w:rFonts w:ascii="Arial" w:hAnsi="Arial" w:cs="Arial"/>
          <w:sz w:val="22"/>
          <w:szCs w:val="22"/>
        </w:rPr>
        <w:t>.</w:t>
      </w:r>
      <w:r w:rsidRPr="004D5068">
        <w:rPr>
          <w:rFonts w:ascii="Arial" w:hAnsi="Arial" w:cs="Arial"/>
          <w:sz w:val="22"/>
          <w:szCs w:val="22"/>
        </w:rPr>
        <w:t xml:space="preserve"> Type 2 diabetes in adults: management. NICE guideline NG28. Available at: </w:t>
      </w:r>
      <w:hyperlink r:id="rId20" w:history="1">
        <w:r w:rsidR="0060730F" w:rsidRPr="004D5068">
          <w:rPr>
            <w:rStyle w:val="Hyperlink"/>
            <w:rFonts w:ascii="Arial" w:hAnsi="Arial" w:cs="Arial"/>
            <w:sz w:val="22"/>
            <w:szCs w:val="22"/>
          </w:rPr>
          <w:t>https://www.nice.org.uk/guidance/ng28</w:t>
        </w:r>
      </w:hyperlink>
      <w:r w:rsidR="0060730F" w:rsidRPr="004D5068">
        <w:rPr>
          <w:rFonts w:ascii="Arial" w:hAnsi="Arial" w:cs="Arial"/>
          <w:sz w:val="22"/>
          <w:szCs w:val="22"/>
        </w:rPr>
        <w:t xml:space="preserve"> </w:t>
      </w:r>
      <w:r w:rsidRPr="004D5068">
        <w:rPr>
          <w:rFonts w:ascii="Arial" w:hAnsi="Arial" w:cs="Arial"/>
          <w:sz w:val="22"/>
          <w:szCs w:val="22"/>
        </w:rPr>
        <w:t>(Accessed: 20 October 2026).</w:t>
      </w:r>
    </w:p>
    <w:p w14:paraId="0E024DE0"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lastRenderedPageBreak/>
        <w:t>National Institute for Health and Care Excellence (2026</w:t>
      </w:r>
      <w:r w:rsidR="0060730F" w:rsidRPr="004D5068">
        <w:rPr>
          <w:rFonts w:ascii="Arial" w:hAnsi="Arial" w:cs="Arial"/>
          <w:sz w:val="22"/>
          <w:szCs w:val="22"/>
        </w:rPr>
        <w:t>b</w:t>
      </w:r>
      <w:r w:rsidRPr="004D5068">
        <w:rPr>
          <w:rFonts w:ascii="Arial" w:hAnsi="Arial" w:cs="Arial"/>
          <w:sz w:val="22"/>
          <w:szCs w:val="22"/>
        </w:rPr>
        <w:t>)</w:t>
      </w:r>
      <w:r w:rsidR="0060730F" w:rsidRPr="004D5068">
        <w:rPr>
          <w:rFonts w:ascii="Arial" w:hAnsi="Arial" w:cs="Arial"/>
          <w:sz w:val="22"/>
          <w:szCs w:val="22"/>
        </w:rPr>
        <w:t>.</w:t>
      </w:r>
      <w:r w:rsidRPr="004D5068">
        <w:rPr>
          <w:rFonts w:ascii="Arial" w:hAnsi="Arial" w:cs="Arial"/>
          <w:sz w:val="22"/>
          <w:szCs w:val="22"/>
        </w:rPr>
        <w:t xml:space="preserve"> Type 2 diabetes in adults: management: blood glucose management. Available at: </w:t>
      </w:r>
      <w:hyperlink r:id="rId21" w:history="1">
        <w:r w:rsidR="0060730F" w:rsidRPr="004D5068">
          <w:rPr>
            <w:rStyle w:val="Hyperlink"/>
            <w:rFonts w:ascii="Arial" w:hAnsi="Arial" w:cs="Arial"/>
            <w:sz w:val="22"/>
            <w:szCs w:val="22"/>
          </w:rPr>
          <w:t>https://www.nice.org.uk/guidance/ng28/chapter/Blood-glucose-management</w:t>
        </w:r>
      </w:hyperlink>
      <w:r w:rsidR="0060730F" w:rsidRPr="004D5068">
        <w:rPr>
          <w:rFonts w:ascii="Arial" w:hAnsi="Arial" w:cs="Arial"/>
          <w:sz w:val="22"/>
          <w:szCs w:val="22"/>
        </w:rPr>
        <w:t xml:space="preserve"> </w:t>
      </w:r>
      <w:r w:rsidRPr="004D5068">
        <w:rPr>
          <w:rFonts w:ascii="Arial" w:hAnsi="Arial" w:cs="Arial"/>
          <w:sz w:val="22"/>
          <w:szCs w:val="22"/>
        </w:rPr>
        <w:t>(Accessed: 20 October 2026).</w:t>
      </w:r>
    </w:p>
    <w:p w14:paraId="097238C2"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National Institute for Health and Care Excellence (2026</w:t>
      </w:r>
      <w:r w:rsidR="0060730F" w:rsidRPr="004D5068">
        <w:rPr>
          <w:rFonts w:ascii="Arial" w:hAnsi="Arial" w:cs="Arial"/>
          <w:sz w:val="22"/>
          <w:szCs w:val="22"/>
        </w:rPr>
        <w:t>c</w:t>
      </w:r>
      <w:r w:rsidRPr="004D5068">
        <w:rPr>
          <w:rFonts w:ascii="Arial" w:hAnsi="Arial" w:cs="Arial"/>
          <w:sz w:val="22"/>
          <w:szCs w:val="22"/>
        </w:rPr>
        <w:t>)</w:t>
      </w:r>
      <w:r w:rsidR="0060730F" w:rsidRPr="004D5068">
        <w:rPr>
          <w:rFonts w:ascii="Arial" w:hAnsi="Arial" w:cs="Arial"/>
          <w:sz w:val="22"/>
          <w:szCs w:val="22"/>
        </w:rPr>
        <w:t>.</w:t>
      </w:r>
      <w:r w:rsidRPr="004D5068">
        <w:rPr>
          <w:rFonts w:ascii="Arial" w:hAnsi="Arial" w:cs="Arial"/>
          <w:sz w:val="22"/>
          <w:szCs w:val="22"/>
        </w:rPr>
        <w:t xml:space="preserve"> Type 2 diabetes in adults: management: initial medicines. Available at: </w:t>
      </w:r>
      <w:hyperlink r:id="rId22" w:history="1">
        <w:r w:rsidR="0060730F" w:rsidRPr="004D5068">
          <w:rPr>
            <w:rStyle w:val="Hyperlink"/>
            <w:rFonts w:ascii="Arial" w:hAnsi="Arial" w:cs="Arial"/>
            <w:sz w:val="22"/>
            <w:szCs w:val="22"/>
          </w:rPr>
          <w:t>https://www.nice.org.uk/guidance/ng28/chapter/initial-medicines</w:t>
        </w:r>
      </w:hyperlink>
      <w:r w:rsidR="0060730F" w:rsidRPr="004D5068">
        <w:rPr>
          <w:rFonts w:ascii="Arial" w:hAnsi="Arial" w:cs="Arial"/>
          <w:sz w:val="22"/>
          <w:szCs w:val="22"/>
        </w:rPr>
        <w:t xml:space="preserve"> </w:t>
      </w:r>
      <w:r w:rsidRPr="004D5068">
        <w:rPr>
          <w:rFonts w:ascii="Arial" w:hAnsi="Arial" w:cs="Arial"/>
          <w:sz w:val="22"/>
          <w:szCs w:val="22"/>
        </w:rPr>
        <w:t>(Accessed: 20 October 2026).</w:t>
      </w:r>
    </w:p>
    <w:p w14:paraId="7DF82EA8"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NHS (202</w:t>
      </w:r>
      <w:r w:rsidR="0060730F" w:rsidRPr="004D5068">
        <w:rPr>
          <w:rFonts w:ascii="Arial" w:hAnsi="Arial" w:cs="Arial"/>
          <w:sz w:val="22"/>
          <w:szCs w:val="22"/>
        </w:rPr>
        <w:t>6</w:t>
      </w:r>
      <w:r w:rsidRPr="004D5068">
        <w:rPr>
          <w:rFonts w:ascii="Arial" w:hAnsi="Arial" w:cs="Arial"/>
          <w:sz w:val="22"/>
          <w:szCs w:val="22"/>
        </w:rPr>
        <w:t>)</w:t>
      </w:r>
      <w:r w:rsidR="0060730F" w:rsidRPr="004D5068">
        <w:rPr>
          <w:rFonts w:ascii="Arial" w:hAnsi="Arial" w:cs="Arial"/>
          <w:sz w:val="22"/>
          <w:szCs w:val="22"/>
        </w:rPr>
        <w:t>.</w:t>
      </w:r>
      <w:r w:rsidRPr="004D5068">
        <w:rPr>
          <w:rFonts w:ascii="Arial" w:hAnsi="Arial" w:cs="Arial"/>
          <w:sz w:val="22"/>
          <w:szCs w:val="22"/>
        </w:rPr>
        <w:t xml:space="preserve"> Type 2 diabetes. Available at: </w:t>
      </w:r>
      <w:hyperlink r:id="rId23" w:history="1">
        <w:r w:rsidR="0060730F" w:rsidRPr="004D5068">
          <w:rPr>
            <w:rStyle w:val="Hyperlink"/>
            <w:rFonts w:ascii="Arial" w:hAnsi="Arial" w:cs="Arial"/>
            <w:sz w:val="22"/>
            <w:szCs w:val="22"/>
          </w:rPr>
          <w:t>https://www.nhs.uk/conditions/type-2-diabetes</w:t>
        </w:r>
      </w:hyperlink>
      <w:r w:rsidR="0060730F" w:rsidRPr="004D5068">
        <w:rPr>
          <w:rFonts w:ascii="Arial" w:hAnsi="Arial" w:cs="Arial"/>
          <w:sz w:val="22"/>
          <w:szCs w:val="22"/>
        </w:rPr>
        <w:t xml:space="preserve"> </w:t>
      </w:r>
      <w:r w:rsidRPr="004D5068">
        <w:rPr>
          <w:rFonts w:ascii="Arial" w:hAnsi="Arial" w:cs="Arial"/>
          <w:sz w:val="22"/>
          <w:szCs w:val="22"/>
        </w:rPr>
        <w:t>(Accessed: 20 October 2026).</w:t>
      </w:r>
    </w:p>
    <w:p w14:paraId="3522EE79"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NHS England (2023)</w:t>
      </w:r>
      <w:r w:rsidR="0060730F" w:rsidRPr="004D5068">
        <w:rPr>
          <w:rFonts w:ascii="Arial" w:hAnsi="Arial" w:cs="Arial"/>
          <w:sz w:val="22"/>
          <w:szCs w:val="22"/>
        </w:rPr>
        <w:t>.</w:t>
      </w:r>
      <w:r w:rsidRPr="004D5068">
        <w:rPr>
          <w:rFonts w:ascii="Arial" w:hAnsi="Arial" w:cs="Arial"/>
          <w:sz w:val="22"/>
          <w:szCs w:val="22"/>
        </w:rPr>
        <w:t xml:space="preserve"> NHS Diabetes Prevention Programme National Service Specification. Available at: </w:t>
      </w:r>
      <w:hyperlink r:id="rId24" w:history="1">
        <w:r w:rsidR="0060730F" w:rsidRPr="004D5068">
          <w:rPr>
            <w:rStyle w:val="Hyperlink"/>
            <w:rFonts w:ascii="Arial" w:hAnsi="Arial" w:cs="Arial"/>
            <w:sz w:val="22"/>
            <w:szCs w:val="22"/>
          </w:rPr>
          <w:t>https://www.england.nhs.uk/wp-content/uploads/2016/08/Diabetes-Prevention-Programme-Framework-3-Service-Specification-October-2022.pdf</w:t>
        </w:r>
      </w:hyperlink>
      <w:r w:rsidR="0060730F" w:rsidRPr="004D5068">
        <w:rPr>
          <w:rFonts w:ascii="Arial" w:hAnsi="Arial" w:cs="Arial"/>
          <w:sz w:val="22"/>
          <w:szCs w:val="22"/>
        </w:rPr>
        <w:t xml:space="preserve"> </w:t>
      </w:r>
      <w:r w:rsidRPr="004D5068">
        <w:rPr>
          <w:rFonts w:ascii="Arial" w:hAnsi="Arial" w:cs="Arial"/>
          <w:sz w:val="22"/>
          <w:szCs w:val="22"/>
        </w:rPr>
        <w:t>(Accessed: 20 October 2026).</w:t>
      </w:r>
    </w:p>
    <w:p w14:paraId="18237326"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NHS England (2024)</w:t>
      </w:r>
      <w:r w:rsidR="00AC1294" w:rsidRPr="004D5068">
        <w:rPr>
          <w:rFonts w:ascii="Arial" w:hAnsi="Arial" w:cs="Arial"/>
          <w:sz w:val="22"/>
          <w:szCs w:val="22"/>
        </w:rPr>
        <w:t>.</w:t>
      </w:r>
      <w:r w:rsidRPr="004D5068">
        <w:rPr>
          <w:rFonts w:ascii="Arial" w:hAnsi="Arial" w:cs="Arial"/>
          <w:sz w:val="22"/>
          <w:szCs w:val="22"/>
        </w:rPr>
        <w:t xml:space="preserve"> NHS identifies over half a million more people at risk of type 2 diabetes in a year. Available at: </w:t>
      </w:r>
      <w:hyperlink r:id="rId25" w:history="1">
        <w:r w:rsidR="00AC1294" w:rsidRPr="004D5068">
          <w:rPr>
            <w:rStyle w:val="Hyperlink"/>
            <w:rFonts w:ascii="Arial" w:hAnsi="Arial" w:cs="Arial"/>
            <w:sz w:val="22"/>
            <w:szCs w:val="22"/>
          </w:rPr>
          <w:t>https://www.england.nhs.uk/2024/06/nhs-identifies-over-half-a-million-more-people-at-risk-of-type-2-diabetes-in-a-year</w:t>
        </w:r>
      </w:hyperlink>
      <w:r w:rsidR="00AC1294" w:rsidRPr="004D5068">
        <w:rPr>
          <w:rFonts w:ascii="Arial" w:hAnsi="Arial" w:cs="Arial"/>
          <w:sz w:val="22"/>
          <w:szCs w:val="22"/>
        </w:rPr>
        <w:t xml:space="preserve"> </w:t>
      </w:r>
      <w:r w:rsidRPr="004D5068">
        <w:rPr>
          <w:rFonts w:ascii="Arial" w:hAnsi="Arial" w:cs="Arial"/>
          <w:sz w:val="22"/>
          <w:szCs w:val="22"/>
        </w:rPr>
        <w:t>(Accessed: 20 October 2026).</w:t>
      </w:r>
    </w:p>
    <w:p w14:paraId="23052E75"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NHS England (2024)</w:t>
      </w:r>
      <w:r w:rsidR="00AC1294" w:rsidRPr="004D5068">
        <w:rPr>
          <w:rFonts w:ascii="Arial" w:hAnsi="Arial" w:cs="Arial"/>
          <w:sz w:val="22"/>
          <w:szCs w:val="22"/>
        </w:rPr>
        <w:t>.</w:t>
      </w:r>
      <w:r w:rsidRPr="004D5068">
        <w:rPr>
          <w:rFonts w:ascii="Arial" w:hAnsi="Arial" w:cs="Arial"/>
          <w:sz w:val="22"/>
          <w:szCs w:val="22"/>
        </w:rPr>
        <w:t xml:space="preserve"> NHS </w:t>
      </w:r>
      <w:r w:rsidR="00AC1294" w:rsidRPr="004D5068">
        <w:rPr>
          <w:rFonts w:ascii="Arial" w:hAnsi="Arial" w:cs="Arial"/>
          <w:sz w:val="22"/>
          <w:szCs w:val="22"/>
        </w:rPr>
        <w:t>Diabetes Prevention Programme (NHS DPP)</w:t>
      </w:r>
      <w:r w:rsidRPr="004D5068">
        <w:rPr>
          <w:rFonts w:ascii="Arial" w:hAnsi="Arial" w:cs="Arial"/>
          <w:sz w:val="22"/>
          <w:szCs w:val="22"/>
        </w:rPr>
        <w:t xml:space="preserve">. Available at: </w:t>
      </w:r>
      <w:hyperlink r:id="rId26" w:history="1">
        <w:r w:rsidR="00AC1294" w:rsidRPr="004D5068">
          <w:rPr>
            <w:rStyle w:val="Hyperlink"/>
            <w:rFonts w:ascii="Arial" w:hAnsi="Arial" w:cs="Arial"/>
            <w:sz w:val="22"/>
            <w:szCs w:val="22"/>
          </w:rPr>
          <w:t>https://www.england.nhs.uk/diabetes/diabetes-prevention</w:t>
        </w:r>
      </w:hyperlink>
      <w:r w:rsidR="00AC1294" w:rsidRPr="004D5068">
        <w:rPr>
          <w:rFonts w:ascii="Arial" w:hAnsi="Arial" w:cs="Arial"/>
          <w:sz w:val="22"/>
          <w:szCs w:val="22"/>
        </w:rPr>
        <w:t xml:space="preserve"> (</w:t>
      </w:r>
      <w:r w:rsidRPr="004D5068">
        <w:rPr>
          <w:rFonts w:ascii="Arial" w:hAnsi="Arial" w:cs="Arial"/>
          <w:sz w:val="22"/>
          <w:szCs w:val="22"/>
        </w:rPr>
        <w:t>Accessed: 20 October 2026).</w:t>
      </w:r>
    </w:p>
    <w:p w14:paraId="18D3F415"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Office for Health Improvement and Disparities (2025)</w:t>
      </w:r>
      <w:r w:rsidR="00AC1294" w:rsidRPr="004D5068">
        <w:rPr>
          <w:rFonts w:ascii="Arial" w:hAnsi="Arial" w:cs="Arial"/>
          <w:sz w:val="22"/>
          <w:szCs w:val="22"/>
        </w:rPr>
        <w:t>. Diabetes profile: statistical commentary, March 2025</w:t>
      </w:r>
      <w:r w:rsidRPr="004D5068">
        <w:rPr>
          <w:rFonts w:ascii="Arial" w:hAnsi="Arial" w:cs="Arial"/>
          <w:sz w:val="22"/>
          <w:szCs w:val="22"/>
        </w:rPr>
        <w:t xml:space="preserve">. Available at: </w:t>
      </w:r>
      <w:hyperlink r:id="rId27" w:history="1">
        <w:r w:rsidR="00AC1294" w:rsidRPr="004D5068">
          <w:rPr>
            <w:rStyle w:val="Hyperlink"/>
            <w:rFonts w:ascii="Arial" w:hAnsi="Arial" w:cs="Arial"/>
            <w:sz w:val="22"/>
            <w:szCs w:val="22"/>
          </w:rPr>
          <w:t>https://www.gov.uk/government/statistics/diabetes-profile-update-march-2025/diabetes-profile-statistical-commentary-march-2025</w:t>
        </w:r>
      </w:hyperlink>
      <w:r w:rsidR="00AC1294" w:rsidRPr="004D5068">
        <w:rPr>
          <w:rFonts w:ascii="Arial" w:hAnsi="Arial" w:cs="Arial"/>
          <w:sz w:val="22"/>
          <w:szCs w:val="22"/>
        </w:rPr>
        <w:t xml:space="preserve"> </w:t>
      </w:r>
      <w:r w:rsidRPr="004D5068">
        <w:rPr>
          <w:rFonts w:ascii="Arial" w:hAnsi="Arial" w:cs="Arial"/>
          <w:sz w:val="22"/>
          <w:szCs w:val="22"/>
        </w:rPr>
        <w:t>(Accessed: 20 October 2026).</w:t>
      </w:r>
    </w:p>
    <w:p w14:paraId="1647783D"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Office for Health Improvement and Disparities (2026a)</w:t>
      </w:r>
      <w:r w:rsidR="00AC1294" w:rsidRPr="004D5068">
        <w:rPr>
          <w:rFonts w:ascii="Arial" w:hAnsi="Arial" w:cs="Arial"/>
          <w:sz w:val="22"/>
          <w:szCs w:val="22"/>
        </w:rPr>
        <w:t>.</w:t>
      </w:r>
      <w:r w:rsidRPr="004D5068">
        <w:rPr>
          <w:rFonts w:ascii="Arial" w:hAnsi="Arial" w:cs="Arial"/>
          <w:sz w:val="22"/>
          <w:szCs w:val="22"/>
        </w:rPr>
        <w:t xml:space="preserve"> Diabetes profile update: April 2026. Available at: </w:t>
      </w:r>
      <w:hyperlink r:id="rId28" w:history="1">
        <w:r w:rsidR="00AC1294" w:rsidRPr="004D5068">
          <w:rPr>
            <w:rStyle w:val="Hyperlink"/>
            <w:rFonts w:ascii="Arial" w:hAnsi="Arial" w:cs="Arial"/>
            <w:sz w:val="22"/>
            <w:szCs w:val="22"/>
          </w:rPr>
          <w:t>https://fingertips.phe.org.uk/profile/diabetes-ft</w:t>
        </w:r>
      </w:hyperlink>
      <w:r w:rsidR="00AC1294" w:rsidRPr="004D5068">
        <w:rPr>
          <w:rFonts w:ascii="Arial" w:hAnsi="Arial" w:cs="Arial"/>
          <w:sz w:val="22"/>
          <w:szCs w:val="22"/>
        </w:rPr>
        <w:t xml:space="preserve"> </w:t>
      </w:r>
      <w:r w:rsidRPr="004D5068">
        <w:rPr>
          <w:rFonts w:ascii="Arial" w:hAnsi="Arial" w:cs="Arial"/>
          <w:sz w:val="22"/>
          <w:szCs w:val="22"/>
        </w:rPr>
        <w:t>(Accessed: 20 October 2026).</w:t>
      </w:r>
    </w:p>
    <w:p w14:paraId="4EDC6EE3" w14:textId="77777777" w:rsidR="00C33F1C" w:rsidRPr="004D5068" w:rsidRDefault="00C33F1C" w:rsidP="005B2F63">
      <w:pPr>
        <w:spacing w:after="240" w:line="360" w:lineRule="auto"/>
        <w:jc w:val="both"/>
        <w:rPr>
          <w:rFonts w:ascii="Arial" w:hAnsi="Arial" w:cs="Arial"/>
          <w:sz w:val="22"/>
          <w:szCs w:val="22"/>
        </w:rPr>
      </w:pPr>
      <w:r w:rsidRPr="004D5068">
        <w:rPr>
          <w:rFonts w:ascii="Arial" w:hAnsi="Arial" w:cs="Arial"/>
          <w:sz w:val="22"/>
          <w:szCs w:val="22"/>
        </w:rPr>
        <w:t xml:space="preserve">Office for Health Improvement and Disparities (2026b) Diabetes profile: statistical commentary, April 2026. Available at: </w:t>
      </w:r>
      <w:hyperlink r:id="rId29" w:history="1">
        <w:r w:rsidR="00AC1294" w:rsidRPr="004D5068">
          <w:rPr>
            <w:rStyle w:val="Hyperlink"/>
            <w:rFonts w:ascii="Arial" w:hAnsi="Arial" w:cs="Arial"/>
            <w:sz w:val="22"/>
            <w:szCs w:val="22"/>
          </w:rPr>
          <w:t>https://www.gov.uk/government/statistics/diabetes-profile-update-april-2026/diabetes-profile-statistical-commentary-april-2026</w:t>
        </w:r>
      </w:hyperlink>
      <w:r w:rsidR="00AC1294" w:rsidRPr="004D5068">
        <w:rPr>
          <w:rFonts w:ascii="Arial" w:hAnsi="Arial" w:cs="Arial"/>
          <w:sz w:val="22"/>
          <w:szCs w:val="22"/>
        </w:rPr>
        <w:t xml:space="preserve"> </w:t>
      </w:r>
      <w:r w:rsidRPr="004D5068">
        <w:rPr>
          <w:rFonts w:ascii="Arial" w:hAnsi="Arial" w:cs="Arial"/>
          <w:sz w:val="22"/>
          <w:szCs w:val="22"/>
        </w:rPr>
        <w:t>(Accessed: 20 October 2026).</w:t>
      </w:r>
    </w:p>
    <w:p w14:paraId="7996D32D" w14:textId="77777777" w:rsidR="00C33F1C" w:rsidRPr="004D5068" w:rsidRDefault="00C33F1C" w:rsidP="005B2F63">
      <w:pPr>
        <w:spacing w:after="240" w:line="360" w:lineRule="auto"/>
        <w:jc w:val="both"/>
        <w:rPr>
          <w:rFonts w:ascii="Arial" w:hAnsi="Arial" w:cs="Arial"/>
          <w:sz w:val="22"/>
          <w:szCs w:val="22"/>
        </w:rPr>
      </w:pPr>
    </w:p>
    <w:sectPr w:rsidR="00C33F1C" w:rsidRPr="004D5068" w:rsidSect="007B144F">
      <w:footerReference w:type="even" r:id="rId30"/>
      <w:footerReference w:type="default" r:id="rId3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38BED2" w14:textId="77777777" w:rsidR="00810B95" w:rsidRDefault="00810B95" w:rsidP="00C33F1C">
      <w:r>
        <w:separator/>
      </w:r>
    </w:p>
  </w:endnote>
  <w:endnote w:type="continuationSeparator" w:id="0">
    <w:p w14:paraId="6B67C6FB" w14:textId="77777777" w:rsidR="00810B95" w:rsidRDefault="00810B95" w:rsidP="00C33F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ptos">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32263484"/>
      <w:docPartObj>
        <w:docPartGallery w:val="Page Numbers (Bottom of Page)"/>
        <w:docPartUnique/>
      </w:docPartObj>
    </w:sdtPr>
    <w:sdtEndPr>
      <w:rPr>
        <w:rStyle w:val="PageNumber"/>
      </w:rPr>
    </w:sdtEndPr>
    <w:sdtContent>
      <w:p w14:paraId="36F8555E" w14:textId="77777777" w:rsidR="00C33F1C" w:rsidRDefault="00C33F1C" w:rsidP="00A55D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33143">
          <w:rPr>
            <w:rStyle w:val="PageNumber"/>
            <w:noProof/>
          </w:rPr>
          <w:t>2</w:t>
        </w:r>
        <w:r>
          <w:rPr>
            <w:rStyle w:val="PageNumber"/>
          </w:rPr>
          <w:fldChar w:fldCharType="end"/>
        </w:r>
      </w:p>
    </w:sdtContent>
  </w:sdt>
  <w:p w14:paraId="6FEFC1B3" w14:textId="77777777" w:rsidR="00C33F1C" w:rsidRDefault="00C33F1C" w:rsidP="00C33F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8585915"/>
      <w:docPartObj>
        <w:docPartGallery w:val="Page Numbers (Bottom of Page)"/>
        <w:docPartUnique/>
      </w:docPartObj>
    </w:sdtPr>
    <w:sdtEndPr>
      <w:rPr>
        <w:rStyle w:val="PageNumber"/>
      </w:rPr>
    </w:sdtEndPr>
    <w:sdtContent>
      <w:p w14:paraId="44110AF9" w14:textId="77777777" w:rsidR="00C33F1C" w:rsidRDefault="00C33F1C" w:rsidP="00A55D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DECEEB" w14:textId="77777777" w:rsidR="00C33F1C" w:rsidRDefault="00C33F1C" w:rsidP="00C33F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F06A47" w14:textId="77777777" w:rsidR="00810B95" w:rsidRDefault="00810B95" w:rsidP="00C33F1C">
      <w:r>
        <w:separator/>
      </w:r>
    </w:p>
  </w:footnote>
  <w:footnote w:type="continuationSeparator" w:id="0">
    <w:p w14:paraId="1FFB3C40" w14:textId="77777777" w:rsidR="00810B95" w:rsidRDefault="00810B95" w:rsidP="00C33F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F109F7"/>
    <w:multiLevelType w:val="hybridMultilevel"/>
    <w:tmpl w:val="0D7465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6F4015"/>
    <w:multiLevelType w:val="hybridMultilevel"/>
    <w:tmpl w:val="A47A88B4"/>
    <w:lvl w:ilvl="0" w:tplc="D10C6274">
      <w:start w:val="1"/>
      <w:numFmt w:val="bullet"/>
      <w:lvlText w:val=""/>
      <w:lvlJc w:val="left"/>
      <w:pPr>
        <w:ind w:left="720" w:hanging="360"/>
      </w:pPr>
      <w:rPr>
        <w:rFonts w:ascii="Symbol" w:hAnsi="Symbol" w:hint="default"/>
      </w:rPr>
    </w:lvl>
    <w:lvl w:ilvl="1" w:tplc="7E74CF44">
      <w:start w:val="1"/>
      <w:numFmt w:val="bullet"/>
      <w:lvlText w:val="o"/>
      <w:lvlJc w:val="left"/>
      <w:pPr>
        <w:ind w:left="1440" w:hanging="360"/>
      </w:pPr>
      <w:rPr>
        <w:rFonts w:ascii="Courier New" w:hAnsi="Courier New" w:hint="default"/>
      </w:rPr>
    </w:lvl>
    <w:lvl w:ilvl="2" w:tplc="EF088686">
      <w:start w:val="1"/>
      <w:numFmt w:val="bullet"/>
      <w:lvlText w:val=""/>
      <w:lvlJc w:val="left"/>
      <w:pPr>
        <w:ind w:left="2160" w:hanging="360"/>
      </w:pPr>
      <w:rPr>
        <w:rFonts w:ascii="Wingdings" w:hAnsi="Wingdings" w:hint="default"/>
      </w:rPr>
    </w:lvl>
    <w:lvl w:ilvl="3" w:tplc="4006801E">
      <w:start w:val="1"/>
      <w:numFmt w:val="bullet"/>
      <w:lvlText w:val=""/>
      <w:lvlJc w:val="left"/>
      <w:pPr>
        <w:ind w:left="2880" w:hanging="360"/>
      </w:pPr>
      <w:rPr>
        <w:rFonts w:ascii="Symbol" w:hAnsi="Symbol" w:hint="default"/>
      </w:rPr>
    </w:lvl>
    <w:lvl w:ilvl="4" w:tplc="7E4A5BC2">
      <w:start w:val="1"/>
      <w:numFmt w:val="bullet"/>
      <w:lvlText w:val="o"/>
      <w:lvlJc w:val="left"/>
      <w:pPr>
        <w:ind w:left="3600" w:hanging="360"/>
      </w:pPr>
      <w:rPr>
        <w:rFonts w:ascii="Courier New" w:hAnsi="Courier New" w:hint="default"/>
      </w:rPr>
    </w:lvl>
    <w:lvl w:ilvl="5" w:tplc="8A7E6F46">
      <w:start w:val="1"/>
      <w:numFmt w:val="bullet"/>
      <w:lvlText w:val=""/>
      <w:lvlJc w:val="left"/>
      <w:pPr>
        <w:ind w:left="4320" w:hanging="360"/>
      </w:pPr>
      <w:rPr>
        <w:rFonts w:ascii="Wingdings" w:hAnsi="Wingdings" w:hint="default"/>
      </w:rPr>
    </w:lvl>
    <w:lvl w:ilvl="6" w:tplc="5AEC9EEE">
      <w:start w:val="1"/>
      <w:numFmt w:val="bullet"/>
      <w:lvlText w:val=""/>
      <w:lvlJc w:val="left"/>
      <w:pPr>
        <w:ind w:left="5040" w:hanging="360"/>
      </w:pPr>
      <w:rPr>
        <w:rFonts w:ascii="Symbol" w:hAnsi="Symbol" w:hint="default"/>
      </w:rPr>
    </w:lvl>
    <w:lvl w:ilvl="7" w:tplc="9F561522">
      <w:start w:val="1"/>
      <w:numFmt w:val="bullet"/>
      <w:lvlText w:val="o"/>
      <w:lvlJc w:val="left"/>
      <w:pPr>
        <w:ind w:left="5760" w:hanging="360"/>
      </w:pPr>
      <w:rPr>
        <w:rFonts w:ascii="Courier New" w:hAnsi="Courier New" w:hint="default"/>
      </w:rPr>
    </w:lvl>
    <w:lvl w:ilvl="8" w:tplc="0A584B0A">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F1C"/>
    <w:rsid w:val="00020D1F"/>
    <w:rsid w:val="00052ABA"/>
    <w:rsid w:val="000B4FDC"/>
    <w:rsid w:val="000C4136"/>
    <w:rsid w:val="000D193E"/>
    <w:rsid w:val="000E1E7A"/>
    <w:rsid w:val="00123A30"/>
    <w:rsid w:val="00140FB7"/>
    <w:rsid w:val="00165CC6"/>
    <w:rsid w:val="001C5677"/>
    <w:rsid w:val="001D35D1"/>
    <w:rsid w:val="001F0B09"/>
    <w:rsid w:val="002176CA"/>
    <w:rsid w:val="00232E9E"/>
    <w:rsid w:val="002454D1"/>
    <w:rsid w:val="00254E87"/>
    <w:rsid w:val="002556C4"/>
    <w:rsid w:val="002733A7"/>
    <w:rsid w:val="002B3947"/>
    <w:rsid w:val="002D0E66"/>
    <w:rsid w:val="002E4DC7"/>
    <w:rsid w:val="00306E11"/>
    <w:rsid w:val="0035079D"/>
    <w:rsid w:val="00371B61"/>
    <w:rsid w:val="003C2488"/>
    <w:rsid w:val="003E3D2B"/>
    <w:rsid w:val="00400147"/>
    <w:rsid w:val="00466589"/>
    <w:rsid w:val="00485405"/>
    <w:rsid w:val="00487053"/>
    <w:rsid w:val="004C39DC"/>
    <w:rsid w:val="004D5068"/>
    <w:rsid w:val="005058DE"/>
    <w:rsid w:val="005408A6"/>
    <w:rsid w:val="00597F1D"/>
    <w:rsid w:val="005B2F63"/>
    <w:rsid w:val="005C3B04"/>
    <w:rsid w:val="005C6711"/>
    <w:rsid w:val="0060730F"/>
    <w:rsid w:val="00645584"/>
    <w:rsid w:val="006810D8"/>
    <w:rsid w:val="00697C11"/>
    <w:rsid w:val="006F645A"/>
    <w:rsid w:val="006F6DC2"/>
    <w:rsid w:val="00730EF8"/>
    <w:rsid w:val="00757937"/>
    <w:rsid w:val="007A0C70"/>
    <w:rsid w:val="007B144F"/>
    <w:rsid w:val="007C0815"/>
    <w:rsid w:val="007C1C43"/>
    <w:rsid w:val="007F61CF"/>
    <w:rsid w:val="00810B95"/>
    <w:rsid w:val="00835127"/>
    <w:rsid w:val="00842E06"/>
    <w:rsid w:val="008559AF"/>
    <w:rsid w:val="00855BD1"/>
    <w:rsid w:val="008610A3"/>
    <w:rsid w:val="00875C32"/>
    <w:rsid w:val="008C4D89"/>
    <w:rsid w:val="00937110"/>
    <w:rsid w:val="00963515"/>
    <w:rsid w:val="009729F0"/>
    <w:rsid w:val="009B2523"/>
    <w:rsid w:val="009B7AAC"/>
    <w:rsid w:val="009D61F4"/>
    <w:rsid w:val="00A44B4D"/>
    <w:rsid w:val="00A55C5D"/>
    <w:rsid w:val="00A65EBA"/>
    <w:rsid w:val="00A94A1F"/>
    <w:rsid w:val="00AA7C20"/>
    <w:rsid w:val="00AC1294"/>
    <w:rsid w:val="00AF2766"/>
    <w:rsid w:val="00B078E3"/>
    <w:rsid w:val="00B149EF"/>
    <w:rsid w:val="00B31293"/>
    <w:rsid w:val="00B369D1"/>
    <w:rsid w:val="00B43131"/>
    <w:rsid w:val="00B47DA7"/>
    <w:rsid w:val="00B7074F"/>
    <w:rsid w:val="00BE4176"/>
    <w:rsid w:val="00C33F1C"/>
    <w:rsid w:val="00C46DF0"/>
    <w:rsid w:val="00C56A54"/>
    <w:rsid w:val="00C658AE"/>
    <w:rsid w:val="00C75ACF"/>
    <w:rsid w:val="00C81C61"/>
    <w:rsid w:val="00CF5514"/>
    <w:rsid w:val="00CF6B3C"/>
    <w:rsid w:val="00D50049"/>
    <w:rsid w:val="00DC0E20"/>
    <w:rsid w:val="00DC5C85"/>
    <w:rsid w:val="00DF3A55"/>
    <w:rsid w:val="00E003B3"/>
    <w:rsid w:val="00E33143"/>
    <w:rsid w:val="00E366FA"/>
    <w:rsid w:val="00E441BA"/>
    <w:rsid w:val="00E540AA"/>
    <w:rsid w:val="00E56399"/>
    <w:rsid w:val="00E94CC9"/>
    <w:rsid w:val="00EE4E8B"/>
    <w:rsid w:val="00F00200"/>
    <w:rsid w:val="00F16984"/>
    <w:rsid w:val="00F558AC"/>
    <w:rsid w:val="00F63C15"/>
    <w:rsid w:val="00F93063"/>
    <w:rsid w:val="00FD6B9F"/>
    <w:rsid w:val="00FE689E"/>
    <w:rsid w:val="00FF037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91EA9"/>
  <w15:chartTrackingRefBased/>
  <w15:docId w15:val="{64F5B711-FC52-D246-B5EE-24D871749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33F1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33F1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33F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33F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33F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33F1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3F1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3F1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3F1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F1C"/>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C33F1C"/>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C33F1C"/>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C33F1C"/>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33F1C"/>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C33F1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33F1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33F1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33F1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33F1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3F1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33F1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3F1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33F1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33F1C"/>
    <w:rPr>
      <w:i/>
      <w:iCs/>
      <w:color w:val="404040" w:themeColor="text1" w:themeTint="BF"/>
      <w:lang w:val="en-GB"/>
    </w:rPr>
  </w:style>
  <w:style w:type="paragraph" w:styleId="ListParagraph">
    <w:name w:val="List Paragraph"/>
    <w:basedOn w:val="Normal"/>
    <w:uiPriority w:val="34"/>
    <w:qFormat/>
    <w:rsid w:val="00C33F1C"/>
    <w:pPr>
      <w:ind w:left="720"/>
      <w:contextualSpacing/>
    </w:pPr>
  </w:style>
  <w:style w:type="character" w:styleId="IntenseEmphasis">
    <w:name w:val="Intense Emphasis"/>
    <w:basedOn w:val="DefaultParagraphFont"/>
    <w:uiPriority w:val="21"/>
    <w:qFormat/>
    <w:rsid w:val="00C33F1C"/>
    <w:rPr>
      <w:i/>
      <w:iCs/>
      <w:color w:val="2F5496" w:themeColor="accent1" w:themeShade="BF"/>
    </w:rPr>
  </w:style>
  <w:style w:type="paragraph" w:styleId="IntenseQuote">
    <w:name w:val="Intense Quote"/>
    <w:basedOn w:val="Normal"/>
    <w:next w:val="Normal"/>
    <w:link w:val="IntenseQuoteChar"/>
    <w:uiPriority w:val="30"/>
    <w:qFormat/>
    <w:rsid w:val="00C33F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33F1C"/>
    <w:rPr>
      <w:i/>
      <w:iCs/>
      <w:color w:val="2F5496" w:themeColor="accent1" w:themeShade="BF"/>
      <w:lang w:val="en-GB"/>
    </w:rPr>
  </w:style>
  <w:style w:type="character" w:styleId="IntenseReference">
    <w:name w:val="Intense Reference"/>
    <w:basedOn w:val="DefaultParagraphFont"/>
    <w:uiPriority w:val="32"/>
    <w:qFormat/>
    <w:rsid w:val="00C33F1C"/>
    <w:rPr>
      <w:b/>
      <w:bCs/>
      <w:smallCaps/>
      <w:color w:val="2F5496" w:themeColor="accent1" w:themeShade="BF"/>
      <w:spacing w:val="5"/>
    </w:rPr>
  </w:style>
  <w:style w:type="paragraph" w:styleId="Footer">
    <w:name w:val="footer"/>
    <w:basedOn w:val="Normal"/>
    <w:link w:val="FooterChar"/>
    <w:uiPriority w:val="99"/>
    <w:unhideWhenUsed/>
    <w:rsid w:val="00C33F1C"/>
    <w:pPr>
      <w:tabs>
        <w:tab w:val="center" w:pos="4513"/>
        <w:tab w:val="right" w:pos="9026"/>
      </w:tabs>
    </w:pPr>
  </w:style>
  <w:style w:type="character" w:customStyle="1" w:styleId="FooterChar">
    <w:name w:val="Footer Char"/>
    <w:basedOn w:val="DefaultParagraphFont"/>
    <w:link w:val="Footer"/>
    <w:uiPriority w:val="99"/>
    <w:rsid w:val="00C33F1C"/>
    <w:rPr>
      <w:lang w:val="en-GB"/>
    </w:rPr>
  </w:style>
  <w:style w:type="character" w:styleId="PageNumber">
    <w:name w:val="page number"/>
    <w:basedOn w:val="DefaultParagraphFont"/>
    <w:uiPriority w:val="99"/>
    <w:semiHidden/>
    <w:unhideWhenUsed/>
    <w:rsid w:val="00C33F1C"/>
  </w:style>
  <w:style w:type="character" w:styleId="Hyperlink">
    <w:name w:val="Hyperlink"/>
    <w:basedOn w:val="DefaultParagraphFont"/>
    <w:uiPriority w:val="99"/>
    <w:unhideWhenUsed/>
    <w:rsid w:val="00C33F1C"/>
    <w:rPr>
      <w:color w:val="0563C1" w:themeColor="hyperlink"/>
      <w:u w:val="single"/>
    </w:rPr>
  </w:style>
  <w:style w:type="character" w:styleId="UnresolvedMention">
    <w:name w:val="Unresolved Mention"/>
    <w:basedOn w:val="DefaultParagraphFont"/>
    <w:uiPriority w:val="99"/>
    <w:semiHidden/>
    <w:unhideWhenUsed/>
    <w:rsid w:val="00C33F1C"/>
    <w:rPr>
      <w:color w:val="605E5C"/>
      <w:shd w:val="clear" w:color="auto" w:fill="E1DFDD"/>
    </w:rPr>
  </w:style>
  <w:style w:type="character" w:styleId="FollowedHyperlink">
    <w:name w:val="FollowedHyperlink"/>
    <w:basedOn w:val="DefaultParagraphFont"/>
    <w:uiPriority w:val="99"/>
    <w:semiHidden/>
    <w:unhideWhenUsed/>
    <w:rsid w:val="00C33F1C"/>
    <w:rPr>
      <w:color w:val="954F72" w:themeColor="followedHyperlink"/>
      <w:u w:val="single"/>
    </w:rPr>
  </w:style>
  <w:style w:type="paragraph" w:styleId="TOCHeading">
    <w:name w:val="TOC Heading"/>
    <w:basedOn w:val="Heading1"/>
    <w:next w:val="Normal"/>
    <w:uiPriority w:val="39"/>
    <w:unhideWhenUsed/>
    <w:qFormat/>
    <w:rsid w:val="00597F1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97F1D"/>
    <w:pPr>
      <w:spacing w:before="120" w:after="120"/>
    </w:pPr>
    <w:rPr>
      <w:rFonts w:cstheme="minorHAnsi"/>
      <w:b/>
      <w:bCs/>
      <w:caps/>
      <w:sz w:val="20"/>
      <w:szCs w:val="20"/>
    </w:rPr>
  </w:style>
  <w:style w:type="paragraph" w:styleId="TOC2">
    <w:name w:val="toc 2"/>
    <w:basedOn w:val="Normal"/>
    <w:next w:val="Normal"/>
    <w:autoRedefine/>
    <w:uiPriority w:val="39"/>
    <w:unhideWhenUsed/>
    <w:rsid w:val="00597F1D"/>
    <w:pPr>
      <w:ind w:left="240"/>
    </w:pPr>
    <w:rPr>
      <w:rFonts w:cstheme="minorHAnsi"/>
      <w:smallCaps/>
      <w:sz w:val="20"/>
      <w:szCs w:val="20"/>
    </w:rPr>
  </w:style>
  <w:style w:type="paragraph" w:styleId="TOC3">
    <w:name w:val="toc 3"/>
    <w:basedOn w:val="Normal"/>
    <w:next w:val="Normal"/>
    <w:autoRedefine/>
    <w:uiPriority w:val="39"/>
    <w:semiHidden/>
    <w:unhideWhenUsed/>
    <w:rsid w:val="00597F1D"/>
    <w:pPr>
      <w:ind w:left="480"/>
    </w:pPr>
    <w:rPr>
      <w:rFonts w:cstheme="minorHAnsi"/>
      <w:i/>
      <w:iCs/>
      <w:sz w:val="20"/>
      <w:szCs w:val="20"/>
    </w:rPr>
  </w:style>
  <w:style w:type="paragraph" w:styleId="TOC4">
    <w:name w:val="toc 4"/>
    <w:basedOn w:val="Normal"/>
    <w:next w:val="Normal"/>
    <w:autoRedefine/>
    <w:uiPriority w:val="39"/>
    <w:semiHidden/>
    <w:unhideWhenUsed/>
    <w:rsid w:val="00597F1D"/>
    <w:pPr>
      <w:ind w:left="720"/>
    </w:pPr>
    <w:rPr>
      <w:rFonts w:cstheme="minorHAnsi"/>
      <w:sz w:val="18"/>
      <w:szCs w:val="18"/>
    </w:rPr>
  </w:style>
  <w:style w:type="paragraph" w:styleId="TOC5">
    <w:name w:val="toc 5"/>
    <w:basedOn w:val="Normal"/>
    <w:next w:val="Normal"/>
    <w:autoRedefine/>
    <w:uiPriority w:val="39"/>
    <w:semiHidden/>
    <w:unhideWhenUsed/>
    <w:rsid w:val="00597F1D"/>
    <w:pPr>
      <w:ind w:left="960"/>
    </w:pPr>
    <w:rPr>
      <w:rFonts w:cstheme="minorHAnsi"/>
      <w:sz w:val="18"/>
      <w:szCs w:val="18"/>
    </w:rPr>
  </w:style>
  <w:style w:type="paragraph" w:styleId="TOC6">
    <w:name w:val="toc 6"/>
    <w:basedOn w:val="Normal"/>
    <w:next w:val="Normal"/>
    <w:autoRedefine/>
    <w:uiPriority w:val="39"/>
    <w:semiHidden/>
    <w:unhideWhenUsed/>
    <w:rsid w:val="00597F1D"/>
    <w:pPr>
      <w:ind w:left="1200"/>
    </w:pPr>
    <w:rPr>
      <w:rFonts w:cstheme="minorHAnsi"/>
      <w:sz w:val="18"/>
      <w:szCs w:val="18"/>
    </w:rPr>
  </w:style>
  <w:style w:type="paragraph" w:styleId="TOC7">
    <w:name w:val="toc 7"/>
    <w:basedOn w:val="Normal"/>
    <w:next w:val="Normal"/>
    <w:autoRedefine/>
    <w:uiPriority w:val="39"/>
    <w:semiHidden/>
    <w:unhideWhenUsed/>
    <w:rsid w:val="00597F1D"/>
    <w:pPr>
      <w:ind w:left="1440"/>
    </w:pPr>
    <w:rPr>
      <w:rFonts w:cstheme="minorHAnsi"/>
      <w:sz w:val="18"/>
      <w:szCs w:val="18"/>
    </w:rPr>
  </w:style>
  <w:style w:type="paragraph" w:styleId="TOC8">
    <w:name w:val="toc 8"/>
    <w:basedOn w:val="Normal"/>
    <w:next w:val="Normal"/>
    <w:autoRedefine/>
    <w:uiPriority w:val="39"/>
    <w:semiHidden/>
    <w:unhideWhenUsed/>
    <w:rsid w:val="00597F1D"/>
    <w:pPr>
      <w:ind w:left="1680"/>
    </w:pPr>
    <w:rPr>
      <w:rFonts w:cstheme="minorHAnsi"/>
      <w:sz w:val="18"/>
      <w:szCs w:val="18"/>
    </w:rPr>
  </w:style>
  <w:style w:type="paragraph" w:styleId="TOC9">
    <w:name w:val="toc 9"/>
    <w:basedOn w:val="Normal"/>
    <w:next w:val="Normal"/>
    <w:autoRedefine/>
    <w:uiPriority w:val="39"/>
    <w:semiHidden/>
    <w:unhideWhenUsed/>
    <w:rsid w:val="00597F1D"/>
    <w:pPr>
      <w:ind w:left="1920"/>
    </w:pPr>
    <w:rPr>
      <w:rFonts w:cstheme="minorHAnsi"/>
      <w:sz w:val="18"/>
      <w:szCs w:val="18"/>
    </w:rPr>
  </w:style>
  <w:style w:type="paragraph" w:styleId="NoSpacing">
    <w:name w:val="No Spacing"/>
    <w:link w:val="NoSpacingChar"/>
    <w:uiPriority w:val="1"/>
    <w:qFormat/>
    <w:rsid w:val="007B144F"/>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B144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publications/physical-activity-guidelines-uk-chief-medical-officers-report/uk-chief-medical-officers-physical-activity-guidelines" TargetMode="External"/><Relationship Id="rId18" Type="http://schemas.openxmlformats.org/officeDocument/2006/relationships/hyperlink" Target="https://www.nice.org.uk/guidance/qs209/chapter/Quality-statement-1-Preventing-type-2-diabetes" TargetMode="External"/><Relationship Id="rId26" Type="http://schemas.openxmlformats.org/officeDocument/2006/relationships/hyperlink" Target="https://www.england.nhs.uk/diabetes/diabetes-prevention" TargetMode="External"/><Relationship Id="rId3" Type="http://schemas.openxmlformats.org/officeDocument/2006/relationships/numbering" Target="numbering.xml"/><Relationship Id="rId21" Type="http://schemas.openxmlformats.org/officeDocument/2006/relationships/hyperlink" Target="https://www.nice.org.uk/guidance/ng28/chapter/Blood-glucose-management"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gov.uk/government/publications/healthy-eating-applying-all-our-health/healthy-eating-applying-all-our-health" TargetMode="External"/><Relationship Id="rId17" Type="http://schemas.openxmlformats.org/officeDocument/2006/relationships/hyperlink" Target="https://www.nice.org.uk/guidance/qs209" TargetMode="External"/><Relationship Id="rId25" Type="http://schemas.openxmlformats.org/officeDocument/2006/relationships/hyperlink" Target="https://www.england.nhs.uk/2024/06/nhs-identifies-over-half-a-million-more-people-at-risk-of-type-2-diabetes-in-a-year"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diabetes.org.uk/sites/default/files/2024-06/Reverse%20the%20Trend%20report%20V2.pdf" TargetMode="External"/><Relationship Id="rId20" Type="http://schemas.openxmlformats.org/officeDocument/2006/relationships/hyperlink" Target="https://www.nice.org.uk/guidance/ng28" TargetMode="External"/><Relationship Id="rId29" Type="http://schemas.openxmlformats.org/officeDocument/2006/relationships/hyperlink" Target="https://www.gov.uk/government/statistics/diabetes-profile-update-april-2026/diabetes-profile-statistical-commentary-april-202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england.nhs.uk/wp-content/uploads/2016/08/Diabetes-Prevention-Programme-Framework-3-Service-Specification-October-2022.pdf"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diabetes.org.uk/support-us/campaign/diabetes-is-serious/across-the-UK/our-reports" TargetMode="External"/><Relationship Id="rId23" Type="http://schemas.openxmlformats.org/officeDocument/2006/relationships/hyperlink" Target="https://www.nhs.uk/conditions/type-2-diabetes" TargetMode="External"/><Relationship Id="rId28" Type="http://schemas.openxmlformats.org/officeDocument/2006/relationships/hyperlink" Target="https://fingertips.phe.org.uk/profile/diabetes-ft" TargetMode="External"/><Relationship Id="rId10" Type="http://schemas.openxmlformats.org/officeDocument/2006/relationships/image" Target="media/image2.png"/><Relationship Id="rId19" Type="http://schemas.openxmlformats.org/officeDocument/2006/relationships/hyperlink" Target="https://www.nice.org.uk/guidance/ng246" TargetMode="External"/><Relationship Id="rId31"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ssets.publishing.service.gov.uk/media/612f9de2e90e070418e4af32/SACN_report_on_lower_carbohydrate_diets_for_type_2_diabetes.pdf" TargetMode="External"/><Relationship Id="rId22" Type="http://schemas.openxmlformats.org/officeDocument/2006/relationships/hyperlink" Target="https://www.nice.org.uk/guidance/ng28/chapter/initial-medicines" TargetMode="External"/><Relationship Id="rId27" Type="http://schemas.openxmlformats.org/officeDocument/2006/relationships/hyperlink" Target="https://www.gov.uk/government/statistics/diabetes-profile-update-march-2025/diabetes-profile-statistical-commentary-march-2025" TargetMode="External"/><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AAF726414CD427E983DFD3819E00AC9"/>
        <w:category>
          <w:name w:val="General"/>
          <w:gallery w:val="placeholder"/>
        </w:category>
        <w:types>
          <w:type w:val="bbPlcHdr"/>
        </w:types>
        <w:behaviors>
          <w:behavior w:val="content"/>
        </w:behaviors>
        <w:guid w:val="{B9C21B90-7838-44C8-813C-79A944CD61D7}"/>
      </w:docPartPr>
      <w:docPartBody>
        <w:p w:rsidR="00000000" w:rsidRDefault="00AC7227" w:rsidP="00AC7227">
          <w:pPr>
            <w:pStyle w:val="1AAF726414CD427E983DFD3819E00AC9"/>
          </w:pPr>
          <w:r>
            <w:rPr>
              <w:rFonts w:asciiTheme="majorHAnsi" w:eastAsiaTheme="majorEastAsia" w:hAnsiTheme="majorHAnsi" w:cstheme="majorBidi"/>
              <w:caps/>
              <w:color w:val="4472C4" w:themeColor="accent1"/>
              <w:sz w:val="80"/>
              <w:szCs w:val="80"/>
            </w:rPr>
            <w:t>[Document title]</w:t>
          </w:r>
        </w:p>
      </w:docPartBody>
    </w:docPart>
    <w:docPart>
      <w:docPartPr>
        <w:name w:val="A686995748994FCFB9FB22FCE1DCAE6E"/>
        <w:category>
          <w:name w:val="General"/>
          <w:gallery w:val="placeholder"/>
        </w:category>
        <w:types>
          <w:type w:val="bbPlcHdr"/>
        </w:types>
        <w:behaviors>
          <w:behavior w:val="content"/>
        </w:behaviors>
        <w:guid w:val="{BC93F7D9-7A48-4A87-A1C3-E0620EFDED30}"/>
      </w:docPartPr>
      <w:docPartBody>
        <w:p w:rsidR="00000000" w:rsidRDefault="00AC7227" w:rsidP="00AC7227">
          <w:pPr>
            <w:pStyle w:val="A686995748994FCFB9FB22FCE1DCAE6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ptos">
    <w:altName w:val="Calibri"/>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227"/>
    <w:rsid w:val="004F3239"/>
    <w:rsid w:val="00AC7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AF726414CD427E983DFD3819E00AC9">
    <w:name w:val="1AAF726414CD427E983DFD3819E00AC9"/>
    <w:rsid w:val="00AC7227"/>
  </w:style>
  <w:style w:type="paragraph" w:customStyle="1" w:styleId="A686995748994FCFB9FB22FCE1DCAE6E">
    <w:name w:val="A686995748994FCFB9FB22FCE1DCAE6E"/>
    <w:rsid w:val="00AC72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2026-10-24T00:00:00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CB0A6B-F7CC-4F42-A803-26231083B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3151</Words>
  <Characters>17965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Code and Title: BMHP5023 Introduction to Physiology</dc:title>
  <dc:subject>Assignment Title: Case Study Report: Type 2 Diabetes</dc:subject>
  <dc:creator>Microsoft Office User</dc:creator>
  <cp:keywords/>
  <dc:description/>
  <cp:lastModifiedBy>00000 0000</cp:lastModifiedBy>
  <cp:revision>4</cp:revision>
  <dcterms:created xsi:type="dcterms:W3CDTF">2026-10-23T17:47:00Z</dcterms:created>
  <dcterms:modified xsi:type="dcterms:W3CDTF">2026-10-23T17:53:00Z</dcterms:modified>
</cp:coreProperties>
</file>