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2B33ED" w14:textId="220193AA" w:rsidR="00053B04" w:rsidRPr="00053B04" w:rsidRDefault="00053B04" w:rsidP="009C428A">
      <w:pPr>
        <w:spacing w:line="240" w:lineRule="auto"/>
        <w:rPr>
          <w:b/>
          <w:bCs/>
          <w:u w:val="single"/>
        </w:rPr>
      </w:pPr>
      <w:r w:rsidRPr="00053B04">
        <w:rPr>
          <w:b/>
          <w:bCs/>
          <w:u w:val="single"/>
        </w:rPr>
        <w:t xml:space="preserve">Describe, with evidence from the text, one or two strategies which Cicero uses in the portrayal of Clodia in Cicero’s Pro </w:t>
      </w:r>
      <w:proofErr w:type="spellStart"/>
      <w:r w:rsidRPr="00053B04">
        <w:rPr>
          <w:b/>
          <w:bCs/>
          <w:u w:val="single"/>
        </w:rPr>
        <w:t>Caelio</w:t>
      </w:r>
      <w:proofErr w:type="spellEnd"/>
      <w:r w:rsidRPr="00053B04">
        <w:rPr>
          <w:b/>
          <w:bCs/>
          <w:u w:val="single"/>
        </w:rPr>
        <w:t>. Then, from the point of view of a prosecutor, outline what arguments you would use as counters.</w:t>
      </w:r>
    </w:p>
    <w:p w14:paraId="11E2FB55" w14:textId="77777777" w:rsidR="00053B04" w:rsidRDefault="00053B04" w:rsidP="009C428A">
      <w:pPr>
        <w:spacing w:line="240" w:lineRule="auto"/>
      </w:pPr>
    </w:p>
    <w:p w14:paraId="078D5041" w14:textId="1213AEFF" w:rsidR="00E4473F" w:rsidRPr="00D36CC5" w:rsidRDefault="00E4473F" w:rsidP="009C428A">
      <w:pPr>
        <w:spacing w:line="240" w:lineRule="auto"/>
        <w:rPr>
          <w:bCs/>
        </w:rPr>
      </w:pPr>
      <w:r w:rsidRPr="00E4473F">
        <w:rPr>
          <w:i/>
          <w:iCs/>
        </w:rPr>
        <w:t xml:space="preserve">Cicero’s Pro </w:t>
      </w:r>
      <w:proofErr w:type="spellStart"/>
      <w:r w:rsidRPr="00E4473F">
        <w:rPr>
          <w:i/>
          <w:iCs/>
        </w:rPr>
        <w:t>Caelio</w:t>
      </w:r>
      <w:proofErr w:type="spellEnd"/>
      <w:r>
        <w:t xml:space="preserve"> is an account by Cicero </w:t>
      </w:r>
      <w:r w:rsidR="00D6227E">
        <w:t xml:space="preserve">from 56 BC </w:t>
      </w:r>
      <w:r>
        <w:t xml:space="preserve">of him defending </w:t>
      </w:r>
      <w:r w:rsidRPr="00E4473F">
        <w:t>Marcus Caelius Rufus</w:t>
      </w:r>
      <w:r>
        <w:t xml:space="preserve">, specifically concerning the charge </w:t>
      </w:r>
      <w:r w:rsidRPr="00E4473F">
        <w:t xml:space="preserve">of </w:t>
      </w:r>
      <w:r>
        <w:t xml:space="preserve">the </w:t>
      </w:r>
      <w:r w:rsidRPr="00E4473F">
        <w:t>attempted murder of Dio</w:t>
      </w:r>
      <w:r w:rsidR="004D6A30">
        <w:t>, a philosopher in the senate,</w:t>
      </w:r>
      <w:r w:rsidRPr="00E4473F">
        <w:t xml:space="preserve"> and </w:t>
      </w:r>
      <w:r>
        <w:t xml:space="preserve">the </w:t>
      </w:r>
      <w:r w:rsidRPr="00E4473F">
        <w:t>attempted poisoning of Clodia</w:t>
      </w:r>
      <w:r w:rsidR="00086512">
        <w:t>, who had allegedly discovered this crime</w:t>
      </w:r>
      <w:r w:rsidR="00277C25">
        <w:t xml:space="preserve"> and then been targeted herself</w:t>
      </w:r>
      <w:r>
        <w:t>.</w:t>
      </w:r>
      <w:r w:rsidR="00D36CC5">
        <w:t xml:space="preserve"> </w:t>
      </w:r>
      <w:r w:rsidR="007B38B0">
        <w:t>According to T. A. Dorey in his article</w:t>
      </w:r>
      <w:r w:rsidR="007B38B0" w:rsidRPr="007B38B0">
        <w:t xml:space="preserve"> </w:t>
      </w:r>
      <w:r w:rsidR="007B38B0" w:rsidRPr="007B38B0">
        <w:rPr>
          <w:i/>
          <w:iCs/>
        </w:rPr>
        <w:t xml:space="preserve">Cicero, Clodia, and the 'Pro </w:t>
      </w:r>
      <w:proofErr w:type="spellStart"/>
      <w:r w:rsidR="007B38B0" w:rsidRPr="007B38B0">
        <w:rPr>
          <w:i/>
          <w:iCs/>
        </w:rPr>
        <w:t>Caelio</w:t>
      </w:r>
      <w:proofErr w:type="spellEnd"/>
      <w:r w:rsidR="007B38B0" w:rsidRPr="007B38B0">
        <w:rPr>
          <w:i/>
          <w:iCs/>
        </w:rPr>
        <w:t>'</w:t>
      </w:r>
      <w:r w:rsidR="007B38B0">
        <w:t>, t</w:t>
      </w:r>
      <w:r w:rsidR="00D36CC5">
        <w:t xml:space="preserve">he prosecution </w:t>
      </w:r>
      <w:r w:rsidR="007B38B0">
        <w:t xml:space="preserve">brought forward these two charges </w:t>
      </w:r>
      <w:proofErr w:type="gramStart"/>
      <w:r w:rsidR="007B38B0">
        <w:t>in particular because</w:t>
      </w:r>
      <w:proofErr w:type="gramEnd"/>
      <w:r w:rsidR="007B38B0">
        <w:t xml:space="preserve"> they </w:t>
      </w:r>
      <w:r w:rsidR="00D36CC5">
        <w:t xml:space="preserve">hoped to present charges so damning to </w:t>
      </w:r>
      <w:proofErr w:type="spellStart"/>
      <w:r w:rsidR="00D36CC5">
        <w:t>Caelio’s</w:t>
      </w:r>
      <w:proofErr w:type="spellEnd"/>
      <w:r w:rsidR="00D36CC5">
        <w:t xml:space="preserve"> character that even if he escaped conviction, he would struggle to pursue his own prosecution of </w:t>
      </w:r>
      <w:r w:rsidR="00D36CC5">
        <w:rPr>
          <w:bCs/>
        </w:rPr>
        <w:t>Bestia.</w:t>
      </w:r>
      <w:r w:rsidR="00D36CC5">
        <w:rPr>
          <w:rStyle w:val="FootnoteReference"/>
          <w:bCs/>
        </w:rPr>
        <w:footnoteReference w:id="1"/>
      </w:r>
    </w:p>
    <w:p w14:paraId="21B183A6" w14:textId="636914C2" w:rsidR="00D6227E" w:rsidRDefault="00BB1C1E" w:rsidP="009C428A">
      <w:pPr>
        <w:spacing w:line="240" w:lineRule="auto"/>
      </w:pPr>
      <w:r>
        <w:t xml:space="preserve">Cicero brings up the implausibility of the hand off of the poison from </w:t>
      </w:r>
      <w:r w:rsidRPr="00BB1C1E">
        <w:t>Publius Licinius</w:t>
      </w:r>
      <w:r>
        <w:t xml:space="preserve"> to Clodia’s slaves in the bath houses, asking ‘</w:t>
      </w:r>
      <w:r w:rsidR="00D6227E">
        <w:t>Why did not those slaves go to Caelius at his house?</w:t>
      </w:r>
      <w:r>
        <w:t>’.</w:t>
      </w:r>
      <w:r>
        <w:rPr>
          <w:rStyle w:val="FootnoteReference"/>
        </w:rPr>
        <w:footnoteReference w:id="2"/>
      </w:r>
      <w:r w:rsidR="00440A65">
        <w:t xml:space="preserve"> When Cicero brings this up, he’s pointing out holes in logic behind the prosecutions story, because it doesn’t make sense to meet in a public place, where it is more likely that they would be spotted and they have no good reason to be, </w:t>
      </w:r>
      <w:r w:rsidR="00636C98">
        <w:t xml:space="preserve">as opposed to </w:t>
      </w:r>
      <w:proofErr w:type="spellStart"/>
      <w:r w:rsidR="00636C98">
        <w:t>Caelio’s</w:t>
      </w:r>
      <w:proofErr w:type="spellEnd"/>
      <w:r w:rsidR="00636C98">
        <w:t xml:space="preserve"> house which would be more private and a place that they would be expected to be. Cicero, therefore, suggests that this alleged meeting and passing </w:t>
      </w:r>
      <w:proofErr w:type="gramStart"/>
      <w:r w:rsidR="00636C98">
        <w:t>off of</w:t>
      </w:r>
      <w:proofErr w:type="gramEnd"/>
      <w:r w:rsidR="00636C98">
        <w:t xml:space="preserve"> the poison happened in such a public place because Clodia</w:t>
      </w:r>
      <w:r w:rsidR="00A330A6">
        <w:t>, whom he describes as a ‘crafty lady’</w:t>
      </w:r>
      <w:r w:rsidR="00A330A6">
        <w:rPr>
          <w:rStyle w:val="FootnoteReference"/>
        </w:rPr>
        <w:footnoteReference w:id="3"/>
      </w:r>
      <w:r w:rsidR="00A330A6">
        <w:t>,</w:t>
      </w:r>
      <w:r w:rsidR="00636C98">
        <w:t xml:space="preserve"> arranged it to happen where there could be witnesses. </w:t>
      </w:r>
      <w:r w:rsidR="00A330A6">
        <w:t xml:space="preserve">He says that she also arranged to have people she knew hide in the bath house and seize Licinius before he could leave and apprehend him. </w:t>
      </w:r>
    </w:p>
    <w:p w14:paraId="7884500E" w14:textId="4D9B3CDF" w:rsidR="00440A65" w:rsidRDefault="00A330A6" w:rsidP="009C428A">
      <w:pPr>
        <w:spacing w:line="240" w:lineRule="auto"/>
      </w:pPr>
      <w:r>
        <w:t>This indeed shows Clodia to be a crafty lady. Upon hearing of this murderous plot, she sprung into action to orchestrate an elaborate plan to guarantee the exchange would happen publicly, so she could have multiple eye witnesses to the event and it would</w:t>
      </w:r>
      <w:r w:rsidR="007B38B0">
        <w:t xml:space="preserve"> no</w:t>
      </w:r>
      <w:r>
        <w:t xml:space="preserve">t be covered up by obscurity, and to have instructed people to be there to </w:t>
      </w:r>
      <w:r w:rsidR="007B38B0">
        <w:t>apprehend the person in possession of the poison so he could not deny it being him or being there. Presenting Clodia in this way is immensely helpful to Cicero’s case</w:t>
      </w:r>
      <w:r w:rsidR="009C428A">
        <w:t>, as he has established her as a calculating and clever character, the kind of person who would have the forethought and skill to plan a set up to frame someone.</w:t>
      </w:r>
      <w:r w:rsidR="00277C25">
        <w:t xml:space="preserve"> Anne Leen brings this up in her article </w:t>
      </w:r>
      <w:r w:rsidR="00277C25" w:rsidRPr="00277C25">
        <w:rPr>
          <w:i/>
          <w:iCs/>
        </w:rPr>
        <w:t xml:space="preserve">Clodia </w:t>
      </w:r>
      <w:proofErr w:type="spellStart"/>
      <w:r w:rsidR="00277C25" w:rsidRPr="00277C25">
        <w:rPr>
          <w:i/>
          <w:iCs/>
        </w:rPr>
        <w:t>Oppugnatrix</w:t>
      </w:r>
      <w:proofErr w:type="spellEnd"/>
      <w:r w:rsidR="00277C25" w:rsidRPr="00277C25">
        <w:rPr>
          <w:i/>
          <w:iCs/>
        </w:rPr>
        <w:t xml:space="preserve">: The Domus Motif in Cicero's "Pro </w:t>
      </w:r>
      <w:proofErr w:type="spellStart"/>
      <w:r w:rsidR="00277C25" w:rsidRPr="00277C25">
        <w:rPr>
          <w:i/>
          <w:iCs/>
        </w:rPr>
        <w:t>Caelio</w:t>
      </w:r>
      <w:proofErr w:type="spellEnd"/>
      <w:r w:rsidR="00277C25" w:rsidRPr="00277C25">
        <w:rPr>
          <w:i/>
          <w:iCs/>
        </w:rPr>
        <w:t>"</w:t>
      </w:r>
      <w:r w:rsidR="00277C25">
        <w:t xml:space="preserve">, that Clodia in fact made this case up as a form of vengeance against </w:t>
      </w:r>
      <w:proofErr w:type="spellStart"/>
      <w:r w:rsidR="00277C25">
        <w:t>Caelio</w:t>
      </w:r>
      <w:proofErr w:type="spellEnd"/>
      <w:r w:rsidR="00277C25">
        <w:t xml:space="preserve"> for leaving her.</w:t>
      </w:r>
      <w:r w:rsidR="00277C25">
        <w:rPr>
          <w:rStyle w:val="FootnoteReference"/>
        </w:rPr>
        <w:footnoteReference w:id="4"/>
      </w:r>
    </w:p>
    <w:p w14:paraId="3FFBB1EE" w14:textId="33BC0409" w:rsidR="00D6227E" w:rsidRDefault="00065F7C" w:rsidP="009C428A">
      <w:pPr>
        <w:spacing w:line="240" w:lineRule="auto"/>
      </w:pPr>
      <w:r>
        <w:t xml:space="preserve">However, the prosecution has many witnesses for what happened at the bath house. Though Cicero tries to deny them existing, the prosecutions </w:t>
      </w:r>
      <w:r w:rsidR="00212147">
        <w:t xml:space="preserve">best way to refute Cicero’s claims is to bring forward their </w:t>
      </w:r>
      <w:proofErr w:type="gramStart"/>
      <w:r w:rsidR="00212147">
        <w:t>eye witnesses</w:t>
      </w:r>
      <w:proofErr w:type="gramEnd"/>
      <w:r w:rsidR="00212147">
        <w:t xml:space="preserve"> to testify to what really happened in the bath house.</w:t>
      </w:r>
    </w:p>
    <w:p w14:paraId="49712E96" w14:textId="7A64AD28" w:rsidR="00196C8F" w:rsidRDefault="00212147" w:rsidP="009C428A">
      <w:pPr>
        <w:spacing w:line="240" w:lineRule="auto"/>
      </w:pPr>
      <w:r>
        <w:t xml:space="preserve">Another way the prosecution could have contradicted Cicero, is to bring up the feud between </w:t>
      </w:r>
      <w:proofErr w:type="spellStart"/>
      <w:r>
        <w:t>Caelio</w:t>
      </w:r>
      <w:proofErr w:type="spellEnd"/>
      <w:r>
        <w:t xml:space="preserve"> and Bestia</w:t>
      </w:r>
      <w:r w:rsidR="006B6B85">
        <w:t xml:space="preserve">. Dorey talks about how Cicero attempts to hide this feud in his oration and implies that Clodia is behind the attack. This is an example of the way that Cicero distorts the truth in his orations, as there is no proof of his claims, nor does he present any. The prosecution could bring up the feud between </w:t>
      </w:r>
      <w:proofErr w:type="spellStart"/>
      <w:r w:rsidR="006B6B85">
        <w:t>Caelio</w:t>
      </w:r>
      <w:proofErr w:type="spellEnd"/>
      <w:r w:rsidR="006B6B85">
        <w:t xml:space="preserve"> and Bastia to disprove Clodia’s involvement and to cast doubt about </w:t>
      </w:r>
      <w:proofErr w:type="spellStart"/>
      <w:r w:rsidR="006B6B85">
        <w:t>Caelio’s</w:t>
      </w:r>
      <w:proofErr w:type="spellEnd"/>
      <w:r w:rsidR="006B6B85">
        <w:t xml:space="preserve"> character and how likely he is to be involved in the attempted poisoning.</w:t>
      </w:r>
      <w:r w:rsidR="006B6B85">
        <w:rPr>
          <w:rStyle w:val="FootnoteReference"/>
        </w:rPr>
        <w:footnoteReference w:id="5"/>
      </w:r>
    </w:p>
    <w:p w14:paraId="40039302" w14:textId="1C294316" w:rsidR="00196C8F" w:rsidRPr="00196C8F" w:rsidRDefault="00196C8F" w:rsidP="009C428A">
      <w:pPr>
        <w:spacing w:line="240" w:lineRule="auto"/>
        <w:rPr>
          <w:b/>
          <w:bCs/>
          <w:u w:val="single"/>
        </w:rPr>
      </w:pPr>
      <w:r w:rsidRPr="00196C8F">
        <w:rPr>
          <w:b/>
          <w:bCs/>
          <w:u w:val="single"/>
        </w:rPr>
        <w:lastRenderedPageBreak/>
        <w:t>Bibliography</w:t>
      </w:r>
    </w:p>
    <w:p w14:paraId="29D02E7F" w14:textId="77777777" w:rsidR="00636C98" w:rsidRDefault="00636C98" w:rsidP="009C428A">
      <w:pPr>
        <w:spacing w:line="240" w:lineRule="auto"/>
      </w:pPr>
      <w:r>
        <w:t>Christenson, David, ‘Le</w:t>
      </w:r>
      <w:r w:rsidRPr="00A814D2">
        <w:t xml:space="preserve"> </w:t>
      </w:r>
      <w:r>
        <w:t xml:space="preserve">Unbearding Morality: Appearance and Persuasion in "Pro </w:t>
      </w:r>
      <w:proofErr w:type="spellStart"/>
      <w:r>
        <w:t>Caelio</w:t>
      </w:r>
      <w:proofErr w:type="spellEnd"/>
      <w:r>
        <w:t>"</w:t>
      </w:r>
      <w:r>
        <w:t xml:space="preserve">’, </w:t>
      </w:r>
      <w:r w:rsidRPr="00636C98">
        <w:rPr>
          <w:i/>
          <w:iCs/>
        </w:rPr>
        <w:t>The Classical Journal</w:t>
      </w:r>
      <w:r>
        <w:t>, Vol. 100 No. 1 (2004)</w:t>
      </w:r>
    </w:p>
    <w:p w14:paraId="32947702" w14:textId="77777777" w:rsidR="00636C98" w:rsidRDefault="00636C98" w:rsidP="009C428A">
      <w:pPr>
        <w:spacing w:line="240" w:lineRule="auto"/>
      </w:pPr>
      <w:r w:rsidRPr="00196C8F">
        <w:t xml:space="preserve">Dorey, </w:t>
      </w:r>
      <w:r>
        <w:t>T</w:t>
      </w:r>
      <w:r w:rsidRPr="00196C8F">
        <w:t>. A.</w:t>
      </w:r>
      <w:r>
        <w:t>,</w:t>
      </w:r>
      <w:r w:rsidRPr="00196C8F">
        <w:t xml:space="preserve"> ‘Cicero, Clodia, and the 'Pro </w:t>
      </w:r>
      <w:proofErr w:type="spellStart"/>
      <w:r w:rsidRPr="00196C8F">
        <w:t>Caelio</w:t>
      </w:r>
      <w:proofErr w:type="spellEnd"/>
      <w:r w:rsidRPr="00196C8F">
        <w:t xml:space="preserve">'’, </w:t>
      </w:r>
      <w:r w:rsidRPr="00196C8F">
        <w:rPr>
          <w:i/>
          <w:iCs/>
        </w:rPr>
        <w:t>Greece &amp; Rome</w:t>
      </w:r>
      <w:r w:rsidRPr="00196C8F">
        <w:t>, Vol. 5 No. 2 (1958</w:t>
      </w:r>
      <w:r>
        <w:t>)</w:t>
      </w:r>
    </w:p>
    <w:p w14:paraId="04A65C66" w14:textId="77777777" w:rsidR="00636C98" w:rsidRDefault="00636C98" w:rsidP="009C428A">
      <w:pPr>
        <w:spacing w:line="240" w:lineRule="auto"/>
      </w:pPr>
      <w:r>
        <w:t>Leen, Anne, ‘</w:t>
      </w:r>
      <w:r>
        <w:t xml:space="preserve">Clodia </w:t>
      </w:r>
      <w:proofErr w:type="spellStart"/>
      <w:r>
        <w:t>Oppugnatrix</w:t>
      </w:r>
      <w:proofErr w:type="spellEnd"/>
      <w:r>
        <w:t xml:space="preserve">: The Domus Motif in Cicero's "Pro </w:t>
      </w:r>
      <w:proofErr w:type="spellStart"/>
      <w:r>
        <w:t>Caelio</w:t>
      </w:r>
      <w:proofErr w:type="spellEnd"/>
      <w:r>
        <w:t>"</w:t>
      </w:r>
      <w:r>
        <w:t xml:space="preserve">’, </w:t>
      </w:r>
      <w:r w:rsidRPr="00636C98">
        <w:rPr>
          <w:i/>
          <w:iCs/>
        </w:rPr>
        <w:t>The Classical Journal</w:t>
      </w:r>
      <w:r>
        <w:t>, Vol. 96 No. 2 (2001)</w:t>
      </w:r>
    </w:p>
    <w:p w14:paraId="7D337245" w14:textId="77777777" w:rsidR="00636C98" w:rsidRDefault="00636C98" w:rsidP="009C428A">
      <w:pPr>
        <w:spacing w:line="240" w:lineRule="auto"/>
      </w:pPr>
      <w:r w:rsidRPr="00BB1C1E">
        <w:rPr>
          <w:i/>
          <w:iCs/>
        </w:rPr>
        <w:t xml:space="preserve">Pro </w:t>
      </w:r>
      <w:proofErr w:type="spellStart"/>
      <w:r w:rsidRPr="00BB1C1E">
        <w:rPr>
          <w:i/>
          <w:iCs/>
        </w:rPr>
        <w:t>Caelio</w:t>
      </w:r>
      <w:proofErr w:type="spellEnd"/>
      <w:r w:rsidRPr="00BB1C1E">
        <w:rPr>
          <w:i/>
          <w:iCs/>
        </w:rPr>
        <w:t xml:space="preserve"> 61-9: Passing on poison at the baths</w:t>
      </w:r>
      <w:r w:rsidRPr="00BB1C1E">
        <w:t>, &lt;https://moodle.uwtsd.ac.uk/pluginfile.php/494845/mod_resource/content/0/Pro%20Caelio%2061-9.pdf&gt; [Accessed 17 February 2025]</w:t>
      </w:r>
    </w:p>
    <w:p w14:paraId="1BC4012F" w14:textId="3C97CD71" w:rsidR="00A814D2" w:rsidRDefault="00636C98" w:rsidP="009C428A">
      <w:pPr>
        <w:spacing w:line="240" w:lineRule="auto"/>
      </w:pPr>
      <w:r>
        <w:t>Skinner, Marilyn B., ‘</w:t>
      </w:r>
      <w:r>
        <w:t xml:space="preserve">Clodia </w:t>
      </w:r>
      <w:proofErr w:type="spellStart"/>
      <w:r>
        <w:t>Metelli</w:t>
      </w:r>
      <w:proofErr w:type="spellEnd"/>
      <w:r>
        <w:t xml:space="preserve">’, </w:t>
      </w:r>
      <w:r w:rsidRPr="00636C98">
        <w:rPr>
          <w:i/>
          <w:iCs/>
        </w:rPr>
        <w:t>Transactions of the American Philological Association</w:t>
      </w:r>
      <w:r>
        <w:t>, Vol. 113 (1983)</w:t>
      </w:r>
    </w:p>
    <w:sectPr w:rsidR="00A814D2" w:rsidSect="006B6B85">
      <w:pgSz w:w="11906" w:h="16838"/>
      <w:pgMar w:top="1440" w:right="1440" w:bottom="1276"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D124C40" w14:textId="77777777" w:rsidR="00046E63" w:rsidRDefault="00046E63" w:rsidP="00D36CC5">
      <w:pPr>
        <w:spacing w:after="0" w:line="240" w:lineRule="auto"/>
      </w:pPr>
      <w:r>
        <w:separator/>
      </w:r>
    </w:p>
  </w:endnote>
  <w:endnote w:type="continuationSeparator" w:id="0">
    <w:p w14:paraId="35DD9ED3" w14:textId="77777777" w:rsidR="00046E63" w:rsidRDefault="00046E63" w:rsidP="00D36C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A154B8" w14:textId="77777777" w:rsidR="00046E63" w:rsidRDefault="00046E63" w:rsidP="00D36CC5">
      <w:pPr>
        <w:spacing w:after="0" w:line="240" w:lineRule="auto"/>
      </w:pPr>
      <w:r>
        <w:separator/>
      </w:r>
    </w:p>
  </w:footnote>
  <w:footnote w:type="continuationSeparator" w:id="0">
    <w:p w14:paraId="7C85752E" w14:textId="77777777" w:rsidR="00046E63" w:rsidRDefault="00046E63" w:rsidP="00D36CC5">
      <w:pPr>
        <w:spacing w:after="0" w:line="240" w:lineRule="auto"/>
      </w:pPr>
      <w:r>
        <w:continuationSeparator/>
      </w:r>
    </w:p>
  </w:footnote>
  <w:footnote w:id="1">
    <w:p w14:paraId="1EAD6533" w14:textId="29D8CF7B" w:rsidR="00D36CC5" w:rsidRDefault="00D36CC5">
      <w:pPr>
        <w:pStyle w:val="FootnoteText"/>
      </w:pPr>
      <w:r>
        <w:rPr>
          <w:rStyle w:val="FootnoteReference"/>
        </w:rPr>
        <w:footnoteRef/>
      </w:r>
      <w:r>
        <w:t xml:space="preserve"> </w:t>
      </w:r>
      <w:r w:rsidRPr="00D36CC5">
        <w:t>T. A. Dorey</w:t>
      </w:r>
      <w:r>
        <w:t>, ‘</w:t>
      </w:r>
      <w:r w:rsidRPr="00D36CC5">
        <w:t xml:space="preserve">Cicero, Clodia, and the 'Pro </w:t>
      </w:r>
      <w:proofErr w:type="spellStart"/>
      <w:r w:rsidRPr="00D36CC5">
        <w:t>Caelio</w:t>
      </w:r>
      <w:proofErr w:type="spellEnd"/>
      <w:r w:rsidRPr="00D36CC5">
        <w:t>'</w:t>
      </w:r>
      <w:r>
        <w:t xml:space="preserve">’, </w:t>
      </w:r>
      <w:r w:rsidRPr="00D36CC5">
        <w:rPr>
          <w:i/>
          <w:iCs/>
        </w:rPr>
        <w:t>Greece &amp; Rome</w:t>
      </w:r>
      <w:r w:rsidRPr="00D36CC5">
        <w:t>, Vol. 5 No. 2</w:t>
      </w:r>
      <w:r>
        <w:t xml:space="preserve"> (1958) pp. 175-176.</w:t>
      </w:r>
    </w:p>
  </w:footnote>
  <w:footnote w:id="2">
    <w:p w14:paraId="6FC64515" w14:textId="69ABC64B" w:rsidR="00BB1C1E" w:rsidRDefault="00BB1C1E">
      <w:pPr>
        <w:pStyle w:val="FootnoteText"/>
      </w:pPr>
      <w:r>
        <w:rPr>
          <w:rStyle w:val="FootnoteReference"/>
        </w:rPr>
        <w:footnoteRef/>
      </w:r>
      <w:r>
        <w:t xml:space="preserve"> </w:t>
      </w:r>
      <w:r w:rsidRPr="00BB1C1E">
        <w:rPr>
          <w:i/>
          <w:iCs/>
        </w:rPr>
        <w:t xml:space="preserve">Pro </w:t>
      </w:r>
      <w:proofErr w:type="spellStart"/>
      <w:r w:rsidRPr="00BB1C1E">
        <w:rPr>
          <w:i/>
          <w:iCs/>
        </w:rPr>
        <w:t>Caelio</w:t>
      </w:r>
      <w:proofErr w:type="spellEnd"/>
      <w:r w:rsidRPr="00BB1C1E">
        <w:rPr>
          <w:i/>
          <w:iCs/>
        </w:rPr>
        <w:t xml:space="preserve"> 61-9: Passing on poison at the baths</w:t>
      </w:r>
      <w:r>
        <w:t>, &lt;</w:t>
      </w:r>
      <w:r w:rsidRPr="00BB1C1E">
        <w:t>https://moodle.uwtsd.ac.uk/pluginfile.php/494845/mod_resource/content/0/Pro%20Caelio%2061-9.pdf</w:t>
      </w:r>
      <w:r>
        <w:t>&gt; [Accessed 17 February 2025]</w:t>
      </w:r>
    </w:p>
  </w:footnote>
  <w:footnote w:id="3">
    <w:p w14:paraId="23AAFCA3" w14:textId="17FEB48C" w:rsidR="00A330A6" w:rsidRDefault="00A330A6">
      <w:pPr>
        <w:pStyle w:val="FootnoteText"/>
      </w:pPr>
      <w:r>
        <w:rPr>
          <w:rStyle w:val="FootnoteReference"/>
        </w:rPr>
        <w:footnoteRef/>
      </w:r>
      <w:r>
        <w:t xml:space="preserve"> Ibid.</w:t>
      </w:r>
    </w:p>
  </w:footnote>
  <w:footnote w:id="4">
    <w:p w14:paraId="64C1E00F" w14:textId="0BD56798" w:rsidR="00277C25" w:rsidRDefault="00277C25">
      <w:pPr>
        <w:pStyle w:val="FootnoteText"/>
      </w:pPr>
      <w:r>
        <w:rPr>
          <w:rStyle w:val="FootnoteReference"/>
        </w:rPr>
        <w:footnoteRef/>
      </w:r>
      <w:r>
        <w:t xml:space="preserve"> </w:t>
      </w:r>
      <w:r w:rsidRPr="00277C25">
        <w:t xml:space="preserve">Leen, Anne, ‘Clodia </w:t>
      </w:r>
      <w:proofErr w:type="spellStart"/>
      <w:r w:rsidRPr="00277C25">
        <w:t>Oppugnatrix</w:t>
      </w:r>
      <w:proofErr w:type="spellEnd"/>
      <w:r w:rsidRPr="00277C25">
        <w:t xml:space="preserve">: The Domus Motif in Cicero's "Pro </w:t>
      </w:r>
      <w:proofErr w:type="spellStart"/>
      <w:r w:rsidRPr="00277C25">
        <w:t>Caelio</w:t>
      </w:r>
      <w:proofErr w:type="spellEnd"/>
      <w:r w:rsidRPr="00277C25">
        <w:t xml:space="preserve">"’, </w:t>
      </w:r>
      <w:r w:rsidRPr="00277C25">
        <w:rPr>
          <w:i/>
          <w:iCs/>
        </w:rPr>
        <w:t>The Classical Journal</w:t>
      </w:r>
      <w:r w:rsidRPr="00277C25">
        <w:t>, Vol. 96 No. 2 (2001)</w:t>
      </w:r>
      <w:r>
        <w:t>, pp. 141.</w:t>
      </w:r>
    </w:p>
  </w:footnote>
  <w:footnote w:id="5">
    <w:p w14:paraId="5AC9AB18" w14:textId="3C149C2C" w:rsidR="006B6B85" w:rsidRDefault="006B6B85">
      <w:pPr>
        <w:pStyle w:val="FootnoteText"/>
      </w:pPr>
      <w:r>
        <w:rPr>
          <w:rStyle w:val="FootnoteReference"/>
        </w:rPr>
        <w:footnoteRef/>
      </w:r>
      <w:r>
        <w:t xml:space="preserve"> </w:t>
      </w:r>
      <w:r w:rsidRPr="00D36CC5">
        <w:t>T. A. Dorey</w:t>
      </w:r>
      <w:r>
        <w:t>, ‘</w:t>
      </w:r>
      <w:r w:rsidRPr="00D36CC5">
        <w:t xml:space="preserve">Cicero, Clodia, and the 'Pro </w:t>
      </w:r>
      <w:proofErr w:type="spellStart"/>
      <w:r w:rsidRPr="00D36CC5">
        <w:t>Caelio</w:t>
      </w:r>
      <w:proofErr w:type="spellEnd"/>
      <w:r w:rsidRPr="00D36CC5">
        <w:t>'</w:t>
      </w:r>
      <w:r>
        <w:t xml:space="preserve">’, </w:t>
      </w:r>
      <w:r w:rsidRPr="00D36CC5">
        <w:rPr>
          <w:i/>
          <w:iCs/>
        </w:rPr>
        <w:t>Greece &amp; Rome</w:t>
      </w:r>
      <w:r w:rsidRPr="00D36CC5">
        <w:t>, Vol. 5 No. 2</w:t>
      </w:r>
      <w:r>
        <w:t xml:space="preserve"> (1958) pp. 176.</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9644071"/>
    <w:multiLevelType w:val="hybridMultilevel"/>
    <w:tmpl w:val="DD0CA9E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006832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3B04"/>
    <w:rsid w:val="00046E63"/>
    <w:rsid w:val="00053B04"/>
    <w:rsid w:val="00065F7C"/>
    <w:rsid w:val="00086512"/>
    <w:rsid w:val="000D00AF"/>
    <w:rsid w:val="00196C8F"/>
    <w:rsid w:val="001C4214"/>
    <w:rsid w:val="00212147"/>
    <w:rsid w:val="00277C25"/>
    <w:rsid w:val="002C447E"/>
    <w:rsid w:val="003145E3"/>
    <w:rsid w:val="00440A65"/>
    <w:rsid w:val="00476C90"/>
    <w:rsid w:val="004D6A30"/>
    <w:rsid w:val="0058484F"/>
    <w:rsid w:val="00636C98"/>
    <w:rsid w:val="006B6B85"/>
    <w:rsid w:val="007B38B0"/>
    <w:rsid w:val="0097681A"/>
    <w:rsid w:val="009C428A"/>
    <w:rsid w:val="00A330A6"/>
    <w:rsid w:val="00A4356E"/>
    <w:rsid w:val="00A814D2"/>
    <w:rsid w:val="00BA32CC"/>
    <w:rsid w:val="00BB1C1E"/>
    <w:rsid w:val="00D36CC5"/>
    <w:rsid w:val="00D6227E"/>
    <w:rsid w:val="00E4473F"/>
    <w:rsid w:val="00E578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93DDFC"/>
  <w15:chartTrackingRefBased/>
  <w15:docId w15:val="{8D3F494D-365D-42C3-B799-FB0DFC81E1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53B0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53B0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3B0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3B0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3B0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3B0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3B0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3B0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3B0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3B0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53B0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3B0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3B0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3B0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3B0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3B0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3B0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3B04"/>
    <w:rPr>
      <w:rFonts w:eastAsiaTheme="majorEastAsia" w:cstheme="majorBidi"/>
      <w:color w:val="272727" w:themeColor="text1" w:themeTint="D8"/>
    </w:rPr>
  </w:style>
  <w:style w:type="paragraph" w:styleId="Title">
    <w:name w:val="Title"/>
    <w:basedOn w:val="Normal"/>
    <w:next w:val="Normal"/>
    <w:link w:val="TitleChar"/>
    <w:uiPriority w:val="10"/>
    <w:qFormat/>
    <w:rsid w:val="00053B0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3B0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3B0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3B0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3B04"/>
    <w:pPr>
      <w:spacing w:before="160"/>
      <w:jc w:val="center"/>
    </w:pPr>
    <w:rPr>
      <w:i/>
      <w:iCs/>
      <w:color w:val="404040" w:themeColor="text1" w:themeTint="BF"/>
    </w:rPr>
  </w:style>
  <w:style w:type="character" w:customStyle="1" w:styleId="QuoteChar">
    <w:name w:val="Quote Char"/>
    <w:basedOn w:val="DefaultParagraphFont"/>
    <w:link w:val="Quote"/>
    <w:uiPriority w:val="29"/>
    <w:rsid w:val="00053B04"/>
    <w:rPr>
      <w:i/>
      <w:iCs/>
      <w:color w:val="404040" w:themeColor="text1" w:themeTint="BF"/>
    </w:rPr>
  </w:style>
  <w:style w:type="paragraph" w:styleId="ListParagraph">
    <w:name w:val="List Paragraph"/>
    <w:basedOn w:val="Normal"/>
    <w:uiPriority w:val="34"/>
    <w:qFormat/>
    <w:rsid w:val="00053B04"/>
    <w:pPr>
      <w:ind w:left="720"/>
      <w:contextualSpacing/>
    </w:pPr>
  </w:style>
  <w:style w:type="character" w:styleId="IntenseEmphasis">
    <w:name w:val="Intense Emphasis"/>
    <w:basedOn w:val="DefaultParagraphFont"/>
    <w:uiPriority w:val="21"/>
    <w:qFormat/>
    <w:rsid w:val="00053B04"/>
    <w:rPr>
      <w:i/>
      <w:iCs/>
      <w:color w:val="0F4761" w:themeColor="accent1" w:themeShade="BF"/>
    </w:rPr>
  </w:style>
  <w:style w:type="paragraph" w:styleId="IntenseQuote">
    <w:name w:val="Intense Quote"/>
    <w:basedOn w:val="Normal"/>
    <w:next w:val="Normal"/>
    <w:link w:val="IntenseQuoteChar"/>
    <w:uiPriority w:val="30"/>
    <w:qFormat/>
    <w:rsid w:val="00053B0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3B04"/>
    <w:rPr>
      <w:i/>
      <w:iCs/>
      <w:color w:val="0F4761" w:themeColor="accent1" w:themeShade="BF"/>
    </w:rPr>
  </w:style>
  <w:style w:type="character" w:styleId="IntenseReference">
    <w:name w:val="Intense Reference"/>
    <w:basedOn w:val="DefaultParagraphFont"/>
    <w:uiPriority w:val="32"/>
    <w:qFormat/>
    <w:rsid w:val="00053B04"/>
    <w:rPr>
      <w:b/>
      <w:bCs/>
      <w:smallCaps/>
      <w:color w:val="0F4761" w:themeColor="accent1" w:themeShade="BF"/>
      <w:spacing w:val="5"/>
    </w:rPr>
  </w:style>
  <w:style w:type="paragraph" w:styleId="FootnoteText">
    <w:name w:val="footnote text"/>
    <w:basedOn w:val="Normal"/>
    <w:link w:val="FootnoteTextChar"/>
    <w:uiPriority w:val="99"/>
    <w:semiHidden/>
    <w:unhideWhenUsed/>
    <w:rsid w:val="00D36CC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36CC5"/>
    <w:rPr>
      <w:sz w:val="20"/>
      <w:szCs w:val="20"/>
    </w:rPr>
  </w:style>
  <w:style w:type="character" w:styleId="FootnoteReference">
    <w:name w:val="footnote reference"/>
    <w:basedOn w:val="DefaultParagraphFont"/>
    <w:uiPriority w:val="99"/>
    <w:semiHidden/>
    <w:unhideWhenUsed/>
    <w:rsid w:val="00D36CC5"/>
    <w:rPr>
      <w:vertAlign w:val="superscript"/>
    </w:rPr>
  </w:style>
  <w:style w:type="character" w:styleId="Hyperlink">
    <w:name w:val="Hyperlink"/>
    <w:basedOn w:val="DefaultParagraphFont"/>
    <w:uiPriority w:val="99"/>
    <w:unhideWhenUsed/>
    <w:rsid w:val="00BB1C1E"/>
    <w:rPr>
      <w:color w:val="467886" w:themeColor="hyperlink"/>
      <w:u w:val="single"/>
    </w:rPr>
  </w:style>
  <w:style w:type="character" w:styleId="UnresolvedMention">
    <w:name w:val="Unresolved Mention"/>
    <w:basedOn w:val="DefaultParagraphFont"/>
    <w:uiPriority w:val="99"/>
    <w:semiHidden/>
    <w:unhideWhenUsed/>
    <w:rsid w:val="00BB1C1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E7CC43D-BC5F-4187-83B2-31CB0BD3DC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1670</TotalTime>
  <Pages>2</Pages>
  <Words>607</Words>
  <Characters>3466</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Emmett Leitch (2305899)</dc:creator>
  <cp:keywords/>
  <dc:description/>
  <cp:lastModifiedBy>Emmett Leitch (2305899)</cp:lastModifiedBy>
  <cp:revision>5</cp:revision>
  <dcterms:created xsi:type="dcterms:W3CDTF">2025-02-10T11:29:00Z</dcterms:created>
  <dcterms:modified xsi:type="dcterms:W3CDTF">2025-02-23T20:48:00Z</dcterms:modified>
</cp:coreProperties>
</file>