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D0142" w:rsidRDefault="00ED0142" w:rsidP="0010216A">
      <w:pPr>
        <w:spacing w:after="0" w:line="360" w:lineRule="auto"/>
        <w:rPr>
          <w:rFonts w:ascii="Times New Roman" w:eastAsia="Times New Roman" w:hAnsi="Times New Roman" w:cs="Times New Roman"/>
          <w:b/>
          <w:sz w:val="36"/>
        </w:rPr>
      </w:pPr>
    </w:p>
    <w:p w:rsidR="00ED0142" w:rsidRDefault="00144015">
      <w:pPr>
        <w:spacing w:after="0" w:line="360" w:lineRule="auto"/>
        <w:jc w:val="center"/>
        <w:rPr>
          <w:rFonts w:ascii="Times New Roman" w:eastAsia="Times New Roman" w:hAnsi="Times New Roman" w:cs="Times New Roman"/>
          <w:b/>
          <w:sz w:val="36"/>
        </w:rPr>
      </w:pPr>
      <w:r>
        <w:rPr>
          <w:noProof/>
        </w:rPr>
        <w:drawing>
          <wp:inline distT="0" distB="0" distL="0" distR="0" wp14:anchorId="008B7183" wp14:editId="008E70C1">
            <wp:extent cx="2051484" cy="8223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054896" cy="823693"/>
                    </a:xfrm>
                    <a:prstGeom prst="rect">
                      <a:avLst/>
                    </a:prstGeom>
                    <a:noFill/>
                  </pic:spPr>
                </pic:pic>
              </a:graphicData>
            </a:graphic>
          </wp:inline>
        </w:drawing>
      </w:r>
    </w:p>
    <w:p w:rsidR="00ED0142" w:rsidRDefault="00ED0142">
      <w:pPr>
        <w:spacing w:after="0" w:line="360" w:lineRule="auto"/>
        <w:jc w:val="center"/>
        <w:rPr>
          <w:rFonts w:ascii="Times New Roman" w:eastAsia="Times New Roman" w:hAnsi="Times New Roman" w:cs="Times New Roman"/>
          <w:b/>
          <w:sz w:val="36"/>
        </w:rPr>
      </w:pPr>
    </w:p>
    <w:p w:rsidR="00ED0142" w:rsidRDefault="00ED0142">
      <w:pPr>
        <w:spacing w:after="0" w:line="360" w:lineRule="auto"/>
        <w:jc w:val="center"/>
        <w:rPr>
          <w:rFonts w:ascii="Times New Roman" w:eastAsia="Times New Roman" w:hAnsi="Times New Roman" w:cs="Times New Roman"/>
          <w:b/>
          <w:sz w:val="36"/>
        </w:rPr>
      </w:pPr>
    </w:p>
    <w:p w:rsidR="00ED0142" w:rsidRDefault="002C6C37">
      <w:pPr>
        <w:spacing w:after="0" w:line="360" w:lineRule="auto"/>
        <w:jc w:val="center"/>
        <w:rPr>
          <w:rFonts w:ascii="Times New Roman" w:eastAsia="Times New Roman" w:hAnsi="Times New Roman" w:cs="Times New Roman"/>
          <w:b/>
          <w:sz w:val="36"/>
        </w:rPr>
      </w:pPr>
      <w:r>
        <w:rPr>
          <w:rFonts w:ascii="Times New Roman" w:eastAsia="Times New Roman" w:hAnsi="Times New Roman" w:cs="Times New Roman"/>
          <w:b/>
          <w:sz w:val="36"/>
        </w:rPr>
        <w:t>LCBB4001</w:t>
      </w:r>
    </w:p>
    <w:p w:rsidR="00ED0142" w:rsidRDefault="002C6C37">
      <w:pPr>
        <w:spacing w:after="0" w:line="360" w:lineRule="auto"/>
        <w:jc w:val="center"/>
        <w:rPr>
          <w:rFonts w:ascii="Times New Roman" w:eastAsia="Times New Roman" w:hAnsi="Times New Roman" w:cs="Times New Roman"/>
          <w:b/>
          <w:sz w:val="36"/>
        </w:rPr>
      </w:pPr>
      <w:r>
        <w:rPr>
          <w:rFonts w:ascii="Times New Roman" w:eastAsia="Times New Roman" w:hAnsi="Times New Roman" w:cs="Times New Roman"/>
          <w:b/>
          <w:sz w:val="36"/>
        </w:rPr>
        <w:t>Accounting Fundamentals</w:t>
      </w:r>
    </w:p>
    <w:p w:rsidR="00ED0142" w:rsidRDefault="002C6C37">
      <w:pPr>
        <w:spacing w:after="0" w:line="360" w:lineRule="auto"/>
        <w:jc w:val="center"/>
        <w:rPr>
          <w:rFonts w:ascii="Times New Roman" w:eastAsia="Times New Roman" w:hAnsi="Times New Roman" w:cs="Times New Roman"/>
          <w:b/>
          <w:sz w:val="36"/>
        </w:rPr>
      </w:pPr>
      <w:r>
        <w:rPr>
          <w:rFonts w:ascii="Times New Roman" w:eastAsia="Times New Roman" w:hAnsi="Times New Roman" w:cs="Times New Roman"/>
          <w:b/>
          <w:sz w:val="36"/>
        </w:rPr>
        <w:t>Student name: Elena Ivanova Goranova</w:t>
      </w:r>
    </w:p>
    <w:p w:rsidR="00ED0142" w:rsidRDefault="002C6C37">
      <w:pPr>
        <w:spacing w:after="0" w:line="360" w:lineRule="auto"/>
        <w:jc w:val="center"/>
        <w:rPr>
          <w:rFonts w:ascii="Times New Roman" w:eastAsia="Times New Roman" w:hAnsi="Times New Roman" w:cs="Times New Roman"/>
          <w:b/>
          <w:sz w:val="24"/>
        </w:rPr>
      </w:pPr>
      <w:r>
        <w:rPr>
          <w:rFonts w:ascii="Times New Roman" w:eastAsia="Times New Roman" w:hAnsi="Times New Roman" w:cs="Times New Roman"/>
          <w:b/>
          <w:sz w:val="36"/>
        </w:rPr>
        <w:t>Student ID: 2122365</w:t>
      </w:r>
      <w:r>
        <w:rPr>
          <w:rFonts w:ascii="Times New Roman" w:eastAsia="Times New Roman" w:hAnsi="Times New Roman" w:cs="Times New Roman"/>
          <w:b/>
          <w:sz w:val="24"/>
        </w:rPr>
        <w:t xml:space="preserve"> </w:t>
      </w:r>
    </w:p>
    <w:p w:rsidR="00ED0142" w:rsidRDefault="00ED0142">
      <w:pPr>
        <w:spacing w:after="0" w:line="360" w:lineRule="auto"/>
        <w:jc w:val="center"/>
        <w:rPr>
          <w:rFonts w:ascii="Times New Roman" w:eastAsia="Times New Roman" w:hAnsi="Times New Roman" w:cs="Times New Roman"/>
          <w:b/>
          <w:sz w:val="24"/>
        </w:rPr>
      </w:pPr>
    </w:p>
    <w:p w:rsidR="00ED0142" w:rsidRDefault="002C6C37">
      <w:pPr>
        <w:spacing w:after="0" w:line="360" w:lineRule="auto"/>
        <w:jc w:val="center"/>
        <w:rPr>
          <w:rFonts w:ascii="Times New Roman" w:eastAsia="Times New Roman" w:hAnsi="Times New Roman" w:cs="Times New Roman"/>
          <w:b/>
          <w:sz w:val="24"/>
        </w:rPr>
      </w:pPr>
      <w:r>
        <w:rPr>
          <w:rFonts w:ascii="Times New Roman" w:eastAsia="Times New Roman" w:hAnsi="Times New Roman" w:cs="Times New Roman"/>
          <w:b/>
          <w:sz w:val="24"/>
        </w:rPr>
        <w:t xml:space="preserve"> </w:t>
      </w:r>
    </w:p>
    <w:p w:rsidR="00ED0142" w:rsidRDefault="00ED0142">
      <w:pPr>
        <w:spacing w:after="0" w:line="360" w:lineRule="auto"/>
        <w:jc w:val="both"/>
        <w:rPr>
          <w:rFonts w:ascii="Times New Roman" w:eastAsia="Times New Roman" w:hAnsi="Times New Roman" w:cs="Times New Roman"/>
          <w:b/>
          <w:sz w:val="24"/>
        </w:rPr>
      </w:pPr>
    </w:p>
    <w:p w:rsidR="00322BED" w:rsidRDefault="00322BED">
      <w:pPr>
        <w:spacing w:after="0" w:line="360" w:lineRule="auto"/>
        <w:jc w:val="both"/>
        <w:rPr>
          <w:rFonts w:ascii="Times New Roman" w:eastAsia="Times New Roman" w:hAnsi="Times New Roman" w:cs="Times New Roman"/>
          <w:b/>
          <w:sz w:val="24"/>
        </w:rPr>
      </w:pPr>
    </w:p>
    <w:p w:rsidR="00322BED" w:rsidRDefault="00322BED">
      <w:pPr>
        <w:spacing w:after="0" w:line="360" w:lineRule="auto"/>
        <w:jc w:val="both"/>
        <w:rPr>
          <w:rFonts w:ascii="Times New Roman" w:eastAsia="Times New Roman" w:hAnsi="Times New Roman" w:cs="Times New Roman"/>
          <w:b/>
          <w:sz w:val="24"/>
        </w:rPr>
      </w:pPr>
    </w:p>
    <w:p w:rsidR="00322BED" w:rsidRDefault="00322BED">
      <w:pPr>
        <w:spacing w:after="0" w:line="360" w:lineRule="auto"/>
        <w:jc w:val="both"/>
        <w:rPr>
          <w:rFonts w:ascii="Times New Roman" w:eastAsia="Times New Roman" w:hAnsi="Times New Roman" w:cs="Times New Roman"/>
          <w:b/>
          <w:sz w:val="24"/>
        </w:rPr>
      </w:pPr>
    </w:p>
    <w:p w:rsidR="00322BED" w:rsidRDefault="00322BED">
      <w:pPr>
        <w:spacing w:after="0" w:line="360" w:lineRule="auto"/>
        <w:jc w:val="both"/>
        <w:rPr>
          <w:rFonts w:ascii="Times New Roman" w:eastAsia="Times New Roman" w:hAnsi="Times New Roman" w:cs="Times New Roman"/>
          <w:b/>
          <w:sz w:val="24"/>
        </w:rPr>
      </w:pPr>
    </w:p>
    <w:p w:rsidR="00322BED" w:rsidRDefault="00322BED">
      <w:pPr>
        <w:spacing w:after="0" w:line="360" w:lineRule="auto"/>
        <w:jc w:val="both"/>
        <w:rPr>
          <w:rFonts w:ascii="Times New Roman" w:eastAsia="Times New Roman" w:hAnsi="Times New Roman" w:cs="Times New Roman"/>
          <w:b/>
          <w:sz w:val="24"/>
        </w:rPr>
      </w:pPr>
    </w:p>
    <w:p w:rsidR="00322BED" w:rsidRDefault="00322BED">
      <w:pPr>
        <w:spacing w:after="0" w:line="360" w:lineRule="auto"/>
        <w:jc w:val="both"/>
        <w:rPr>
          <w:rFonts w:ascii="Times New Roman" w:eastAsia="Times New Roman" w:hAnsi="Times New Roman" w:cs="Times New Roman"/>
          <w:b/>
          <w:sz w:val="24"/>
        </w:rPr>
      </w:pPr>
    </w:p>
    <w:p w:rsidR="00322BED" w:rsidRDefault="00322BED">
      <w:pPr>
        <w:spacing w:after="0" w:line="360" w:lineRule="auto"/>
        <w:jc w:val="both"/>
        <w:rPr>
          <w:rFonts w:ascii="Times New Roman" w:eastAsia="Times New Roman" w:hAnsi="Times New Roman" w:cs="Times New Roman"/>
          <w:b/>
          <w:sz w:val="24"/>
        </w:rPr>
      </w:pPr>
    </w:p>
    <w:p w:rsidR="00322BED" w:rsidRDefault="00322BED">
      <w:pPr>
        <w:spacing w:after="0" w:line="360" w:lineRule="auto"/>
        <w:jc w:val="both"/>
        <w:rPr>
          <w:rFonts w:ascii="Times New Roman" w:eastAsia="Times New Roman" w:hAnsi="Times New Roman" w:cs="Times New Roman"/>
          <w:b/>
          <w:sz w:val="24"/>
        </w:rPr>
      </w:pPr>
    </w:p>
    <w:p w:rsidR="00322BED" w:rsidRDefault="00322BED">
      <w:pPr>
        <w:spacing w:after="0" w:line="360" w:lineRule="auto"/>
        <w:jc w:val="both"/>
        <w:rPr>
          <w:rFonts w:ascii="Times New Roman" w:eastAsia="Times New Roman" w:hAnsi="Times New Roman" w:cs="Times New Roman"/>
          <w:b/>
          <w:sz w:val="24"/>
        </w:rPr>
      </w:pPr>
    </w:p>
    <w:p w:rsidR="00322BED" w:rsidRDefault="00322BED">
      <w:pPr>
        <w:spacing w:after="0" w:line="360" w:lineRule="auto"/>
        <w:jc w:val="both"/>
        <w:rPr>
          <w:rFonts w:ascii="Times New Roman" w:eastAsia="Times New Roman" w:hAnsi="Times New Roman" w:cs="Times New Roman"/>
          <w:b/>
          <w:sz w:val="24"/>
        </w:rPr>
      </w:pPr>
    </w:p>
    <w:p w:rsidR="0010216A" w:rsidRDefault="0010216A">
      <w:pPr>
        <w:spacing w:after="0" w:line="360" w:lineRule="auto"/>
        <w:jc w:val="both"/>
        <w:rPr>
          <w:rFonts w:ascii="Times New Roman" w:eastAsia="Times New Roman" w:hAnsi="Times New Roman" w:cs="Times New Roman"/>
          <w:b/>
          <w:sz w:val="24"/>
        </w:rPr>
      </w:pPr>
    </w:p>
    <w:p w:rsidR="0010216A" w:rsidRDefault="0010216A">
      <w:pPr>
        <w:spacing w:after="0" w:line="360" w:lineRule="auto"/>
        <w:jc w:val="both"/>
        <w:rPr>
          <w:rFonts w:ascii="Times New Roman" w:eastAsia="Times New Roman" w:hAnsi="Times New Roman" w:cs="Times New Roman"/>
          <w:b/>
          <w:sz w:val="24"/>
        </w:rPr>
      </w:pPr>
    </w:p>
    <w:p w:rsidR="0010216A" w:rsidRDefault="0010216A">
      <w:pPr>
        <w:spacing w:after="0" w:line="360" w:lineRule="auto"/>
        <w:jc w:val="both"/>
        <w:rPr>
          <w:rFonts w:ascii="Times New Roman" w:eastAsia="Times New Roman" w:hAnsi="Times New Roman" w:cs="Times New Roman"/>
          <w:b/>
          <w:sz w:val="24"/>
        </w:rPr>
      </w:pPr>
    </w:p>
    <w:p w:rsidR="0010216A" w:rsidRDefault="0010216A">
      <w:pPr>
        <w:spacing w:after="0" w:line="360" w:lineRule="auto"/>
        <w:jc w:val="both"/>
        <w:rPr>
          <w:rFonts w:ascii="Times New Roman" w:eastAsia="Times New Roman" w:hAnsi="Times New Roman" w:cs="Times New Roman"/>
          <w:b/>
          <w:sz w:val="24"/>
        </w:rPr>
      </w:pPr>
    </w:p>
    <w:p w:rsidR="0010216A" w:rsidRDefault="0010216A">
      <w:pPr>
        <w:spacing w:after="0" w:line="360" w:lineRule="auto"/>
        <w:jc w:val="both"/>
        <w:rPr>
          <w:rFonts w:ascii="Times New Roman" w:eastAsia="Times New Roman" w:hAnsi="Times New Roman" w:cs="Times New Roman"/>
          <w:b/>
          <w:sz w:val="24"/>
        </w:rPr>
      </w:pPr>
    </w:p>
    <w:p w:rsidR="0010216A" w:rsidRDefault="0010216A">
      <w:pPr>
        <w:spacing w:after="0" w:line="360" w:lineRule="auto"/>
        <w:jc w:val="both"/>
        <w:rPr>
          <w:rFonts w:ascii="Times New Roman" w:eastAsia="Times New Roman" w:hAnsi="Times New Roman" w:cs="Times New Roman"/>
          <w:b/>
          <w:sz w:val="24"/>
        </w:rPr>
      </w:pPr>
    </w:p>
    <w:p w:rsidR="0010216A" w:rsidRDefault="0010216A">
      <w:pPr>
        <w:spacing w:after="0" w:line="360" w:lineRule="auto"/>
        <w:jc w:val="both"/>
        <w:rPr>
          <w:rFonts w:ascii="Times New Roman" w:eastAsia="Times New Roman" w:hAnsi="Times New Roman" w:cs="Times New Roman"/>
          <w:b/>
          <w:sz w:val="24"/>
        </w:rPr>
      </w:pPr>
    </w:p>
    <w:p w:rsidR="00322BED" w:rsidRDefault="00322BED">
      <w:pPr>
        <w:spacing w:after="0" w:line="360" w:lineRule="auto"/>
        <w:jc w:val="both"/>
        <w:rPr>
          <w:rFonts w:ascii="Times New Roman" w:eastAsia="Times New Roman" w:hAnsi="Times New Roman" w:cs="Times New Roman"/>
          <w:b/>
          <w:sz w:val="24"/>
        </w:rPr>
      </w:pPr>
    </w:p>
    <w:p w:rsidR="00144015" w:rsidRDefault="00144015">
      <w:pPr>
        <w:spacing w:after="0" w:line="360" w:lineRule="auto"/>
        <w:jc w:val="both"/>
        <w:rPr>
          <w:rFonts w:ascii="Times New Roman" w:eastAsia="Times New Roman" w:hAnsi="Times New Roman" w:cs="Times New Roman"/>
          <w:b/>
          <w:sz w:val="24"/>
        </w:rPr>
      </w:pPr>
    </w:p>
    <w:p w:rsidR="00144015" w:rsidRDefault="00144015">
      <w:pPr>
        <w:spacing w:after="0" w:line="360" w:lineRule="auto"/>
        <w:jc w:val="both"/>
        <w:rPr>
          <w:rFonts w:ascii="Times New Roman" w:eastAsia="Times New Roman" w:hAnsi="Times New Roman" w:cs="Times New Roman"/>
          <w:b/>
          <w:sz w:val="24"/>
        </w:rPr>
      </w:pPr>
      <w:bookmarkStart w:id="0" w:name="_GoBack"/>
      <w:bookmarkEnd w:id="0"/>
    </w:p>
    <w:p w:rsidR="00ED0142" w:rsidRDefault="002C6C37">
      <w:pPr>
        <w:spacing w:after="0" w:line="360" w:lineRule="auto"/>
        <w:jc w:val="both"/>
        <w:rPr>
          <w:rFonts w:ascii="Times New Roman" w:eastAsia="Times New Roman" w:hAnsi="Times New Roman" w:cs="Times New Roman"/>
          <w:b/>
          <w:color w:val="000000"/>
          <w:sz w:val="32"/>
        </w:rPr>
      </w:pPr>
      <w:r>
        <w:rPr>
          <w:rFonts w:ascii="Times New Roman" w:eastAsia="Times New Roman" w:hAnsi="Times New Roman" w:cs="Times New Roman"/>
          <w:b/>
          <w:color w:val="000000"/>
          <w:sz w:val="32"/>
        </w:rPr>
        <w:lastRenderedPageBreak/>
        <w:t>Introduction</w:t>
      </w:r>
    </w:p>
    <w:p w:rsidR="00ED0142" w:rsidRDefault="002C6C37">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In accounting, the primary concept associated with the “Accounting cycle” is initiated for representing the engaged process support that is initiated for managing several accounting procurements in a proper manner. Such volume of procurement includes accounting transactions “accepting, recording, sorting, and crediting payments made and received” support on an effective basis. </w:t>
      </w:r>
    </w:p>
    <w:p w:rsidR="00ED0142" w:rsidRDefault="002C6C37">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The processing support of such presence brings the systematic accountability and progress of organisational finance in a sustainable manner. The importance of presentation of accounting with supportive principles and Standards provides systematic competency support regarding accounting fair views that also provide positivity regarding operating development and decision making. Along with maintaining accounting, proper analysis of financial position is necessary for a business that provides the general accuracy and competency determination on a proper basis (McLaney and Atrill, 2016). </w:t>
      </w:r>
    </w:p>
    <w:p w:rsidR="00ED0142" w:rsidRDefault="002C6C37">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Generally, the presence of accounting reports is provided under “Financial accounting”, while accounting evaluation is generally noticed in the case of “Management Accounting” mainly. In this report, both accounting presentation and analysis for two different businesses have been evaluated that provide positive recognition of the competency and accountability initiative of both businesses in the upcoming period. </w:t>
      </w:r>
    </w:p>
    <w:p w:rsidR="00ED0142" w:rsidRDefault="002C6C37">
      <w:pPr>
        <w:spacing w:after="0" w:line="360" w:lineRule="auto"/>
        <w:jc w:val="both"/>
        <w:rPr>
          <w:rFonts w:ascii="Times New Roman" w:eastAsia="Times New Roman" w:hAnsi="Times New Roman" w:cs="Times New Roman"/>
          <w:b/>
          <w:color w:val="000000"/>
          <w:sz w:val="32"/>
        </w:rPr>
      </w:pPr>
      <w:r>
        <w:rPr>
          <w:rFonts w:ascii="Times New Roman" w:eastAsia="Times New Roman" w:hAnsi="Times New Roman" w:cs="Times New Roman"/>
          <w:b/>
          <w:color w:val="000000"/>
          <w:sz w:val="32"/>
        </w:rPr>
        <w:t>Answer for Question No: 1</w:t>
      </w:r>
    </w:p>
    <w:p w:rsidR="00ED0142" w:rsidRDefault="002C6C37">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In this question, mainly the financial statement presentation for the business of</w:t>
      </w:r>
      <w:r>
        <w:rPr>
          <w:rFonts w:ascii="Times New Roman" w:eastAsia="Times New Roman" w:hAnsi="Times New Roman" w:cs="Times New Roman"/>
          <w:b/>
          <w:sz w:val="24"/>
        </w:rPr>
        <w:t xml:space="preserve"> Wales plc</w:t>
      </w:r>
      <w:r>
        <w:rPr>
          <w:rFonts w:ascii="Times New Roman" w:eastAsia="Times New Roman" w:hAnsi="Times New Roman" w:cs="Times New Roman"/>
          <w:sz w:val="24"/>
        </w:rPr>
        <w:t xml:space="preserve"> has been provided along with some systematic and additional working notes that provide the positive financial balance evaluation support. Apart from that, a piece of general theoretical knowledge about financial accounting is also provided that is mainly applied to recognise the accounting balancing concept. </w:t>
      </w:r>
    </w:p>
    <w:p w:rsidR="00ED0142" w:rsidRDefault="002C6C37">
      <w:pPr>
        <w:spacing w:after="0" w:line="360" w:lineRule="auto"/>
        <w:jc w:val="both"/>
        <w:rPr>
          <w:rFonts w:ascii="Times New Roman" w:eastAsia="Times New Roman" w:hAnsi="Times New Roman" w:cs="Times New Roman"/>
          <w:b/>
          <w:color w:val="000000"/>
          <w:sz w:val="28"/>
        </w:rPr>
      </w:pPr>
      <w:r>
        <w:rPr>
          <w:rFonts w:ascii="Times New Roman" w:eastAsia="Times New Roman" w:hAnsi="Times New Roman" w:cs="Times New Roman"/>
          <w:b/>
          <w:color w:val="000000"/>
          <w:sz w:val="28"/>
        </w:rPr>
        <w:t>Part A: Computing “income statement and balance sheet of business”</w:t>
      </w:r>
    </w:p>
    <w:p w:rsidR="00ED0142" w:rsidRDefault="002C6C37">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With importance to the general operating nature of “Financial Accounting”, it is recognised that such accounting is mainly engaged in maintaining relevant financial transactions of business and also formulate accounting statements on behalf of financial ledger balances. The presence of these statements is recognised as “Financial statements”, which are initiated in order to deliver the present financial position of the business and to provide a proper opportunity for future financial progress on a proper basis (Wood, 2015). It is applied to provide stakeholder engagement support related to business investment including operating competencies determination respectively. </w:t>
      </w:r>
    </w:p>
    <w:p w:rsidR="00ED0142" w:rsidRDefault="002C6C37">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With the support of the present provided details under the trial balance for the business of </w:t>
      </w:r>
      <w:r>
        <w:rPr>
          <w:rFonts w:ascii="Times New Roman" w:eastAsia="Times New Roman" w:hAnsi="Times New Roman" w:cs="Times New Roman"/>
          <w:b/>
          <w:sz w:val="24"/>
        </w:rPr>
        <w:t xml:space="preserve">Wales plc, </w:t>
      </w:r>
      <w:r>
        <w:rPr>
          <w:rFonts w:ascii="Times New Roman" w:eastAsia="Times New Roman" w:hAnsi="Times New Roman" w:cs="Times New Roman"/>
          <w:sz w:val="24"/>
        </w:rPr>
        <w:t xml:space="preserve">the computation of the Financial statement regarding the present accounting period has been determined that is initiated for measuring the competencies of business supportively. </w:t>
      </w:r>
    </w:p>
    <w:p w:rsidR="00ED0142" w:rsidRDefault="002C6C37">
      <w:pPr>
        <w:spacing w:after="0" w:line="360" w:lineRule="auto"/>
        <w:jc w:val="center"/>
        <w:rPr>
          <w:rFonts w:ascii="Times New Roman" w:eastAsia="Times New Roman" w:hAnsi="Times New Roman" w:cs="Times New Roman"/>
          <w:b/>
          <w:sz w:val="24"/>
        </w:rPr>
      </w:pPr>
      <w:r>
        <w:rPr>
          <w:rFonts w:ascii="Times New Roman" w:eastAsia="Times New Roman" w:hAnsi="Times New Roman" w:cs="Times New Roman"/>
          <w:b/>
          <w:sz w:val="24"/>
        </w:rPr>
        <w:t>“In the books of Wales plc”</w:t>
      </w:r>
    </w:p>
    <w:p w:rsidR="00ED0142" w:rsidRDefault="002C6C37">
      <w:pPr>
        <w:spacing w:after="0" w:line="360" w:lineRule="auto"/>
        <w:jc w:val="center"/>
        <w:rPr>
          <w:rFonts w:ascii="Times New Roman" w:eastAsia="Times New Roman" w:hAnsi="Times New Roman" w:cs="Times New Roman"/>
          <w:b/>
          <w:sz w:val="24"/>
        </w:rPr>
      </w:pPr>
      <w:r>
        <w:rPr>
          <w:rFonts w:ascii="Times New Roman" w:eastAsia="Times New Roman" w:hAnsi="Times New Roman" w:cs="Times New Roman"/>
          <w:b/>
          <w:sz w:val="24"/>
        </w:rPr>
        <w:t xml:space="preserve">“Income statement”  </w:t>
      </w:r>
    </w:p>
    <w:p w:rsidR="00ED0142" w:rsidRDefault="002C6C37">
      <w:pPr>
        <w:spacing w:after="0" w:line="360" w:lineRule="auto"/>
        <w:jc w:val="center"/>
        <w:rPr>
          <w:rFonts w:ascii="Times New Roman" w:eastAsia="Times New Roman" w:hAnsi="Times New Roman" w:cs="Times New Roman"/>
          <w:b/>
          <w:sz w:val="24"/>
        </w:rPr>
      </w:pPr>
      <w:r>
        <w:rPr>
          <w:rFonts w:ascii="Times New Roman" w:eastAsia="Times New Roman" w:hAnsi="Times New Roman" w:cs="Times New Roman"/>
          <w:b/>
          <w:sz w:val="24"/>
        </w:rPr>
        <w:t>“For the year ended 31st December 2021”</w:t>
      </w:r>
    </w:p>
    <w:p w:rsidR="00ED0142" w:rsidRDefault="002C6C37">
      <w:pPr>
        <w:spacing w:after="0" w:line="360" w:lineRule="auto"/>
        <w:jc w:val="both"/>
        <w:rPr>
          <w:rFonts w:ascii="Times New Roman" w:eastAsia="Times New Roman" w:hAnsi="Times New Roman" w:cs="Times New Roman"/>
          <w:b/>
          <w:sz w:val="24"/>
        </w:rPr>
      </w:pPr>
      <w:r>
        <w:object w:dxaOrig="8663" w:dyaOrig="5567">
          <v:rect id="rectole0000000000" o:spid="_x0000_i1025" style="width:433.5pt;height:278.25pt" o:ole="" o:preferrelative="t" stroked="f">
            <v:imagedata r:id="rId5" o:title=""/>
          </v:rect>
          <o:OLEObject Type="Embed" ProgID="StaticMetafile" ShapeID="rectole0000000000" DrawAspect="Content" ObjectID="_1723302208" r:id="rId6"/>
        </w:object>
      </w:r>
    </w:p>
    <w:p w:rsidR="00ED0142" w:rsidRDefault="002C6C37">
      <w:pPr>
        <w:spacing w:after="0" w:line="360" w:lineRule="auto"/>
        <w:jc w:val="both"/>
        <w:rPr>
          <w:rFonts w:ascii="Times New Roman" w:eastAsia="Times New Roman" w:hAnsi="Times New Roman" w:cs="Times New Roman"/>
          <w:b/>
          <w:sz w:val="24"/>
        </w:rPr>
      </w:pPr>
      <w:r>
        <w:rPr>
          <w:rFonts w:ascii="Times New Roman" w:eastAsia="Times New Roman" w:hAnsi="Times New Roman" w:cs="Times New Roman"/>
          <w:b/>
          <w:sz w:val="24"/>
        </w:rPr>
        <w:t xml:space="preserve">Computing business Total revenue value: </w:t>
      </w:r>
    </w:p>
    <w:p w:rsidR="00ED0142" w:rsidRDefault="002C6C37">
      <w:pPr>
        <w:spacing w:after="0" w:line="360" w:lineRule="auto"/>
        <w:jc w:val="both"/>
        <w:rPr>
          <w:rFonts w:ascii="Times New Roman" w:eastAsia="Times New Roman" w:hAnsi="Times New Roman" w:cs="Times New Roman"/>
          <w:b/>
          <w:sz w:val="24"/>
        </w:rPr>
      </w:pPr>
      <w:r>
        <w:object w:dxaOrig="8664" w:dyaOrig="1382">
          <v:rect id="rectole0000000001" o:spid="_x0000_i1026" style="width:433.5pt;height:69pt" o:ole="" o:preferrelative="t" stroked="f">
            <v:imagedata r:id="rId7" o:title=""/>
          </v:rect>
          <o:OLEObject Type="Embed" ProgID="StaticMetafile" ShapeID="rectole0000000001" DrawAspect="Content" ObjectID="_1723302209" r:id="rId8"/>
        </w:object>
      </w:r>
    </w:p>
    <w:p w:rsidR="00ED0142" w:rsidRDefault="002C6C37">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 </w:t>
      </w:r>
    </w:p>
    <w:p w:rsidR="00ED0142" w:rsidRDefault="00ED0142">
      <w:pPr>
        <w:spacing w:after="0" w:line="360" w:lineRule="auto"/>
        <w:jc w:val="center"/>
        <w:rPr>
          <w:rFonts w:ascii="Times New Roman" w:eastAsia="Times New Roman" w:hAnsi="Times New Roman" w:cs="Times New Roman"/>
          <w:b/>
          <w:sz w:val="24"/>
        </w:rPr>
      </w:pPr>
    </w:p>
    <w:p w:rsidR="00ED0142" w:rsidRDefault="002C6C37">
      <w:pPr>
        <w:spacing w:after="0" w:line="360" w:lineRule="auto"/>
        <w:jc w:val="center"/>
        <w:rPr>
          <w:rFonts w:ascii="Times New Roman" w:eastAsia="Times New Roman" w:hAnsi="Times New Roman" w:cs="Times New Roman"/>
          <w:b/>
          <w:sz w:val="24"/>
        </w:rPr>
      </w:pPr>
      <w:r>
        <w:rPr>
          <w:rFonts w:ascii="Times New Roman" w:eastAsia="Times New Roman" w:hAnsi="Times New Roman" w:cs="Times New Roman"/>
          <w:b/>
          <w:sz w:val="24"/>
        </w:rPr>
        <w:t>“In the books of Wales plc”</w:t>
      </w:r>
    </w:p>
    <w:p w:rsidR="00ED0142" w:rsidRDefault="002C6C37">
      <w:pPr>
        <w:spacing w:after="0" w:line="360" w:lineRule="auto"/>
        <w:jc w:val="center"/>
        <w:rPr>
          <w:rFonts w:ascii="Times New Roman" w:eastAsia="Times New Roman" w:hAnsi="Times New Roman" w:cs="Times New Roman"/>
          <w:b/>
          <w:sz w:val="24"/>
        </w:rPr>
      </w:pPr>
      <w:r>
        <w:rPr>
          <w:rFonts w:ascii="Times New Roman" w:eastAsia="Times New Roman" w:hAnsi="Times New Roman" w:cs="Times New Roman"/>
          <w:b/>
          <w:sz w:val="24"/>
        </w:rPr>
        <w:t xml:space="preserve">“Profit and Loss appropriation”  </w:t>
      </w:r>
    </w:p>
    <w:p w:rsidR="00ED0142" w:rsidRDefault="002C6C37">
      <w:pPr>
        <w:spacing w:after="0" w:line="360" w:lineRule="auto"/>
        <w:jc w:val="center"/>
        <w:rPr>
          <w:rFonts w:ascii="Times New Roman" w:eastAsia="Times New Roman" w:hAnsi="Times New Roman" w:cs="Times New Roman"/>
          <w:b/>
          <w:sz w:val="24"/>
        </w:rPr>
      </w:pPr>
      <w:r>
        <w:rPr>
          <w:rFonts w:ascii="Times New Roman" w:eastAsia="Times New Roman" w:hAnsi="Times New Roman" w:cs="Times New Roman"/>
          <w:b/>
          <w:sz w:val="24"/>
        </w:rPr>
        <w:t>“For the year ended 31st December 2021”</w:t>
      </w:r>
    </w:p>
    <w:p w:rsidR="00ED0142" w:rsidRDefault="002C6C37">
      <w:pPr>
        <w:spacing w:after="0" w:line="360" w:lineRule="auto"/>
        <w:jc w:val="both"/>
        <w:rPr>
          <w:rFonts w:ascii="Times New Roman" w:eastAsia="Times New Roman" w:hAnsi="Times New Roman" w:cs="Times New Roman"/>
          <w:b/>
          <w:sz w:val="24"/>
        </w:rPr>
      </w:pPr>
      <w:r>
        <w:object w:dxaOrig="8664" w:dyaOrig="2534">
          <v:rect id="rectole0000000002" o:spid="_x0000_i1027" style="width:433.5pt;height:126.75pt" o:ole="" o:preferrelative="t" stroked="f">
            <v:imagedata r:id="rId9" o:title=""/>
          </v:rect>
          <o:OLEObject Type="Embed" ProgID="StaticMetafile" ShapeID="rectole0000000002" DrawAspect="Content" ObjectID="_1723302210" r:id="rId10"/>
        </w:object>
      </w:r>
    </w:p>
    <w:p w:rsidR="00ED0142" w:rsidRDefault="002C6C37">
      <w:pPr>
        <w:spacing w:after="0" w:line="360" w:lineRule="auto"/>
        <w:jc w:val="center"/>
        <w:rPr>
          <w:rFonts w:ascii="Times New Roman" w:eastAsia="Times New Roman" w:hAnsi="Times New Roman" w:cs="Times New Roman"/>
          <w:b/>
          <w:sz w:val="24"/>
        </w:rPr>
      </w:pPr>
      <w:r>
        <w:rPr>
          <w:rFonts w:ascii="Times New Roman" w:eastAsia="Times New Roman" w:hAnsi="Times New Roman" w:cs="Times New Roman"/>
          <w:b/>
          <w:sz w:val="24"/>
        </w:rPr>
        <w:t>“In the books of Wales plc”</w:t>
      </w:r>
    </w:p>
    <w:p w:rsidR="00ED0142" w:rsidRDefault="002C6C37">
      <w:pPr>
        <w:spacing w:after="0" w:line="360" w:lineRule="auto"/>
        <w:jc w:val="center"/>
        <w:rPr>
          <w:rFonts w:ascii="Times New Roman" w:eastAsia="Times New Roman" w:hAnsi="Times New Roman" w:cs="Times New Roman"/>
          <w:b/>
          <w:sz w:val="24"/>
        </w:rPr>
      </w:pPr>
      <w:r>
        <w:rPr>
          <w:rFonts w:ascii="Times New Roman" w:eastAsia="Times New Roman" w:hAnsi="Times New Roman" w:cs="Times New Roman"/>
          <w:b/>
          <w:sz w:val="24"/>
        </w:rPr>
        <w:t xml:space="preserve">“Statement of Finance”  </w:t>
      </w:r>
    </w:p>
    <w:p w:rsidR="00ED0142" w:rsidRDefault="002C6C37">
      <w:pPr>
        <w:spacing w:after="0" w:line="360" w:lineRule="auto"/>
        <w:jc w:val="center"/>
        <w:rPr>
          <w:rFonts w:ascii="Times New Roman" w:eastAsia="Times New Roman" w:hAnsi="Times New Roman" w:cs="Times New Roman"/>
          <w:b/>
          <w:sz w:val="24"/>
        </w:rPr>
      </w:pPr>
      <w:r>
        <w:rPr>
          <w:rFonts w:ascii="Times New Roman" w:eastAsia="Times New Roman" w:hAnsi="Times New Roman" w:cs="Times New Roman"/>
          <w:b/>
          <w:sz w:val="24"/>
        </w:rPr>
        <w:t>“For the year ended 31st December 2021”</w:t>
      </w:r>
    </w:p>
    <w:p w:rsidR="00ED0142" w:rsidRDefault="002C6C37">
      <w:pPr>
        <w:spacing w:after="0" w:line="360" w:lineRule="auto"/>
        <w:jc w:val="both"/>
        <w:rPr>
          <w:rFonts w:ascii="Times New Roman" w:eastAsia="Times New Roman" w:hAnsi="Times New Roman" w:cs="Times New Roman"/>
          <w:b/>
          <w:sz w:val="24"/>
        </w:rPr>
      </w:pPr>
      <w:r>
        <w:object w:dxaOrig="8664" w:dyaOrig="3148">
          <v:rect id="rectole0000000003" o:spid="_x0000_i1028" style="width:433.5pt;height:157.5pt" o:ole="" o:preferrelative="t" stroked="f">
            <v:imagedata r:id="rId11" o:title=""/>
          </v:rect>
          <o:OLEObject Type="Embed" ProgID="StaticMetafile" ShapeID="rectole0000000003" DrawAspect="Content" ObjectID="_1723302211" r:id="rId12"/>
        </w:object>
      </w:r>
    </w:p>
    <w:p w:rsidR="00ED0142" w:rsidRDefault="002C6C37">
      <w:pPr>
        <w:spacing w:after="0" w:line="360" w:lineRule="auto"/>
        <w:jc w:val="both"/>
        <w:rPr>
          <w:rFonts w:ascii="Times New Roman" w:eastAsia="Times New Roman" w:hAnsi="Times New Roman" w:cs="Times New Roman"/>
          <w:b/>
          <w:sz w:val="24"/>
        </w:rPr>
      </w:pPr>
      <w:r>
        <w:object w:dxaOrig="8664" w:dyaOrig="4915">
          <v:rect id="rectole0000000004" o:spid="_x0000_i1029" style="width:433.5pt;height:246pt" o:ole="" o:preferrelative="t" stroked="f">
            <v:imagedata r:id="rId13" o:title=""/>
          </v:rect>
          <o:OLEObject Type="Embed" ProgID="StaticMetafile" ShapeID="rectole0000000004" DrawAspect="Content" ObjectID="_1723302212" r:id="rId14"/>
        </w:object>
      </w:r>
    </w:p>
    <w:p w:rsidR="00ED0142" w:rsidRDefault="002C6C37">
      <w:pPr>
        <w:spacing w:after="0" w:line="360" w:lineRule="auto"/>
        <w:jc w:val="both"/>
        <w:rPr>
          <w:rFonts w:ascii="Times New Roman" w:eastAsia="Times New Roman" w:hAnsi="Times New Roman" w:cs="Times New Roman"/>
          <w:b/>
          <w:sz w:val="24"/>
        </w:rPr>
      </w:pPr>
      <w:r>
        <w:rPr>
          <w:rFonts w:ascii="Times New Roman" w:eastAsia="Times New Roman" w:hAnsi="Times New Roman" w:cs="Times New Roman"/>
          <w:b/>
          <w:sz w:val="24"/>
        </w:rPr>
        <w:t xml:space="preserve">Computing business Accounting receivable’s value: </w:t>
      </w:r>
    </w:p>
    <w:p w:rsidR="00ED0142" w:rsidRDefault="002C6C37">
      <w:pPr>
        <w:spacing w:after="0" w:line="360" w:lineRule="auto"/>
        <w:jc w:val="both"/>
        <w:rPr>
          <w:rFonts w:ascii="Times New Roman" w:eastAsia="Times New Roman" w:hAnsi="Times New Roman" w:cs="Times New Roman"/>
          <w:b/>
          <w:sz w:val="24"/>
        </w:rPr>
      </w:pPr>
      <w:r>
        <w:object w:dxaOrig="8664" w:dyaOrig="1363">
          <v:rect id="rectole0000000005" o:spid="_x0000_i1030" style="width:433.5pt;height:68.25pt" o:ole="" o:preferrelative="t" stroked="f">
            <v:imagedata r:id="rId15" o:title=""/>
          </v:rect>
          <o:OLEObject Type="Embed" ProgID="StaticMetafile" ShapeID="rectole0000000005" DrawAspect="Content" ObjectID="_1723302213" r:id="rId16"/>
        </w:object>
      </w:r>
    </w:p>
    <w:p w:rsidR="00ED0142" w:rsidRDefault="002C6C37">
      <w:pPr>
        <w:spacing w:after="0" w:line="360" w:lineRule="auto"/>
        <w:jc w:val="both"/>
        <w:rPr>
          <w:rFonts w:ascii="Times New Roman" w:eastAsia="Times New Roman" w:hAnsi="Times New Roman" w:cs="Times New Roman"/>
          <w:b/>
          <w:color w:val="000000"/>
          <w:sz w:val="28"/>
        </w:rPr>
      </w:pPr>
      <w:r>
        <w:rPr>
          <w:rFonts w:ascii="Times New Roman" w:eastAsia="Times New Roman" w:hAnsi="Times New Roman" w:cs="Times New Roman"/>
          <w:b/>
          <w:color w:val="000000"/>
          <w:sz w:val="28"/>
        </w:rPr>
        <w:t>Part B: “Analysis of primary reasons behind, statement of financial position balance”</w:t>
      </w:r>
    </w:p>
    <w:p w:rsidR="00ED0142" w:rsidRDefault="002C6C37">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Luca Pacioli, the father of accounting during the period of 1494 invented a new accounting engagement or accounting principle that was recognised as the “double entry accounting principles”. According to these accounting principles for every individual accounting transaction, two different accounting impacts will be initiated in order to manage the financial measuring support on an effective basis.  It is recognised as the advanced and supportive form of “Single entry accounting” engagement that provides a positive and formulated accounting presence in an effective order (John Dyson, 2017). </w:t>
      </w:r>
    </w:p>
    <w:p w:rsidR="00ED0142" w:rsidRDefault="002C6C37">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According to the basic operating and financial support, the presence of a “Statement of finance or Balance sheet” are generally structured on the basis of such “double entry accounting” support that provides a progressive accounting formulation on an effective basis. It is also considered as the primary reason depending on which a sustainable and balancing position regarding business accounting statements can be identified. Additionally, it is also initiated with the presence of accrual and actual accounting principle </w:t>
      </w:r>
      <w:r>
        <w:rPr>
          <w:rFonts w:ascii="Times New Roman" w:eastAsia="Times New Roman" w:hAnsi="Times New Roman" w:cs="Times New Roman"/>
          <w:sz w:val="24"/>
        </w:rPr>
        <w:lastRenderedPageBreak/>
        <w:t xml:space="preserve">support that is initiated for measuring the consistency and compatibility support of business accounting measurement in a developing order (Weygandt </w:t>
      </w:r>
      <w:r>
        <w:rPr>
          <w:rFonts w:ascii="Times New Roman" w:eastAsia="Times New Roman" w:hAnsi="Times New Roman" w:cs="Times New Roman"/>
          <w:i/>
          <w:sz w:val="24"/>
        </w:rPr>
        <w:t xml:space="preserve">et al., </w:t>
      </w:r>
      <w:r>
        <w:rPr>
          <w:rFonts w:ascii="Times New Roman" w:eastAsia="Times New Roman" w:hAnsi="Times New Roman" w:cs="Times New Roman"/>
          <w:sz w:val="24"/>
        </w:rPr>
        <w:t xml:space="preserve">2019). </w:t>
      </w:r>
    </w:p>
    <w:p w:rsidR="00ED0142" w:rsidRDefault="002C6C37">
      <w:pPr>
        <w:spacing w:after="0" w:line="360" w:lineRule="auto"/>
        <w:jc w:val="both"/>
        <w:rPr>
          <w:rFonts w:ascii="Times New Roman" w:eastAsia="Times New Roman" w:hAnsi="Times New Roman" w:cs="Times New Roman"/>
          <w:b/>
          <w:color w:val="000000"/>
          <w:sz w:val="32"/>
        </w:rPr>
      </w:pPr>
      <w:r>
        <w:rPr>
          <w:rFonts w:ascii="Times New Roman" w:eastAsia="Times New Roman" w:hAnsi="Times New Roman" w:cs="Times New Roman"/>
          <w:b/>
          <w:color w:val="000000"/>
          <w:sz w:val="32"/>
        </w:rPr>
        <w:t>Answer for Question No: 2</w:t>
      </w:r>
    </w:p>
    <w:p w:rsidR="00ED0142" w:rsidRDefault="002C6C37">
      <w:pPr>
        <w:spacing w:after="0" w:line="360" w:lineRule="auto"/>
        <w:jc w:val="both"/>
        <w:rPr>
          <w:rFonts w:ascii="Times New Roman" w:eastAsia="Times New Roman" w:hAnsi="Times New Roman" w:cs="Times New Roman"/>
          <w:b/>
          <w:sz w:val="24"/>
        </w:rPr>
      </w:pPr>
      <w:r>
        <w:rPr>
          <w:rFonts w:ascii="Times New Roman" w:eastAsia="Times New Roman" w:hAnsi="Times New Roman" w:cs="Times New Roman"/>
          <w:sz w:val="24"/>
        </w:rPr>
        <w:t xml:space="preserve">As per the provided details regarding business financial performances, the presentation regarding accounting evaluation for the business of </w:t>
      </w:r>
      <w:r>
        <w:rPr>
          <w:rFonts w:ascii="Times New Roman" w:eastAsia="Times New Roman" w:hAnsi="Times New Roman" w:cs="Times New Roman"/>
          <w:b/>
          <w:sz w:val="24"/>
        </w:rPr>
        <w:t>Sweets plc</w:t>
      </w:r>
      <w:r>
        <w:rPr>
          <w:rFonts w:ascii="Times New Roman" w:eastAsia="Times New Roman" w:hAnsi="Times New Roman" w:cs="Times New Roman"/>
          <w:sz w:val="24"/>
        </w:rPr>
        <w:t xml:space="preserve"> has been computed so that supportive financial capability recognition can be initiated regarding future performances for this business. </w:t>
      </w:r>
    </w:p>
    <w:p w:rsidR="00ED0142" w:rsidRDefault="002C6C37">
      <w:pPr>
        <w:spacing w:after="0" w:line="360" w:lineRule="auto"/>
        <w:jc w:val="both"/>
        <w:rPr>
          <w:rFonts w:ascii="Times New Roman" w:eastAsia="Times New Roman" w:hAnsi="Times New Roman" w:cs="Times New Roman"/>
          <w:b/>
          <w:color w:val="000000"/>
          <w:sz w:val="28"/>
        </w:rPr>
      </w:pPr>
      <w:r>
        <w:rPr>
          <w:rFonts w:ascii="Times New Roman" w:eastAsia="Times New Roman" w:hAnsi="Times New Roman" w:cs="Times New Roman"/>
          <w:b/>
          <w:color w:val="000000"/>
          <w:sz w:val="28"/>
        </w:rPr>
        <w:t>Part A: Computing “accounting ratios for business Sweets plc”</w:t>
      </w:r>
    </w:p>
    <w:p w:rsidR="00ED0142" w:rsidRDefault="002C6C37">
      <w:pPr>
        <w:spacing w:after="0" w:line="360" w:lineRule="auto"/>
        <w:jc w:val="both"/>
        <w:rPr>
          <w:rFonts w:ascii="Times New Roman" w:eastAsia="Times New Roman" w:hAnsi="Times New Roman" w:cs="Times New Roman"/>
          <w:b/>
          <w:sz w:val="24"/>
        </w:rPr>
      </w:pPr>
      <w:r>
        <w:rPr>
          <w:rFonts w:ascii="Times New Roman" w:eastAsia="Times New Roman" w:hAnsi="Times New Roman" w:cs="Times New Roman"/>
          <w:sz w:val="24"/>
        </w:rPr>
        <w:t xml:space="preserve">With the support of the present provided details related to the accounting presentation some of the relevant accounting ratios for this business have been determined. </w:t>
      </w:r>
    </w:p>
    <w:p w:rsidR="00ED0142" w:rsidRDefault="002C6C37">
      <w:pPr>
        <w:spacing w:after="0" w:line="360" w:lineRule="auto"/>
        <w:jc w:val="both"/>
        <w:rPr>
          <w:rFonts w:ascii="Times New Roman" w:eastAsia="Times New Roman" w:hAnsi="Times New Roman" w:cs="Times New Roman"/>
          <w:b/>
          <w:sz w:val="24"/>
        </w:rPr>
      </w:pPr>
      <w:r>
        <w:rPr>
          <w:rFonts w:ascii="Times New Roman" w:eastAsia="Times New Roman" w:hAnsi="Times New Roman" w:cs="Times New Roman"/>
          <w:b/>
          <w:sz w:val="24"/>
        </w:rPr>
        <w:t xml:space="preserve">Return on Capital Employed </w:t>
      </w:r>
    </w:p>
    <w:p w:rsidR="00ED0142" w:rsidRDefault="002C6C37">
      <w:pPr>
        <w:spacing w:after="0" w:line="360" w:lineRule="auto"/>
        <w:jc w:val="both"/>
        <w:rPr>
          <w:rFonts w:ascii="Times New Roman" w:eastAsia="Times New Roman" w:hAnsi="Times New Roman" w:cs="Times New Roman"/>
          <w:b/>
          <w:sz w:val="24"/>
        </w:rPr>
      </w:pPr>
      <w:r>
        <w:object w:dxaOrig="5702" w:dyaOrig="1396">
          <v:rect id="rectole0000000006" o:spid="_x0000_i1031" style="width:285pt;height:69.75pt" o:ole="" o:preferrelative="t" stroked="f">
            <v:imagedata r:id="rId17" o:title=""/>
          </v:rect>
          <o:OLEObject Type="Embed" ProgID="StaticMetafile" ShapeID="rectole0000000006" DrawAspect="Content" ObjectID="_1723302214" r:id="rId18"/>
        </w:object>
      </w:r>
    </w:p>
    <w:p w:rsidR="00ED0142" w:rsidRDefault="002C6C37">
      <w:pPr>
        <w:spacing w:after="0" w:line="360" w:lineRule="auto"/>
        <w:jc w:val="both"/>
        <w:rPr>
          <w:rFonts w:ascii="Times New Roman" w:eastAsia="Times New Roman" w:hAnsi="Times New Roman" w:cs="Times New Roman"/>
          <w:b/>
          <w:sz w:val="24"/>
        </w:rPr>
      </w:pPr>
      <w:r>
        <w:rPr>
          <w:rFonts w:ascii="Times New Roman" w:eastAsia="Times New Roman" w:hAnsi="Times New Roman" w:cs="Times New Roman"/>
          <w:b/>
          <w:sz w:val="24"/>
        </w:rPr>
        <w:t xml:space="preserve">Return on Equity </w:t>
      </w:r>
    </w:p>
    <w:p w:rsidR="00ED0142" w:rsidRDefault="002C6C37">
      <w:pPr>
        <w:spacing w:after="0" w:line="360" w:lineRule="auto"/>
        <w:jc w:val="both"/>
        <w:rPr>
          <w:rFonts w:ascii="Times New Roman" w:eastAsia="Times New Roman" w:hAnsi="Times New Roman" w:cs="Times New Roman"/>
          <w:b/>
          <w:sz w:val="24"/>
        </w:rPr>
      </w:pPr>
      <w:r>
        <w:object w:dxaOrig="5601" w:dyaOrig="1339">
          <v:rect id="rectole0000000007" o:spid="_x0000_i1032" style="width:279.75pt;height:66.75pt" o:ole="" o:preferrelative="t" stroked="f">
            <v:imagedata r:id="rId19" o:title=""/>
          </v:rect>
          <o:OLEObject Type="Embed" ProgID="StaticMetafile" ShapeID="rectole0000000007" DrawAspect="Content" ObjectID="_1723302215" r:id="rId20"/>
        </w:object>
      </w:r>
    </w:p>
    <w:p w:rsidR="00ED0142" w:rsidRDefault="002C6C37">
      <w:pPr>
        <w:spacing w:after="0" w:line="360" w:lineRule="auto"/>
        <w:jc w:val="both"/>
        <w:rPr>
          <w:rFonts w:ascii="Times New Roman" w:eastAsia="Times New Roman" w:hAnsi="Times New Roman" w:cs="Times New Roman"/>
          <w:b/>
          <w:sz w:val="24"/>
        </w:rPr>
      </w:pPr>
      <w:r>
        <w:rPr>
          <w:rFonts w:ascii="Times New Roman" w:eastAsia="Times New Roman" w:hAnsi="Times New Roman" w:cs="Times New Roman"/>
          <w:b/>
          <w:sz w:val="24"/>
        </w:rPr>
        <w:t>Earnings per share</w:t>
      </w:r>
    </w:p>
    <w:p w:rsidR="00ED0142" w:rsidRDefault="002C6C37">
      <w:pPr>
        <w:spacing w:after="0" w:line="360" w:lineRule="auto"/>
        <w:jc w:val="both"/>
        <w:rPr>
          <w:rFonts w:ascii="Times New Roman" w:eastAsia="Times New Roman" w:hAnsi="Times New Roman" w:cs="Times New Roman"/>
          <w:b/>
          <w:sz w:val="24"/>
        </w:rPr>
      </w:pPr>
      <w:r>
        <w:object w:dxaOrig="5659" w:dyaOrig="1411">
          <v:rect id="rectole0000000008" o:spid="_x0000_i1033" style="width:282.75pt;height:70.5pt" o:ole="" o:preferrelative="t" stroked="f">
            <v:imagedata r:id="rId21" o:title=""/>
          </v:rect>
          <o:OLEObject Type="Embed" ProgID="StaticMetafile" ShapeID="rectole0000000008" DrawAspect="Content" ObjectID="_1723302216" r:id="rId22"/>
        </w:object>
      </w:r>
    </w:p>
    <w:p w:rsidR="00ED0142" w:rsidRDefault="002C6C37">
      <w:pPr>
        <w:spacing w:after="0" w:line="360" w:lineRule="auto"/>
        <w:jc w:val="both"/>
        <w:rPr>
          <w:rFonts w:ascii="Times New Roman" w:eastAsia="Times New Roman" w:hAnsi="Times New Roman" w:cs="Times New Roman"/>
          <w:b/>
          <w:sz w:val="24"/>
        </w:rPr>
      </w:pPr>
      <w:r>
        <w:rPr>
          <w:rFonts w:ascii="Times New Roman" w:eastAsia="Times New Roman" w:hAnsi="Times New Roman" w:cs="Times New Roman"/>
          <w:b/>
          <w:sz w:val="24"/>
        </w:rPr>
        <w:t>Net profit margin</w:t>
      </w:r>
    </w:p>
    <w:p w:rsidR="00ED0142" w:rsidRDefault="002C6C37">
      <w:pPr>
        <w:spacing w:after="0" w:line="360" w:lineRule="auto"/>
        <w:jc w:val="both"/>
        <w:rPr>
          <w:rFonts w:ascii="Times New Roman" w:eastAsia="Times New Roman" w:hAnsi="Times New Roman" w:cs="Times New Roman"/>
          <w:b/>
          <w:sz w:val="24"/>
        </w:rPr>
      </w:pPr>
      <w:r>
        <w:object w:dxaOrig="5601" w:dyaOrig="1382">
          <v:rect id="rectole0000000009" o:spid="_x0000_i1034" style="width:279.75pt;height:69pt" o:ole="" o:preferrelative="t" stroked="f">
            <v:imagedata r:id="rId23" o:title=""/>
          </v:rect>
          <o:OLEObject Type="Embed" ProgID="StaticMetafile" ShapeID="rectole0000000009" DrawAspect="Content" ObjectID="_1723302217" r:id="rId24"/>
        </w:object>
      </w:r>
    </w:p>
    <w:p w:rsidR="00ED0142" w:rsidRDefault="002C6C37">
      <w:pPr>
        <w:spacing w:after="0" w:line="360" w:lineRule="auto"/>
        <w:jc w:val="both"/>
        <w:rPr>
          <w:rFonts w:ascii="Times New Roman" w:eastAsia="Times New Roman" w:hAnsi="Times New Roman" w:cs="Times New Roman"/>
          <w:b/>
          <w:sz w:val="24"/>
        </w:rPr>
      </w:pPr>
      <w:r>
        <w:rPr>
          <w:rFonts w:ascii="Times New Roman" w:eastAsia="Times New Roman" w:hAnsi="Times New Roman" w:cs="Times New Roman"/>
          <w:b/>
          <w:sz w:val="24"/>
        </w:rPr>
        <w:t>Asset turnover</w:t>
      </w:r>
    </w:p>
    <w:p w:rsidR="00ED0142" w:rsidRDefault="002C6C37">
      <w:pPr>
        <w:spacing w:after="0" w:line="360" w:lineRule="auto"/>
        <w:jc w:val="both"/>
        <w:rPr>
          <w:rFonts w:ascii="Times New Roman" w:eastAsia="Times New Roman" w:hAnsi="Times New Roman" w:cs="Times New Roman"/>
          <w:b/>
          <w:sz w:val="24"/>
        </w:rPr>
      </w:pPr>
      <w:r>
        <w:object w:dxaOrig="5673" w:dyaOrig="1353">
          <v:rect id="rectole0000000010" o:spid="_x0000_i1035" style="width:283.5pt;height:67.5pt" o:ole="" o:preferrelative="t" stroked="f">
            <v:imagedata r:id="rId25" o:title=""/>
          </v:rect>
          <o:OLEObject Type="Embed" ProgID="StaticMetafile" ShapeID="rectole0000000010" DrawAspect="Content" ObjectID="_1723302218" r:id="rId26"/>
        </w:object>
      </w:r>
    </w:p>
    <w:p w:rsidR="00ED0142" w:rsidRDefault="002C6C37">
      <w:pPr>
        <w:spacing w:after="0" w:line="360" w:lineRule="auto"/>
        <w:jc w:val="both"/>
        <w:rPr>
          <w:rFonts w:ascii="Times New Roman" w:eastAsia="Times New Roman" w:hAnsi="Times New Roman" w:cs="Times New Roman"/>
          <w:b/>
          <w:sz w:val="24"/>
        </w:rPr>
      </w:pPr>
      <w:r>
        <w:rPr>
          <w:rFonts w:ascii="Times New Roman" w:eastAsia="Times New Roman" w:hAnsi="Times New Roman" w:cs="Times New Roman"/>
          <w:b/>
          <w:sz w:val="24"/>
        </w:rPr>
        <w:t>Stock holding days</w:t>
      </w:r>
    </w:p>
    <w:p w:rsidR="00ED0142" w:rsidRDefault="002C6C37">
      <w:pPr>
        <w:spacing w:after="0" w:line="360" w:lineRule="auto"/>
        <w:jc w:val="both"/>
        <w:rPr>
          <w:rFonts w:ascii="Times New Roman" w:eastAsia="Times New Roman" w:hAnsi="Times New Roman" w:cs="Times New Roman"/>
          <w:b/>
          <w:sz w:val="24"/>
        </w:rPr>
      </w:pPr>
      <w:r>
        <w:object w:dxaOrig="5673" w:dyaOrig="1353">
          <v:rect id="rectole0000000011" o:spid="_x0000_i1036" style="width:283.5pt;height:67.5pt" o:ole="" o:preferrelative="t" stroked="f">
            <v:imagedata r:id="rId27" o:title=""/>
          </v:rect>
          <o:OLEObject Type="Embed" ProgID="StaticMetafile" ShapeID="rectole0000000011" DrawAspect="Content" ObjectID="_1723302219" r:id="rId28"/>
        </w:object>
      </w:r>
    </w:p>
    <w:p w:rsidR="00ED0142" w:rsidRDefault="002C6C37">
      <w:pPr>
        <w:spacing w:after="0" w:line="360" w:lineRule="auto"/>
        <w:jc w:val="both"/>
        <w:rPr>
          <w:rFonts w:ascii="Times New Roman" w:eastAsia="Times New Roman" w:hAnsi="Times New Roman" w:cs="Times New Roman"/>
          <w:b/>
          <w:sz w:val="24"/>
        </w:rPr>
      </w:pPr>
      <w:r>
        <w:rPr>
          <w:rFonts w:ascii="Times New Roman" w:eastAsia="Times New Roman" w:hAnsi="Times New Roman" w:cs="Times New Roman"/>
          <w:b/>
          <w:sz w:val="24"/>
        </w:rPr>
        <w:lastRenderedPageBreak/>
        <w:t>Debtor’s collection period</w:t>
      </w:r>
    </w:p>
    <w:p w:rsidR="00ED0142" w:rsidRDefault="002C6C37">
      <w:pPr>
        <w:spacing w:after="0" w:line="360" w:lineRule="auto"/>
        <w:jc w:val="both"/>
        <w:rPr>
          <w:rFonts w:ascii="Times New Roman" w:eastAsia="Times New Roman" w:hAnsi="Times New Roman" w:cs="Times New Roman"/>
          <w:b/>
          <w:sz w:val="24"/>
        </w:rPr>
      </w:pPr>
      <w:r>
        <w:object w:dxaOrig="5572" w:dyaOrig="1339">
          <v:rect id="rectole0000000012" o:spid="_x0000_i1037" style="width:278.25pt;height:66.75pt" o:ole="" o:preferrelative="t" stroked="f">
            <v:imagedata r:id="rId29" o:title=""/>
          </v:rect>
          <o:OLEObject Type="Embed" ProgID="StaticMetafile" ShapeID="rectole0000000012" DrawAspect="Content" ObjectID="_1723302220" r:id="rId30"/>
        </w:object>
      </w:r>
    </w:p>
    <w:p w:rsidR="00ED0142" w:rsidRDefault="002C6C37">
      <w:pPr>
        <w:spacing w:after="0" w:line="360" w:lineRule="auto"/>
        <w:jc w:val="both"/>
        <w:rPr>
          <w:rFonts w:ascii="Times New Roman" w:eastAsia="Times New Roman" w:hAnsi="Times New Roman" w:cs="Times New Roman"/>
          <w:b/>
          <w:sz w:val="24"/>
        </w:rPr>
      </w:pPr>
      <w:r>
        <w:rPr>
          <w:rFonts w:ascii="Times New Roman" w:eastAsia="Times New Roman" w:hAnsi="Times New Roman" w:cs="Times New Roman"/>
          <w:b/>
          <w:sz w:val="24"/>
        </w:rPr>
        <w:t>Current ratio</w:t>
      </w:r>
    </w:p>
    <w:p w:rsidR="00ED0142" w:rsidRDefault="002C6C37">
      <w:pPr>
        <w:spacing w:after="0" w:line="360" w:lineRule="auto"/>
        <w:jc w:val="both"/>
        <w:rPr>
          <w:rFonts w:ascii="Times New Roman" w:eastAsia="Times New Roman" w:hAnsi="Times New Roman" w:cs="Times New Roman"/>
          <w:b/>
          <w:sz w:val="24"/>
        </w:rPr>
      </w:pPr>
      <w:r>
        <w:object w:dxaOrig="5616" w:dyaOrig="1425">
          <v:rect id="rectole0000000013" o:spid="_x0000_i1038" style="width:280.5pt;height:71.25pt" o:ole="" o:preferrelative="t" stroked="f">
            <v:imagedata r:id="rId31" o:title=""/>
          </v:rect>
          <o:OLEObject Type="Embed" ProgID="StaticMetafile" ShapeID="rectole0000000013" DrawAspect="Content" ObjectID="_1723302221" r:id="rId32"/>
        </w:object>
      </w:r>
    </w:p>
    <w:p w:rsidR="00ED0142" w:rsidRDefault="002C6C37">
      <w:pPr>
        <w:spacing w:after="0" w:line="360" w:lineRule="auto"/>
        <w:jc w:val="both"/>
        <w:rPr>
          <w:rFonts w:ascii="Times New Roman" w:eastAsia="Times New Roman" w:hAnsi="Times New Roman" w:cs="Times New Roman"/>
          <w:b/>
          <w:sz w:val="24"/>
        </w:rPr>
      </w:pPr>
      <w:r>
        <w:rPr>
          <w:rFonts w:ascii="Times New Roman" w:eastAsia="Times New Roman" w:hAnsi="Times New Roman" w:cs="Times New Roman"/>
          <w:b/>
          <w:sz w:val="24"/>
        </w:rPr>
        <w:t>Gearing ratio</w:t>
      </w:r>
    </w:p>
    <w:p w:rsidR="00ED0142" w:rsidRDefault="002C6C37">
      <w:pPr>
        <w:spacing w:after="0" w:line="360" w:lineRule="auto"/>
        <w:jc w:val="both"/>
        <w:rPr>
          <w:rFonts w:ascii="Times New Roman" w:eastAsia="Times New Roman" w:hAnsi="Times New Roman" w:cs="Times New Roman"/>
          <w:b/>
          <w:sz w:val="24"/>
        </w:rPr>
      </w:pPr>
      <w:r>
        <w:object w:dxaOrig="5644" w:dyaOrig="1310">
          <v:rect id="rectole0000000014" o:spid="_x0000_i1039" style="width:282pt;height:65.25pt" o:ole="" o:preferrelative="t" stroked="f">
            <v:imagedata r:id="rId33" o:title=""/>
          </v:rect>
          <o:OLEObject Type="Embed" ProgID="StaticMetafile" ShapeID="rectole0000000014" DrawAspect="Content" ObjectID="_1723302222" r:id="rId34"/>
        </w:object>
      </w:r>
    </w:p>
    <w:p w:rsidR="00ED0142" w:rsidRDefault="002C6C37">
      <w:pPr>
        <w:spacing w:after="0" w:line="360" w:lineRule="auto"/>
        <w:jc w:val="both"/>
        <w:rPr>
          <w:rFonts w:ascii="Times New Roman" w:eastAsia="Times New Roman" w:hAnsi="Times New Roman" w:cs="Times New Roman"/>
          <w:b/>
          <w:sz w:val="24"/>
        </w:rPr>
      </w:pPr>
      <w:r>
        <w:rPr>
          <w:rFonts w:ascii="Times New Roman" w:eastAsia="Times New Roman" w:hAnsi="Times New Roman" w:cs="Times New Roman"/>
          <w:b/>
          <w:sz w:val="24"/>
        </w:rPr>
        <w:t>Interest cover</w:t>
      </w:r>
    </w:p>
    <w:p w:rsidR="00ED0142" w:rsidRDefault="002C6C37">
      <w:pPr>
        <w:spacing w:after="0" w:line="360" w:lineRule="auto"/>
        <w:jc w:val="both"/>
        <w:rPr>
          <w:rFonts w:ascii="Times New Roman" w:eastAsia="Times New Roman" w:hAnsi="Times New Roman" w:cs="Times New Roman"/>
          <w:b/>
          <w:sz w:val="24"/>
        </w:rPr>
      </w:pPr>
      <w:r>
        <w:object w:dxaOrig="5659" w:dyaOrig="1411">
          <v:rect id="rectole0000000015" o:spid="_x0000_i1040" style="width:282.75pt;height:70.5pt" o:ole="" o:preferrelative="t" stroked="f">
            <v:imagedata r:id="rId35" o:title=""/>
          </v:rect>
          <o:OLEObject Type="Embed" ProgID="StaticMetafile" ShapeID="rectole0000000015" DrawAspect="Content" ObjectID="_1723302223" r:id="rId36"/>
        </w:object>
      </w:r>
    </w:p>
    <w:p w:rsidR="00ED0142" w:rsidRDefault="00ED0142">
      <w:pPr>
        <w:spacing w:after="0" w:line="360" w:lineRule="auto"/>
        <w:jc w:val="both"/>
        <w:rPr>
          <w:rFonts w:ascii="Times New Roman" w:eastAsia="Times New Roman" w:hAnsi="Times New Roman" w:cs="Times New Roman"/>
          <w:b/>
          <w:sz w:val="24"/>
        </w:rPr>
      </w:pPr>
    </w:p>
    <w:p w:rsidR="00ED0142" w:rsidRDefault="002C6C37">
      <w:pPr>
        <w:spacing w:after="0" w:line="360" w:lineRule="auto"/>
        <w:jc w:val="both"/>
        <w:rPr>
          <w:rFonts w:ascii="Times New Roman" w:eastAsia="Times New Roman" w:hAnsi="Times New Roman" w:cs="Times New Roman"/>
          <w:b/>
          <w:color w:val="000000"/>
          <w:sz w:val="28"/>
        </w:rPr>
      </w:pPr>
      <w:r>
        <w:rPr>
          <w:rFonts w:ascii="Times New Roman" w:eastAsia="Times New Roman" w:hAnsi="Times New Roman" w:cs="Times New Roman"/>
          <w:b/>
          <w:color w:val="000000"/>
          <w:sz w:val="28"/>
        </w:rPr>
        <w:t>Part B: “Identifying current financial performance and position of Sweets plc”</w:t>
      </w:r>
    </w:p>
    <w:p w:rsidR="00ED0142" w:rsidRDefault="002C6C37">
      <w:pPr>
        <w:spacing w:after="0" w:line="360" w:lineRule="auto"/>
        <w:jc w:val="both"/>
        <w:rPr>
          <w:rFonts w:ascii="Times New Roman" w:eastAsia="Times New Roman" w:hAnsi="Times New Roman" w:cs="Times New Roman"/>
          <w:b/>
          <w:sz w:val="24"/>
        </w:rPr>
      </w:pPr>
      <w:r>
        <w:rPr>
          <w:rFonts w:ascii="Times New Roman" w:eastAsia="Times New Roman" w:hAnsi="Times New Roman" w:cs="Times New Roman"/>
          <w:sz w:val="24"/>
        </w:rPr>
        <w:t xml:space="preserve">After the computation of several “accounting ratios”, proper evaluation related to accounting performances for this business associated to the present and previous accounting period, a supportive financial performance for both periods has been evaluated. With the support of such analysis, a proper formulated growth of such organisations’ can be effectively measured. The analyses are provided; </w:t>
      </w:r>
    </w:p>
    <w:p w:rsidR="00ED0142" w:rsidRDefault="002C6C37">
      <w:pPr>
        <w:spacing w:after="0" w:line="360" w:lineRule="auto"/>
        <w:jc w:val="both"/>
        <w:rPr>
          <w:rFonts w:ascii="Times New Roman" w:eastAsia="Times New Roman" w:hAnsi="Times New Roman" w:cs="Times New Roman"/>
          <w:b/>
          <w:sz w:val="24"/>
        </w:rPr>
      </w:pPr>
      <w:r>
        <w:rPr>
          <w:rFonts w:ascii="Times New Roman" w:eastAsia="Times New Roman" w:hAnsi="Times New Roman" w:cs="Times New Roman"/>
          <w:b/>
          <w:sz w:val="24"/>
        </w:rPr>
        <w:t xml:space="preserve">Return on Capital Employed </w:t>
      </w:r>
    </w:p>
    <w:tbl>
      <w:tblPr>
        <w:tblW w:w="0" w:type="auto"/>
        <w:tblInd w:w="100" w:type="dxa"/>
        <w:tblCellMar>
          <w:left w:w="10" w:type="dxa"/>
          <w:right w:w="10" w:type="dxa"/>
        </w:tblCellMar>
        <w:tblLook w:val="0000" w:firstRow="0" w:lastRow="0" w:firstColumn="0" w:lastColumn="0" w:noHBand="0" w:noVBand="0"/>
      </w:tblPr>
      <w:tblGrid>
        <w:gridCol w:w="3015"/>
        <w:gridCol w:w="5985"/>
      </w:tblGrid>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 xml:space="preserve">Definition: </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General measurement that is applied for recognising the financial earning structure of the individual business with the support of capital employed presence. It is applied for developing the financial processing of business in a supportive order (Tohirovich, 2021). </w:t>
            </w:r>
          </w:p>
        </w:tc>
      </w:tr>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 xml:space="preserve">Results  </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In 2020 it was 13%, while in the present period it has increased to 14% supportively. </w:t>
            </w:r>
          </w:p>
        </w:tc>
      </w:tr>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 xml:space="preserve">Yearly performances: </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According to the present operating performances a significant amount of increasing support is identified in the present situation indicating a primary development approach in the present operating structure. </w:t>
            </w:r>
          </w:p>
        </w:tc>
      </w:tr>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lastRenderedPageBreak/>
              <w:t>Reasons:</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After the pandemic, a significant volume of demand for marketing products has increased, influencing the revenue structure. Additionally, product costs are supportively measured that influence expenditures level. </w:t>
            </w:r>
          </w:p>
        </w:tc>
      </w:tr>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 xml:space="preserve">Development strategy: </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Depending on the present position, proper revenue growth including marketing formulation is necessary that probably enhances the operating structure properly. </w:t>
            </w:r>
          </w:p>
        </w:tc>
      </w:tr>
    </w:tbl>
    <w:p w:rsidR="00ED0142" w:rsidRDefault="00ED0142">
      <w:pPr>
        <w:spacing w:after="0" w:line="360" w:lineRule="auto"/>
        <w:jc w:val="both"/>
        <w:rPr>
          <w:rFonts w:ascii="Times New Roman" w:eastAsia="Times New Roman" w:hAnsi="Times New Roman" w:cs="Times New Roman"/>
          <w:b/>
          <w:sz w:val="24"/>
        </w:rPr>
      </w:pPr>
    </w:p>
    <w:p w:rsidR="00ED0142" w:rsidRDefault="002C6C37">
      <w:pPr>
        <w:spacing w:after="0" w:line="360" w:lineRule="auto"/>
        <w:jc w:val="both"/>
        <w:rPr>
          <w:rFonts w:ascii="Times New Roman" w:eastAsia="Times New Roman" w:hAnsi="Times New Roman" w:cs="Times New Roman"/>
          <w:b/>
          <w:sz w:val="24"/>
        </w:rPr>
      </w:pPr>
      <w:r>
        <w:rPr>
          <w:rFonts w:ascii="Times New Roman" w:eastAsia="Times New Roman" w:hAnsi="Times New Roman" w:cs="Times New Roman"/>
          <w:b/>
          <w:sz w:val="24"/>
        </w:rPr>
        <w:t xml:space="preserve">Return on Equity </w:t>
      </w:r>
    </w:p>
    <w:tbl>
      <w:tblPr>
        <w:tblW w:w="0" w:type="auto"/>
        <w:tblInd w:w="100" w:type="dxa"/>
        <w:tblCellMar>
          <w:left w:w="10" w:type="dxa"/>
          <w:right w:w="10" w:type="dxa"/>
        </w:tblCellMar>
        <w:tblLook w:val="0000" w:firstRow="0" w:lastRow="0" w:firstColumn="0" w:lastColumn="0" w:noHBand="0" w:noVBand="0"/>
      </w:tblPr>
      <w:tblGrid>
        <w:gridCol w:w="3015"/>
        <w:gridCol w:w="5985"/>
      </w:tblGrid>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 xml:space="preserve">Definition: </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It is a significant financial measure that is initiated for identifying and recognising the primary earning capabilities of a business associated with equity capital level (Weygandt </w:t>
            </w:r>
            <w:r>
              <w:rPr>
                <w:rFonts w:ascii="Times New Roman" w:eastAsia="Times New Roman" w:hAnsi="Times New Roman" w:cs="Times New Roman"/>
                <w:i/>
                <w:sz w:val="24"/>
              </w:rPr>
              <w:t xml:space="preserve">et al., </w:t>
            </w:r>
            <w:r>
              <w:rPr>
                <w:rFonts w:ascii="Times New Roman" w:eastAsia="Times New Roman" w:hAnsi="Times New Roman" w:cs="Times New Roman"/>
                <w:sz w:val="24"/>
              </w:rPr>
              <w:t xml:space="preserve">2018). </w:t>
            </w:r>
          </w:p>
        </w:tc>
      </w:tr>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 xml:space="preserve">Results </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In 2020 it was 10%, while in the present period it is increased to 11% supportively. </w:t>
            </w:r>
          </w:p>
        </w:tc>
      </w:tr>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 xml:space="preserve">Yearly performances: </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Compared to the earlier position a supportive increasing structure is noticed in the present accounting period that indicates the overall financial position of the business is developing, associated with the capital marketing position mainly. </w:t>
            </w:r>
          </w:p>
        </w:tc>
      </w:tr>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Reasons:</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Significant amounts of revenue expansion including marketing development influence the profit level of business on a supportive basis. Additionally, the present market growth also supports enhancing the capital position in a simultaneous order. </w:t>
            </w:r>
          </w:p>
        </w:tc>
      </w:tr>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 xml:space="preserve">Development strategy: </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A proper marketing development including profit-enhancing strategies with maintaining the balance scorecard support is required that can influence the marketing position of the business on a supportive basis. </w:t>
            </w:r>
          </w:p>
        </w:tc>
      </w:tr>
    </w:tbl>
    <w:p w:rsidR="00ED0142" w:rsidRDefault="00ED0142">
      <w:pPr>
        <w:spacing w:after="0" w:line="360" w:lineRule="auto"/>
        <w:jc w:val="both"/>
        <w:rPr>
          <w:rFonts w:ascii="Times New Roman" w:eastAsia="Times New Roman" w:hAnsi="Times New Roman" w:cs="Times New Roman"/>
          <w:b/>
          <w:sz w:val="24"/>
        </w:rPr>
      </w:pPr>
    </w:p>
    <w:p w:rsidR="00ED0142" w:rsidRDefault="002C6C37">
      <w:pPr>
        <w:spacing w:after="0" w:line="360" w:lineRule="auto"/>
        <w:jc w:val="both"/>
        <w:rPr>
          <w:rFonts w:ascii="Times New Roman" w:eastAsia="Times New Roman" w:hAnsi="Times New Roman" w:cs="Times New Roman"/>
          <w:b/>
          <w:sz w:val="24"/>
        </w:rPr>
      </w:pPr>
      <w:r>
        <w:rPr>
          <w:rFonts w:ascii="Times New Roman" w:eastAsia="Times New Roman" w:hAnsi="Times New Roman" w:cs="Times New Roman"/>
          <w:b/>
          <w:sz w:val="24"/>
        </w:rPr>
        <w:t>Earnings per share</w:t>
      </w:r>
    </w:p>
    <w:tbl>
      <w:tblPr>
        <w:tblW w:w="0" w:type="auto"/>
        <w:tblInd w:w="100" w:type="dxa"/>
        <w:tblCellMar>
          <w:left w:w="10" w:type="dxa"/>
          <w:right w:w="10" w:type="dxa"/>
        </w:tblCellMar>
        <w:tblLook w:val="0000" w:firstRow="0" w:lastRow="0" w:firstColumn="0" w:lastColumn="0" w:noHBand="0" w:noVBand="0"/>
      </w:tblPr>
      <w:tblGrid>
        <w:gridCol w:w="3015"/>
        <w:gridCol w:w="5985"/>
      </w:tblGrid>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 xml:space="preserve">Definition: </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A systematic measurement support that is initiated for evaluating the present earning capabilities of a business associated with market share volume (Schroeder</w:t>
            </w:r>
            <w:r>
              <w:rPr>
                <w:rFonts w:ascii="Times New Roman" w:eastAsia="Times New Roman" w:hAnsi="Times New Roman" w:cs="Times New Roman"/>
                <w:i/>
                <w:sz w:val="24"/>
              </w:rPr>
              <w:t xml:space="preserve"> et al., </w:t>
            </w:r>
            <w:r>
              <w:rPr>
                <w:rFonts w:ascii="Times New Roman" w:eastAsia="Times New Roman" w:hAnsi="Times New Roman" w:cs="Times New Roman"/>
                <w:sz w:val="24"/>
              </w:rPr>
              <w:t xml:space="preserve">2019). </w:t>
            </w:r>
          </w:p>
        </w:tc>
      </w:tr>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 xml:space="preserve">Company’s performances: </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In 2020 it was 61%, while in the present period it has </w:t>
            </w:r>
            <w:r>
              <w:rPr>
                <w:rFonts w:ascii="Times New Roman" w:eastAsia="Times New Roman" w:hAnsi="Times New Roman" w:cs="Times New Roman"/>
                <w:sz w:val="24"/>
              </w:rPr>
              <w:lastRenderedPageBreak/>
              <w:t xml:space="preserve">increased to 72% supportively. </w:t>
            </w:r>
          </w:p>
        </w:tc>
      </w:tr>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lastRenderedPageBreak/>
              <w:t xml:space="preserve">Yearly performances: </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Basically an increasing approach is identified that indicates the present level of marketing structure associated with profit volume is sustainable for gaining a formulated marketing capital position mainly. </w:t>
            </w:r>
          </w:p>
        </w:tc>
      </w:tr>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Reasons:</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The present marketing revenue development including the estimated cost maintenance approach of the business is supportive of influencing the earning level of the business on a systematic basis. It also provides a volume of marketing growth on a supportive basis as well. </w:t>
            </w:r>
          </w:p>
        </w:tc>
      </w:tr>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 xml:space="preserve">Development strategy: </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A proper amount of cost maintenance including product development structure is required to be initiated for the operating future development of this business. </w:t>
            </w:r>
          </w:p>
        </w:tc>
      </w:tr>
    </w:tbl>
    <w:p w:rsidR="00ED0142" w:rsidRDefault="00ED0142">
      <w:pPr>
        <w:spacing w:after="0" w:line="360" w:lineRule="auto"/>
        <w:jc w:val="both"/>
        <w:rPr>
          <w:rFonts w:ascii="Times New Roman" w:eastAsia="Times New Roman" w:hAnsi="Times New Roman" w:cs="Times New Roman"/>
          <w:b/>
          <w:sz w:val="24"/>
        </w:rPr>
      </w:pPr>
    </w:p>
    <w:p w:rsidR="00ED0142" w:rsidRDefault="002C6C37">
      <w:pPr>
        <w:spacing w:after="0" w:line="360" w:lineRule="auto"/>
        <w:jc w:val="both"/>
        <w:rPr>
          <w:rFonts w:ascii="Times New Roman" w:eastAsia="Times New Roman" w:hAnsi="Times New Roman" w:cs="Times New Roman"/>
          <w:b/>
          <w:sz w:val="24"/>
        </w:rPr>
      </w:pPr>
      <w:r>
        <w:rPr>
          <w:rFonts w:ascii="Times New Roman" w:eastAsia="Times New Roman" w:hAnsi="Times New Roman" w:cs="Times New Roman"/>
          <w:b/>
          <w:sz w:val="24"/>
        </w:rPr>
        <w:t>Net profit margin</w:t>
      </w:r>
    </w:p>
    <w:tbl>
      <w:tblPr>
        <w:tblW w:w="0" w:type="auto"/>
        <w:tblInd w:w="100" w:type="dxa"/>
        <w:tblCellMar>
          <w:left w:w="10" w:type="dxa"/>
          <w:right w:w="10" w:type="dxa"/>
        </w:tblCellMar>
        <w:tblLook w:val="0000" w:firstRow="0" w:lastRow="0" w:firstColumn="0" w:lastColumn="0" w:noHBand="0" w:noVBand="0"/>
      </w:tblPr>
      <w:tblGrid>
        <w:gridCol w:w="3015"/>
        <w:gridCol w:w="5985"/>
      </w:tblGrid>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 xml:space="preserve">Definition: </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Fundamentally, initiated for recognising the overall volume of business earning capabilities that bring the operating development including compatibility support in a proper manner (Kimmel</w:t>
            </w:r>
            <w:r>
              <w:rPr>
                <w:rFonts w:ascii="Times New Roman" w:eastAsia="Times New Roman" w:hAnsi="Times New Roman" w:cs="Times New Roman"/>
                <w:i/>
                <w:sz w:val="24"/>
              </w:rPr>
              <w:t xml:space="preserve"> et al.,</w:t>
            </w:r>
            <w:r>
              <w:rPr>
                <w:rFonts w:ascii="Times New Roman" w:eastAsia="Times New Roman" w:hAnsi="Times New Roman" w:cs="Times New Roman"/>
                <w:sz w:val="24"/>
              </w:rPr>
              <w:t xml:space="preserve"> 2020). </w:t>
            </w:r>
          </w:p>
        </w:tc>
      </w:tr>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 xml:space="preserve">Results </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In 2020 it was 8%, while in the present period it has increased to 9% supportively. </w:t>
            </w:r>
          </w:p>
        </w:tc>
      </w:tr>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 xml:space="preserve">Yearly performances: </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According to the present computed support, a significant amount of increasing structure is identified that indicates in the present position overall financial structure of this business is developing with initiating a sustainable overcome position regarding the covid crisis. </w:t>
            </w:r>
          </w:p>
        </w:tc>
      </w:tr>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Reasons:</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A progressive formulation including marketing development of this business is influencing standardised growth support. Additionally, the presence of revenue and cost control processing also provides supportive guidance regarding such progress as well. </w:t>
            </w:r>
          </w:p>
        </w:tc>
      </w:tr>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 xml:space="preserve">Development strategy: </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A proper volume of stakeholders’ engagement including operating growth structure regarding such business presence is mandatory for initiating supportive financial accountability support to the business in future. </w:t>
            </w:r>
          </w:p>
        </w:tc>
      </w:tr>
    </w:tbl>
    <w:p w:rsidR="00ED0142" w:rsidRDefault="00ED0142">
      <w:pPr>
        <w:spacing w:after="0" w:line="360" w:lineRule="auto"/>
        <w:jc w:val="both"/>
        <w:rPr>
          <w:rFonts w:ascii="Times New Roman" w:eastAsia="Times New Roman" w:hAnsi="Times New Roman" w:cs="Times New Roman"/>
          <w:b/>
          <w:sz w:val="24"/>
        </w:rPr>
      </w:pPr>
    </w:p>
    <w:p w:rsidR="00ED0142" w:rsidRDefault="00ED0142">
      <w:pPr>
        <w:spacing w:after="0" w:line="360" w:lineRule="auto"/>
        <w:jc w:val="both"/>
        <w:rPr>
          <w:rFonts w:ascii="Times New Roman" w:eastAsia="Times New Roman" w:hAnsi="Times New Roman" w:cs="Times New Roman"/>
          <w:b/>
          <w:sz w:val="24"/>
        </w:rPr>
      </w:pPr>
    </w:p>
    <w:p w:rsidR="00ED0142" w:rsidRDefault="002C6C37">
      <w:pPr>
        <w:spacing w:after="0" w:line="360" w:lineRule="auto"/>
        <w:jc w:val="both"/>
        <w:rPr>
          <w:rFonts w:ascii="Times New Roman" w:eastAsia="Times New Roman" w:hAnsi="Times New Roman" w:cs="Times New Roman"/>
          <w:b/>
          <w:sz w:val="24"/>
        </w:rPr>
      </w:pPr>
      <w:r>
        <w:rPr>
          <w:rFonts w:ascii="Times New Roman" w:eastAsia="Times New Roman" w:hAnsi="Times New Roman" w:cs="Times New Roman"/>
          <w:b/>
          <w:sz w:val="24"/>
        </w:rPr>
        <w:t>Asset turnover</w:t>
      </w:r>
    </w:p>
    <w:tbl>
      <w:tblPr>
        <w:tblW w:w="0" w:type="auto"/>
        <w:tblInd w:w="100" w:type="dxa"/>
        <w:tblCellMar>
          <w:left w:w="10" w:type="dxa"/>
          <w:right w:w="10" w:type="dxa"/>
        </w:tblCellMar>
        <w:tblLook w:val="0000" w:firstRow="0" w:lastRow="0" w:firstColumn="0" w:lastColumn="0" w:noHBand="0" w:noVBand="0"/>
      </w:tblPr>
      <w:tblGrid>
        <w:gridCol w:w="3015"/>
        <w:gridCol w:w="5985"/>
      </w:tblGrid>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 xml:space="preserve">Definition: </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It is recognised as a financial metric that is initiated for evaluating how effectively and supportively the utilisation of business assets is initiated in an organisation for gaining financial development (Herrador-Alcaide</w:t>
            </w:r>
            <w:r>
              <w:rPr>
                <w:rFonts w:ascii="Times New Roman" w:eastAsia="Times New Roman" w:hAnsi="Times New Roman" w:cs="Times New Roman"/>
                <w:i/>
                <w:sz w:val="24"/>
              </w:rPr>
              <w:t xml:space="preserve"> et al., </w:t>
            </w:r>
            <w:r>
              <w:rPr>
                <w:rFonts w:ascii="Times New Roman" w:eastAsia="Times New Roman" w:hAnsi="Times New Roman" w:cs="Times New Roman"/>
                <w:sz w:val="24"/>
              </w:rPr>
              <w:t xml:space="preserve">2019). </w:t>
            </w:r>
          </w:p>
        </w:tc>
      </w:tr>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 xml:space="preserve">Results  </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In 2020 it was 64%, while in the present period it has increased to 69% supportively. </w:t>
            </w:r>
          </w:p>
        </w:tc>
      </w:tr>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 xml:space="preserve">Yearly performances: </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According to present computation progressive growth is identified that indicates the present financial earning capabilities of the business are supportively enhancing with a simultaneous basis associated with asset development. </w:t>
            </w:r>
          </w:p>
        </w:tc>
      </w:tr>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Reasons:</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Progressive support regarding revenue growth of the business including a formulated approach regarding financial assets structure mainly influencing the performance volume on a systematic basis. </w:t>
            </w:r>
          </w:p>
        </w:tc>
      </w:tr>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 xml:space="preserve">Development strategy: </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A proper maintenance of key performance indicators is required for maintaining and managing the operating development of the business on a sustainable basis. </w:t>
            </w:r>
          </w:p>
        </w:tc>
      </w:tr>
    </w:tbl>
    <w:p w:rsidR="00ED0142" w:rsidRDefault="00ED0142">
      <w:pPr>
        <w:spacing w:after="0" w:line="360" w:lineRule="auto"/>
        <w:jc w:val="both"/>
        <w:rPr>
          <w:rFonts w:ascii="Times New Roman" w:eastAsia="Times New Roman" w:hAnsi="Times New Roman" w:cs="Times New Roman"/>
          <w:b/>
          <w:sz w:val="24"/>
        </w:rPr>
      </w:pPr>
    </w:p>
    <w:p w:rsidR="00ED0142" w:rsidRDefault="002C6C37">
      <w:pPr>
        <w:spacing w:after="0" w:line="360" w:lineRule="auto"/>
        <w:jc w:val="both"/>
        <w:rPr>
          <w:rFonts w:ascii="Times New Roman" w:eastAsia="Times New Roman" w:hAnsi="Times New Roman" w:cs="Times New Roman"/>
          <w:b/>
          <w:sz w:val="24"/>
        </w:rPr>
      </w:pPr>
      <w:r>
        <w:rPr>
          <w:rFonts w:ascii="Times New Roman" w:eastAsia="Times New Roman" w:hAnsi="Times New Roman" w:cs="Times New Roman"/>
          <w:b/>
          <w:sz w:val="24"/>
        </w:rPr>
        <w:t>Stock holding days</w:t>
      </w:r>
    </w:p>
    <w:tbl>
      <w:tblPr>
        <w:tblW w:w="0" w:type="auto"/>
        <w:tblInd w:w="100" w:type="dxa"/>
        <w:tblCellMar>
          <w:left w:w="10" w:type="dxa"/>
          <w:right w:w="10" w:type="dxa"/>
        </w:tblCellMar>
        <w:tblLook w:val="0000" w:firstRow="0" w:lastRow="0" w:firstColumn="0" w:lastColumn="0" w:noHBand="0" w:noVBand="0"/>
      </w:tblPr>
      <w:tblGrid>
        <w:gridCol w:w="3015"/>
        <w:gridCol w:w="5985"/>
      </w:tblGrid>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 xml:space="preserve">Definition: </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Mainly applied for identifying the time period support for individual business inventory before processing the marketing selling engagement. It is also applied for operating progressive measurement purposes (Shehata </w:t>
            </w:r>
            <w:r>
              <w:rPr>
                <w:rFonts w:ascii="Times New Roman" w:eastAsia="Times New Roman" w:hAnsi="Times New Roman" w:cs="Times New Roman"/>
                <w:i/>
                <w:sz w:val="24"/>
              </w:rPr>
              <w:t xml:space="preserve">et al., </w:t>
            </w:r>
            <w:r>
              <w:rPr>
                <w:rFonts w:ascii="Times New Roman" w:eastAsia="Times New Roman" w:hAnsi="Times New Roman" w:cs="Times New Roman"/>
                <w:sz w:val="24"/>
              </w:rPr>
              <w:t xml:space="preserve">2020). </w:t>
            </w:r>
          </w:p>
        </w:tc>
      </w:tr>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 xml:space="preserve">Results </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In 2020 it was 78 days, while in the present period it has increased to 80 days supportively. </w:t>
            </w:r>
          </w:p>
        </w:tc>
      </w:tr>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 xml:space="preserve">Yearly performances: </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From the measurement, a supportive increasing approach is identified that indicates the present financial performances including productivity engagement of the business are expanded for managing the operating development on an effective basis. </w:t>
            </w:r>
          </w:p>
        </w:tc>
      </w:tr>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Reasons:</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A significant volume of marketing demand including productive support influences the overall inventory engagement on an effective and supportive basis. </w:t>
            </w:r>
          </w:p>
        </w:tc>
      </w:tr>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lastRenderedPageBreak/>
              <w:t xml:space="preserve">Development strategy: </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A progressive growth including initiating the support of an inventory management system is required for developing the operating growth support of business in future. </w:t>
            </w:r>
          </w:p>
        </w:tc>
      </w:tr>
    </w:tbl>
    <w:p w:rsidR="00ED0142" w:rsidRDefault="00ED0142">
      <w:pPr>
        <w:spacing w:after="0" w:line="360" w:lineRule="auto"/>
        <w:jc w:val="both"/>
        <w:rPr>
          <w:rFonts w:ascii="Times New Roman" w:eastAsia="Times New Roman" w:hAnsi="Times New Roman" w:cs="Times New Roman"/>
          <w:b/>
          <w:sz w:val="24"/>
        </w:rPr>
      </w:pPr>
    </w:p>
    <w:p w:rsidR="00ED0142" w:rsidRDefault="002C6C37">
      <w:pPr>
        <w:spacing w:after="0" w:line="360" w:lineRule="auto"/>
        <w:jc w:val="both"/>
        <w:rPr>
          <w:rFonts w:ascii="Times New Roman" w:eastAsia="Times New Roman" w:hAnsi="Times New Roman" w:cs="Times New Roman"/>
          <w:b/>
          <w:sz w:val="24"/>
        </w:rPr>
      </w:pPr>
      <w:r>
        <w:rPr>
          <w:rFonts w:ascii="Times New Roman" w:eastAsia="Times New Roman" w:hAnsi="Times New Roman" w:cs="Times New Roman"/>
          <w:b/>
          <w:sz w:val="24"/>
        </w:rPr>
        <w:t>Debtor’s collection period</w:t>
      </w:r>
    </w:p>
    <w:tbl>
      <w:tblPr>
        <w:tblW w:w="0" w:type="auto"/>
        <w:tblInd w:w="100" w:type="dxa"/>
        <w:tblCellMar>
          <w:left w:w="10" w:type="dxa"/>
          <w:right w:w="10" w:type="dxa"/>
        </w:tblCellMar>
        <w:tblLook w:val="0000" w:firstRow="0" w:lastRow="0" w:firstColumn="0" w:lastColumn="0" w:noHBand="0" w:noVBand="0"/>
      </w:tblPr>
      <w:tblGrid>
        <w:gridCol w:w="3015"/>
        <w:gridCol w:w="5985"/>
      </w:tblGrid>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 xml:space="preserve">Definition: </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Identified for recognising the present financial earring position of the business associated with systematic credit control policy support. It is mainly initiated for measuring the time engagement regarding debtor collection support in the present accounting period (Ardila</w:t>
            </w:r>
            <w:r>
              <w:rPr>
                <w:rFonts w:ascii="Times New Roman" w:eastAsia="Times New Roman" w:hAnsi="Times New Roman" w:cs="Times New Roman"/>
                <w:i/>
                <w:sz w:val="24"/>
              </w:rPr>
              <w:t xml:space="preserve"> et al., </w:t>
            </w:r>
            <w:r>
              <w:rPr>
                <w:rFonts w:ascii="Times New Roman" w:eastAsia="Times New Roman" w:hAnsi="Times New Roman" w:cs="Times New Roman"/>
                <w:sz w:val="24"/>
              </w:rPr>
              <w:t xml:space="preserve">2019). </w:t>
            </w:r>
          </w:p>
        </w:tc>
      </w:tr>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 xml:space="preserve">Results  </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In 2020 it was 73 days, while in the present period it has declined to 68 days supportively. </w:t>
            </w:r>
          </w:p>
        </w:tc>
      </w:tr>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 xml:space="preserve">Yearly performances: </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Mainly a declining position is identified that indicates the present collections support of the business is increasing with a sustainable financial credit development presence. </w:t>
            </w:r>
          </w:p>
        </w:tc>
      </w:tr>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Reasons:</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A systematic engagement regarding revenue development of the business including marketing growth as well, that influences the operating volume of business performances on an effective basis. </w:t>
            </w:r>
          </w:p>
        </w:tc>
      </w:tr>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 xml:space="preserve">Development strategy: </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A proper development regarding business benchmarking support is required to be initiated for managing the progressive approach in future. </w:t>
            </w:r>
          </w:p>
        </w:tc>
      </w:tr>
    </w:tbl>
    <w:p w:rsidR="00ED0142" w:rsidRDefault="00ED0142">
      <w:pPr>
        <w:spacing w:after="0" w:line="360" w:lineRule="auto"/>
        <w:jc w:val="both"/>
        <w:rPr>
          <w:rFonts w:ascii="Times New Roman" w:eastAsia="Times New Roman" w:hAnsi="Times New Roman" w:cs="Times New Roman"/>
          <w:b/>
          <w:sz w:val="24"/>
        </w:rPr>
      </w:pPr>
    </w:p>
    <w:p w:rsidR="00ED0142" w:rsidRDefault="002C6C37">
      <w:pPr>
        <w:spacing w:after="0" w:line="360" w:lineRule="auto"/>
        <w:jc w:val="both"/>
        <w:rPr>
          <w:rFonts w:ascii="Times New Roman" w:eastAsia="Times New Roman" w:hAnsi="Times New Roman" w:cs="Times New Roman"/>
          <w:b/>
          <w:sz w:val="24"/>
        </w:rPr>
      </w:pPr>
      <w:r>
        <w:rPr>
          <w:rFonts w:ascii="Times New Roman" w:eastAsia="Times New Roman" w:hAnsi="Times New Roman" w:cs="Times New Roman"/>
          <w:b/>
          <w:sz w:val="24"/>
        </w:rPr>
        <w:t>Current ratio</w:t>
      </w:r>
    </w:p>
    <w:tbl>
      <w:tblPr>
        <w:tblW w:w="0" w:type="auto"/>
        <w:tblInd w:w="100" w:type="dxa"/>
        <w:tblCellMar>
          <w:left w:w="10" w:type="dxa"/>
          <w:right w:w="10" w:type="dxa"/>
        </w:tblCellMar>
        <w:tblLook w:val="0000" w:firstRow="0" w:lastRow="0" w:firstColumn="0" w:lastColumn="0" w:noHBand="0" w:noVBand="0"/>
      </w:tblPr>
      <w:tblGrid>
        <w:gridCol w:w="3015"/>
        <w:gridCol w:w="5985"/>
      </w:tblGrid>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 xml:space="preserve">Definition: </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Identified mainly for evaluating the liquidity measurement including financial progressive approach mainly that is initiated for optimising support including accountability presence of business in a supportive basis. </w:t>
            </w:r>
          </w:p>
        </w:tc>
      </w:tr>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 xml:space="preserve">Results </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In 2020 it was 0.77, while in the present period it has increased to 0.92 supportively. </w:t>
            </w:r>
          </w:p>
        </w:tc>
      </w:tr>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 xml:space="preserve">Yearly performances: </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According to the present computation a supportive increasing position is identified including marketing growth support that influences the operating development in an effective basis. </w:t>
            </w:r>
          </w:p>
        </w:tc>
      </w:tr>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t>Reasons:</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A progressive growth regarding revenue processing of the business including a sustainable growth of short-term </w:t>
            </w:r>
            <w:r>
              <w:rPr>
                <w:rFonts w:ascii="Times New Roman" w:eastAsia="Times New Roman" w:hAnsi="Times New Roman" w:cs="Times New Roman"/>
                <w:sz w:val="24"/>
              </w:rPr>
              <w:lastRenderedPageBreak/>
              <w:t xml:space="preserve">investment provides a level of financial formulation support in the present period. </w:t>
            </w:r>
          </w:p>
        </w:tc>
      </w:tr>
      <w:tr w:rsidR="00ED0142">
        <w:trPr>
          <w:trHeight w:val="1"/>
        </w:trPr>
        <w:tc>
          <w:tcPr>
            <w:tcW w:w="30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jc w:val="both"/>
            </w:pPr>
            <w:r>
              <w:rPr>
                <w:rFonts w:ascii="Times New Roman" w:eastAsia="Times New Roman" w:hAnsi="Times New Roman" w:cs="Times New Roman"/>
                <w:b/>
                <w:sz w:val="24"/>
              </w:rPr>
              <w:lastRenderedPageBreak/>
              <w:t xml:space="preserve">Development strategy: </w:t>
            </w:r>
          </w:p>
        </w:tc>
        <w:tc>
          <w:tcPr>
            <w:tcW w:w="598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ED0142" w:rsidRDefault="002C6C37">
            <w:pPr>
              <w:spacing w:after="0" w:line="360" w:lineRule="auto"/>
            </w:pPr>
            <w:r>
              <w:rPr>
                <w:rFonts w:ascii="Times New Roman" w:eastAsia="Times New Roman" w:hAnsi="Times New Roman" w:cs="Times New Roman"/>
                <w:sz w:val="24"/>
              </w:rPr>
              <w:t xml:space="preserve">Applied the engagement of systematic progress regarding key performance indicators including marketing formulation is required for operating development in future. </w:t>
            </w:r>
          </w:p>
        </w:tc>
      </w:tr>
    </w:tbl>
    <w:p w:rsidR="00ED0142" w:rsidRDefault="00ED0142">
      <w:pPr>
        <w:spacing w:after="0" w:line="360" w:lineRule="auto"/>
        <w:jc w:val="both"/>
        <w:rPr>
          <w:rFonts w:ascii="Times New Roman" w:eastAsia="Times New Roman" w:hAnsi="Times New Roman" w:cs="Times New Roman"/>
          <w:b/>
          <w:sz w:val="24"/>
        </w:rPr>
      </w:pPr>
    </w:p>
    <w:p w:rsidR="00ED0142" w:rsidRDefault="002C6C37">
      <w:pPr>
        <w:spacing w:after="0" w:line="360" w:lineRule="auto"/>
        <w:jc w:val="both"/>
        <w:rPr>
          <w:rFonts w:ascii="Times New Roman" w:eastAsia="Times New Roman" w:hAnsi="Times New Roman" w:cs="Times New Roman"/>
          <w:b/>
          <w:color w:val="000000"/>
          <w:sz w:val="32"/>
        </w:rPr>
      </w:pPr>
      <w:r>
        <w:rPr>
          <w:rFonts w:ascii="Times New Roman" w:eastAsia="Times New Roman" w:hAnsi="Times New Roman" w:cs="Times New Roman"/>
          <w:b/>
          <w:color w:val="000000"/>
          <w:sz w:val="32"/>
        </w:rPr>
        <w:t>Conclusion</w:t>
      </w:r>
    </w:p>
    <w:p w:rsidR="00ED0142" w:rsidRDefault="002C6C37">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In conclusion, accounting fundamentals are generally represented as a primary process that can be supportive in order to maintain the accounting measurements in proper order. Under this, the measurement is representing the reporting structure that can be initiated in order to deliver supportive accounting recognitions to the stakeholder. It is structured for managing the operating stability including business performance development support also, which can be managed for strategic determination support. A proper balance and presence of accounting analysis also bring the stakeholders presence including some non-financial elements analysis support also that is necessary for standardised progress support of individual business operations. </w:t>
      </w:r>
    </w:p>
    <w:p w:rsidR="00ED0142" w:rsidRDefault="002C6C37">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 </w:t>
      </w:r>
    </w:p>
    <w:p w:rsidR="00ED0142" w:rsidRDefault="00ED0142">
      <w:pPr>
        <w:spacing w:after="0" w:line="360" w:lineRule="auto"/>
        <w:jc w:val="both"/>
        <w:rPr>
          <w:rFonts w:ascii="Times New Roman" w:eastAsia="Times New Roman" w:hAnsi="Times New Roman" w:cs="Times New Roman"/>
          <w:sz w:val="24"/>
        </w:rPr>
      </w:pPr>
    </w:p>
    <w:p w:rsidR="002C6C37" w:rsidRDefault="002C6C37">
      <w:pPr>
        <w:spacing w:after="0" w:line="360" w:lineRule="auto"/>
        <w:jc w:val="both"/>
        <w:rPr>
          <w:rFonts w:ascii="Times New Roman" w:eastAsia="Times New Roman" w:hAnsi="Times New Roman" w:cs="Times New Roman"/>
          <w:sz w:val="24"/>
        </w:rPr>
      </w:pPr>
    </w:p>
    <w:p w:rsidR="002C6C37" w:rsidRDefault="002C6C37">
      <w:pPr>
        <w:spacing w:after="0" w:line="360" w:lineRule="auto"/>
        <w:jc w:val="both"/>
        <w:rPr>
          <w:rFonts w:ascii="Times New Roman" w:eastAsia="Times New Roman" w:hAnsi="Times New Roman" w:cs="Times New Roman"/>
          <w:sz w:val="24"/>
        </w:rPr>
      </w:pPr>
    </w:p>
    <w:p w:rsidR="002C6C37" w:rsidRDefault="002C6C37">
      <w:pPr>
        <w:spacing w:after="0" w:line="360" w:lineRule="auto"/>
        <w:jc w:val="both"/>
        <w:rPr>
          <w:rFonts w:ascii="Times New Roman" w:eastAsia="Times New Roman" w:hAnsi="Times New Roman" w:cs="Times New Roman"/>
          <w:sz w:val="24"/>
        </w:rPr>
      </w:pPr>
    </w:p>
    <w:p w:rsidR="00A947B6" w:rsidRDefault="00A947B6">
      <w:pPr>
        <w:spacing w:after="0" w:line="360" w:lineRule="auto"/>
        <w:jc w:val="both"/>
        <w:rPr>
          <w:rFonts w:ascii="Times New Roman" w:eastAsia="Times New Roman" w:hAnsi="Times New Roman" w:cs="Times New Roman"/>
          <w:sz w:val="24"/>
        </w:rPr>
      </w:pPr>
    </w:p>
    <w:p w:rsidR="00A947B6" w:rsidRDefault="00A947B6">
      <w:pPr>
        <w:spacing w:after="0" w:line="360" w:lineRule="auto"/>
        <w:jc w:val="both"/>
        <w:rPr>
          <w:rFonts w:ascii="Times New Roman" w:eastAsia="Times New Roman" w:hAnsi="Times New Roman" w:cs="Times New Roman"/>
          <w:sz w:val="24"/>
        </w:rPr>
      </w:pPr>
    </w:p>
    <w:p w:rsidR="00A947B6" w:rsidRDefault="00A947B6">
      <w:pPr>
        <w:spacing w:after="0" w:line="360" w:lineRule="auto"/>
        <w:jc w:val="both"/>
        <w:rPr>
          <w:rFonts w:ascii="Times New Roman" w:eastAsia="Times New Roman" w:hAnsi="Times New Roman" w:cs="Times New Roman"/>
          <w:sz w:val="24"/>
        </w:rPr>
      </w:pPr>
    </w:p>
    <w:p w:rsidR="00A947B6" w:rsidRDefault="00A947B6">
      <w:pPr>
        <w:spacing w:after="0" w:line="360" w:lineRule="auto"/>
        <w:jc w:val="both"/>
        <w:rPr>
          <w:rFonts w:ascii="Times New Roman" w:eastAsia="Times New Roman" w:hAnsi="Times New Roman" w:cs="Times New Roman"/>
          <w:sz w:val="24"/>
        </w:rPr>
      </w:pPr>
    </w:p>
    <w:p w:rsidR="00A947B6" w:rsidRDefault="00A947B6">
      <w:pPr>
        <w:spacing w:after="0" w:line="360" w:lineRule="auto"/>
        <w:jc w:val="both"/>
        <w:rPr>
          <w:rFonts w:ascii="Times New Roman" w:eastAsia="Times New Roman" w:hAnsi="Times New Roman" w:cs="Times New Roman"/>
          <w:sz w:val="24"/>
        </w:rPr>
      </w:pPr>
    </w:p>
    <w:p w:rsidR="00A947B6" w:rsidRDefault="00A947B6">
      <w:pPr>
        <w:spacing w:after="0" w:line="360" w:lineRule="auto"/>
        <w:jc w:val="both"/>
        <w:rPr>
          <w:rFonts w:ascii="Times New Roman" w:eastAsia="Times New Roman" w:hAnsi="Times New Roman" w:cs="Times New Roman"/>
          <w:sz w:val="24"/>
        </w:rPr>
      </w:pPr>
    </w:p>
    <w:p w:rsidR="00A947B6" w:rsidRDefault="00A947B6">
      <w:pPr>
        <w:spacing w:after="0" w:line="360" w:lineRule="auto"/>
        <w:jc w:val="both"/>
        <w:rPr>
          <w:rFonts w:ascii="Times New Roman" w:eastAsia="Times New Roman" w:hAnsi="Times New Roman" w:cs="Times New Roman"/>
          <w:sz w:val="24"/>
        </w:rPr>
      </w:pPr>
    </w:p>
    <w:p w:rsidR="00A947B6" w:rsidRDefault="00A947B6">
      <w:pPr>
        <w:spacing w:after="0" w:line="360" w:lineRule="auto"/>
        <w:jc w:val="both"/>
        <w:rPr>
          <w:rFonts w:ascii="Times New Roman" w:eastAsia="Times New Roman" w:hAnsi="Times New Roman" w:cs="Times New Roman"/>
          <w:sz w:val="24"/>
        </w:rPr>
      </w:pPr>
    </w:p>
    <w:p w:rsidR="00A947B6" w:rsidRDefault="00A947B6">
      <w:pPr>
        <w:spacing w:after="0" w:line="360" w:lineRule="auto"/>
        <w:jc w:val="both"/>
        <w:rPr>
          <w:rFonts w:ascii="Times New Roman" w:eastAsia="Times New Roman" w:hAnsi="Times New Roman" w:cs="Times New Roman"/>
          <w:sz w:val="24"/>
        </w:rPr>
      </w:pPr>
    </w:p>
    <w:p w:rsidR="00A947B6" w:rsidRDefault="00A947B6">
      <w:pPr>
        <w:spacing w:after="0" w:line="360" w:lineRule="auto"/>
        <w:jc w:val="both"/>
        <w:rPr>
          <w:rFonts w:ascii="Times New Roman" w:eastAsia="Times New Roman" w:hAnsi="Times New Roman" w:cs="Times New Roman"/>
          <w:sz w:val="24"/>
        </w:rPr>
      </w:pPr>
    </w:p>
    <w:p w:rsidR="00A947B6" w:rsidRDefault="00A947B6">
      <w:pPr>
        <w:spacing w:after="0" w:line="360" w:lineRule="auto"/>
        <w:jc w:val="both"/>
        <w:rPr>
          <w:rFonts w:ascii="Times New Roman" w:eastAsia="Times New Roman" w:hAnsi="Times New Roman" w:cs="Times New Roman"/>
          <w:sz w:val="24"/>
        </w:rPr>
      </w:pPr>
    </w:p>
    <w:p w:rsidR="00A947B6" w:rsidRDefault="00A947B6">
      <w:pPr>
        <w:spacing w:after="0" w:line="360" w:lineRule="auto"/>
        <w:jc w:val="both"/>
        <w:rPr>
          <w:rFonts w:ascii="Times New Roman" w:eastAsia="Times New Roman" w:hAnsi="Times New Roman" w:cs="Times New Roman"/>
          <w:sz w:val="24"/>
        </w:rPr>
      </w:pPr>
    </w:p>
    <w:p w:rsidR="00A947B6" w:rsidRDefault="00A947B6">
      <w:pPr>
        <w:spacing w:after="0" w:line="360" w:lineRule="auto"/>
        <w:jc w:val="both"/>
        <w:rPr>
          <w:rFonts w:ascii="Times New Roman" w:eastAsia="Times New Roman" w:hAnsi="Times New Roman" w:cs="Times New Roman"/>
          <w:sz w:val="24"/>
        </w:rPr>
      </w:pPr>
    </w:p>
    <w:p w:rsidR="00A947B6" w:rsidRDefault="00A947B6">
      <w:pPr>
        <w:spacing w:after="0" w:line="360" w:lineRule="auto"/>
        <w:jc w:val="both"/>
        <w:rPr>
          <w:rFonts w:ascii="Times New Roman" w:eastAsia="Times New Roman" w:hAnsi="Times New Roman" w:cs="Times New Roman"/>
          <w:sz w:val="24"/>
        </w:rPr>
      </w:pPr>
    </w:p>
    <w:p w:rsidR="00A947B6" w:rsidRDefault="00A947B6">
      <w:pPr>
        <w:spacing w:after="0" w:line="360" w:lineRule="auto"/>
        <w:jc w:val="both"/>
        <w:rPr>
          <w:rFonts w:ascii="Times New Roman" w:eastAsia="Times New Roman" w:hAnsi="Times New Roman" w:cs="Times New Roman"/>
          <w:sz w:val="24"/>
        </w:rPr>
      </w:pPr>
    </w:p>
    <w:p w:rsidR="00A947B6" w:rsidRDefault="00A947B6">
      <w:pPr>
        <w:spacing w:after="0" w:line="360" w:lineRule="auto"/>
        <w:jc w:val="both"/>
        <w:rPr>
          <w:rFonts w:ascii="Times New Roman" w:eastAsia="Times New Roman" w:hAnsi="Times New Roman" w:cs="Times New Roman"/>
          <w:sz w:val="24"/>
        </w:rPr>
      </w:pPr>
    </w:p>
    <w:p w:rsidR="00ED0142" w:rsidRDefault="002C6C37">
      <w:pPr>
        <w:spacing w:after="0" w:line="360" w:lineRule="auto"/>
        <w:jc w:val="both"/>
        <w:rPr>
          <w:rFonts w:ascii="Times New Roman" w:eastAsia="Times New Roman" w:hAnsi="Times New Roman" w:cs="Times New Roman"/>
          <w:b/>
          <w:color w:val="000000"/>
          <w:sz w:val="32"/>
        </w:rPr>
      </w:pPr>
      <w:r>
        <w:rPr>
          <w:rFonts w:ascii="Times New Roman" w:eastAsia="Times New Roman" w:hAnsi="Times New Roman" w:cs="Times New Roman"/>
          <w:b/>
          <w:color w:val="000000"/>
          <w:sz w:val="32"/>
        </w:rPr>
        <w:lastRenderedPageBreak/>
        <w:t>References</w:t>
      </w:r>
    </w:p>
    <w:p w:rsidR="00ED0142" w:rsidRDefault="002C6C37">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Ardila, I., Zurriah, R. and Suryani, Y., (2019). Preparation of financial statements based on financial accounting standards for micro, small and medium entities. </w:t>
      </w:r>
      <w:r>
        <w:rPr>
          <w:rFonts w:ascii="Times New Roman" w:eastAsia="Times New Roman" w:hAnsi="Times New Roman" w:cs="Times New Roman"/>
          <w:i/>
          <w:sz w:val="24"/>
        </w:rPr>
        <w:t>International Journal of Accounting &amp; Finance in Asia Pasific (IJAFAP)</w:t>
      </w:r>
      <w:r>
        <w:rPr>
          <w:rFonts w:ascii="Times New Roman" w:eastAsia="Times New Roman" w:hAnsi="Times New Roman" w:cs="Times New Roman"/>
          <w:sz w:val="24"/>
        </w:rPr>
        <w:t>, </w:t>
      </w:r>
      <w:r>
        <w:rPr>
          <w:rFonts w:ascii="Times New Roman" w:eastAsia="Times New Roman" w:hAnsi="Times New Roman" w:cs="Times New Roman"/>
          <w:i/>
          <w:sz w:val="24"/>
        </w:rPr>
        <w:t>2</w:t>
      </w:r>
      <w:r>
        <w:rPr>
          <w:rFonts w:ascii="Times New Roman" w:eastAsia="Times New Roman" w:hAnsi="Times New Roman" w:cs="Times New Roman"/>
          <w:sz w:val="24"/>
        </w:rPr>
        <w:t>(3), pp.1-6.</w:t>
      </w:r>
    </w:p>
    <w:p w:rsidR="00ED0142" w:rsidRDefault="002C6C37">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Herrador-Alcaide, T.C., Hernández-Solís, M. and SanguinoGalván, R., (2019). Feelings of satisfaction in mature students of financial accounting in a virtual learning environment: an experience of measurement in higher education. </w:t>
      </w:r>
      <w:r>
        <w:rPr>
          <w:rFonts w:ascii="Times New Roman" w:eastAsia="Times New Roman" w:hAnsi="Times New Roman" w:cs="Times New Roman"/>
          <w:i/>
          <w:sz w:val="24"/>
        </w:rPr>
        <w:t>International Journal of Educational Technology in Higher Education</w:t>
      </w:r>
      <w:r>
        <w:rPr>
          <w:rFonts w:ascii="Times New Roman" w:eastAsia="Times New Roman" w:hAnsi="Times New Roman" w:cs="Times New Roman"/>
          <w:sz w:val="24"/>
        </w:rPr>
        <w:t>, </w:t>
      </w:r>
      <w:r>
        <w:rPr>
          <w:rFonts w:ascii="Times New Roman" w:eastAsia="Times New Roman" w:hAnsi="Times New Roman" w:cs="Times New Roman"/>
          <w:i/>
          <w:sz w:val="24"/>
        </w:rPr>
        <w:t>16</w:t>
      </w:r>
      <w:r>
        <w:rPr>
          <w:rFonts w:ascii="Times New Roman" w:eastAsia="Times New Roman" w:hAnsi="Times New Roman" w:cs="Times New Roman"/>
          <w:sz w:val="24"/>
        </w:rPr>
        <w:t>(1), pp.1-19.</w:t>
      </w:r>
    </w:p>
    <w:p w:rsidR="00ED0142" w:rsidRDefault="002C6C37">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John R. Dyson. (2017). Accounting for non-accounting students, 8th edition, Financial Times Prentice Hall.</w:t>
      </w:r>
    </w:p>
    <w:p w:rsidR="00ED0142" w:rsidRDefault="002C6C37">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Kimmel, P.D., Weygandt, J.J. and Kieso, D.E., (2020). </w:t>
      </w:r>
      <w:r>
        <w:rPr>
          <w:rFonts w:ascii="Times New Roman" w:eastAsia="Times New Roman" w:hAnsi="Times New Roman" w:cs="Times New Roman"/>
          <w:i/>
          <w:sz w:val="24"/>
        </w:rPr>
        <w:t>Financial accounting: tools for business decision-making</w:t>
      </w:r>
      <w:r>
        <w:rPr>
          <w:rFonts w:ascii="Times New Roman" w:eastAsia="Times New Roman" w:hAnsi="Times New Roman" w:cs="Times New Roman"/>
          <w:sz w:val="24"/>
        </w:rPr>
        <w:t>. John Wiley &amp; Sons.</w:t>
      </w:r>
    </w:p>
    <w:p w:rsidR="00ED0142" w:rsidRDefault="002C6C37">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McLaney and Atrill, (2016) Financial accounting for decision makers, 10th edition, FT Prentice Hall.</w:t>
      </w:r>
    </w:p>
    <w:p w:rsidR="00ED0142" w:rsidRDefault="002C6C37">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Schroeder, R.G., Clark, M.W. and Cathey, J.M., (2019). </w:t>
      </w:r>
      <w:r>
        <w:rPr>
          <w:rFonts w:ascii="Times New Roman" w:eastAsia="Times New Roman" w:hAnsi="Times New Roman" w:cs="Times New Roman"/>
          <w:i/>
          <w:sz w:val="24"/>
        </w:rPr>
        <w:t>Financial accounting theory and analysis: text and cases</w:t>
      </w:r>
      <w:r>
        <w:rPr>
          <w:rFonts w:ascii="Times New Roman" w:eastAsia="Times New Roman" w:hAnsi="Times New Roman" w:cs="Times New Roman"/>
          <w:sz w:val="24"/>
        </w:rPr>
        <w:t>. John Wiley &amp; Sons.</w:t>
      </w:r>
    </w:p>
    <w:p w:rsidR="00ED0142" w:rsidRDefault="002C6C37">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Shehata, N., Mitry, C., Shawki, M. and El-Helaly, M., (2020).Incorporating Nearpod in undergraduate financial accounting classes in Egypt. </w:t>
      </w:r>
      <w:r>
        <w:rPr>
          <w:rFonts w:ascii="Times New Roman" w:eastAsia="Times New Roman" w:hAnsi="Times New Roman" w:cs="Times New Roman"/>
          <w:i/>
          <w:sz w:val="24"/>
        </w:rPr>
        <w:t>Accounting Education</w:t>
      </w:r>
      <w:r>
        <w:rPr>
          <w:rFonts w:ascii="Times New Roman" w:eastAsia="Times New Roman" w:hAnsi="Times New Roman" w:cs="Times New Roman"/>
          <w:sz w:val="24"/>
        </w:rPr>
        <w:t>, </w:t>
      </w:r>
      <w:r>
        <w:rPr>
          <w:rFonts w:ascii="Times New Roman" w:eastAsia="Times New Roman" w:hAnsi="Times New Roman" w:cs="Times New Roman"/>
          <w:i/>
          <w:sz w:val="24"/>
        </w:rPr>
        <w:t>29</w:t>
      </w:r>
      <w:r>
        <w:rPr>
          <w:rFonts w:ascii="Times New Roman" w:eastAsia="Times New Roman" w:hAnsi="Times New Roman" w:cs="Times New Roman"/>
          <w:sz w:val="24"/>
        </w:rPr>
        <w:t>(2), pp.137-152.</w:t>
      </w:r>
    </w:p>
    <w:p w:rsidR="00ED0142" w:rsidRDefault="002C6C37">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Tohirovich, Q.N., (2021). International financial accounting standards in Uzbekistan. </w:t>
      </w:r>
      <w:r>
        <w:rPr>
          <w:rFonts w:ascii="Times New Roman" w:eastAsia="Times New Roman" w:hAnsi="Times New Roman" w:cs="Times New Roman"/>
          <w:i/>
          <w:sz w:val="24"/>
        </w:rPr>
        <w:t>ACADEMICIA: An International Multidisciplinary Research Journal</w:t>
      </w:r>
      <w:r>
        <w:rPr>
          <w:rFonts w:ascii="Times New Roman" w:eastAsia="Times New Roman" w:hAnsi="Times New Roman" w:cs="Times New Roman"/>
          <w:sz w:val="24"/>
        </w:rPr>
        <w:t>, </w:t>
      </w:r>
      <w:r>
        <w:rPr>
          <w:rFonts w:ascii="Times New Roman" w:eastAsia="Times New Roman" w:hAnsi="Times New Roman" w:cs="Times New Roman"/>
          <w:i/>
          <w:sz w:val="24"/>
        </w:rPr>
        <w:t>11</w:t>
      </w:r>
      <w:r>
        <w:rPr>
          <w:rFonts w:ascii="Times New Roman" w:eastAsia="Times New Roman" w:hAnsi="Times New Roman" w:cs="Times New Roman"/>
          <w:sz w:val="24"/>
        </w:rPr>
        <w:t>(4), pp.328-333.</w:t>
      </w:r>
    </w:p>
    <w:p w:rsidR="00ED0142" w:rsidRDefault="002C6C37">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Weygandt, J.J., Kimmel, P.D. and Kieso, D.E., (2018). </w:t>
      </w:r>
      <w:r>
        <w:rPr>
          <w:rFonts w:ascii="Times New Roman" w:eastAsia="Times New Roman" w:hAnsi="Times New Roman" w:cs="Times New Roman"/>
          <w:i/>
          <w:sz w:val="24"/>
        </w:rPr>
        <w:t>Financial Accounting with International Financial Reporting Standards</w:t>
      </w:r>
      <w:r>
        <w:rPr>
          <w:rFonts w:ascii="Times New Roman" w:eastAsia="Times New Roman" w:hAnsi="Times New Roman" w:cs="Times New Roman"/>
          <w:sz w:val="24"/>
        </w:rPr>
        <w:t>.John Wiley &amp; Sons.</w:t>
      </w:r>
    </w:p>
    <w:p w:rsidR="00ED0142" w:rsidRDefault="002C6C37">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Weygandt, J.J., Kimmel, P.D. and Kieso, D.E., (2019). Financial accounting.John Wiley &amp; Sons.</w:t>
      </w:r>
    </w:p>
    <w:p w:rsidR="00ED0142" w:rsidRDefault="002C6C37">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Wood, F., (2015). Frank Wood's Business Accounting, 13</w:t>
      </w:r>
      <w:r>
        <w:rPr>
          <w:rFonts w:ascii="Times New Roman" w:eastAsia="Times New Roman" w:hAnsi="Times New Roman" w:cs="Times New Roman"/>
          <w:sz w:val="24"/>
          <w:vertAlign w:val="superscript"/>
        </w:rPr>
        <w:t>th</w:t>
      </w:r>
      <w:r>
        <w:rPr>
          <w:rFonts w:ascii="Times New Roman" w:eastAsia="Times New Roman" w:hAnsi="Times New Roman" w:cs="Times New Roman"/>
          <w:sz w:val="24"/>
        </w:rPr>
        <w:t xml:space="preserve"> Edition. Pearson Education Limited.</w:t>
      </w:r>
    </w:p>
    <w:p w:rsidR="00ED0142" w:rsidRDefault="00ED0142">
      <w:pPr>
        <w:spacing w:after="0" w:line="360" w:lineRule="auto"/>
        <w:jc w:val="both"/>
        <w:rPr>
          <w:rFonts w:ascii="Times New Roman" w:eastAsia="Times New Roman" w:hAnsi="Times New Roman" w:cs="Times New Roman"/>
          <w:sz w:val="24"/>
        </w:rPr>
      </w:pPr>
    </w:p>
    <w:p w:rsidR="00ED0142" w:rsidRDefault="00ED0142">
      <w:pPr>
        <w:spacing w:after="0" w:line="360" w:lineRule="auto"/>
        <w:jc w:val="both"/>
        <w:rPr>
          <w:rFonts w:ascii="Times New Roman" w:eastAsia="Times New Roman" w:hAnsi="Times New Roman" w:cs="Times New Roman"/>
          <w:b/>
          <w:sz w:val="24"/>
        </w:rPr>
      </w:pPr>
    </w:p>
    <w:p w:rsidR="00ED0142" w:rsidRDefault="00ED0142">
      <w:pPr>
        <w:spacing w:after="0" w:line="360" w:lineRule="auto"/>
        <w:jc w:val="both"/>
        <w:rPr>
          <w:rFonts w:ascii="Times New Roman" w:eastAsia="Times New Roman" w:hAnsi="Times New Roman" w:cs="Times New Roman"/>
          <w:b/>
          <w:sz w:val="24"/>
        </w:rPr>
      </w:pPr>
    </w:p>
    <w:sectPr w:rsidR="00ED0142" w:rsidSect="0010216A">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hyphenationZone w:val="425"/>
  <w:characterSpacingControl w:val="doNotCompress"/>
  <w:compat>
    <w:useFELayout/>
    <w:compatSetting w:name="compatibilityMode" w:uri="http://schemas.microsoft.com/office/word" w:val="12"/>
  </w:compat>
  <w:rsids>
    <w:rsidRoot w:val="00ED0142"/>
    <w:rsid w:val="0010216A"/>
    <w:rsid w:val="00144015"/>
    <w:rsid w:val="002C6C37"/>
    <w:rsid w:val="00322BED"/>
    <w:rsid w:val="00A947B6"/>
    <w:rsid w:val="00ED0142"/>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7F35C"/>
  <w15:docId w15:val="{4193A649-5F1B-49BE-888F-D0807AA36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bg-BG" w:eastAsia="bg-BG"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oleObject" Target="embeddings/oleObject2.bin"/><Relationship Id="rId13" Type="http://schemas.openxmlformats.org/officeDocument/2006/relationships/image" Target="media/image6.png"/><Relationship Id="rId18" Type="http://schemas.openxmlformats.org/officeDocument/2006/relationships/oleObject" Target="embeddings/oleObject7.bin"/><Relationship Id="rId26" Type="http://schemas.openxmlformats.org/officeDocument/2006/relationships/oleObject" Target="embeddings/oleObject11.bin"/><Relationship Id="rId3" Type="http://schemas.openxmlformats.org/officeDocument/2006/relationships/webSettings" Target="webSettings.xml"/><Relationship Id="rId21" Type="http://schemas.openxmlformats.org/officeDocument/2006/relationships/image" Target="media/image10.png"/><Relationship Id="rId34" Type="http://schemas.openxmlformats.org/officeDocument/2006/relationships/oleObject" Target="embeddings/oleObject15.bin"/><Relationship Id="rId7" Type="http://schemas.openxmlformats.org/officeDocument/2006/relationships/image" Target="media/image3.png"/><Relationship Id="rId12" Type="http://schemas.openxmlformats.org/officeDocument/2006/relationships/oleObject" Target="embeddings/oleObject4.bin"/><Relationship Id="rId17" Type="http://schemas.openxmlformats.org/officeDocument/2006/relationships/image" Target="media/image8.png"/><Relationship Id="rId25" Type="http://schemas.openxmlformats.org/officeDocument/2006/relationships/image" Target="media/image12.png"/><Relationship Id="rId33" Type="http://schemas.openxmlformats.org/officeDocument/2006/relationships/image" Target="media/image16.png"/><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oleObject" Target="embeddings/oleObject6.bin"/><Relationship Id="rId20" Type="http://schemas.openxmlformats.org/officeDocument/2006/relationships/oleObject" Target="embeddings/oleObject8.bin"/><Relationship Id="rId29" Type="http://schemas.openxmlformats.org/officeDocument/2006/relationships/image" Target="media/image14.png"/><Relationship Id="rId1" Type="http://schemas.openxmlformats.org/officeDocument/2006/relationships/styles" Target="styles.xml"/><Relationship Id="rId6" Type="http://schemas.openxmlformats.org/officeDocument/2006/relationships/oleObject" Target="embeddings/oleObject1.bin"/><Relationship Id="rId11" Type="http://schemas.openxmlformats.org/officeDocument/2006/relationships/image" Target="media/image5.png"/><Relationship Id="rId24" Type="http://schemas.openxmlformats.org/officeDocument/2006/relationships/oleObject" Target="embeddings/oleObject10.bin"/><Relationship Id="rId32" Type="http://schemas.openxmlformats.org/officeDocument/2006/relationships/oleObject" Target="embeddings/oleObject14.bin"/><Relationship Id="rId37" Type="http://schemas.openxmlformats.org/officeDocument/2006/relationships/fontTable" Target="fontTable.xml"/><Relationship Id="rId5" Type="http://schemas.openxmlformats.org/officeDocument/2006/relationships/image" Target="media/image2.png"/><Relationship Id="rId15" Type="http://schemas.openxmlformats.org/officeDocument/2006/relationships/image" Target="media/image7.png"/><Relationship Id="rId23" Type="http://schemas.openxmlformats.org/officeDocument/2006/relationships/image" Target="media/image11.png"/><Relationship Id="rId28" Type="http://schemas.openxmlformats.org/officeDocument/2006/relationships/oleObject" Target="embeddings/oleObject12.bin"/><Relationship Id="rId36" Type="http://schemas.openxmlformats.org/officeDocument/2006/relationships/oleObject" Target="embeddings/oleObject16.bin"/><Relationship Id="rId10" Type="http://schemas.openxmlformats.org/officeDocument/2006/relationships/oleObject" Target="embeddings/oleObject3.bin"/><Relationship Id="rId19" Type="http://schemas.openxmlformats.org/officeDocument/2006/relationships/image" Target="media/image9.png"/><Relationship Id="rId31" Type="http://schemas.openxmlformats.org/officeDocument/2006/relationships/image" Target="media/image15.png"/><Relationship Id="rId4" Type="http://schemas.openxmlformats.org/officeDocument/2006/relationships/image" Target="media/image1.png"/><Relationship Id="rId9" Type="http://schemas.openxmlformats.org/officeDocument/2006/relationships/image" Target="media/image4.png"/><Relationship Id="rId14" Type="http://schemas.openxmlformats.org/officeDocument/2006/relationships/oleObject" Target="embeddings/oleObject5.bin"/><Relationship Id="rId22" Type="http://schemas.openxmlformats.org/officeDocument/2006/relationships/oleObject" Target="embeddings/oleObject9.bin"/><Relationship Id="rId27" Type="http://schemas.openxmlformats.org/officeDocument/2006/relationships/image" Target="media/image13.png"/><Relationship Id="rId30" Type="http://schemas.openxmlformats.org/officeDocument/2006/relationships/oleObject" Target="embeddings/oleObject13.bin"/><Relationship Id="rId35"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2555</Words>
  <Characters>14570</Characters>
  <Application>Microsoft Office Word</Application>
  <DocSecurity>0</DocSecurity>
  <Lines>121</Lines>
  <Paragraphs>34</Paragraphs>
  <ScaleCrop>false</ScaleCrop>
  <Company/>
  <LinksUpToDate>false</LinksUpToDate>
  <CharactersWithSpaces>17091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6</cp:revision>
  <dcterms:created xsi:type="dcterms:W3CDTF">2022-08-29T14:56:00Z</dcterms:created>
  <dcterms:modified xsi:type="dcterms:W3CDTF">2022-08-29T15:17:00Z</dcterms:modified>
</cp:coreProperties>
</file>