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A174F8" w14:textId="5C790F9B" w:rsidR="00AD626D" w:rsidRPr="00CC25AC" w:rsidRDefault="0040248D" w:rsidP="0040248D">
      <w:pPr>
        <w:spacing w:line="360" w:lineRule="auto"/>
        <w:rPr>
          <w:rFonts w:ascii="Arial" w:hAnsi="Arial" w:cs="Arial"/>
          <w:b/>
          <w:bCs/>
          <w:color w:val="4C94D8" w:themeColor="text2" w:themeTint="80"/>
          <w:sz w:val="24"/>
          <w:szCs w:val="24"/>
        </w:rPr>
      </w:pPr>
      <w:r w:rsidRPr="00CC25AC">
        <w:rPr>
          <w:rFonts w:ascii="Arial" w:hAnsi="Arial" w:cs="Arial"/>
          <w:b/>
          <w:bCs/>
          <w:color w:val="4C94D8" w:themeColor="text2" w:themeTint="80"/>
          <w:sz w:val="24"/>
          <w:szCs w:val="24"/>
        </w:rPr>
        <w:t>Personal Critical Reflection</w:t>
      </w:r>
    </w:p>
    <w:p w14:paraId="42BDC210" w14:textId="35CA2988" w:rsidR="00AD626D" w:rsidRPr="00CC25AC" w:rsidRDefault="00AD626D" w:rsidP="00AD626D">
      <w:pPr>
        <w:spacing w:line="360" w:lineRule="auto"/>
        <w:rPr>
          <w:rFonts w:ascii="Arial" w:hAnsi="Arial" w:cs="Arial"/>
          <w:color w:val="4C94D8" w:themeColor="text2" w:themeTint="80"/>
          <w:sz w:val="24"/>
          <w:szCs w:val="24"/>
        </w:rPr>
      </w:pP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Completing this assignment has improved my understanding of safeguarding and the role </w:t>
      </w:r>
      <w:r w:rsidR="00AD769F" w:rsidRPr="00CC25AC">
        <w:rPr>
          <w:rFonts w:ascii="Arial" w:hAnsi="Arial" w:cs="Arial"/>
          <w:color w:val="4C94D8" w:themeColor="text2" w:themeTint="80"/>
          <w:sz w:val="24"/>
          <w:szCs w:val="24"/>
        </w:rPr>
        <w:t>multi-agencies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play in protecting children. Before researching this, I thought safeguarding mainly involved responding to incidents and making sure children were safe at the time. </w:t>
      </w:r>
      <w:r w:rsidR="003847D1" w:rsidRPr="00CC25AC">
        <w:rPr>
          <w:rFonts w:ascii="Arial" w:hAnsi="Arial" w:cs="Arial"/>
          <w:color w:val="4C94D8" w:themeColor="text2" w:themeTint="80"/>
          <w:sz w:val="24"/>
          <w:szCs w:val="24"/>
        </w:rPr>
        <w:t>However, t</w:t>
      </w:r>
      <w:r w:rsidR="00783A28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hrough learning about safeguarding legislation, statutory guidance and relevant research, </w:t>
      </w:r>
      <w:r w:rsidR="0073372B" w:rsidRPr="00CC25AC">
        <w:rPr>
          <w:rFonts w:ascii="Arial" w:hAnsi="Arial" w:cs="Arial"/>
          <w:color w:val="4C94D8" w:themeColor="text2" w:themeTint="80"/>
          <w:sz w:val="24"/>
          <w:szCs w:val="24"/>
        </w:rPr>
        <w:t>I now appreciate</w:t>
      </w:r>
      <w:r w:rsidR="0073372B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</w:t>
      </w:r>
      <w:r w:rsidR="00783A28" w:rsidRPr="00CC25AC">
        <w:rPr>
          <w:rFonts w:ascii="Arial" w:hAnsi="Arial" w:cs="Arial"/>
          <w:color w:val="4C94D8" w:themeColor="text2" w:themeTint="80"/>
          <w:sz w:val="24"/>
          <w:szCs w:val="24"/>
        </w:rPr>
        <w:t>that safeguarding extends far beyond responding to a single incident.</w:t>
      </w:r>
      <w:r w:rsidR="00783A28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</w:t>
      </w:r>
      <w:r w:rsidR="00362533" w:rsidRPr="00CC25AC">
        <w:rPr>
          <w:rFonts w:ascii="Arial" w:hAnsi="Arial" w:cs="Arial"/>
          <w:color w:val="4C94D8" w:themeColor="text2" w:themeTint="80"/>
          <w:sz w:val="24"/>
          <w:szCs w:val="24"/>
        </w:rPr>
        <w:t>Furthermore</w:t>
      </w:r>
      <w:r w:rsidR="00B93CF0" w:rsidRPr="00CC25AC">
        <w:rPr>
          <w:rFonts w:ascii="Arial" w:hAnsi="Arial" w:cs="Arial"/>
          <w:color w:val="4C94D8" w:themeColor="text2" w:themeTint="80"/>
          <w:sz w:val="24"/>
          <w:szCs w:val="24"/>
        </w:rPr>
        <w:t>, it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involves recognising concerns early, protecting children from immediate and future harm, and working collaboratively with other professionals to achieve the best outcomes for children (</w:t>
      </w:r>
      <w:r w:rsidRPr="00CC25AC">
        <w:rPr>
          <w:rFonts w:ascii="Arial" w:hAnsi="Arial" w:cs="Arial"/>
          <w:i/>
          <w:iCs/>
          <w:color w:val="4C94D8" w:themeColor="text2" w:themeTint="80"/>
          <w:sz w:val="24"/>
          <w:szCs w:val="24"/>
        </w:rPr>
        <w:t>Children Act 1989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>; Department for Education, 2026).</w:t>
      </w:r>
    </w:p>
    <w:p w14:paraId="6FC0C28D" w14:textId="00C134C9" w:rsidR="005C4ECC" w:rsidRPr="00CC25AC" w:rsidRDefault="00AD626D" w:rsidP="00AD626D">
      <w:pPr>
        <w:spacing w:line="360" w:lineRule="auto"/>
        <w:rPr>
          <w:rFonts w:ascii="Arial" w:hAnsi="Arial" w:cs="Arial"/>
          <w:color w:val="4C94D8" w:themeColor="text2" w:themeTint="80"/>
          <w:sz w:val="24"/>
          <w:szCs w:val="24"/>
        </w:rPr>
      </w:pP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>One of the biggest things I have learn</w:t>
      </w:r>
      <w:r w:rsidR="00B93CF0" w:rsidRPr="00CC25AC">
        <w:rPr>
          <w:rFonts w:ascii="Arial" w:hAnsi="Arial" w:cs="Arial"/>
          <w:color w:val="4C94D8" w:themeColor="text2" w:themeTint="80"/>
          <w:sz w:val="24"/>
          <w:szCs w:val="24"/>
        </w:rPr>
        <w:t>t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is the importance of </w:t>
      </w:r>
      <w:r w:rsidR="00AD769F" w:rsidRPr="00CC25AC">
        <w:rPr>
          <w:rFonts w:ascii="Arial" w:hAnsi="Arial" w:cs="Arial"/>
          <w:color w:val="4C94D8" w:themeColor="text2" w:themeTint="80"/>
          <w:sz w:val="24"/>
          <w:szCs w:val="24"/>
        </w:rPr>
        <w:t>multi-agency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working. </w:t>
      </w:r>
      <w:r w:rsidR="006D2B10" w:rsidRPr="00CC25AC">
        <w:rPr>
          <w:rFonts w:ascii="Arial" w:hAnsi="Arial" w:cs="Arial"/>
          <w:color w:val="4C94D8" w:themeColor="text2" w:themeTint="80"/>
          <w:sz w:val="24"/>
          <w:szCs w:val="24"/>
        </w:rPr>
        <w:t>Before completing this assignment, I underestimated the importance of communication and information sharing in safeguarding children</w:t>
      </w:r>
      <w:r w:rsidR="00AD769F" w:rsidRPr="00CC25AC">
        <w:rPr>
          <w:rFonts w:ascii="Arial" w:hAnsi="Arial" w:cs="Arial"/>
          <w:color w:val="4C94D8" w:themeColor="text2" w:themeTint="80"/>
          <w:sz w:val="24"/>
          <w:szCs w:val="24"/>
        </w:rPr>
        <w:t>.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</w:t>
      </w:r>
      <w:r w:rsidR="00E73F7F" w:rsidRPr="00CC25AC">
        <w:rPr>
          <w:rFonts w:ascii="Arial" w:hAnsi="Arial" w:cs="Arial"/>
          <w:color w:val="4C94D8" w:themeColor="text2" w:themeTint="80"/>
          <w:sz w:val="24"/>
          <w:szCs w:val="24"/>
        </w:rPr>
        <w:t>The NSPCC (2024) highlights that effective safeguarding depends on professionals working together, sharing information and making joint decisions</w:t>
      </w:r>
      <w:r w:rsidR="00E73F7F" w:rsidRPr="00CC25AC">
        <w:rPr>
          <w:rFonts w:ascii="Arial" w:hAnsi="Arial" w:cs="Arial"/>
          <w:color w:val="4C94D8" w:themeColor="text2" w:themeTint="80"/>
          <w:sz w:val="24"/>
          <w:szCs w:val="24"/>
        </w:rPr>
        <w:t>.</w:t>
      </w:r>
      <w:r w:rsidR="00965930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This has helped me understand that effective safeguarding depends on collaboration and shared responsibility rather than the actions of </w:t>
      </w:r>
      <w:r w:rsidR="0029287C" w:rsidRPr="00CC25AC">
        <w:rPr>
          <w:rFonts w:ascii="Arial" w:hAnsi="Arial" w:cs="Arial"/>
          <w:color w:val="4C94D8" w:themeColor="text2" w:themeTint="80"/>
          <w:sz w:val="24"/>
          <w:szCs w:val="24"/>
        </w:rPr>
        <w:t>one individual.</w:t>
      </w:r>
      <w:r w:rsidR="005C4ECC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</w:t>
      </w:r>
    </w:p>
    <w:p w14:paraId="76B1721F" w14:textId="73087929" w:rsidR="00E211CD" w:rsidRPr="00CC25AC" w:rsidRDefault="00232F7A" w:rsidP="00AD626D">
      <w:pPr>
        <w:spacing w:line="360" w:lineRule="auto"/>
        <w:rPr>
          <w:rFonts w:ascii="Arial" w:hAnsi="Arial" w:cs="Arial"/>
          <w:color w:val="4C94D8" w:themeColor="text2" w:themeTint="80"/>
          <w:sz w:val="24"/>
          <w:szCs w:val="24"/>
        </w:rPr>
      </w:pP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>In addition, th</w:t>
      </w:r>
      <w:r w:rsidR="00AD626D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is assignment has also changed the way I think about domestic abuse. I previously focused mainly on the adult victim, but I now understand that children who see, hear or experience domestic abuse are recognised as </w:t>
      </w:r>
      <w:proofErr w:type="gramStart"/>
      <w:r w:rsidR="00AD626D" w:rsidRPr="00CC25AC">
        <w:rPr>
          <w:rFonts w:ascii="Arial" w:hAnsi="Arial" w:cs="Arial"/>
          <w:color w:val="4C94D8" w:themeColor="text2" w:themeTint="80"/>
          <w:sz w:val="24"/>
          <w:szCs w:val="24"/>
        </w:rPr>
        <w:t>victims in their own right</w:t>
      </w:r>
      <w:proofErr w:type="gramEnd"/>
      <w:r w:rsidR="00AD626D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(</w:t>
      </w:r>
      <w:r w:rsidR="00AD626D" w:rsidRPr="00CC25AC">
        <w:rPr>
          <w:rFonts w:ascii="Arial" w:hAnsi="Arial" w:cs="Arial"/>
          <w:i/>
          <w:iCs/>
          <w:color w:val="4C94D8" w:themeColor="text2" w:themeTint="80"/>
          <w:sz w:val="24"/>
          <w:szCs w:val="24"/>
        </w:rPr>
        <w:t>Domestic Abuse Act 2021</w:t>
      </w:r>
      <w:r w:rsidR="00AD626D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). </w:t>
      </w:r>
      <w:proofErr w:type="spellStart"/>
      <w:r w:rsidR="00AD626D" w:rsidRPr="00CC25AC">
        <w:rPr>
          <w:rFonts w:ascii="Arial" w:hAnsi="Arial" w:cs="Arial"/>
          <w:color w:val="4C94D8" w:themeColor="text2" w:themeTint="80"/>
          <w:sz w:val="24"/>
          <w:szCs w:val="24"/>
        </w:rPr>
        <w:t>Boullier</w:t>
      </w:r>
      <w:proofErr w:type="spellEnd"/>
      <w:r w:rsidR="00AD626D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and Blair (2018) </w:t>
      </w:r>
      <w:r w:rsidR="00E211CD" w:rsidRPr="00CC25AC">
        <w:rPr>
          <w:rFonts w:ascii="Arial" w:hAnsi="Arial" w:cs="Arial"/>
          <w:color w:val="4C94D8" w:themeColor="text2" w:themeTint="80"/>
          <w:sz w:val="24"/>
          <w:szCs w:val="24"/>
        </w:rPr>
        <w:t>also helped me recognise the long-term impact that adverse childhood experiences can have on children's health, wellbeing and development.</w:t>
      </w:r>
    </w:p>
    <w:p w14:paraId="5BADFA49" w14:textId="23AB1E2D" w:rsidR="00AD626D" w:rsidRPr="00CC25AC" w:rsidRDefault="00AD626D" w:rsidP="00AD626D">
      <w:pPr>
        <w:spacing w:line="360" w:lineRule="auto"/>
        <w:rPr>
          <w:rFonts w:ascii="Arial" w:hAnsi="Arial" w:cs="Arial"/>
          <w:color w:val="4C94D8" w:themeColor="text2" w:themeTint="80"/>
          <w:sz w:val="24"/>
          <w:szCs w:val="24"/>
        </w:rPr>
      </w:pP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Finally, I have gained a much better understanding of professional responsibility. Researching safeguarding legislation has shown me how the </w:t>
      </w:r>
      <w:r w:rsidRPr="00CC25AC">
        <w:rPr>
          <w:rFonts w:ascii="Arial" w:hAnsi="Arial" w:cs="Arial"/>
          <w:i/>
          <w:iCs/>
          <w:color w:val="4C94D8" w:themeColor="text2" w:themeTint="80"/>
          <w:sz w:val="24"/>
          <w:szCs w:val="24"/>
        </w:rPr>
        <w:t>Children Act 1989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, the </w:t>
      </w:r>
      <w:r w:rsidRPr="00CC25AC">
        <w:rPr>
          <w:rFonts w:ascii="Arial" w:hAnsi="Arial" w:cs="Arial"/>
          <w:i/>
          <w:iCs/>
          <w:color w:val="4C94D8" w:themeColor="text2" w:themeTint="80"/>
          <w:sz w:val="24"/>
          <w:szCs w:val="24"/>
        </w:rPr>
        <w:t>Children Act 2004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, the </w:t>
      </w:r>
      <w:r w:rsidRPr="00CC25AC">
        <w:rPr>
          <w:rFonts w:ascii="Arial" w:hAnsi="Arial" w:cs="Arial"/>
          <w:i/>
          <w:iCs/>
          <w:color w:val="4C94D8" w:themeColor="text2" w:themeTint="80"/>
          <w:sz w:val="24"/>
          <w:szCs w:val="24"/>
        </w:rPr>
        <w:t>Police and Criminal Evidence Act 1984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and the </w:t>
      </w:r>
      <w:r w:rsidRPr="00CC25AC">
        <w:rPr>
          <w:rFonts w:ascii="Arial" w:hAnsi="Arial" w:cs="Arial"/>
          <w:i/>
          <w:iCs/>
          <w:color w:val="4C94D8" w:themeColor="text2" w:themeTint="80"/>
          <w:sz w:val="24"/>
          <w:szCs w:val="24"/>
        </w:rPr>
        <w:t>Social Services and Well-being (Wales) Act 2014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guide professionals in protecting children, sharing information appropriately and working effectively with partner agencies. Overall, this assignment has shown me that safeguarding is everyone's responsibility and has given me a much greater appreciation of the importance of making informed decisions that always place the child's welfare first.</w:t>
      </w:r>
    </w:p>
    <w:p w14:paraId="2DA3E222" w14:textId="77777777" w:rsidR="00AD626D" w:rsidRPr="00CC25AC" w:rsidRDefault="00AD626D" w:rsidP="0040248D">
      <w:pPr>
        <w:spacing w:line="360" w:lineRule="auto"/>
        <w:rPr>
          <w:rFonts w:ascii="Arial" w:hAnsi="Arial" w:cs="Arial"/>
          <w:b/>
          <w:bCs/>
          <w:color w:val="4C94D8" w:themeColor="text2" w:themeTint="80"/>
          <w:sz w:val="24"/>
          <w:szCs w:val="24"/>
        </w:rPr>
      </w:pPr>
    </w:p>
    <w:p w14:paraId="4EE037D2" w14:textId="77777777" w:rsidR="000F55B3" w:rsidRPr="00CC25AC" w:rsidRDefault="000F55B3" w:rsidP="00EE7EAC">
      <w:pPr>
        <w:spacing w:line="360" w:lineRule="auto"/>
        <w:rPr>
          <w:rFonts w:ascii="Arial" w:hAnsi="Arial" w:cs="Arial"/>
          <w:b/>
          <w:bCs/>
          <w:color w:val="4C94D8" w:themeColor="text2" w:themeTint="80"/>
          <w:sz w:val="24"/>
          <w:szCs w:val="24"/>
        </w:rPr>
      </w:pPr>
      <w:r w:rsidRPr="00CC25AC">
        <w:rPr>
          <w:rFonts w:ascii="Arial" w:hAnsi="Arial" w:cs="Arial"/>
          <w:b/>
          <w:bCs/>
          <w:color w:val="4C94D8" w:themeColor="text2" w:themeTint="80"/>
          <w:sz w:val="24"/>
          <w:szCs w:val="24"/>
        </w:rPr>
        <w:lastRenderedPageBreak/>
        <w:t xml:space="preserve">Reflection on the 5 </w:t>
      </w:r>
      <w:proofErr w:type="gramStart"/>
      <w:r w:rsidRPr="00CC25AC">
        <w:rPr>
          <w:rFonts w:ascii="Arial" w:hAnsi="Arial" w:cs="Arial"/>
          <w:b/>
          <w:bCs/>
          <w:color w:val="4C94D8" w:themeColor="text2" w:themeTint="80"/>
          <w:sz w:val="24"/>
          <w:szCs w:val="24"/>
        </w:rPr>
        <w:t>R's</w:t>
      </w:r>
      <w:proofErr w:type="gramEnd"/>
      <w:r w:rsidRPr="00CC25AC">
        <w:rPr>
          <w:rFonts w:ascii="Arial" w:hAnsi="Arial" w:cs="Arial"/>
          <w:b/>
          <w:bCs/>
          <w:color w:val="4C94D8" w:themeColor="text2" w:themeTint="80"/>
          <w:sz w:val="24"/>
          <w:szCs w:val="24"/>
        </w:rPr>
        <w:t xml:space="preserve"> of Safeguarding</w:t>
      </w:r>
    </w:p>
    <w:p w14:paraId="05C1C63B" w14:textId="0BEBC9F5" w:rsidR="00A26267" w:rsidRPr="00CC25AC" w:rsidRDefault="00654656" w:rsidP="00A26267">
      <w:pPr>
        <w:spacing w:line="360" w:lineRule="auto"/>
        <w:rPr>
          <w:rFonts w:ascii="Arial" w:hAnsi="Arial" w:cs="Arial"/>
          <w:color w:val="4C94D8" w:themeColor="text2" w:themeTint="80"/>
          <w:sz w:val="24"/>
          <w:szCs w:val="24"/>
        </w:rPr>
      </w:pP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>Completing this assignment has significantly developed my understanding of the five key safeguarding responsibilities</w:t>
      </w:r>
      <w:r w:rsidR="0018760A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.  </w:t>
      </w:r>
      <w:r w:rsidR="00A26267" w:rsidRPr="00CC25AC">
        <w:rPr>
          <w:rFonts w:ascii="Arial" w:hAnsi="Arial" w:cs="Arial"/>
          <w:color w:val="4C94D8" w:themeColor="text2" w:themeTint="80"/>
          <w:sz w:val="24"/>
          <w:szCs w:val="24"/>
        </w:rPr>
        <w:t>Before researching this case, I believed safeguarding mainly involved responding to incidents and ensuring children were safe at the time.</w:t>
      </w:r>
      <w:r w:rsidR="00E23F4F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</w:t>
      </w:r>
      <w:r w:rsidR="00613230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Through </w:t>
      </w:r>
      <w:r w:rsidR="00D40345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my </w:t>
      </w:r>
      <w:r w:rsidR="00613230" w:rsidRPr="00CC25AC">
        <w:rPr>
          <w:rFonts w:ascii="Arial" w:hAnsi="Arial" w:cs="Arial"/>
          <w:color w:val="4C94D8" w:themeColor="text2" w:themeTint="80"/>
          <w:sz w:val="24"/>
          <w:szCs w:val="24"/>
        </w:rPr>
        <w:t>research</w:t>
      </w:r>
      <w:r w:rsidR="004C4DE3" w:rsidRPr="00CC25AC">
        <w:rPr>
          <w:rFonts w:ascii="Arial" w:hAnsi="Arial" w:cs="Arial"/>
          <w:color w:val="4C94D8" w:themeColor="text2" w:themeTint="80"/>
          <w:sz w:val="24"/>
          <w:szCs w:val="24"/>
        </w:rPr>
        <w:t>,</w:t>
      </w:r>
      <w:r w:rsidR="00A26267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I </w:t>
      </w:r>
      <w:r w:rsidR="00BE6702" w:rsidRPr="00CC25AC">
        <w:rPr>
          <w:rFonts w:ascii="Arial" w:hAnsi="Arial" w:cs="Arial"/>
          <w:color w:val="4C94D8" w:themeColor="text2" w:themeTint="80"/>
          <w:sz w:val="24"/>
          <w:szCs w:val="24"/>
        </w:rPr>
        <w:t>u</w:t>
      </w:r>
      <w:r w:rsidR="00A26267" w:rsidRPr="00CC25AC">
        <w:rPr>
          <w:rFonts w:ascii="Arial" w:hAnsi="Arial" w:cs="Arial"/>
          <w:color w:val="4C94D8" w:themeColor="text2" w:themeTint="80"/>
          <w:sz w:val="24"/>
          <w:szCs w:val="24"/>
        </w:rPr>
        <w:t>nderstand safeguarding is an ongoing process that requires professionals to recognise concerns early, record accurately, report promptly, make appropriate referrals and work collaboratively to protect children (Children Act 1989; Department for Education, 2026).</w:t>
      </w:r>
    </w:p>
    <w:p w14:paraId="04FB3CD9" w14:textId="5C63B57D" w:rsidR="008F38CD" w:rsidRPr="00CC25AC" w:rsidRDefault="008F38CD" w:rsidP="00A26267">
      <w:pPr>
        <w:spacing w:line="360" w:lineRule="auto"/>
        <w:rPr>
          <w:rFonts w:ascii="Arial" w:hAnsi="Arial" w:cs="Arial"/>
          <w:color w:val="4C94D8" w:themeColor="text2" w:themeTint="80"/>
          <w:sz w:val="24"/>
          <w:szCs w:val="24"/>
        </w:rPr>
      </w:pP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The </w:t>
      </w:r>
      <w:r w:rsidR="00E23F4F" w:rsidRPr="00CC25AC">
        <w:rPr>
          <w:rFonts w:ascii="Arial" w:hAnsi="Arial" w:cs="Arial"/>
          <w:color w:val="4C94D8" w:themeColor="text2" w:themeTint="80"/>
          <w:sz w:val="24"/>
          <w:szCs w:val="24"/>
        </w:rPr>
        <w:t>main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lesson I</w:t>
      </w:r>
      <w:r w:rsidR="00F844BC" w:rsidRPr="00CC25AC">
        <w:rPr>
          <w:rFonts w:ascii="Arial" w:hAnsi="Arial" w:cs="Arial"/>
          <w:color w:val="4C94D8" w:themeColor="text2" w:themeTint="80"/>
          <w:sz w:val="24"/>
          <w:szCs w:val="24"/>
        </w:rPr>
        <w:t>’ve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learn</w:t>
      </w:r>
      <w:r w:rsidR="00E23F4F" w:rsidRPr="00CC25AC">
        <w:rPr>
          <w:rFonts w:ascii="Arial" w:hAnsi="Arial" w:cs="Arial"/>
          <w:color w:val="4C94D8" w:themeColor="text2" w:themeTint="80"/>
          <w:sz w:val="24"/>
          <w:szCs w:val="24"/>
        </w:rPr>
        <w:t>t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is the importance of recognising safeguarding concerns. </w:t>
      </w:r>
      <w:r w:rsidR="00C16131" w:rsidRPr="00CC25AC">
        <w:rPr>
          <w:rFonts w:ascii="Arial" w:hAnsi="Arial" w:cs="Arial"/>
          <w:color w:val="4C94D8" w:themeColor="text2" w:themeTint="80"/>
          <w:sz w:val="24"/>
          <w:szCs w:val="24"/>
        </w:rPr>
        <w:t>I now understand that safeguarding involves recognising patterns of behaviour, environmental factors and potential risks, not just identifying physical injuries.</w:t>
      </w:r>
      <w:r w:rsidR="00C16131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Studying the inquiries into Victoria Climbié and Baby P showed me how opportunities to protect children can be missed when professionals fail to see the wider picture. </w:t>
      </w:r>
      <w:r w:rsidR="00E23B40" w:rsidRPr="00CC25AC">
        <w:rPr>
          <w:rFonts w:ascii="Arial" w:hAnsi="Arial" w:cs="Arial"/>
          <w:color w:val="4C94D8" w:themeColor="text2" w:themeTint="80"/>
          <w:sz w:val="24"/>
          <w:szCs w:val="24"/>
        </w:rPr>
        <w:t>Lord Laming concluded that Victoria Climbié was failed by professionals because basic safeguarding procedures were not consistently implemented, despite repeated opportunities to intervene (Department of Health and Home Office, 2003).</w:t>
      </w:r>
      <w:r w:rsidR="00E23B40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</w:t>
      </w:r>
      <w:r w:rsidR="00104512" w:rsidRPr="00CC25AC">
        <w:rPr>
          <w:rFonts w:ascii="Arial" w:hAnsi="Arial" w:cs="Arial"/>
          <w:color w:val="4C94D8" w:themeColor="text2" w:themeTint="80"/>
          <w:sz w:val="24"/>
          <w:szCs w:val="24"/>
        </w:rPr>
        <w:t>Similarly, following the Baby P inquiry, Lord Laming highlighted that effective safeguarding depends on professionals sharing information and working across organisational boundaries to protect children (Department for Children, Schools and Families, 2009).</w:t>
      </w:r>
      <w:r w:rsidR="00104512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</w:t>
      </w:r>
      <w:r w:rsidR="00D0439E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Reflecting on these 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>inquiries reinforced the importance of recognising concerns early, identifying patterns of risk and sharing information promptly to protect children.</w:t>
      </w:r>
    </w:p>
    <w:p w14:paraId="46F4ED73" w14:textId="23F1BA92" w:rsidR="0042344A" w:rsidRPr="00CC25AC" w:rsidRDefault="00F462DB" w:rsidP="0042344A">
      <w:pPr>
        <w:spacing w:line="360" w:lineRule="auto"/>
        <w:rPr>
          <w:rFonts w:ascii="Arial" w:hAnsi="Arial" w:cs="Arial"/>
          <w:color w:val="4C94D8" w:themeColor="text2" w:themeTint="80"/>
          <w:sz w:val="24"/>
          <w:szCs w:val="24"/>
        </w:rPr>
      </w:pP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>I have developed a greater understanding of the importance of recording, reporting and referring concerns.</w:t>
      </w: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</w:t>
      </w:r>
      <w:r w:rsidR="009C1783" w:rsidRPr="00CC25AC">
        <w:rPr>
          <w:rFonts w:ascii="Arial" w:hAnsi="Arial" w:cs="Arial"/>
          <w:color w:val="4C94D8" w:themeColor="text2" w:themeTint="80"/>
          <w:sz w:val="24"/>
          <w:szCs w:val="24"/>
        </w:rPr>
        <w:t>Accurate records support safeguarding decisions, while timely reporting and appropriate referrals ensure concerns are shared promptly with the appropriate professionals to reduce the risk of further harm.</w:t>
      </w:r>
      <w:r w:rsidR="009C1783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</w:t>
      </w:r>
      <w:r w:rsidR="0042344A" w:rsidRPr="00CC25AC">
        <w:rPr>
          <w:rFonts w:ascii="Arial" w:hAnsi="Arial" w:cs="Arial"/>
          <w:i/>
          <w:iCs/>
          <w:color w:val="4C94D8" w:themeColor="text2" w:themeTint="80"/>
          <w:sz w:val="24"/>
          <w:szCs w:val="24"/>
        </w:rPr>
        <w:t>Working Together to Safeguard Children</w:t>
      </w:r>
      <w:r w:rsidR="0042344A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 (Department for Education, 2026) highlights the importance of effective partnership working, </w:t>
      </w:r>
    </w:p>
    <w:p w14:paraId="51B822AF" w14:textId="19A5DF18" w:rsidR="0042344A" w:rsidRPr="00CC25AC" w:rsidRDefault="0042344A" w:rsidP="00654656">
      <w:pPr>
        <w:spacing w:line="360" w:lineRule="auto"/>
        <w:rPr>
          <w:rFonts w:ascii="Arial" w:hAnsi="Arial" w:cs="Arial"/>
          <w:color w:val="4C94D8" w:themeColor="text2" w:themeTint="80"/>
          <w:sz w:val="24"/>
          <w:szCs w:val="24"/>
        </w:rPr>
      </w:pPr>
      <w:r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Finally, this assignment has strengthened my understanding of professional responsibility. I </w:t>
      </w:r>
      <w:r w:rsidR="008A1377" w:rsidRPr="00CC25AC">
        <w:rPr>
          <w:rFonts w:ascii="Arial" w:hAnsi="Arial" w:cs="Arial"/>
          <w:color w:val="4C94D8" w:themeColor="text2" w:themeTint="80"/>
          <w:sz w:val="24"/>
          <w:szCs w:val="24"/>
        </w:rPr>
        <w:t xml:space="preserve">now appreciate that safeguarding is everyone's responsibility and requires professionals to remain vigilant, communicate effectively and act in the </w:t>
      </w:r>
      <w:r w:rsidR="008A1377" w:rsidRPr="00CC25AC">
        <w:rPr>
          <w:rFonts w:ascii="Arial" w:hAnsi="Arial" w:cs="Arial"/>
          <w:color w:val="4C94D8" w:themeColor="text2" w:themeTint="80"/>
          <w:sz w:val="24"/>
          <w:szCs w:val="24"/>
        </w:rPr>
        <w:lastRenderedPageBreak/>
        <w:t>child's best interests. This has highlighted the importance of recognising, recording, reporting and referring concerns while working collaboratively to protect children.</w:t>
      </w:r>
    </w:p>
    <w:p w14:paraId="58D30F8C" w14:textId="77777777" w:rsidR="008A1377" w:rsidRPr="00CC25AC" w:rsidRDefault="008A1377" w:rsidP="00654656">
      <w:pPr>
        <w:spacing w:line="360" w:lineRule="auto"/>
        <w:rPr>
          <w:rFonts w:ascii="Arial" w:hAnsi="Arial" w:cs="Arial"/>
          <w:color w:val="4C94D8" w:themeColor="text2" w:themeTint="80"/>
          <w:sz w:val="24"/>
          <w:szCs w:val="24"/>
        </w:rPr>
      </w:pPr>
    </w:p>
    <w:p w14:paraId="404B4651" w14:textId="77777777" w:rsidR="008A1377" w:rsidRPr="00CC25AC" w:rsidRDefault="008A1377" w:rsidP="00654656">
      <w:pPr>
        <w:spacing w:line="360" w:lineRule="auto"/>
        <w:rPr>
          <w:rFonts w:ascii="Arial" w:hAnsi="Arial" w:cs="Arial"/>
          <w:color w:val="4C94D8" w:themeColor="text2" w:themeTint="80"/>
          <w:sz w:val="24"/>
          <w:szCs w:val="24"/>
        </w:rPr>
      </w:pPr>
    </w:p>
    <w:p w14:paraId="6E47BAFB" w14:textId="77777777" w:rsidR="008A1377" w:rsidRPr="00CC25AC" w:rsidRDefault="008A1377" w:rsidP="00654656">
      <w:pPr>
        <w:spacing w:line="360" w:lineRule="auto"/>
        <w:rPr>
          <w:rFonts w:ascii="Arial" w:hAnsi="Arial" w:cs="Arial"/>
          <w:color w:val="4C94D8" w:themeColor="text2" w:themeTint="80"/>
          <w:sz w:val="24"/>
          <w:szCs w:val="24"/>
        </w:rPr>
      </w:pPr>
    </w:p>
    <w:p w14:paraId="1C4E0127" w14:textId="77777777" w:rsidR="008919EC" w:rsidRPr="00CC25AC" w:rsidRDefault="008919EC" w:rsidP="00654656">
      <w:pPr>
        <w:spacing w:line="360" w:lineRule="auto"/>
        <w:rPr>
          <w:rFonts w:ascii="Arial" w:hAnsi="Arial" w:cs="Arial"/>
          <w:color w:val="4C94D8" w:themeColor="text2" w:themeTint="80"/>
          <w:sz w:val="24"/>
          <w:szCs w:val="24"/>
        </w:rPr>
      </w:pPr>
    </w:p>
    <w:p w14:paraId="415D29A8" w14:textId="77777777" w:rsidR="008919EC" w:rsidRDefault="008919E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191F3325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777D9F45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19138B2A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195ADD33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58ADC1C4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24AAD6D5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3374AFFE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25005708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3A128D00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5510AFC4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6DF327F4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466BB46D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37CC562C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280FCD6A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469012E8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3E09581B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36894FFC" w14:textId="77777777" w:rsidR="00CC25AC" w:rsidRDefault="00CC25A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4BAEAE4E" w14:textId="77777777" w:rsidR="008919EC" w:rsidRDefault="008919E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4EB6F1C2" w14:textId="77777777" w:rsidR="008919EC" w:rsidRDefault="008919EC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4198F075" w14:textId="77777777" w:rsidR="00051697" w:rsidRPr="00051697" w:rsidRDefault="00051697" w:rsidP="00051697">
      <w:pPr>
        <w:spacing w:line="360" w:lineRule="auto"/>
        <w:rPr>
          <w:rFonts w:ascii="Arial" w:hAnsi="Arial" w:cs="Arial"/>
          <w:b/>
          <w:bCs/>
          <w:color w:val="4C94D8" w:themeColor="text2" w:themeTint="80"/>
        </w:rPr>
      </w:pPr>
      <w:r w:rsidRPr="00051697">
        <w:rPr>
          <w:rFonts w:ascii="Arial" w:hAnsi="Arial" w:cs="Arial"/>
          <w:b/>
          <w:bCs/>
          <w:color w:val="4C94D8" w:themeColor="text2" w:themeTint="80"/>
        </w:rPr>
        <w:lastRenderedPageBreak/>
        <w:t>Reference list</w:t>
      </w:r>
    </w:p>
    <w:p w14:paraId="2002BD1B" w14:textId="6823D5F7" w:rsidR="000A0479" w:rsidRDefault="00051697" w:rsidP="00051697">
      <w:pPr>
        <w:spacing w:line="360" w:lineRule="auto"/>
        <w:rPr>
          <w:rFonts w:ascii="Arial" w:hAnsi="Arial" w:cs="Arial"/>
          <w:color w:val="4C94D8" w:themeColor="text2" w:themeTint="80"/>
        </w:rPr>
      </w:pPr>
      <w:proofErr w:type="spellStart"/>
      <w:r w:rsidRPr="00051697">
        <w:rPr>
          <w:rFonts w:ascii="Arial" w:hAnsi="Arial" w:cs="Arial"/>
          <w:color w:val="4C94D8" w:themeColor="text2" w:themeTint="80"/>
        </w:rPr>
        <w:t>Boullier</w:t>
      </w:r>
      <w:proofErr w:type="spellEnd"/>
      <w:r w:rsidRPr="00051697">
        <w:rPr>
          <w:rFonts w:ascii="Arial" w:hAnsi="Arial" w:cs="Arial"/>
          <w:color w:val="4C94D8" w:themeColor="text2" w:themeTint="80"/>
        </w:rPr>
        <w:t xml:space="preserve">, M. and Blair, M. (2018). Adverse Childhood Experiences. </w:t>
      </w:r>
      <w:r w:rsidRPr="00051697">
        <w:rPr>
          <w:rFonts w:ascii="Arial" w:hAnsi="Arial" w:cs="Arial"/>
          <w:i/>
          <w:iCs/>
          <w:color w:val="4C94D8" w:themeColor="text2" w:themeTint="80"/>
        </w:rPr>
        <w:t>Paediatrics and Child Health</w:t>
      </w:r>
      <w:r w:rsidRPr="00051697">
        <w:rPr>
          <w:rFonts w:ascii="Arial" w:hAnsi="Arial" w:cs="Arial"/>
          <w:color w:val="4C94D8" w:themeColor="text2" w:themeTint="80"/>
        </w:rPr>
        <w:t xml:space="preserve">, [online] 28(3), pp.132–137. </w:t>
      </w:r>
      <w:proofErr w:type="spellStart"/>
      <w:r w:rsidR="000A0479" w:rsidRPr="00051697">
        <w:rPr>
          <w:rFonts w:ascii="Arial" w:hAnsi="Arial" w:cs="Arial"/>
          <w:color w:val="4C94D8" w:themeColor="text2" w:themeTint="80"/>
        </w:rPr>
        <w:t>doi</w:t>
      </w:r>
      <w:proofErr w:type="spellEnd"/>
      <w:r w:rsidR="000A0479" w:rsidRPr="00051697">
        <w:rPr>
          <w:rFonts w:ascii="Arial" w:hAnsi="Arial" w:cs="Arial"/>
          <w:color w:val="4C94D8" w:themeColor="text2" w:themeTint="80"/>
        </w:rPr>
        <w:t xml:space="preserve">: </w:t>
      </w:r>
      <w:hyperlink r:id="rId8" w:history="1">
        <w:r w:rsidR="000A0479" w:rsidRPr="00963F6A">
          <w:rPr>
            <w:rStyle w:val="Hyperlink"/>
            <w:rFonts w:ascii="Arial" w:hAnsi="Arial" w:cs="Arial"/>
            <w:color w:val="9ABFCA" w:themeColor="hyperlink" w:themeTint="80"/>
          </w:rPr>
          <w:t>https://doi.org/10.1</w:t>
        </w:r>
        <w:r w:rsidR="000A0479" w:rsidRPr="00963F6A">
          <w:rPr>
            <w:rStyle w:val="Hyperlink"/>
            <w:rFonts w:ascii="Arial" w:hAnsi="Arial" w:cs="Arial"/>
            <w:color w:val="9ABFCA" w:themeColor="hyperlink" w:themeTint="80"/>
          </w:rPr>
          <w:t>0</w:t>
        </w:r>
        <w:r w:rsidR="000A0479" w:rsidRPr="00963F6A">
          <w:rPr>
            <w:rStyle w:val="Hyperlink"/>
            <w:rFonts w:ascii="Arial" w:hAnsi="Arial" w:cs="Arial"/>
            <w:color w:val="9ABFCA" w:themeColor="hyperlink" w:themeTint="80"/>
          </w:rPr>
          <w:t>16/j.paed.2017.12.008</w:t>
        </w:r>
      </w:hyperlink>
      <w:r w:rsidR="000A0479">
        <w:rPr>
          <w:rFonts w:ascii="Arial" w:hAnsi="Arial" w:cs="Arial"/>
          <w:color w:val="4C94D8" w:themeColor="text2" w:themeTint="80"/>
        </w:rPr>
        <w:t xml:space="preserve"> </w:t>
      </w:r>
    </w:p>
    <w:p w14:paraId="713EF3C9" w14:textId="4B366DEA" w:rsidR="00051697" w:rsidRPr="00051697" w:rsidRDefault="00BF10BD" w:rsidP="00051697">
      <w:pPr>
        <w:spacing w:line="360" w:lineRule="auto"/>
        <w:rPr>
          <w:rFonts w:ascii="Arial" w:hAnsi="Arial" w:cs="Arial"/>
          <w:color w:val="4C94D8" w:themeColor="text2" w:themeTint="80"/>
        </w:rPr>
      </w:pPr>
      <w:r>
        <w:rPr>
          <w:rFonts w:ascii="Arial" w:hAnsi="Arial" w:cs="Arial"/>
          <w:color w:val="4C94D8" w:themeColor="text2" w:themeTint="80"/>
        </w:rPr>
        <w:t>C</w:t>
      </w:r>
      <w:r w:rsidR="00051697" w:rsidRPr="00051697">
        <w:rPr>
          <w:rFonts w:ascii="Arial" w:hAnsi="Arial" w:cs="Arial"/>
          <w:color w:val="4C94D8" w:themeColor="text2" w:themeTint="80"/>
        </w:rPr>
        <w:t xml:space="preserve">hildren Act (1989). </w:t>
      </w:r>
      <w:r w:rsidR="00051697" w:rsidRPr="00051697">
        <w:rPr>
          <w:rFonts w:ascii="Arial" w:hAnsi="Arial" w:cs="Arial"/>
          <w:i/>
          <w:iCs/>
          <w:color w:val="4C94D8" w:themeColor="text2" w:themeTint="80"/>
        </w:rPr>
        <w:t>Children Act 1989</w:t>
      </w:r>
      <w:r w:rsidR="00051697" w:rsidRPr="00051697">
        <w:rPr>
          <w:rFonts w:ascii="Arial" w:hAnsi="Arial" w:cs="Arial"/>
          <w:color w:val="4C94D8" w:themeColor="text2" w:themeTint="80"/>
        </w:rPr>
        <w:t xml:space="preserve">. [online] Legislation.gov.uk. Available at: </w:t>
      </w:r>
      <w:hyperlink r:id="rId9" w:history="1">
        <w:r w:rsidR="00183525" w:rsidRPr="00963F6A">
          <w:rPr>
            <w:rStyle w:val="Hyperlink"/>
            <w:rFonts w:ascii="Arial" w:hAnsi="Arial" w:cs="Arial"/>
            <w:color w:val="9ABFCA" w:themeColor="hyperlink" w:themeTint="80"/>
          </w:rPr>
          <w:t>https://www.legislation.gov.uk/ukpga/1989/41/contents</w:t>
        </w:r>
      </w:hyperlink>
      <w:r w:rsidR="00183525">
        <w:rPr>
          <w:rFonts w:ascii="Arial" w:hAnsi="Arial" w:cs="Arial"/>
          <w:color w:val="4C94D8" w:themeColor="text2" w:themeTint="80"/>
        </w:rPr>
        <w:t xml:space="preserve"> </w:t>
      </w:r>
      <w:r w:rsidR="00051697">
        <w:rPr>
          <w:rFonts w:ascii="Arial" w:hAnsi="Arial" w:cs="Arial"/>
          <w:color w:val="4C94D8" w:themeColor="text2" w:themeTint="80"/>
        </w:rPr>
        <w:t xml:space="preserve"> </w:t>
      </w:r>
      <w:r w:rsidR="00051697" w:rsidRPr="00051697">
        <w:rPr>
          <w:rFonts w:ascii="Arial" w:hAnsi="Arial" w:cs="Arial"/>
          <w:color w:val="4C94D8" w:themeColor="text2" w:themeTint="80"/>
        </w:rPr>
        <w:t>[Accessed 7 July 2026].</w:t>
      </w:r>
    </w:p>
    <w:p w14:paraId="171B5CDC" w14:textId="666FC8D9" w:rsidR="00051697" w:rsidRPr="00051697" w:rsidRDefault="00051697" w:rsidP="00051697">
      <w:pPr>
        <w:spacing w:line="360" w:lineRule="auto"/>
        <w:rPr>
          <w:rFonts w:ascii="Arial" w:hAnsi="Arial" w:cs="Arial"/>
          <w:color w:val="4C94D8" w:themeColor="text2" w:themeTint="80"/>
        </w:rPr>
      </w:pPr>
      <w:r w:rsidRPr="00051697">
        <w:rPr>
          <w:rFonts w:ascii="Arial" w:hAnsi="Arial" w:cs="Arial"/>
          <w:color w:val="4C94D8" w:themeColor="text2" w:themeTint="80"/>
        </w:rPr>
        <w:t xml:space="preserve">GOV.UK (2004). </w:t>
      </w:r>
      <w:r w:rsidRPr="00051697">
        <w:rPr>
          <w:rFonts w:ascii="Arial" w:hAnsi="Arial" w:cs="Arial"/>
          <w:i/>
          <w:iCs/>
          <w:color w:val="4C94D8" w:themeColor="text2" w:themeTint="80"/>
        </w:rPr>
        <w:t>Children Act 2004</w:t>
      </w:r>
      <w:r w:rsidRPr="00051697">
        <w:rPr>
          <w:rFonts w:ascii="Arial" w:hAnsi="Arial" w:cs="Arial"/>
          <w:color w:val="4C94D8" w:themeColor="text2" w:themeTint="80"/>
        </w:rPr>
        <w:t xml:space="preserve">. [online] Legislation.gov.uk. Available at: </w:t>
      </w:r>
      <w:hyperlink r:id="rId10" w:history="1">
        <w:r w:rsidR="00183525" w:rsidRPr="00963F6A">
          <w:rPr>
            <w:rStyle w:val="Hyperlink"/>
            <w:rFonts w:ascii="Arial" w:hAnsi="Arial" w:cs="Arial"/>
            <w:color w:val="9ABFCA" w:themeColor="hyperlink" w:themeTint="80"/>
          </w:rPr>
          <w:t>https://www.legislation.gov.uk/ukpga/2004/31/content</w:t>
        </w:r>
        <w:r w:rsidR="00183525" w:rsidRPr="00963F6A">
          <w:rPr>
            <w:rStyle w:val="Hyperlink"/>
            <w:rFonts w:ascii="Arial" w:hAnsi="Arial" w:cs="Arial"/>
            <w:color w:val="9ABFCA" w:themeColor="hyperlink" w:themeTint="80"/>
          </w:rPr>
          <w:t>s</w:t>
        </w:r>
      </w:hyperlink>
      <w:r w:rsidR="00183525">
        <w:rPr>
          <w:rFonts w:ascii="Arial" w:hAnsi="Arial" w:cs="Arial"/>
          <w:color w:val="4C94D8" w:themeColor="text2" w:themeTint="80"/>
        </w:rPr>
        <w:t xml:space="preserve">  </w:t>
      </w:r>
      <w:r w:rsidRPr="00051697">
        <w:rPr>
          <w:rFonts w:ascii="Arial" w:hAnsi="Arial" w:cs="Arial"/>
          <w:color w:val="4C94D8" w:themeColor="text2" w:themeTint="80"/>
        </w:rPr>
        <w:t>[Accessed 7 July 2026].</w:t>
      </w:r>
    </w:p>
    <w:p w14:paraId="0FC61AB3" w14:textId="55CD944A" w:rsidR="00051697" w:rsidRPr="00051697" w:rsidRDefault="00051697" w:rsidP="00051697">
      <w:pPr>
        <w:spacing w:line="360" w:lineRule="auto"/>
        <w:rPr>
          <w:rFonts w:ascii="Arial" w:hAnsi="Arial" w:cs="Arial"/>
          <w:color w:val="4C94D8" w:themeColor="text2" w:themeTint="80"/>
        </w:rPr>
      </w:pPr>
      <w:r w:rsidRPr="00051697">
        <w:rPr>
          <w:rFonts w:ascii="Arial" w:hAnsi="Arial" w:cs="Arial"/>
          <w:color w:val="4C94D8" w:themeColor="text2" w:themeTint="80"/>
        </w:rPr>
        <w:t xml:space="preserve">Gov.uk (2021). </w:t>
      </w:r>
      <w:r w:rsidRPr="00051697">
        <w:rPr>
          <w:rFonts w:ascii="Arial" w:hAnsi="Arial" w:cs="Arial"/>
          <w:i/>
          <w:iCs/>
          <w:color w:val="4C94D8" w:themeColor="text2" w:themeTint="80"/>
        </w:rPr>
        <w:t>Domestic Abuse Act 2021</w:t>
      </w:r>
      <w:r w:rsidRPr="00051697">
        <w:rPr>
          <w:rFonts w:ascii="Arial" w:hAnsi="Arial" w:cs="Arial"/>
          <w:color w:val="4C94D8" w:themeColor="text2" w:themeTint="80"/>
        </w:rPr>
        <w:t xml:space="preserve">. [online] Legislation.gov.uk. Available at: </w:t>
      </w:r>
      <w:hyperlink r:id="rId11" w:history="1">
        <w:r w:rsidR="00183525" w:rsidRPr="00963F6A">
          <w:rPr>
            <w:rStyle w:val="Hyperlink"/>
            <w:rFonts w:ascii="Arial" w:hAnsi="Arial" w:cs="Arial"/>
            <w:color w:val="9ABFCA" w:themeColor="hyperlink" w:themeTint="80"/>
          </w:rPr>
          <w:t>https://www.legislation.gov.uk/ukpga/2021/17/contents</w:t>
        </w:r>
      </w:hyperlink>
      <w:r w:rsidR="00183525">
        <w:rPr>
          <w:rFonts w:ascii="Arial" w:hAnsi="Arial" w:cs="Arial"/>
          <w:color w:val="4C94D8" w:themeColor="text2" w:themeTint="80"/>
        </w:rPr>
        <w:t xml:space="preserve"> </w:t>
      </w:r>
      <w:r w:rsidRPr="00051697">
        <w:rPr>
          <w:rFonts w:ascii="Arial" w:hAnsi="Arial" w:cs="Arial"/>
          <w:color w:val="4C94D8" w:themeColor="text2" w:themeTint="80"/>
        </w:rPr>
        <w:t xml:space="preserve"> [Accessed 7 July 2026].</w:t>
      </w:r>
    </w:p>
    <w:p w14:paraId="3DFAF009" w14:textId="1222ED55" w:rsidR="00051697" w:rsidRPr="00051697" w:rsidRDefault="00051697" w:rsidP="00051697">
      <w:pPr>
        <w:spacing w:line="360" w:lineRule="auto"/>
        <w:rPr>
          <w:rFonts w:ascii="Arial" w:hAnsi="Arial" w:cs="Arial"/>
          <w:color w:val="4C94D8" w:themeColor="text2" w:themeTint="80"/>
        </w:rPr>
      </w:pPr>
      <w:r w:rsidRPr="00051697">
        <w:rPr>
          <w:rFonts w:ascii="Arial" w:hAnsi="Arial" w:cs="Arial"/>
          <w:color w:val="4C94D8" w:themeColor="text2" w:themeTint="80"/>
        </w:rPr>
        <w:t xml:space="preserve">Laming (2009). </w:t>
      </w:r>
      <w:r w:rsidRPr="00051697">
        <w:rPr>
          <w:rFonts w:ascii="Arial" w:hAnsi="Arial" w:cs="Arial"/>
          <w:i/>
          <w:iCs/>
          <w:color w:val="4C94D8" w:themeColor="text2" w:themeTint="80"/>
        </w:rPr>
        <w:t xml:space="preserve">The Protection of Children in England: A Progress Report </w:t>
      </w:r>
      <w:proofErr w:type="gramStart"/>
      <w:r w:rsidRPr="00051697">
        <w:rPr>
          <w:rFonts w:ascii="Arial" w:hAnsi="Arial" w:cs="Arial"/>
          <w:i/>
          <w:iCs/>
          <w:color w:val="4C94D8" w:themeColor="text2" w:themeTint="80"/>
        </w:rPr>
        <w:t>The</w:t>
      </w:r>
      <w:proofErr w:type="gramEnd"/>
      <w:r w:rsidRPr="00051697">
        <w:rPr>
          <w:rFonts w:ascii="Arial" w:hAnsi="Arial" w:cs="Arial"/>
          <w:i/>
          <w:iCs/>
          <w:color w:val="4C94D8" w:themeColor="text2" w:themeTint="80"/>
        </w:rPr>
        <w:t xml:space="preserve"> Lord Laming</w:t>
      </w:r>
      <w:r w:rsidRPr="00051697">
        <w:rPr>
          <w:rFonts w:ascii="Arial" w:hAnsi="Arial" w:cs="Arial"/>
          <w:color w:val="4C94D8" w:themeColor="text2" w:themeTint="80"/>
        </w:rPr>
        <w:t xml:space="preserve">. [online] Available at: </w:t>
      </w:r>
      <w:hyperlink r:id="rId12" w:history="1">
        <w:r w:rsidR="00183525" w:rsidRPr="00963F6A">
          <w:rPr>
            <w:rStyle w:val="Hyperlink"/>
            <w:rFonts w:ascii="Arial" w:hAnsi="Arial" w:cs="Arial"/>
            <w:color w:val="9ABFCA" w:themeColor="hyperlink" w:themeTint="80"/>
          </w:rPr>
          <w:t>https://dera.ioe.ac.uk/id/eprint/8646/1/12_03_09_children.pdf</w:t>
        </w:r>
      </w:hyperlink>
      <w:r w:rsidR="00183525">
        <w:rPr>
          <w:rFonts w:ascii="Arial" w:hAnsi="Arial" w:cs="Arial"/>
          <w:color w:val="4C94D8" w:themeColor="text2" w:themeTint="80"/>
        </w:rPr>
        <w:t xml:space="preserve"> </w:t>
      </w:r>
      <w:r w:rsidRPr="00051697">
        <w:rPr>
          <w:rFonts w:ascii="Arial" w:hAnsi="Arial" w:cs="Arial"/>
          <w:color w:val="4C94D8" w:themeColor="text2" w:themeTint="80"/>
        </w:rPr>
        <w:t xml:space="preserve"> [Accessed 7 July 2026].</w:t>
      </w:r>
    </w:p>
    <w:p w14:paraId="5ED76D26" w14:textId="041D321C" w:rsidR="00051697" w:rsidRPr="00051697" w:rsidRDefault="00051697" w:rsidP="00051697">
      <w:pPr>
        <w:spacing w:line="360" w:lineRule="auto"/>
        <w:rPr>
          <w:rFonts w:ascii="Arial" w:hAnsi="Arial" w:cs="Arial"/>
          <w:color w:val="4C94D8" w:themeColor="text2" w:themeTint="80"/>
        </w:rPr>
      </w:pPr>
      <w:r w:rsidRPr="00051697">
        <w:rPr>
          <w:rFonts w:ascii="Arial" w:hAnsi="Arial" w:cs="Arial"/>
          <w:color w:val="4C94D8" w:themeColor="text2" w:themeTint="80"/>
        </w:rPr>
        <w:t xml:space="preserve">Laming, L. (2003). </w:t>
      </w:r>
      <w:r w:rsidRPr="00051697">
        <w:rPr>
          <w:rFonts w:ascii="Arial" w:hAnsi="Arial" w:cs="Arial"/>
          <w:i/>
          <w:iCs/>
          <w:color w:val="4C94D8" w:themeColor="text2" w:themeTint="80"/>
        </w:rPr>
        <w:t>The Inquiry Victoria Climbié</w:t>
      </w:r>
      <w:r w:rsidRPr="00051697">
        <w:rPr>
          <w:rFonts w:ascii="Arial" w:hAnsi="Arial" w:cs="Arial"/>
          <w:color w:val="4C94D8" w:themeColor="text2" w:themeTint="80"/>
        </w:rPr>
        <w:t xml:space="preserve">. [online] Available at: </w:t>
      </w:r>
      <w:hyperlink r:id="rId13" w:history="1">
        <w:r w:rsidR="00183525" w:rsidRPr="00963F6A">
          <w:rPr>
            <w:rStyle w:val="Hyperlink"/>
            <w:rFonts w:ascii="Arial" w:hAnsi="Arial" w:cs="Arial"/>
            <w:color w:val="9ABFCA" w:themeColor="hyperlink" w:themeTint="80"/>
          </w:rPr>
          <w:t>https://assets.publishing.service.gov.uk/media/5a7c5edeed915d696ccfc51b/5730.pdf</w:t>
        </w:r>
      </w:hyperlink>
      <w:r w:rsidR="00183525">
        <w:rPr>
          <w:rFonts w:ascii="Arial" w:hAnsi="Arial" w:cs="Arial"/>
          <w:color w:val="4C94D8" w:themeColor="text2" w:themeTint="80"/>
        </w:rPr>
        <w:t xml:space="preserve"> </w:t>
      </w:r>
      <w:r w:rsidRPr="00051697">
        <w:rPr>
          <w:rFonts w:ascii="Arial" w:hAnsi="Arial" w:cs="Arial"/>
          <w:color w:val="4C94D8" w:themeColor="text2" w:themeTint="80"/>
        </w:rPr>
        <w:t xml:space="preserve"> [Accessed 7 July 2026].</w:t>
      </w:r>
    </w:p>
    <w:p w14:paraId="09832985" w14:textId="43A9643C" w:rsidR="00051697" w:rsidRPr="00051697" w:rsidRDefault="00051697" w:rsidP="00051697">
      <w:pPr>
        <w:spacing w:line="360" w:lineRule="auto"/>
        <w:rPr>
          <w:rFonts w:ascii="Arial" w:hAnsi="Arial" w:cs="Arial"/>
          <w:color w:val="4C94D8" w:themeColor="text2" w:themeTint="80"/>
        </w:rPr>
      </w:pPr>
      <w:r w:rsidRPr="00051697">
        <w:rPr>
          <w:rFonts w:ascii="Arial" w:hAnsi="Arial" w:cs="Arial"/>
          <w:color w:val="4C94D8" w:themeColor="text2" w:themeTint="80"/>
        </w:rPr>
        <w:t xml:space="preserve">Legislation.gov.uk. (1984). </w:t>
      </w:r>
      <w:r w:rsidRPr="00051697">
        <w:rPr>
          <w:rFonts w:ascii="Arial" w:hAnsi="Arial" w:cs="Arial"/>
          <w:i/>
          <w:iCs/>
          <w:color w:val="4C94D8" w:themeColor="text2" w:themeTint="80"/>
        </w:rPr>
        <w:t>Police and Criminal Evidence Act 1984</w:t>
      </w:r>
      <w:r w:rsidRPr="00051697">
        <w:rPr>
          <w:rFonts w:ascii="Arial" w:hAnsi="Arial" w:cs="Arial"/>
          <w:color w:val="4C94D8" w:themeColor="text2" w:themeTint="80"/>
        </w:rPr>
        <w:t xml:space="preserve">. [online] Available at: </w:t>
      </w:r>
      <w:hyperlink r:id="rId14" w:history="1">
        <w:r w:rsidR="00183525" w:rsidRPr="00963F6A">
          <w:rPr>
            <w:rStyle w:val="Hyperlink"/>
            <w:rFonts w:ascii="Arial" w:hAnsi="Arial" w:cs="Arial"/>
            <w:color w:val="9ABFCA" w:themeColor="hyperlink" w:themeTint="80"/>
          </w:rPr>
          <w:t>https://www.legislation.gov.uk/ukpga/1984/60/contents</w:t>
        </w:r>
      </w:hyperlink>
      <w:r w:rsidR="00183525">
        <w:rPr>
          <w:rFonts w:ascii="Arial" w:hAnsi="Arial" w:cs="Arial"/>
          <w:color w:val="4C94D8" w:themeColor="text2" w:themeTint="80"/>
        </w:rPr>
        <w:t xml:space="preserve"> </w:t>
      </w:r>
      <w:r w:rsidRPr="00051697">
        <w:rPr>
          <w:rFonts w:ascii="Arial" w:hAnsi="Arial" w:cs="Arial"/>
          <w:color w:val="4C94D8" w:themeColor="text2" w:themeTint="80"/>
        </w:rPr>
        <w:t xml:space="preserve"> [Accessed 7 July 2026].</w:t>
      </w:r>
    </w:p>
    <w:p w14:paraId="07DC7736" w14:textId="5F5980F0" w:rsidR="00051697" w:rsidRPr="00051697" w:rsidRDefault="00051697" w:rsidP="00051697">
      <w:pPr>
        <w:spacing w:line="360" w:lineRule="auto"/>
        <w:rPr>
          <w:rFonts w:ascii="Arial" w:hAnsi="Arial" w:cs="Arial"/>
          <w:color w:val="4C94D8" w:themeColor="text2" w:themeTint="80"/>
        </w:rPr>
      </w:pPr>
      <w:r w:rsidRPr="00051697">
        <w:rPr>
          <w:rFonts w:ascii="Arial" w:hAnsi="Arial" w:cs="Arial"/>
          <w:color w:val="4C94D8" w:themeColor="text2" w:themeTint="80"/>
        </w:rPr>
        <w:t xml:space="preserve">NSPCC (2024). </w:t>
      </w:r>
      <w:r w:rsidRPr="00051697">
        <w:rPr>
          <w:rFonts w:ascii="Arial" w:hAnsi="Arial" w:cs="Arial"/>
          <w:i/>
          <w:iCs/>
          <w:color w:val="4C94D8" w:themeColor="text2" w:themeTint="80"/>
        </w:rPr>
        <w:t>Learning from Case Reviews</w:t>
      </w:r>
      <w:r>
        <w:rPr>
          <w:rFonts w:ascii="Arial" w:hAnsi="Arial" w:cs="Arial"/>
          <w:i/>
          <w:iCs/>
          <w:color w:val="4C94D8" w:themeColor="text2" w:themeTint="80"/>
        </w:rPr>
        <w:t>:</w:t>
      </w:r>
      <w:r w:rsidRPr="00051697">
        <w:rPr>
          <w:rFonts w:ascii="Arial" w:hAnsi="Arial" w:cs="Arial"/>
          <w:i/>
          <w:iCs/>
          <w:color w:val="4C94D8" w:themeColor="text2" w:themeTint="80"/>
        </w:rPr>
        <w:t xml:space="preserve"> Multi-agency Working and Information Sharing Multi-</w:t>
      </w:r>
      <w:proofErr w:type="gramStart"/>
      <w:r w:rsidRPr="00051697">
        <w:rPr>
          <w:rFonts w:ascii="Arial" w:hAnsi="Arial" w:cs="Arial"/>
          <w:i/>
          <w:iCs/>
          <w:color w:val="4C94D8" w:themeColor="text2" w:themeTint="80"/>
        </w:rPr>
        <w:t>agency</w:t>
      </w:r>
      <w:proofErr w:type="gramEnd"/>
      <w:r w:rsidRPr="00051697">
        <w:rPr>
          <w:rFonts w:ascii="Arial" w:hAnsi="Arial" w:cs="Arial"/>
          <w:i/>
          <w:iCs/>
          <w:color w:val="4C94D8" w:themeColor="text2" w:themeTint="80"/>
        </w:rPr>
        <w:t xml:space="preserve"> Working and Information sharing: Learning from Case Reviews Summary of Key Issues and Learning for Improved Practice around </w:t>
      </w:r>
      <w:r>
        <w:rPr>
          <w:rFonts w:ascii="Arial" w:hAnsi="Arial" w:cs="Arial"/>
          <w:i/>
          <w:iCs/>
          <w:color w:val="4C94D8" w:themeColor="text2" w:themeTint="80"/>
        </w:rPr>
        <w:t>Multi-agency</w:t>
      </w:r>
      <w:r w:rsidRPr="00051697">
        <w:rPr>
          <w:rFonts w:ascii="Arial" w:hAnsi="Arial" w:cs="Arial"/>
          <w:i/>
          <w:iCs/>
          <w:color w:val="4C94D8" w:themeColor="text2" w:themeTint="80"/>
        </w:rPr>
        <w:t xml:space="preserve"> Working and Information Sharing</w:t>
      </w:r>
      <w:r w:rsidRPr="00051697">
        <w:rPr>
          <w:rFonts w:ascii="Arial" w:hAnsi="Arial" w:cs="Arial"/>
          <w:color w:val="4C94D8" w:themeColor="text2" w:themeTint="80"/>
        </w:rPr>
        <w:t xml:space="preserve">. [online] Available at: </w:t>
      </w:r>
      <w:hyperlink r:id="rId15" w:history="1">
        <w:r w:rsidR="0047657E" w:rsidRPr="00963F6A">
          <w:rPr>
            <w:rStyle w:val="Hyperlink"/>
            <w:rFonts w:ascii="Arial" w:hAnsi="Arial" w:cs="Arial"/>
            <w:color w:val="9ABFCA" w:themeColor="hyperlink" w:themeTint="80"/>
          </w:rPr>
          <w:t>https://learning.nspcc.org.uk/media/gp0oqtpv/multi-agency-working-information-sharing-learning-from-case-reviews.pdf</w:t>
        </w:r>
      </w:hyperlink>
      <w:r w:rsidR="0047657E">
        <w:rPr>
          <w:rFonts w:ascii="Arial" w:hAnsi="Arial" w:cs="Arial"/>
          <w:color w:val="4C94D8" w:themeColor="text2" w:themeTint="80"/>
        </w:rPr>
        <w:t xml:space="preserve"> </w:t>
      </w:r>
      <w:r w:rsidRPr="00051697">
        <w:rPr>
          <w:rFonts w:ascii="Arial" w:hAnsi="Arial" w:cs="Arial"/>
          <w:color w:val="4C94D8" w:themeColor="text2" w:themeTint="80"/>
        </w:rPr>
        <w:t xml:space="preserve"> [Accessed 7 July 2026].</w:t>
      </w:r>
    </w:p>
    <w:p w14:paraId="2FD60652" w14:textId="5CE0651C" w:rsidR="00051697" w:rsidRPr="00051697" w:rsidRDefault="00051697" w:rsidP="00051697">
      <w:pPr>
        <w:spacing w:line="360" w:lineRule="auto"/>
        <w:rPr>
          <w:rFonts w:ascii="Arial" w:hAnsi="Arial" w:cs="Arial"/>
          <w:color w:val="4C94D8" w:themeColor="text2" w:themeTint="80"/>
        </w:rPr>
      </w:pPr>
      <w:r w:rsidRPr="00051697">
        <w:rPr>
          <w:rFonts w:ascii="Arial" w:hAnsi="Arial" w:cs="Arial"/>
          <w:color w:val="4C94D8" w:themeColor="text2" w:themeTint="80"/>
        </w:rPr>
        <w:t xml:space="preserve">Welsh Government (2014). </w:t>
      </w:r>
      <w:r w:rsidRPr="00051697">
        <w:rPr>
          <w:rFonts w:ascii="Arial" w:hAnsi="Arial" w:cs="Arial"/>
          <w:i/>
          <w:iCs/>
          <w:color w:val="4C94D8" w:themeColor="text2" w:themeTint="80"/>
        </w:rPr>
        <w:t>Social Services and Well-being (Wales) Act 2014</w:t>
      </w:r>
      <w:r w:rsidRPr="00051697">
        <w:rPr>
          <w:rFonts w:ascii="Arial" w:hAnsi="Arial" w:cs="Arial"/>
          <w:color w:val="4C94D8" w:themeColor="text2" w:themeTint="80"/>
        </w:rPr>
        <w:t xml:space="preserve">. [online] Legislation.gov.uk. Available at: </w:t>
      </w:r>
      <w:hyperlink r:id="rId16" w:history="1">
        <w:r w:rsidR="0047657E" w:rsidRPr="00963F6A">
          <w:rPr>
            <w:rStyle w:val="Hyperlink"/>
            <w:rFonts w:ascii="Arial" w:hAnsi="Arial" w:cs="Arial"/>
            <w:color w:val="9ABFCA" w:themeColor="hyperlink" w:themeTint="80"/>
          </w:rPr>
          <w:t>https://www.legislation.gov.uk/anaw/2014/4/contents</w:t>
        </w:r>
      </w:hyperlink>
      <w:r w:rsidR="0047657E">
        <w:rPr>
          <w:rFonts w:ascii="Arial" w:hAnsi="Arial" w:cs="Arial"/>
          <w:color w:val="4C94D8" w:themeColor="text2" w:themeTint="80"/>
        </w:rPr>
        <w:t xml:space="preserve"> </w:t>
      </w:r>
      <w:r w:rsidRPr="00051697">
        <w:rPr>
          <w:rFonts w:ascii="Arial" w:hAnsi="Arial" w:cs="Arial"/>
          <w:color w:val="4C94D8" w:themeColor="text2" w:themeTint="80"/>
        </w:rPr>
        <w:t xml:space="preserve"> [Accessed 7 July 2026].</w:t>
      </w:r>
    </w:p>
    <w:p w14:paraId="40BD3801" w14:textId="13F03F42" w:rsidR="00051697" w:rsidRPr="00051697" w:rsidRDefault="00051697" w:rsidP="00051697">
      <w:pPr>
        <w:spacing w:line="360" w:lineRule="auto"/>
        <w:rPr>
          <w:rFonts w:ascii="Arial" w:hAnsi="Arial" w:cs="Arial"/>
          <w:color w:val="4C94D8" w:themeColor="text2" w:themeTint="80"/>
        </w:rPr>
      </w:pPr>
      <w:r w:rsidRPr="00051697">
        <w:rPr>
          <w:rFonts w:ascii="Arial" w:hAnsi="Arial" w:cs="Arial"/>
          <w:color w:val="4C94D8" w:themeColor="text2" w:themeTint="80"/>
        </w:rPr>
        <w:t xml:space="preserve">Working Together to Safeguard Children 2026. (2026). [online] Available at: </w:t>
      </w:r>
      <w:hyperlink r:id="rId17" w:history="1">
        <w:r w:rsidR="0047657E" w:rsidRPr="00963F6A">
          <w:rPr>
            <w:rStyle w:val="Hyperlink"/>
            <w:rFonts w:ascii="Arial" w:hAnsi="Arial" w:cs="Arial"/>
            <w:color w:val="9ABFCA" w:themeColor="hyperlink" w:themeTint="80"/>
          </w:rPr>
          <w:t>https://assets.publishing.service.gov.uk/media/69fb1c28d0e316a40f269a5b/Working_together_to_safeguard_children_2026_a_guide_to_multi_agency_working.pdf</w:t>
        </w:r>
      </w:hyperlink>
      <w:r w:rsidR="0047657E">
        <w:rPr>
          <w:rFonts w:ascii="Arial" w:hAnsi="Arial" w:cs="Arial"/>
          <w:color w:val="4C94D8" w:themeColor="text2" w:themeTint="80"/>
        </w:rPr>
        <w:t xml:space="preserve"> </w:t>
      </w:r>
      <w:r w:rsidRPr="00051697">
        <w:rPr>
          <w:rFonts w:ascii="Arial" w:hAnsi="Arial" w:cs="Arial"/>
          <w:color w:val="4C94D8" w:themeColor="text2" w:themeTint="80"/>
        </w:rPr>
        <w:t xml:space="preserve"> [Accessed 7 July 2026].</w:t>
      </w:r>
    </w:p>
    <w:p w14:paraId="0ED03C0E" w14:textId="77777777" w:rsidR="00B77742" w:rsidRDefault="00B77742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p w14:paraId="66001B89" w14:textId="77777777" w:rsidR="00F464F8" w:rsidRDefault="00F464F8" w:rsidP="00654656">
      <w:pPr>
        <w:spacing w:line="360" w:lineRule="auto"/>
        <w:rPr>
          <w:rFonts w:ascii="Arial" w:hAnsi="Arial" w:cs="Arial"/>
          <w:color w:val="4C94D8" w:themeColor="text2" w:themeTint="80"/>
        </w:rPr>
      </w:pPr>
    </w:p>
    <w:sectPr w:rsidR="00F464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0DD2"/>
    <w:rsid w:val="00034A6D"/>
    <w:rsid w:val="00042F09"/>
    <w:rsid w:val="00051697"/>
    <w:rsid w:val="0008260E"/>
    <w:rsid w:val="000A0479"/>
    <w:rsid w:val="000A2C41"/>
    <w:rsid w:val="000F0DD2"/>
    <w:rsid w:val="000F55B3"/>
    <w:rsid w:val="00104512"/>
    <w:rsid w:val="00146C56"/>
    <w:rsid w:val="00167D2A"/>
    <w:rsid w:val="001756CB"/>
    <w:rsid w:val="00182B2D"/>
    <w:rsid w:val="00183525"/>
    <w:rsid w:val="0018760A"/>
    <w:rsid w:val="001A26F4"/>
    <w:rsid w:val="001A307B"/>
    <w:rsid w:val="001B4550"/>
    <w:rsid w:val="00213FFC"/>
    <w:rsid w:val="00232F7A"/>
    <w:rsid w:val="0029287C"/>
    <w:rsid w:val="002A517B"/>
    <w:rsid w:val="002D53D4"/>
    <w:rsid w:val="00326164"/>
    <w:rsid w:val="00362533"/>
    <w:rsid w:val="00362A27"/>
    <w:rsid w:val="00370166"/>
    <w:rsid w:val="003847D1"/>
    <w:rsid w:val="003A6CFF"/>
    <w:rsid w:val="003F2AA9"/>
    <w:rsid w:val="0040248D"/>
    <w:rsid w:val="0042344A"/>
    <w:rsid w:val="00441CBE"/>
    <w:rsid w:val="004535E1"/>
    <w:rsid w:val="00455D83"/>
    <w:rsid w:val="0047548E"/>
    <w:rsid w:val="0047657E"/>
    <w:rsid w:val="004A079C"/>
    <w:rsid w:val="004A13EF"/>
    <w:rsid w:val="004C4DE3"/>
    <w:rsid w:val="005079C3"/>
    <w:rsid w:val="00514B2B"/>
    <w:rsid w:val="005207FB"/>
    <w:rsid w:val="005256C8"/>
    <w:rsid w:val="00550971"/>
    <w:rsid w:val="00595765"/>
    <w:rsid w:val="005A38F5"/>
    <w:rsid w:val="005C4ECC"/>
    <w:rsid w:val="005D5609"/>
    <w:rsid w:val="006030C0"/>
    <w:rsid w:val="006129AE"/>
    <w:rsid w:val="00613230"/>
    <w:rsid w:val="00654656"/>
    <w:rsid w:val="00677D9D"/>
    <w:rsid w:val="006803A1"/>
    <w:rsid w:val="006D2B10"/>
    <w:rsid w:val="0073372B"/>
    <w:rsid w:val="00735B0A"/>
    <w:rsid w:val="00783A28"/>
    <w:rsid w:val="0078671E"/>
    <w:rsid w:val="00847CCB"/>
    <w:rsid w:val="00864775"/>
    <w:rsid w:val="008919EC"/>
    <w:rsid w:val="008A1377"/>
    <w:rsid w:val="008E445B"/>
    <w:rsid w:val="008F38CD"/>
    <w:rsid w:val="00965930"/>
    <w:rsid w:val="009A76FF"/>
    <w:rsid w:val="009B0C39"/>
    <w:rsid w:val="009C1783"/>
    <w:rsid w:val="009E65E5"/>
    <w:rsid w:val="00A24472"/>
    <w:rsid w:val="00A26267"/>
    <w:rsid w:val="00A82B59"/>
    <w:rsid w:val="00AB2AC8"/>
    <w:rsid w:val="00AD626D"/>
    <w:rsid w:val="00AD769F"/>
    <w:rsid w:val="00B74036"/>
    <w:rsid w:val="00B77742"/>
    <w:rsid w:val="00B93CF0"/>
    <w:rsid w:val="00BE6702"/>
    <w:rsid w:val="00BF10BD"/>
    <w:rsid w:val="00C06A96"/>
    <w:rsid w:val="00C16131"/>
    <w:rsid w:val="00CB5115"/>
    <w:rsid w:val="00CC25AC"/>
    <w:rsid w:val="00CC508E"/>
    <w:rsid w:val="00CE68D5"/>
    <w:rsid w:val="00D0387F"/>
    <w:rsid w:val="00D0439E"/>
    <w:rsid w:val="00D33D14"/>
    <w:rsid w:val="00D35E79"/>
    <w:rsid w:val="00D40345"/>
    <w:rsid w:val="00D50787"/>
    <w:rsid w:val="00DA50E8"/>
    <w:rsid w:val="00DA56C1"/>
    <w:rsid w:val="00DD13E0"/>
    <w:rsid w:val="00E211CD"/>
    <w:rsid w:val="00E23B40"/>
    <w:rsid w:val="00E23F4F"/>
    <w:rsid w:val="00E370E5"/>
    <w:rsid w:val="00E71E9D"/>
    <w:rsid w:val="00E73F7F"/>
    <w:rsid w:val="00EE7EAC"/>
    <w:rsid w:val="00F462DB"/>
    <w:rsid w:val="00F464F8"/>
    <w:rsid w:val="00F844BC"/>
    <w:rsid w:val="00FA41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A5DFC1"/>
  <w15:chartTrackingRefBased/>
  <w15:docId w15:val="{10B142D1-101A-4E02-919F-8DC8FE0FB4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0D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0D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0D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0D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0D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0D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0D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0D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0D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0D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0D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0D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0D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0D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0D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0D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0D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0D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0D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0D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0D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0D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0D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0D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0D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0D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0D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0D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0DD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55D8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5D8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35B0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paed.2017.12.008" TargetMode="External"/><Relationship Id="rId13" Type="http://schemas.openxmlformats.org/officeDocument/2006/relationships/hyperlink" Target="https://assets.publishing.service.gov.uk/media/5a7c5edeed915d696ccfc51b/5730.pdf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era.ioe.ac.uk/id/eprint/8646/1/12_03_09_children.pdf" TargetMode="External"/><Relationship Id="rId17" Type="http://schemas.openxmlformats.org/officeDocument/2006/relationships/hyperlink" Target="https://assets.publishing.service.gov.uk/media/69fb1c28d0e316a40f269a5b/Working_together_to_safeguard_children_2026_a_guide_to_multi_agency_working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anaw/2014/4/contents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gislation.gov.uk/ukpga/2021/17/contents" TargetMode="External"/><Relationship Id="rId5" Type="http://schemas.openxmlformats.org/officeDocument/2006/relationships/styles" Target="styles.xml"/><Relationship Id="rId15" Type="http://schemas.openxmlformats.org/officeDocument/2006/relationships/hyperlink" Target="https://learning.nspcc.org.uk/media/gp0oqtpv/multi-agency-working-information-sharing-learning-from-case-reviews.pdf" TargetMode="External"/><Relationship Id="rId10" Type="http://schemas.openxmlformats.org/officeDocument/2006/relationships/hyperlink" Target="https://www.legislation.gov.uk/ukpga/2004/31/contents" TargetMode="Externa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hyperlink" Target="https://www.legislation.gov.uk/ukpga/1989/41/contents" TargetMode="External"/><Relationship Id="rId14" Type="http://schemas.openxmlformats.org/officeDocument/2006/relationships/hyperlink" Target="https://www.legislation.gov.uk/ukpga/1984/60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4413d3bb90c24f36f4cc1c6b15644446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df50496fc4bd4759250e5241ee64565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17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5ECCBA8-7FF9-48B7-BBB0-AFA44CADA1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B6A2810-724E-48DB-9DA8-2CCC6BE84C2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65F82D6-6A24-43DF-85E3-DD200A359C6B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4.xml><?xml version="1.0" encoding="utf-8"?>
<ds:datastoreItem xmlns:ds="http://schemas.openxmlformats.org/officeDocument/2006/customXml" ds:itemID="{2799F2ED-7160-4C9A-A6C1-F55FA9C47E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1130</Words>
  <Characters>6704</Characters>
  <Application>Microsoft Office Word</Application>
  <DocSecurity>0</DocSecurity>
  <Lines>91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Eileen Broder</dc:creator>
  <cp:keywords/>
  <dc:description/>
  <cp:lastModifiedBy>Eileen Broder</cp:lastModifiedBy>
  <cp:revision>100</cp:revision>
  <cp:lastPrinted>2026-07-09T15:41:00Z</cp:lastPrinted>
  <dcterms:created xsi:type="dcterms:W3CDTF">2026-07-04T17:06:00Z</dcterms:created>
  <dcterms:modified xsi:type="dcterms:W3CDTF">2026-07-10T16:57:00Z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a0874861-7e1a-4160-b186-873178e365c1</vt:lpwstr>
  </property>
  <property fmtid="{D5CDD505-2E9C-101B-9397-08002B2CF9AE}" pid="3" name="ContentTypeId">
    <vt:lpwstr>0x01010060C4E9246EAD664A9A522726E403CA17</vt:lpwstr>
  </property>
</Properties>
</file>