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FC6C67" w14:textId="77777777" w:rsidR="0062018F" w:rsidRDefault="0062018F" w:rsidP="0062018F">
      <w:pPr>
        <w:spacing w:after="160" w:line="278" w:lineRule="auto"/>
        <w:jc w:val="center"/>
        <w:rPr>
          <w:rFonts w:eastAsiaTheme="minorEastAsia"/>
          <w:lang w:val="en-US"/>
        </w:rPr>
      </w:pPr>
      <w:r>
        <w:rPr>
          <w:rFonts w:eastAsiaTheme="minorEastAsia"/>
          <w:noProof/>
          <w:lang w:val="en-US"/>
          <w14:ligatures w14:val="standardContextual"/>
        </w:rPr>
        <w:drawing>
          <wp:inline distT="0" distB="0" distL="0" distR="0" wp14:anchorId="0537D005" wp14:editId="4933F37B">
            <wp:extent cx="2247900" cy="901700"/>
            <wp:effectExtent l="0" t="0" r="0" b="0"/>
            <wp:docPr id="1962377121" name="Picture 9"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377121" name="Picture 9" descr="A close-up of a sig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247900" cy="901700"/>
                    </a:xfrm>
                    <a:prstGeom prst="rect">
                      <a:avLst/>
                    </a:prstGeom>
                  </pic:spPr>
                </pic:pic>
              </a:graphicData>
            </a:graphic>
          </wp:inline>
        </w:drawing>
      </w:r>
    </w:p>
    <w:p w14:paraId="7EFD69A6" w14:textId="0A9A8B98" w:rsidR="0062018F" w:rsidRDefault="0062018F" w:rsidP="0062018F">
      <w:pPr>
        <w:spacing w:after="160" w:line="360" w:lineRule="auto"/>
        <w:jc w:val="center"/>
        <w:rPr>
          <w:rFonts w:ascii="Arial" w:eastAsiaTheme="minorEastAsia" w:hAnsi="Arial" w:cs="Arial"/>
          <w:sz w:val="22"/>
          <w:szCs w:val="22"/>
          <w:lang w:val="en-US"/>
        </w:rPr>
      </w:pPr>
      <w:proofErr w:type="spellStart"/>
      <w:r>
        <w:rPr>
          <w:rFonts w:ascii="Arial" w:eastAsiaTheme="minorEastAsia" w:hAnsi="Arial" w:cs="Arial"/>
          <w:sz w:val="22"/>
          <w:szCs w:val="22"/>
          <w:lang w:val="en-US"/>
        </w:rPr>
        <w:t>Programme</w:t>
      </w:r>
      <w:proofErr w:type="spellEnd"/>
      <w:r>
        <w:rPr>
          <w:rFonts w:ascii="Arial" w:eastAsiaTheme="minorEastAsia" w:hAnsi="Arial" w:cs="Arial"/>
          <w:sz w:val="22"/>
          <w:szCs w:val="22"/>
          <w:lang w:val="en-US"/>
        </w:rPr>
        <w:t xml:space="preserve">: </w:t>
      </w:r>
      <w:r w:rsidRPr="00D56A6E">
        <w:rPr>
          <w:rFonts w:ascii="Arial" w:eastAsiaTheme="minorEastAsia" w:hAnsi="Arial" w:cs="Arial"/>
          <w:b/>
          <w:bCs/>
          <w:sz w:val="22"/>
          <w:szCs w:val="22"/>
          <w:lang w:val="en-US"/>
        </w:rPr>
        <w:t xml:space="preserve">MBA- </w:t>
      </w:r>
      <w:proofErr w:type="gramStart"/>
      <w:r w:rsidRPr="00D56A6E">
        <w:rPr>
          <w:rFonts w:ascii="Arial" w:eastAsiaTheme="minorEastAsia" w:hAnsi="Arial" w:cs="Arial"/>
          <w:b/>
          <w:bCs/>
          <w:sz w:val="22"/>
          <w:szCs w:val="22"/>
          <w:lang w:val="en-US"/>
        </w:rPr>
        <w:t>Masters of Business Administration</w:t>
      </w:r>
      <w:proofErr w:type="gramEnd"/>
      <w:r>
        <w:rPr>
          <w:rFonts w:ascii="Arial" w:eastAsiaTheme="minorEastAsia" w:hAnsi="Arial" w:cs="Arial"/>
          <w:sz w:val="22"/>
          <w:szCs w:val="22"/>
          <w:lang w:val="en-US"/>
        </w:rPr>
        <w:t xml:space="preserve">  </w:t>
      </w:r>
      <w:r>
        <w:rPr>
          <w:rFonts w:ascii="Arial" w:eastAsiaTheme="minorEastAsia" w:hAnsi="Arial" w:cs="Arial"/>
          <w:sz w:val="22"/>
          <w:szCs w:val="22"/>
          <w:lang w:val="en-US"/>
        </w:rPr>
        <w:tab/>
      </w:r>
    </w:p>
    <w:p w14:paraId="367FC145" w14:textId="67BA7EF9" w:rsidR="0062018F" w:rsidRPr="0062018F" w:rsidRDefault="0062018F" w:rsidP="0062018F">
      <w:pPr>
        <w:spacing w:after="160" w:line="360" w:lineRule="auto"/>
        <w:jc w:val="center"/>
        <w:rPr>
          <w:rFonts w:ascii="Arial" w:eastAsiaTheme="minorEastAsia" w:hAnsi="Arial" w:cs="Arial"/>
          <w:sz w:val="22"/>
          <w:szCs w:val="22"/>
          <w:lang w:val="en-US"/>
        </w:rPr>
      </w:pPr>
      <w:r w:rsidRPr="004F2757">
        <w:rPr>
          <w:rFonts w:ascii="Arial" w:eastAsiaTheme="minorEastAsia" w:hAnsi="Arial" w:cs="Arial"/>
          <w:sz w:val="22"/>
          <w:szCs w:val="22"/>
          <w:lang w:val="en-US"/>
        </w:rPr>
        <w:t xml:space="preserve">Module: </w:t>
      </w:r>
      <w:r w:rsidRPr="00D56A6E">
        <w:rPr>
          <w:rFonts w:ascii="Arial" w:eastAsiaTheme="minorEastAsia" w:hAnsi="Arial" w:cs="Arial"/>
          <w:b/>
          <w:bCs/>
          <w:sz w:val="22"/>
          <w:szCs w:val="22"/>
          <w:lang w:val="en-US"/>
        </w:rPr>
        <w:t>Financial Management</w:t>
      </w:r>
      <w:r>
        <w:rPr>
          <w:rFonts w:ascii="Arial" w:eastAsiaTheme="minorEastAsia" w:hAnsi="Arial" w:cs="Arial"/>
          <w:sz w:val="22"/>
          <w:szCs w:val="22"/>
          <w:lang w:val="en-US"/>
        </w:rPr>
        <w:t xml:space="preserve"> </w:t>
      </w:r>
    </w:p>
    <w:p w14:paraId="46A9B930" w14:textId="50F6A406" w:rsidR="0062018F" w:rsidRPr="004F2757" w:rsidRDefault="0062018F" w:rsidP="0062018F">
      <w:pPr>
        <w:spacing w:after="160" w:line="360" w:lineRule="auto"/>
        <w:jc w:val="center"/>
        <w:rPr>
          <w:rFonts w:ascii="Arial" w:hAnsi="Arial" w:cs="Arial"/>
          <w:sz w:val="22"/>
          <w:szCs w:val="22"/>
        </w:rPr>
      </w:pPr>
      <w:r w:rsidRPr="004F2757">
        <w:rPr>
          <w:rFonts w:ascii="Arial" w:eastAsiaTheme="minorEastAsia" w:hAnsi="Arial" w:cs="Arial"/>
          <w:sz w:val="22"/>
          <w:szCs w:val="22"/>
          <w:lang w:val="en-US"/>
        </w:rPr>
        <w:t>Module code: LCMB70</w:t>
      </w:r>
      <w:r>
        <w:rPr>
          <w:rFonts w:ascii="Arial" w:eastAsiaTheme="minorEastAsia" w:hAnsi="Arial" w:cs="Arial"/>
          <w:sz w:val="22"/>
          <w:szCs w:val="22"/>
          <w:lang w:val="en-US"/>
        </w:rPr>
        <w:t>02</w:t>
      </w:r>
    </w:p>
    <w:p w14:paraId="78324572" w14:textId="2E532515" w:rsidR="0062018F" w:rsidRPr="004F2757" w:rsidRDefault="0062018F" w:rsidP="0062018F">
      <w:pPr>
        <w:spacing w:after="160" w:line="360" w:lineRule="auto"/>
        <w:jc w:val="center"/>
        <w:rPr>
          <w:rFonts w:ascii="Arial" w:hAnsi="Arial" w:cs="Arial"/>
          <w:sz w:val="22"/>
          <w:szCs w:val="22"/>
        </w:rPr>
      </w:pPr>
      <w:r w:rsidRPr="004F2757">
        <w:rPr>
          <w:rFonts w:ascii="Arial" w:eastAsiaTheme="minorEastAsia" w:hAnsi="Arial" w:cs="Arial"/>
          <w:sz w:val="22"/>
          <w:szCs w:val="22"/>
          <w:lang w:val="en-US"/>
        </w:rPr>
        <w:t xml:space="preserve">Lecturer: </w:t>
      </w:r>
      <w:r>
        <w:rPr>
          <w:rFonts w:ascii="Arial" w:eastAsiaTheme="minorEastAsia" w:hAnsi="Arial" w:cs="Arial"/>
          <w:sz w:val="22"/>
          <w:szCs w:val="22"/>
          <w:lang w:val="en-US"/>
        </w:rPr>
        <w:t>David Coker</w:t>
      </w:r>
    </w:p>
    <w:p w14:paraId="3B9F0C8B" w14:textId="06B32E44" w:rsidR="0062018F" w:rsidRDefault="0062018F" w:rsidP="0062018F">
      <w:pPr>
        <w:spacing w:line="360" w:lineRule="auto"/>
        <w:jc w:val="center"/>
        <w:rPr>
          <w:rFonts w:ascii="Arial" w:eastAsiaTheme="minorEastAsia" w:hAnsi="Arial" w:cs="Arial"/>
          <w:sz w:val="22"/>
          <w:szCs w:val="22"/>
          <w:lang w:val="en-US"/>
        </w:rPr>
      </w:pPr>
      <w:r w:rsidRPr="004F2757">
        <w:rPr>
          <w:rFonts w:ascii="Arial" w:eastAsiaTheme="minorEastAsia" w:hAnsi="Arial" w:cs="Arial"/>
          <w:sz w:val="22"/>
          <w:szCs w:val="22"/>
          <w:lang w:val="en-US"/>
        </w:rPr>
        <w:t xml:space="preserve">Assignment title: </w:t>
      </w:r>
      <w:r>
        <w:rPr>
          <w:rFonts w:ascii="Arial" w:eastAsiaTheme="minorEastAsia" w:hAnsi="Arial" w:cs="Arial"/>
          <w:sz w:val="22"/>
          <w:szCs w:val="22"/>
          <w:lang w:val="en-US"/>
        </w:rPr>
        <w:t xml:space="preserve">Financial Management </w:t>
      </w:r>
    </w:p>
    <w:p w14:paraId="5E8137CA" w14:textId="77777777" w:rsidR="0062018F" w:rsidRPr="002A0ED6" w:rsidRDefault="0062018F" w:rsidP="0062018F">
      <w:pPr>
        <w:spacing w:line="360" w:lineRule="auto"/>
        <w:jc w:val="center"/>
        <w:rPr>
          <w:rFonts w:ascii="Arial" w:hAnsi="Arial" w:cs="Arial"/>
          <w:sz w:val="22"/>
          <w:szCs w:val="22"/>
          <w:lang w:val="en-US"/>
        </w:rPr>
      </w:pPr>
    </w:p>
    <w:p w14:paraId="5FB0FA26" w14:textId="77777777" w:rsidR="0062018F" w:rsidRPr="00D157A2" w:rsidRDefault="0062018F" w:rsidP="0062018F">
      <w:pPr>
        <w:spacing w:after="160" w:line="360" w:lineRule="auto"/>
        <w:jc w:val="center"/>
        <w:rPr>
          <w:rFonts w:ascii="Arial" w:hAnsi="Arial" w:cs="Arial"/>
          <w:b/>
          <w:bCs/>
          <w:sz w:val="32"/>
          <w:szCs w:val="32"/>
        </w:rPr>
      </w:pPr>
      <w:r w:rsidRPr="00D157A2">
        <w:rPr>
          <w:rFonts w:ascii="Arial" w:eastAsiaTheme="minorEastAsia" w:hAnsi="Arial" w:cs="Arial"/>
          <w:b/>
          <w:bCs/>
          <w:sz w:val="32"/>
          <w:szCs w:val="32"/>
          <w:lang w:val="en-US"/>
        </w:rPr>
        <w:t xml:space="preserve">Student: Marie </w:t>
      </w:r>
      <w:proofErr w:type="spellStart"/>
      <w:r w:rsidRPr="00D157A2">
        <w:rPr>
          <w:rFonts w:ascii="Arial" w:eastAsiaTheme="minorEastAsia" w:hAnsi="Arial" w:cs="Arial"/>
          <w:b/>
          <w:bCs/>
          <w:sz w:val="32"/>
          <w:szCs w:val="32"/>
          <w:lang w:val="en-US"/>
        </w:rPr>
        <w:t>Jandova</w:t>
      </w:r>
      <w:proofErr w:type="spellEnd"/>
    </w:p>
    <w:p w14:paraId="237972DA" w14:textId="77777777" w:rsidR="0062018F" w:rsidRPr="00D157A2" w:rsidRDefault="0062018F" w:rsidP="0062018F">
      <w:pPr>
        <w:spacing w:line="360" w:lineRule="auto"/>
        <w:jc w:val="center"/>
        <w:rPr>
          <w:rFonts w:ascii="Arial" w:eastAsiaTheme="minorEastAsia" w:hAnsi="Arial" w:cs="Arial"/>
          <w:b/>
          <w:bCs/>
          <w:sz w:val="32"/>
          <w:szCs w:val="32"/>
          <w:lang w:val="en-US"/>
        </w:rPr>
      </w:pPr>
      <w:r w:rsidRPr="00D157A2">
        <w:rPr>
          <w:rFonts w:ascii="Arial" w:eastAsiaTheme="minorEastAsia" w:hAnsi="Arial" w:cs="Arial"/>
          <w:b/>
          <w:bCs/>
          <w:sz w:val="32"/>
          <w:szCs w:val="32"/>
          <w:lang w:val="en-US"/>
        </w:rPr>
        <w:t>Student number: 2020984</w:t>
      </w:r>
    </w:p>
    <w:p w14:paraId="69B25879" w14:textId="77777777" w:rsidR="002A5D41" w:rsidRDefault="002A5D41" w:rsidP="002B007C">
      <w:pPr>
        <w:spacing w:line="360" w:lineRule="auto"/>
        <w:rPr>
          <w:rFonts w:ascii="Arial" w:eastAsiaTheme="minorEastAsia" w:hAnsi="Arial" w:cs="Arial"/>
          <w:b/>
          <w:bCs/>
          <w:sz w:val="22"/>
          <w:szCs w:val="22"/>
          <w:lang w:val="en-US"/>
        </w:rPr>
      </w:pPr>
    </w:p>
    <w:p w14:paraId="5F9F1FEB" w14:textId="7AAFA202" w:rsidR="002A5D41" w:rsidRPr="002B007C" w:rsidRDefault="0017163F" w:rsidP="0062018F">
      <w:pPr>
        <w:spacing w:line="360" w:lineRule="auto"/>
        <w:jc w:val="center"/>
        <w:rPr>
          <w:rFonts w:ascii="Arial" w:eastAsiaTheme="minorEastAsia" w:hAnsi="Arial" w:cs="Arial"/>
          <w:b/>
          <w:bCs/>
          <w:sz w:val="36"/>
          <w:szCs w:val="36"/>
          <w:lang w:val="en-US"/>
        </w:rPr>
      </w:pPr>
      <w:r w:rsidRPr="002B007C">
        <w:rPr>
          <w:rFonts w:ascii="Arial" w:eastAsiaTheme="minorEastAsia" w:hAnsi="Arial" w:cs="Arial"/>
          <w:b/>
          <w:bCs/>
          <w:sz w:val="36"/>
          <w:szCs w:val="36"/>
          <w:lang w:val="en-US"/>
        </w:rPr>
        <w:t xml:space="preserve">Financial Report </w:t>
      </w:r>
      <w:r w:rsidR="002A5D41" w:rsidRPr="002B007C">
        <w:rPr>
          <w:rFonts w:ascii="Arial" w:eastAsiaTheme="minorEastAsia" w:hAnsi="Arial" w:cs="Arial"/>
          <w:b/>
          <w:bCs/>
          <w:sz w:val="36"/>
          <w:szCs w:val="36"/>
          <w:lang w:val="en-US"/>
        </w:rPr>
        <w:t xml:space="preserve">Visa Inc. </w:t>
      </w:r>
      <w:r w:rsidRPr="002B007C">
        <w:rPr>
          <w:rFonts w:ascii="Arial" w:eastAsiaTheme="minorEastAsia" w:hAnsi="Arial" w:cs="Arial"/>
          <w:b/>
          <w:bCs/>
          <w:sz w:val="36"/>
          <w:szCs w:val="36"/>
          <w:lang w:val="en-US"/>
        </w:rPr>
        <w:t>2023</w:t>
      </w:r>
    </w:p>
    <w:p w14:paraId="2F09C6C4" w14:textId="251B1A9B" w:rsidR="0017163F" w:rsidRPr="002B007C" w:rsidRDefault="0017163F" w:rsidP="0062018F">
      <w:pPr>
        <w:spacing w:line="360" w:lineRule="auto"/>
        <w:jc w:val="center"/>
        <w:rPr>
          <w:rFonts w:ascii="Arial" w:eastAsiaTheme="minorEastAsia" w:hAnsi="Arial" w:cs="Arial"/>
          <w:b/>
          <w:bCs/>
          <w:sz w:val="36"/>
          <w:szCs w:val="36"/>
          <w:lang w:val="en-US"/>
        </w:rPr>
      </w:pPr>
      <w:r w:rsidRPr="002B007C">
        <w:rPr>
          <w:rFonts w:ascii="Arial" w:eastAsiaTheme="minorEastAsia" w:hAnsi="Arial" w:cs="Arial"/>
          <w:b/>
          <w:bCs/>
          <w:sz w:val="36"/>
          <w:szCs w:val="36"/>
          <w:lang w:val="en-US"/>
        </w:rPr>
        <w:t>&amp;</w:t>
      </w:r>
    </w:p>
    <w:p w14:paraId="77E6C8F3" w14:textId="76AED0FF" w:rsidR="0062018F" w:rsidRPr="002B007C" w:rsidRDefault="0017163F" w:rsidP="002B007C">
      <w:pPr>
        <w:spacing w:line="360" w:lineRule="auto"/>
        <w:jc w:val="center"/>
        <w:rPr>
          <w:rFonts w:ascii="Arial" w:eastAsiaTheme="minorEastAsia" w:hAnsi="Arial" w:cs="Arial"/>
          <w:b/>
          <w:bCs/>
          <w:sz w:val="36"/>
          <w:szCs w:val="36"/>
          <w:lang w:val="en-US"/>
        </w:rPr>
      </w:pPr>
      <w:r w:rsidRPr="002B007C">
        <w:rPr>
          <w:rFonts w:ascii="Arial" w:eastAsiaTheme="minorEastAsia" w:hAnsi="Arial" w:cs="Arial"/>
          <w:b/>
          <w:bCs/>
          <w:sz w:val="36"/>
          <w:szCs w:val="36"/>
          <w:lang w:val="en-US"/>
        </w:rPr>
        <w:t xml:space="preserve">Calculations </w:t>
      </w:r>
    </w:p>
    <w:p w14:paraId="0F06ED10" w14:textId="11329123" w:rsidR="000E367E" w:rsidRDefault="00D56A6E" w:rsidP="00D56A6E">
      <w:pPr>
        <w:spacing w:line="360" w:lineRule="auto"/>
        <w:rPr>
          <w:rFonts w:ascii="Arial" w:hAnsi="Arial" w:cs="Arial"/>
          <w:color w:val="000000" w:themeColor="text1"/>
          <w:sz w:val="22"/>
          <w:szCs w:val="22"/>
          <w:u w:val="single"/>
        </w:rPr>
      </w:pPr>
      <w:r w:rsidRPr="00D56A6E">
        <w:rPr>
          <w:rFonts w:ascii="Arial" w:hAnsi="Arial" w:cs="Arial"/>
          <w:color w:val="000000" w:themeColor="text1"/>
          <w:sz w:val="22"/>
          <w:szCs w:val="22"/>
          <w:u w:val="single"/>
        </w:rPr>
        <w:t xml:space="preserve">Executive Summary </w:t>
      </w:r>
    </w:p>
    <w:p w14:paraId="0C32324D" w14:textId="77777777" w:rsidR="00D848DA" w:rsidRPr="00D848DA" w:rsidRDefault="00D848DA" w:rsidP="00D848DA">
      <w:pPr>
        <w:spacing w:line="360" w:lineRule="auto"/>
        <w:rPr>
          <w:rFonts w:ascii="Arial" w:hAnsi="Arial" w:cs="Arial"/>
          <w:color w:val="000000" w:themeColor="text1"/>
          <w:sz w:val="22"/>
          <w:szCs w:val="22"/>
        </w:rPr>
      </w:pPr>
      <w:r w:rsidRPr="00D848DA">
        <w:rPr>
          <w:rFonts w:ascii="Arial" w:hAnsi="Arial" w:cs="Arial"/>
          <w:color w:val="000000" w:themeColor="text1"/>
          <w:sz w:val="22"/>
          <w:szCs w:val="22"/>
        </w:rPr>
        <w:t>Following an industry overview and an analysis of major events impacting Visa Inc. over the past five years, this report evaluates the company's financial stability. The assessment reveals Visa Inc.'s robust financial performance in 2023, characterized by a strong return on assets (ROA), solid liquidity, and a moderate debt-to-equity ratio. With an impressive 19.1% ROA, a debt-to-equity ratio of 52%, and a current ratio of 1.5, Visa demonstrates efficient asset utilization and adeptness in meeting short-term obligations.</w:t>
      </w:r>
    </w:p>
    <w:p w14:paraId="7CC07E73" w14:textId="77777777" w:rsidR="00D848DA" w:rsidRPr="00D848DA" w:rsidRDefault="00D848DA" w:rsidP="00D848DA">
      <w:pPr>
        <w:spacing w:line="360" w:lineRule="auto"/>
        <w:rPr>
          <w:rFonts w:ascii="Arial" w:hAnsi="Arial" w:cs="Arial"/>
          <w:color w:val="000000" w:themeColor="text1"/>
          <w:sz w:val="22"/>
          <w:szCs w:val="22"/>
        </w:rPr>
      </w:pPr>
    </w:p>
    <w:p w14:paraId="18DB8880" w14:textId="14C4E569" w:rsidR="00DF076F" w:rsidRPr="00D848DA" w:rsidRDefault="00D848DA" w:rsidP="00D56A6E">
      <w:pPr>
        <w:spacing w:line="360" w:lineRule="auto"/>
        <w:rPr>
          <w:rFonts w:ascii="Arial" w:hAnsi="Arial" w:cs="Arial"/>
          <w:color w:val="000000" w:themeColor="text1"/>
          <w:sz w:val="22"/>
          <w:szCs w:val="22"/>
        </w:rPr>
      </w:pPr>
      <w:r w:rsidRPr="00D848DA">
        <w:rPr>
          <w:rFonts w:ascii="Arial" w:hAnsi="Arial" w:cs="Arial"/>
          <w:color w:val="000000" w:themeColor="text1"/>
          <w:sz w:val="22"/>
          <w:szCs w:val="22"/>
        </w:rPr>
        <w:t xml:space="preserve">Moreover, in addition to evaluating Visa Inc.'s financial stability, this report also assesses the potential success of two proposed projects, Project A and Project B, as outlined in Part C. The analysis indicates the </w:t>
      </w:r>
      <w:r w:rsidR="002230EB" w:rsidRPr="00D848DA">
        <w:rPr>
          <w:rFonts w:ascii="Arial" w:hAnsi="Arial" w:cs="Arial"/>
          <w:color w:val="000000" w:themeColor="text1"/>
          <w:sz w:val="22"/>
          <w:szCs w:val="22"/>
        </w:rPr>
        <w:t>favourability</w:t>
      </w:r>
      <w:r w:rsidRPr="00D848DA">
        <w:rPr>
          <w:rFonts w:ascii="Arial" w:hAnsi="Arial" w:cs="Arial"/>
          <w:color w:val="000000" w:themeColor="text1"/>
          <w:sz w:val="22"/>
          <w:szCs w:val="22"/>
        </w:rPr>
        <w:t xml:space="preserve"> of Project B over Project A across key financial metrics, including </w:t>
      </w:r>
      <w:r w:rsidR="002230EB">
        <w:rPr>
          <w:rFonts w:ascii="Arial" w:hAnsi="Arial" w:cs="Arial"/>
          <w:color w:val="000000" w:themeColor="text1"/>
          <w:sz w:val="22"/>
          <w:szCs w:val="22"/>
        </w:rPr>
        <w:t xml:space="preserve">the </w:t>
      </w:r>
      <w:r w:rsidRPr="00D848DA">
        <w:rPr>
          <w:rFonts w:ascii="Arial" w:hAnsi="Arial" w:cs="Arial"/>
          <w:color w:val="000000" w:themeColor="text1"/>
          <w:sz w:val="22"/>
          <w:szCs w:val="22"/>
        </w:rPr>
        <w:t>Payback Period (PBP), Accounting Rate of Return (ARR), and Net Present Value (NPV). Supported by detailed calculations and critical evaluation, the report provides evidence-backed insights into the comparative viability and potential impact of each project on Visa Inc.'s financial performance and strategic objectives.</w:t>
      </w:r>
    </w:p>
    <w:sdt>
      <w:sdtPr>
        <w:id w:val="1238598670"/>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14:paraId="26E8B851" w14:textId="41A653CF" w:rsidR="000E367E" w:rsidRDefault="000E367E">
          <w:pPr>
            <w:pStyle w:val="TOCHeading"/>
          </w:pPr>
          <w:r>
            <w:t>Table of Contents</w:t>
          </w:r>
        </w:p>
        <w:p w14:paraId="5BBC6584" w14:textId="5FC5503E" w:rsidR="000E367E" w:rsidRDefault="000E367E">
          <w:pPr>
            <w:pStyle w:val="TOC1"/>
            <w:tabs>
              <w:tab w:val="right" w:leader="dot" w:pos="9016"/>
            </w:tabs>
            <w:rPr>
              <w:rFonts w:eastAsiaTheme="minorEastAsia" w:cstheme="minorBidi"/>
              <w:b w:val="0"/>
              <w:bCs w:val="0"/>
              <w:i/>
              <w:iCs/>
              <w:noProof/>
              <w:kern w:val="2"/>
              <w14:ligatures w14:val="standardContextual"/>
            </w:rPr>
          </w:pPr>
          <w:r>
            <w:rPr>
              <w:b w:val="0"/>
              <w:bCs w:val="0"/>
            </w:rPr>
            <w:fldChar w:fldCharType="begin"/>
          </w:r>
          <w:r>
            <w:instrText xml:space="preserve"> TOC \o "1-3" \h \z \u </w:instrText>
          </w:r>
          <w:r>
            <w:rPr>
              <w:b w:val="0"/>
              <w:bCs w:val="0"/>
            </w:rPr>
            <w:fldChar w:fldCharType="separate"/>
          </w:r>
          <w:hyperlink w:anchor="_Toc164847600" w:history="1">
            <w:r w:rsidRPr="00D27CAA">
              <w:rPr>
                <w:rStyle w:val="Hyperlink"/>
                <w:noProof/>
              </w:rPr>
              <w:t>Introduction</w:t>
            </w:r>
            <w:r>
              <w:rPr>
                <w:noProof/>
                <w:webHidden/>
              </w:rPr>
              <w:tab/>
            </w:r>
            <w:r>
              <w:rPr>
                <w:noProof/>
                <w:webHidden/>
              </w:rPr>
              <w:fldChar w:fldCharType="begin"/>
            </w:r>
            <w:r>
              <w:rPr>
                <w:noProof/>
                <w:webHidden/>
              </w:rPr>
              <w:instrText xml:space="preserve"> PAGEREF _Toc164847600 \h </w:instrText>
            </w:r>
            <w:r>
              <w:rPr>
                <w:noProof/>
                <w:webHidden/>
              </w:rPr>
            </w:r>
            <w:r>
              <w:rPr>
                <w:noProof/>
                <w:webHidden/>
              </w:rPr>
              <w:fldChar w:fldCharType="separate"/>
            </w:r>
            <w:r>
              <w:rPr>
                <w:noProof/>
                <w:webHidden/>
              </w:rPr>
              <w:t>1</w:t>
            </w:r>
            <w:r>
              <w:rPr>
                <w:noProof/>
                <w:webHidden/>
              </w:rPr>
              <w:fldChar w:fldCharType="end"/>
            </w:r>
          </w:hyperlink>
        </w:p>
        <w:p w14:paraId="658F4F0B" w14:textId="6F9A027D" w:rsidR="000E367E" w:rsidRDefault="000E367E">
          <w:pPr>
            <w:pStyle w:val="TOC2"/>
            <w:tabs>
              <w:tab w:val="right" w:leader="dot" w:pos="9016"/>
            </w:tabs>
            <w:rPr>
              <w:rFonts w:eastAsiaTheme="minorEastAsia" w:cstheme="minorBidi"/>
              <w:b w:val="0"/>
              <w:bCs w:val="0"/>
              <w:noProof/>
              <w:kern w:val="2"/>
              <w:sz w:val="24"/>
              <w:szCs w:val="24"/>
              <w14:ligatures w14:val="standardContextual"/>
            </w:rPr>
          </w:pPr>
          <w:hyperlink w:anchor="_Toc164847601" w:history="1">
            <w:r w:rsidRPr="00D27CAA">
              <w:rPr>
                <w:rStyle w:val="Hyperlink"/>
                <w:noProof/>
              </w:rPr>
              <w:t>Industry Overview</w:t>
            </w:r>
            <w:r>
              <w:rPr>
                <w:noProof/>
                <w:webHidden/>
              </w:rPr>
              <w:tab/>
            </w:r>
            <w:r>
              <w:rPr>
                <w:noProof/>
                <w:webHidden/>
              </w:rPr>
              <w:fldChar w:fldCharType="begin"/>
            </w:r>
            <w:r>
              <w:rPr>
                <w:noProof/>
                <w:webHidden/>
              </w:rPr>
              <w:instrText xml:space="preserve"> PAGEREF _Toc164847601 \h </w:instrText>
            </w:r>
            <w:r>
              <w:rPr>
                <w:noProof/>
                <w:webHidden/>
              </w:rPr>
            </w:r>
            <w:r>
              <w:rPr>
                <w:noProof/>
                <w:webHidden/>
              </w:rPr>
              <w:fldChar w:fldCharType="separate"/>
            </w:r>
            <w:r>
              <w:rPr>
                <w:noProof/>
                <w:webHidden/>
              </w:rPr>
              <w:t>2</w:t>
            </w:r>
            <w:r>
              <w:rPr>
                <w:noProof/>
                <w:webHidden/>
              </w:rPr>
              <w:fldChar w:fldCharType="end"/>
            </w:r>
          </w:hyperlink>
        </w:p>
        <w:p w14:paraId="45D84DE2" w14:textId="233416D9" w:rsidR="000E367E" w:rsidRDefault="000E367E">
          <w:pPr>
            <w:pStyle w:val="TOC2"/>
            <w:tabs>
              <w:tab w:val="right" w:leader="dot" w:pos="9016"/>
            </w:tabs>
            <w:rPr>
              <w:rFonts w:eastAsiaTheme="minorEastAsia" w:cstheme="minorBidi"/>
              <w:b w:val="0"/>
              <w:bCs w:val="0"/>
              <w:noProof/>
              <w:kern w:val="2"/>
              <w:sz w:val="24"/>
              <w:szCs w:val="24"/>
              <w14:ligatures w14:val="standardContextual"/>
            </w:rPr>
          </w:pPr>
          <w:hyperlink w:anchor="_Toc164847602" w:history="1">
            <w:r w:rsidRPr="00D27CAA">
              <w:rPr>
                <w:rStyle w:val="Hyperlink"/>
                <w:noProof/>
              </w:rPr>
              <w:t>Business Model</w:t>
            </w:r>
            <w:r>
              <w:rPr>
                <w:noProof/>
                <w:webHidden/>
              </w:rPr>
              <w:tab/>
            </w:r>
            <w:r>
              <w:rPr>
                <w:noProof/>
                <w:webHidden/>
              </w:rPr>
              <w:fldChar w:fldCharType="begin"/>
            </w:r>
            <w:r>
              <w:rPr>
                <w:noProof/>
                <w:webHidden/>
              </w:rPr>
              <w:instrText xml:space="preserve"> PAGEREF _Toc164847602 \h </w:instrText>
            </w:r>
            <w:r>
              <w:rPr>
                <w:noProof/>
                <w:webHidden/>
              </w:rPr>
            </w:r>
            <w:r>
              <w:rPr>
                <w:noProof/>
                <w:webHidden/>
              </w:rPr>
              <w:fldChar w:fldCharType="separate"/>
            </w:r>
            <w:r>
              <w:rPr>
                <w:noProof/>
                <w:webHidden/>
              </w:rPr>
              <w:t>2</w:t>
            </w:r>
            <w:r>
              <w:rPr>
                <w:noProof/>
                <w:webHidden/>
              </w:rPr>
              <w:fldChar w:fldCharType="end"/>
            </w:r>
          </w:hyperlink>
        </w:p>
        <w:p w14:paraId="1630BEBB" w14:textId="7A753967" w:rsidR="000E367E" w:rsidRDefault="000E367E">
          <w:pPr>
            <w:pStyle w:val="TOC2"/>
            <w:tabs>
              <w:tab w:val="right" w:leader="dot" w:pos="9016"/>
            </w:tabs>
            <w:rPr>
              <w:rFonts w:eastAsiaTheme="minorEastAsia" w:cstheme="minorBidi"/>
              <w:b w:val="0"/>
              <w:bCs w:val="0"/>
              <w:noProof/>
              <w:kern w:val="2"/>
              <w:sz w:val="24"/>
              <w:szCs w:val="24"/>
              <w14:ligatures w14:val="standardContextual"/>
            </w:rPr>
          </w:pPr>
          <w:hyperlink w:anchor="_Toc164847603" w:history="1">
            <w:r w:rsidRPr="00D27CAA">
              <w:rPr>
                <w:rStyle w:val="Hyperlink"/>
                <w:noProof/>
              </w:rPr>
              <w:t>Market Position and Major Competitors</w:t>
            </w:r>
            <w:r>
              <w:rPr>
                <w:noProof/>
                <w:webHidden/>
              </w:rPr>
              <w:tab/>
            </w:r>
            <w:r>
              <w:rPr>
                <w:noProof/>
                <w:webHidden/>
              </w:rPr>
              <w:fldChar w:fldCharType="begin"/>
            </w:r>
            <w:r>
              <w:rPr>
                <w:noProof/>
                <w:webHidden/>
              </w:rPr>
              <w:instrText xml:space="preserve"> PAGEREF _Toc164847603 \h </w:instrText>
            </w:r>
            <w:r>
              <w:rPr>
                <w:noProof/>
                <w:webHidden/>
              </w:rPr>
            </w:r>
            <w:r>
              <w:rPr>
                <w:noProof/>
                <w:webHidden/>
              </w:rPr>
              <w:fldChar w:fldCharType="separate"/>
            </w:r>
            <w:r>
              <w:rPr>
                <w:noProof/>
                <w:webHidden/>
              </w:rPr>
              <w:t>2</w:t>
            </w:r>
            <w:r>
              <w:rPr>
                <w:noProof/>
                <w:webHidden/>
              </w:rPr>
              <w:fldChar w:fldCharType="end"/>
            </w:r>
          </w:hyperlink>
        </w:p>
        <w:p w14:paraId="6711C76D" w14:textId="6694573C" w:rsidR="000E367E" w:rsidRDefault="000E367E">
          <w:pPr>
            <w:pStyle w:val="TOC2"/>
            <w:tabs>
              <w:tab w:val="right" w:leader="dot" w:pos="9016"/>
            </w:tabs>
            <w:rPr>
              <w:rFonts w:eastAsiaTheme="minorEastAsia" w:cstheme="minorBidi"/>
              <w:b w:val="0"/>
              <w:bCs w:val="0"/>
              <w:noProof/>
              <w:kern w:val="2"/>
              <w:sz w:val="24"/>
              <w:szCs w:val="24"/>
              <w14:ligatures w14:val="standardContextual"/>
            </w:rPr>
          </w:pPr>
          <w:hyperlink w:anchor="_Toc164847604" w:history="1">
            <w:r w:rsidRPr="00D27CAA">
              <w:rPr>
                <w:rStyle w:val="Hyperlink"/>
                <w:noProof/>
              </w:rPr>
              <w:t>Visa’s Major Events Over the Past 5 Years</w:t>
            </w:r>
            <w:r>
              <w:rPr>
                <w:noProof/>
                <w:webHidden/>
              </w:rPr>
              <w:tab/>
            </w:r>
            <w:r>
              <w:rPr>
                <w:noProof/>
                <w:webHidden/>
              </w:rPr>
              <w:fldChar w:fldCharType="begin"/>
            </w:r>
            <w:r>
              <w:rPr>
                <w:noProof/>
                <w:webHidden/>
              </w:rPr>
              <w:instrText xml:space="preserve"> PAGEREF _Toc164847604 \h </w:instrText>
            </w:r>
            <w:r>
              <w:rPr>
                <w:noProof/>
                <w:webHidden/>
              </w:rPr>
            </w:r>
            <w:r>
              <w:rPr>
                <w:noProof/>
                <w:webHidden/>
              </w:rPr>
              <w:fldChar w:fldCharType="separate"/>
            </w:r>
            <w:r>
              <w:rPr>
                <w:noProof/>
                <w:webHidden/>
              </w:rPr>
              <w:t>3</w:t>
            </w:r>
            <w:r>
              <w:rPr>
                <w:noProof/>
                <w:webHidden/>
              </w:rPr>
              <w:fldChar w:fldCharType="end"/>
            </w:r>
          </w:hyperlink>
        </w:p>
        <w:p w14:paraId="301C82FB" w14:textId="071610E8" w:rsidR="000E367E" w:rsidRDefault="000E367E">
          <w:pPr>
            <w:pStyle w:val="TOC1"/>
            <w:tabs>
              <w:tab w:val="right" w:leader="dot" w:pos="9016"/>
            </w:tabs>
            <w:rPr>
              <w:rFonts w:eastAsiaTheme="minorEastAsia" w:cstheme="minorBidi"/>
              <w:b w:val="0"/>
              <w:bCs w:val="0"/>
              <w:i/>
              <w:iCs/>
              <w:noProof/>
              <w:kern w:val="2"/>
              <w14:ligatures w14:val="standardContextual"/>
            </w:rPr>
          </w:pPr>
          <w:hyperlink w:anchor="_Toc164847605" w:history="1">
            <w:r w:rsidRPr="00D27CAA">
              <w:rPr>
                <w:rStyle w:val="Hyperlink"/>
                <w:noProof/>
              </w:rPr>
              <w:t>Critical review of the company’s financial performance 2023</w:t>
            </w:r>
            <w:r>
              <w:rPr>
                <w:noProof/>
                <w:webHidden/>
              </w:rPr>
              <w:tab/>
            </w:r>
            <w:r>
              <w:rPr>
                <w:noProof/>
                <w:webHidden/>
              </w:rPr>
              <w:fldChar w:fldCharType="begin"/>
            </w:r>
            <w:r>
              <w:rPr>
                <w:noProof/>
                <w:webHidden/>
              </w:rPr>
              <w:instrText xml:space="preserve"> PAGEREF _Toc164847605 \h </w:instrText>
            </w:r>
            <w:r>
              <w:rPr>
                <w:noProof/>
                <w:webHidden/>
              </w:rPr>
            </w:r>
            <w:r>
              <w:rPr>
                <w:noProof/>
                <w:webHidden/>
              </w:rPr>
              <w:fldChar w:fldCharType="separate"/>
            </w:r>
            <w:r>
              <w:rPr>
                <w:noProof/>
                <w:webHidden/>
              </w:rPr>
              <w:t>4</w:t>
            </w:r>
            <w:r>
              <w:rPr>
                <w:noProof/>
                <w:webHidden/>
              </w:rPr>
              <w:fldChar w:fldCharType="end"/>
            </w:r>
          </w:hyperlink>
        </w:p>
        <w:p w14:paraId="50D99D9E" w14:textId="4FAFD888" w:rsidR="000E367E" w:rsidRDefault="000E367E">
          <w:pPr>
            <w:pStyle w:val="TOC2"/>
            <w:tabs>
              <w:tab w:val="right" w:leader="dot" w:pos="9016"/>
            </w:tabs>
            <w:rPr>
              <w:rFonts w:eastAsiaTheme="minorEastAsia" w:cstheme="minorBidi"/>
              <w:b w:val="0"/>
              <w:bCs w:val="0"/>
              <w:noProof/>
              <w:kern w:val="2"/>
              <w:sz w:val="24"/>
              <w:szCs w:val="24"/>
              <w14:ligatures w14:val="standardContextual"/>
            </w:rPr>
          </w:pPr>
          <w:hyperlink w:anchor="_Toc164847606" w:history="1">
            <w:r w:rsidRPr="00D27CAA">
              <w:rPr>
                <w:rStyle w:val="Hyperlink"/>
                <w:noProof/>
              </w:rPr>
              <w:t>Conclusion</w:t>
            </w:r>
            <w:r>
              <w:rPr>
                <w:noProof/>
                <w:webHidden/>
              </w:rPr>
              <w:tab/>
            </w:r>
            <w:r>
              <w:rPr>
                <w:noProof/>
                <w:webHidden/>
              </w:rPr>
              <w:fldChar w:fldCharType="begin"/>
            </w:r>
            <w:r>
              <w:rPr>
                <w:noProof/>
                <w:webHidden/>
              </w:rPr>
              <w:instrText xml:space="preserve"> PAGEREF _Toc164847606 \h </w:instrText>
            </w:r>
            <w:r>
              <w:rPr>
                <w:noProof/>
                <w:webHidden/>
              </w:rPr>
            </w:r>
            <w:r>
              <w:rPr>
                <w:noProof/>
                <w:webHidden/>
              </w:rPr>
              <w:fldChar w:fldCharType="separate"/>
            </w:r>
            <w:r>
              <w:rPr>
                <w:noProof/>
                <w:webHidden/>
              </w:rPr>
              <w:t>11</w:t>
            </w:r>
            <w:r>
              <w:rPr>
                <w:noProof/>
                <w:webHidden/>
              </w:rPr>
              <w:fldChar w:fldCharType="end"/>
            </w:r>
          </w:hyperlink>
        </w:p>
        <w:p w14:paraId="47808659" w14:textId="58DF41E2" w:rsidR="000E367E" w:rsidRDefault="000E367E">
          <w:pPr>
            <w:pStyle w:val="TOC2"/>
            <w:tabs>
              <w:tab w:val="right" w:leader="dot" w:pos="9016"/>
            </w:tabs>
            <w:rPr>
              <w:rFonts w:eastAsiaTheme="minorEastAsia" w:cstheme="minorBidi"/>
              <w:b w:val="0"/>
              <w:bCs w:val="0"/>
              <w:noProof/>
              <w:kern w:val="2"/>
              <w:sz w:val="24"/>
              <w:szCs w:val="24"/>
              <w14:ligatures w14:val="standardContextual"/>
            </w:rPr>
          </w:pPr>
          <w:hyperlink w:anchor="_Toc164847607" w:history="1">
            <w:r w:rsidRPr="00D27CAA">
              <w:rPr>
                <w:rStyle w:val="Hyperlink"/>
                <w:noProof/>
              </w:rPr>
              <w:t>Recommendation</w:t>
            </w:r>
            <w:r>
              <w:rPr>
                <w:noProof/>
                <w:webHidden/>
              </w:rPr>
              <w:tab/>
            </w:r>
            <w:r>
              <w:rPr>
                <w:noProof/>
                <w:webHidden/>
              </w:rPr>
              <w:fldChar w:fldCharType="begin"/>
            </w:r>
            <w:r>
              <w:rPr>
                <w:noProof/>
                <w:webHidden/>
              </w:rPr>
              <w:instrText xml:space="preserve"> PAGEREF _Toc164847607 \h </w:instrText>
            </w:r>
            <w:r>
              <w:rPr>
                <w:noProof/>
                <w:webHidden/>
              </w:rPr>
            </w:r>
            <w:r>
              <w:rPr>
                <w:noProof/>
                <w:webHidden/>
              </w:rPr>
              <w:fldChar w:fldCharType="separate"/>
            </w:r>
            <w:r>
              <w:rPr>
                <w:noProof/>
                <w:webHidden/>
              </w:rPr>
              <w:t>11</w:t>
            </w:r>
            <w:r>
              <w:rPr>
                <w:noProof/>
                <w:webHidden/>
              </w:rPr>
              <w:fldChar w:fldCharType="end"/>
            </w:r>
          </w:hyperlink>
        </w:p>
        <w:p w14:paraId="28AED6E8" w14:textId="029021CA" w:rsidR="000E367E" w:rsidRDefault="000E367E">
          <w:pPr>
            <w:pStyle w:val="TOC1"/>
            <w:tabs>
              <w:tab w:val="right" w:leader="dot" w:pos="9016"/>
            </w:tabs>
            <w:rPr>
              <w:rFonts w:eastAsiaTheme="minorEastAsia" w:cstheme="minorBidi"/>
              <w:b w:val="0"/>
              <w:bCs w:val="0"/>
              <w:i/>
              <w:iCs/>
              <w:noProof/>
              <w:kern w:val="2"/>
              <w14:ligatures w14:val="standardContextual"/>
            </w:rPr>
          </w:pPr>
          <w:hyperlink w:anchor="_Toc164847608" w:history="1">
            <w:r w:rsidRPr="00D27CAA">
              <w:rPr>
                <w:rStyle w:val="Hyperlink"/>
                <w:noProof/>
              </w:rPr>
              <w:t>Part C</w:t>
            </w:r>
            <w:r>
              <w:rPr>
                <w:noProof/>
                <w:webHidden/>
              </w:rPr>
              <w:tab/>
            </w:r>
            <w:r>
              <w:rPr>
                <w:noProof/>
                <w:webHidden/>
              </w:rPr>
              <w:fldChar w:fldCharType="begin"/>
            </w:r>
            <w:r>
              <w:rPr>
                <w:noProof/>
                <w:webHidden/>
              </w:rPr>
              <w:instrText xml:space="preserve"> PAGEREF _Toc164847608 \h </w:instrText>
            </w:r>
            <w:r>
              <w:rPr>
                <w:noProof/>
                <w:webHidden/>
              </w:rPr>
            </w:r>
            <w:r>
              <w:rPr>
                <w:noProof/>
                <w:webHidden/>
              </w:rPr>
              <w:fldChar w:fldCharType="separate"/>
            </w:r>
            <w:r>
              <w:rPr>
                <w:noProof/>
                <w:webHidden/>
              </w:rPr>
              <w:t>12</w:t>
            </w:r>
            <w:r>
              <w:rPr>
                <w:noProof/>
                <w:webHidden/>
              </w:rPr>
              <w:fldChar w:fldCharType="end"/>
            </w:r>
          </w:hyperlink>
        </w:p>
        <w:p w14:paraId="56773C33" w14:textId="49E7CDFF" w:rsidR="000E367E" w:rsidRDefault="000E367E">
          <w:pPr>
            <w:pStyle w:val="TOC1"/>
            <w:tabs>
              <w:tab w:val="right" w:leader="dot" w:pos="9016"/>
            </w:tabs>
            <w:rPr>
              <w:rFonts w:eastAsiaTheme="minorEastAsia" w:cstheme="minorBidi"/>
              <w:b w:val="0"/>
              <w:bCs w:val="0"/>
              <w:i/>
              <w:iCs/>
              <w:noProof/>
              <w:kern w:val="2"/>
              <w14:ligatures w14:val="standardContextual"/>
            </w:rPr>
          </w:pPr>
          <w:hyperlink w:anchor="_Toc164847609" w:history="1">
            <w:r w:rsidRPr="00D27CAA">
              <w:rPr>
                <w:rStyle w:val="Hyperlink"/>
                <w:noProof/>
              </w:rPr>
              <w:t>New Project Calculation</w:t>
            </w:r>
            <w:r>
              <w:rPr>
                <w:noProof/>
                <w:webHidden/>
              </w:rPr>
              <w:tab/>
            </w:r>
            <w:r>
              <w:rPr>
                <w:noProof/>
                <w:webHidden/>
              </w:rPr>
              <w:fldChar w:fldCharType="begin"/>
            </w:r>
            <w:r>
              <w:rPr>
                <w:noProof/>
                <w:webHidden/>
              </w:rPr>
              <w:instrText xml:space="preserve"> PAGEREF _Toc164847609 \h </w:instrText>
            </w:r>
            <w:r>
              <w:rPr>
                <w:noProof/>
                <w:webHidden/>
              </w:rPr>
            </w:r>
            <w:r>
              <w:rPr>
                <w:noProof/>
                <w:webHidden/>
              </w:rPr>
              <w:fldChar w:fldCharType="separate"/>
            </w:r>
            <w:r>
              <w:rPr>
                <w:noProof/>
                <w:webHidden/>
              </w:rPr>
              <w:t>12</w:t>
            </w:r>
            <w:r>
              <w:rPr>
                <w:noProof/>
                <w:webHidden/>
              </w:rPr>
              <w:fldChar w:fldCharType="end"/>
            </w:r>
          </w:hyperlink>
        </w:p>
        <w:p w14:paraId="374D5A07" w14:textId="2AE27BD1" w:rsidR="000E367E" w:rsidRDefault="000E367E">
          <w:pPr>
            <w:pStyle w:val="TOC2"/>
            <w:tabs>
              <w:tab w:val="right" w:leader="dot" w:pos="9016"/>
            </w:tabs>
            <w:rPr>
              <w:rFonts w:eastAsiaTheme="minorEastAsia" w:cstheme="minorBidi"/>
              <w:b w:val="0"/>
              <w:bCs w:val="0"/>
              <w:noProof/>
              <w:kern w:val="2"/>
              <w:sz w:val="24"/>
              <w:szCs w:val="24"/>
              <w14:ligatures w14:val="standardContextual"/>
            </w:rPr>
          </w:pPr>
          <w:hyperlink w:anchor="_Toc164847610" w:history="1">
            <w:r w:rsidRPr="00D27CAA">
              <w:rPr>
                <w:rStyle w:val="Hyperlink"/>
                <w:noProof/>
              </w:rPr>
              <w:t>Non-financial factors</w:t>
            </w:r>
            <w:r>
              <w:rPr>
                <w:noProof/>
                <w:webHidden/>
              </w:rPr>
              <w:tab/>
            </w:r>
            <w:r>
              <w:rPr>
                <w:noProof/>
                <w:webHidden/>
              </w:rPr>
              <w:fldChar w:fldCharType="begin"/>
            </w:r>
            <w:r>
              <w:rPr>
                <w:noProof/>
                <w:webHidden/>
              </w:rPr>
              <w:instrText xml:space="preserve"> PAGEREF _Toc164847610 \h </w:instrText>
            </w:r>
            <w:r>
              <w:rPr>
                <w:noProof/>
                <w:webHidden/>
              </w:rPr>
            </w:r>
            <w:r>
              <w:rPr>
                <w:noProof/>
                <w:webHidden/>
              </w:rPr>
              <w:fldChar w:fldCharType="separate"/>
            </w:r>
            <w:r>
              <w:rPr>
                <w:noProof/>
                <w:webHidden/>
              </w:rPr>
              <w:t>19</w:t>
            </w:r>
            <w:r>
              <w:rPr>
                <w:noProof/>
                <w:webHidden/>
              </w:rPr>
              <w:fldChar w:fldCharType="end"/>
            </w:r>
          </w:hyperlink>
        </w:p>
        <w:p w14:paraId="2D838ECB" w14:textId="7CE82C68" w:rsidR="000E367E" w:rsidRDefault="000E367E">
          <w:pPr>
            <w:pStyle w:val="TOC2"/>
            <w:tabs>
              <w:tab w:val="right" w:leader="dot" w:pos="9016"/>
            </w:tabs>
            <w:rPr>
              <w:rFonts w:eastAsiaTheme="minorEastAsia" w:cstheme="minorBidi"/>
              <w:b w:val="0"/>
              <w:bCs w:val="0"/>
              <w:noProof/>
              <w:kern w:val="2"/>
              <w:sz w:val="24"/>
              <w:szCs w:val="24"/>
              <w14:ligatures w14:val="standardContextual"/>
            </w:rPr>
          </w:pPr>
          <w:hyperlink w:anchor="_Toc164847611" w:history="1">
            <w:r w:rsidRPr="00D27CAA">
              <w:rPr>
                <w:rStyle w:val="Hyperlink"/>
                <w:noProof/>
              </w:rPr>
              <w:t>Conclusion</w:t>
            </w:r>
            <w:r>
              <w:rPr>
                <w:noProof/>
                <w:webHidden/>
              </w:rPr>
              <w:tab/>
            </w:r>
            <w:r>
              <w:rPr>
                <w:noProof/>
                <w:webHidden/>
              </w:rPr>
              <w:fldChar w:fldCharType="begin"/>
            </w:r>
            <w:r>
              <w:rPr>
                <w:noProof/>
                <w:webHidden/>
              </w:rPr>
              <w:instrText xml:space="preserve"> PAGEREF _Toc164847611 \h </w:instrText>
            </w:r>
            <w:r>
              <w:rPr>
                <w:noProof/>
                <w:webHidden/>
              </w:rPr>
            </w:r>
            <w:r>
              <w:rPr>
                <w:noProof/>
                <w:webHidden/>
              </w:rPr>
              <w:fldChar w:fldCharType="separate"/>
            </w:r>
            <w:r>
              <w:rPr>
                <w:noProof/>
                <w:webHidden/>
              </w:rPr>
              <w:t>19</w:t>
            </w:r>
            <w:r>
              <w:rPr>
                <w:noProof/>
                <w:webHidden/>
              </w:rPr>
              <w:fldChar w:fldCharType="end"/>
            </w:r>
          </w:hyperlink>
        </w:p>
        <w:p w14:paraId="2B09C9D4" w14:textId="6176F8C6" w:rsidR="000E367E" w:rsidRDefault="000E367E">
          <w:pPr>
            <w:pStyle w:val="TOC1"/>
            <w:tabs>
              <w:tab w:val="right" w:leader="dot" w:pos="9016"/>
            </w:tabs>
            <w:rPr>
              <w:rFonts w:eastAsiaTheme="minorEastAsia" w:cstheme="minorBidi"/>
              <w:b w:val="0"/>
              <w:bCs w:val="0"/>
              <w:i/>
              <w:iCs/>
              <w:noProof/>
              <w:kern w:val="2"/>
              <w14:ligatures w14:val="standardContextual"/>
            </w:rPr>
          </w:pPr>
          <w:hyperlink w:anchor="_Toc164847612" w:history="1">
            <w:r w:rsidRPr="00D27CAA">
              <w:rPr>
                <w:rStyle w:val="Hyperlink"/>
                <w:noProof/>
              </w:rPr>
              <w:t>Refferences</w:t>
            </w:r>
            <w:r>
              <w:rPr>
                <w:noProof/>
                <w:webHidden/>
              </w:rPr>
              <w:tab/>
            </w:r>
            <w:r>
              <w:rPr>
                <w:noProof/>
                <w:webHidden/>
              </w:rPr>
              <w:fldChar w:fldCharType="begin"/>
            </w:r>
            <w:r>
              <w:rPr>
                <w:noProof/>
                <w:webHidden/>
              </w:rPr>
              <w:instrText xml:space="preserve"> PAGEREF _Toc164847612 \h </w:instrText>
            </w:r>
            <w:r>
              <w:rPr>
                <w:noProof/>
                <w:webHidden/>
              </w:rPr>
            </w:r>
            <w:r>
              <w:rPr>
                <w:noProof/>
                <w:webHidden/>
              </w:rPr>
              <w:fldChar w:fldCharType="separate"/>
            </w:r>
            <w:r>
              <w:rPr>
                <w:noProof/>
                <w:webHidden/>
              </w:rPr>
              <w:t>20</w:t>
            </w:r>
            <w:r>
              <w:rPr>
                <w:noProof/>
                <w:webHidden/>
              </w:rPr>
              <w:fldChar w:fldCharType="end"/>
            </w:r>
          </w:hyperlink>
        </w:p>
        <w:p w14:paraId="319099D1" w14:textId="2809806E" w:rsidR="000E367E" w:rsidRDefault="000E367E">
          <w:pPr>
            <w:pStyle w:val="TOC1"/>
            <w:tabs>
              <w:tab w:val="right" w:leader="dot" w:pos="9016"/>
            </w:tabs>
            <w:rPr>
              <w:rFonts w:eastAsiaTheme="minorEastAsia" w:cstheme="minorBidi"/>
              <w:b w:val="0"/>
              <w:bCs w:val="0"/>
              <w:i/>
              <w:iCs/>
              <w:noProof/>
              <w:kern w:val="2"/>
              <w14:ligatures w14:val="standardContextual"/>
            </w:rPr>
          </w:pPr>
          <w:hyperlink w:anchor="_Toc164847613" w:history="1">
            <w:r w:rsidRPr="00D27CAA">
              <w:rPr>
                <w:rStyle w:val="Hyperlink"/>
                <w:noProof/>
              </w:rPr>
              <w:t>Appendix</w:t>
            </w:r>
            <w:r>
              <w:rPr>
                <w:noProof/>
                <w:webHidden/>
              </w:rPr>
              <w:tab/>
            </w:r>
            <w:r>
              <w:rPr>
                <w:noProof/>
                <w:webHidden/>
              </w:rPr>
              <w:fldChar w:fldCharType="begin"/>
            </w:r>
            <w:r>
              <w:rPr>
                <w:noProof/>
                <w:webHidden/>
              </w:rPr>
              <w:instrText xml:space="preserve"> PAGEREF _Toc164847613 \h </w:instrText>
            </w:r>
            <w:r>
              <w:rPr>
                <w:noProof/>
                <w:webHidden/>
              </w:rPr>
            </w:r>
            <w:r>
              <w:rPr>
                <w:noProof/>
                <w:webHidden/>
              </w:rPr>
              <w:fldChar w:fldCharType="separate"/>
            </w:r>
            <w:r>
              <w:rPr>
                <w:noProof/>
                <w:webHidden/>
              </w:rPr>
              <w:t>24</w:t>
            </w:r>
            <w:r>
              <w:rPr>
                <w:noProof/>
                <w:webHidden/>
              </w:rPr>
              <w:fldChar w:fldCharType="end"/>
            </w:r>
          </w:hyperlink>
        </w:p>
        <w:p w14:paraId="1A50D014" w14:textId="77777777" w:rsidR="00200A65" w:rsidRDefault="000E367E">
          <w:pPr>
            <w:rPr>
              <w:b/>
              <w:bCs/>
              <w:noProof/>
            </w:rPr>
          </w:pPr>
          <w:r>
            <w:rPr>
              <w:b/>
              <w:bCs/>
              <w:noProof/>
            </w:rPr>
            <w:fldChar w:fldCharType="end"/>
          </w:r>
        </w:p>
        <w:p w14:paraId="48F3C501" w14:textId="493C50C4" w:rsidR="000E367E" w:rsidRPr="00200A65" w:rsidRDefault="000E367E">
          <w:pPr>
            <w:rPr>
              <w:b/>
              <w:bCs/>
              <w:noProof/>
            </w:rPr>
          </w:pPr>
        </w:p>
      </w:sdtContent>
    </w:sdt>
    <w:p w14:paraId="0FF54705" w14:textId="42BDA679" w:rsidR="00930C91" w:rsidRDefault="00930C91">
      <w:pPr>
        <w:pStyle w:val="TableofFigures"/>
        <w:tabs>
          <w:tab w:val="right" w:leader="dot" w:pos="9016"/>
        </w:tabs>
        <w:rPr>
          <w:rFonts w:ascii="Arial" w:hAnsi="Arial" w:cs="Arial"/>
          <w:color w:val="000000" w:themeColor="text1"/>
          <w:sz w:val="22"/>
          <w:szCs w:val="22"/>
          <w:u w:val="single"/>
        </w:rPr>
      </w:pPr>
      <w:r>
        <w:rPr>
          <w:rFonts w:ascii="Arial" w:hAnsi="Arial" w:cs="Arial"/>
          <w:color w:val="000000" w:themeColor="text1"/>
          <w:sz w:val="22"/>
          <w:szCs w:val="22"/>
          <w:u w:val="single"/>
        </w:rPr>
        <w:t xml:space="preserve">Table of </w:t>
      </w:r>
      <w:r w:rsidR="002B007C">
        <w:rPr>
          <w:rFonts w:ascii="Arial" w:hAnsi="Arial" w:cs="Arial"/>
          <w:color w:val="000000" w:themeColor="text1"/>
          <w:sz w:val="22"/>
          <w:szCs w:val="22"/>
          <w:u w:val="single"/>
        </w:rPr>
        <w:t>Calculations</w:t>
      </w:r>
    </w:p>
    <w:p w14:paraId="5282F006" w14:textId="77777777" w:rsidR="002B007C" w:rsidRPr="002B007C" w:rsidRDefault="002B007C" w:rsidP="002B007C"/>
    <w:p w14:paraId="64B61929" w14:textId="3157CA36" w:rsidR="00200A65" w:rsidRDefault="00200A65">
      <w:pPr>
        <w:pStyle w:val="TableofFigures"/>
        <w:tabs>
          <w:tab w:val="right" w:leader="dot" w:pos="9016"/>
        </w:tabs>
        <w:rPr>
          <w:noProof/>
        </w:rPr>
      </w:pPr>
      <w:r>
        <w:rPr>
          <w:rFonts w:ascii="Arial" w:hAnsi="Arial" w:cs="Arial"/>
          <w:color w:val="000000" w:themeColor="text1"/>
          <w:sz w:val="22"/>
          <w:szCs w:val="22"/>
          <w:u w:val="single"/>
        </w:rPr>
        <w:fldChar w:fldCharType="begin"/>
      </w:r>
      <w:r>
        <w:rPr>
          <w:rFonts w:ascii="Arial" w:hAnsi="Arial" w:cs="Arial"/>
          <w:color w:val="000000" w:themeColor="text1"/>
          <w:sz w:val="22"/>
          <w:szCs w:val="22"/>
          <w:u w:val="single"/>
        </w:rPr>
        <w:instrText xml:space="preserve"> TOC \h \z \c "Table" </w:instrText>
      </w:r>
      <w:r>
        <w:rPr>
          <w:rFonts w:ascii="Arial" w:hAnsi="Arial" w:cs="Arial"/>
          <w:color w:val="000000" w:themeColor="text1"/>
          <w:sz w:val="22"/>
          <w:szCs w:val="22"/>
          <w:u w:val="single"/>
        </w:rPr>
        <w:fldChar w:fldCharType="separate"/>
      </w:r>
      <w:hyperlink w:anchor="_Toc164849541" w:history="1">
        <w:r w:rsidRPr="000C07A5">
          <w:rPr>
            <w:rStyle w:val="Hyperlink"/>
            <w:rFonts w:eastAsiaTheme="majorEastAsia"/>
            <w:noProof/>
          </w:rPr>
          <w:t>Table 15-year historical volatility measures for Visa Inc (source: netcials.com 2024)</w:t>
        </w:r>
        <w:r>
          <w:rPr>
            <w:noProof/>
            <w:webHidden/>
          </w:rPr>
          <w:tab/>
        </w:r>
        <w:r>
          <w:rPr>
            <w:noProof/>
            <w:webHidden/>
          </w:rPr>
          <w:fldChar w:fldCharType="begin"/>
        </w:r>
        <w:r>
          <w:rPr>
            <w:noProof/>
            <w:webHidden/>
          </w:rPr>
          <w:instrText xml:space="preserve"> PAGEREF _Toc164849541 \h </w:instrText>
        </w:r>
        <w:r>
          <w:rPr>
            <w:noProof/>
            <w:webHidden/>
          </w:rPr>
        </w:r>
        <w:r>
          <w:rPr>
            <w:noProof/>
            <w:webHidden/>
          </w:rPr>
          <w:fldChar w:fldCharType="separate"/>
        </w:r>
        <w:r>
          <w:rPr>
            <w:noProof/>
            <w:webHidden/>
          </w:rPr>
          <w:t>5</w:t>
        </w:r>
        <w:r>
          <w:rPr>
            <w:noProof/>
            <w:webHidden/>
          </w:rPr>
          <w:fldChar w:fldCharType="end"/>
        </w:r>
      </w:hyperlink>
    </w:p>
    <w:p w14:paraId="38F02006" w14:textId="2CAF6AF5" w:rsidR="00200A65" w:rsidRDefault="00200A65">
      <w:pPr>
        <w:pStyle w:val="TableofFigures"/>
        <w:tabs>
          <w:tab w:val="right" w:leader="dot" w:pos="9016"/>
        </w:tabs>
        <w:rPr>
          <w:noProof/>
        </w:rPr>
      </w:pPr>
      <w:hyperlink w:anchor="_Toc164849542" w:history="1">
        <w:r w:rsidRPr="000C07A5">
          <w:rPr>
            <w:rStyle w:val="Hyperlink"/>
            <w:rFonts w:eastAsiaTheme="majorEastAsia"/>
            <w:noProof/>
          </w:rPr>
          <w:t>Table 2ROA calculation (source: author)</w:t>
        </w:r>
        <w:r>
          <w:rPr>
            <w:noProof/>
            <w:webHidden/>
          </w:rPr>
          <w:tab/>
        </w:r>
        <w:r>
          <w:rPr>
            <w:noProof/>
            <w:webHidden/>
          </w:rPr>
          <w:fldChar w:fldCharType="begin"/>
        </w:r>
        <w:r>
          <w:rPr>
            <w:noProof/>
            <w:webHidden/>
          </w:rPr>
          <w:instrText xml:space="preserve"> PAGEREF _Toc164849542 \h </w:instrText>
        </w:r>
        <w:r>
          <w:rPr>
            <w:noProof/>
            <w:webHidden/>
          </w:rPr>
        </w:r>
        <w:r>
          <w:rPr>
            <w:noProof/>
            <w:webHidden/>
          </w:rPr>
          <w:fldChar w:fldCharType="separate"/>
        </w:r>
        <w:r>
          <w:rPr>
            <w:noProof/>
            <w:webHidden/>
          </w:rPr>
          <w:t>6</w:t>
        </w:r>
        <w:r>
          <w:rPr>
            <w:noProof/>
            <w:webHidden/>
          </w:rPr>
          <w:fldChar w:fldCharType="end"/>
        </w:r>
      </w:hyperlink>
    </w:p>
    <w:p w14:paraId="6F094FC2" w14:textId="014DADAC" w:rsidR="00200A65" w:rsidRDefault="00200A65">
      <w:pPr>
        <w:pStyle w:val="TableofFigures"/>
        <w:tabs>
          <w:tab w:val="right" w:leader="dot" w:pos="9016"/>
        </w:tabs>
        <w:rPr>
          <w:noProof/>
        </w:rPr>
      </w:pPr>
      <w:hyperlink w:anchor="_Toc164849543" w:history="1">
        <w:r w:rsidRPr="000C07A5">
          <w:rPr>
            <w:rStyle w:val="Hyperlink"/>
            <w:rFonts w:eastAsiaTheme="majorEastAsia"/>
            <w:noProof/>
          </w:rPr>
          <w:t>Table 3Current Ratio calculation (source; author)</w:t>
        </w:r>
        <w:r>
          <w:rPr>
            <w:noProof/>
            <w:webHidden/>
          </w:rPr>
          <w:tab/>
        </w:r>
        <w:r>
          <w:rPr>
            <w:noProof/>
            <w:webHidden/>
          </w:rPr>
          <w:fldChar w:fldCharType="begin"/>
        </w:r>
        <w:r>
          <w:rPr>
            <w:noProof/>
            <w:webHidden/>
          </w:rPr>
          <w:instrText xml:space="preserve"> PAGEREF _Toc164849543 \h </w:instrText>
        </w:r>
        <w:r>
          <w:rPr>
            <w:noProof/>
            <w:webHidden/>
          </w:rPr>
        </w:r>
        <w:r>
          <w:rPr>
            <w:noProof/>
            <w:webHidden/>
          </w:rPr>
          <w:fldChar w:fldCharType="separate"/>
        </w:r>
        <w:r>
          <w:rPr>
            <w:noProof/>
            <w:webHidden/>
          </w:rPr>
          <w:t>7</w:t>
        </w:r>
        <w:r>
          <w:rPr>
            <w:noProof/>
            <w:webHidden/>
          </w:rPr>
          <w:fldChar w:fldCharType="end"/>
        </w:r>
      </w:hyperlink>
    </w:p>
    <w:p w14:paraId="5345AD8D" w14:textId="5B33E077" w:rsidR="00200A65" w:rsidRDefault="00200A65">
      <w:pPr>
        <w:pStyle w:val="TableofFigures"/>
        <w:tabs>
          <w:tab w:val="right" w:leader="dot" w:pos="9016"/>
        </w:tabs>
        <w:rPr>
          <w:noProof/>
        </w:rPr>
      </w:pPr>
      <w:hyperlink w:anchor="_Toc164849544" w:history="1">
        <w:r w:rsidRPr="000C07A5">
          <w:rPr>
            <w:rStyle w:val="Hyperlink"/>
            <w:rFonts w:eastAsiaTheme="majorEastAsia"/>
            <w:noProof/>
          </w:rPr>
          <w:t>Table 4Debt-Equity Ratio (source: author)</w:t>
        </w:r>
        <w:r>
          <w:rPr>
            <w:noProof/>
            <w:webHidden/>
          </w:rPr>
          <w:tab/>
        </w:r>
        <w:r>
          <w:rPr>
            <w:noProof/>
            <w:webHidden/>
          </w:rPr>
          <w:fldChar w:fldCharType="begin"/>
        </w:r>
        <w:r>
          <w:rPr>
            <w:noProof/>
            <w:webHidden/>
          </w:rPr>
          <w:instrText xml:space="preserve"> PAGEREF _Toc164849544 \h </w:instrText>
        </w:r>
        <w:r>
          <w:rPr>
            <w:noProof/>
            <w:webHidden/>
          </w:rPr>
        </w:r>
        <w:r>
          <w:rPr>
            <w:noProof/>
            <w:webHidden/>
          </w:rPr>
          <w:fldChar w:fldCharType="separate"/>
        </w:r>
        <w:r>
          <w:rPr>
            <w:noProof/>
            <w:webHidden/>
          </w:rPr>
          <w:t>9</w:t>
        </w:r>
        <w:r>
          <w:rPr>
            <w:noProof/>
            <w:webHidden/>
          </w:rPr>
          <w:fldChar w:fldCharType="end"/>
        </w:r>
      </w:hyperlink>
    </w:p>
    <w:p w14:paraId="331FDF9A" w14:textId="1376D758" w:rsidR="00200A65" w:rsidRDefault="00200A65">
      <w:pPr>
        <w:pStyle w:val="TableofFigures"/>
        <w:tabs>
          <w:tab w:val="right" w:leader="dot" w:pos="9016"/>
        </w:tabs>
        <w:rPr>
          <w:noProof/>
        </w:rPr>
      </w:pPr>
      <w:hyperlink w:anchor="_Toc164849545" w:history="1">
        <w:r w:rsidRPr="000C07A5">
          <w:rPr>
            <w:rStyle w:val="Hyperlink"/>
            <w:rFonts w:eastAsiaTheme="majorEastAsia"/>
            <w:noProof/>
          </w:rPr>
          <w:t>Table 5Asset Turnover (source: author)</w:t>
        </w:r>
        <w:r>
          <w:rPr>
            <w:noProof/>
            <w:webHidden/>
          </w:rPr>
          <w:tab/>
        </w:r>
        <w:r>
          <w:rPr>
            <w:noProof/>
            <w:webHidden/>
          </w:rPr>
          <w:fldChar w:fldCharType="begin"/>
        </w:r>
        <w:r>
          <w:rPr>
            <w:noProof/>
            <w:webHidden/>
          </w:rPr>
          <w:instrText xml:space="preserve"> PAGEREF _Toc164849545 \h </w:instrText>
        </w:r>
        <w:r>
          <w:rPr>
            <w:noProof/>
            <w:webHidden/>
          </w:rPr>
        </w:r>
        <w:r>
          <w:rPr>
            <w:noProof/>
            <w:webHidden/>
          </w:rPr>
          <w:fldChar w:fldCharType="separate"/>
        </w:r>
        <w:r>
          <w:rPr>
            <w:noProof/>
            <w:webHidden/>
          </w:rPr>
          <w:t>11</w:t>
        </w:r>
        <w:r>
          <w:rPr>
            <w:noProof/>
            <w:webHidden/>
          </w:rPr>
          <w:fldChar w:fldCharType="end"/>
        </w:r>
      </w:hyperlink>
    </w:p>
    <w:p w14:paraId="68D1E791" w14:textId="3B8D559F" w:rsidR="00200A65" w:rsidRDefault="00200A65">
      <w:pPr>
        <w:pStyle w:val="TableofFigures"/>
        <w:tabs>
          <w:tab w:val="right" w:leader="dot" w:pos="9016"/>
        </w:tabs>
        <w:rPr>
          <w:noProof/>
        </w:rPr>
      </w:pPr>
      <w:hyperlink w:anchor="_Toc164849546" w:history="1">
        <w:r w:rsidRPr="000C07A5">
          <w:rPr>
            <w:rStyle w:val="Hyperlink"/>
            <w:rFonts w:eastAsiaTheme="majorEastAsia"/>
            <w:noProof/>
          </w:rPr>
          <w:t>Table 6Projected Cash Flow (source: UWTSD assignment team)</w:t>
        </w:r>
        <w:r>
          <w:rPr>
            <w:noProof/>
            <w:webHidden/>
          </w:rPr>
          <w:tab/>
        </w:r>
        <w:r>
          <w:rPr>
            <w:noProof/>
            <w:webHidden/>
          </w:rPr>
          <w:fldChar w:fldCharType="begin"/>
        </w:r>
        <w:r>
          <w:rPr>
            <w:noProof/>
            <w:webHidden/>
          </w:rPr>
          <w:instrText xml:space="preserve"> PAGEREF _Toc164849546 \h </w:instrText>
        </w:r>
        <w:r>
          <w:rPr>
            <w:noProof/>
            <w:webHidden/>
          </w:rPr>
        </w:r>
        <w:r>
          <w:rPr>
            <w:noProof/>
            <w:webHidden/>
          </w:rPr>
          <w:fldChar w:fldCharType="separate"/>
        </w:r>
        <w:r>
          <w:rPr>
            <w:noProof/>
            <w:webHidden/>
          </w:rPr>
          <w:t>13</w:t>
        </w:r>
        <w:r>
          <w:rPr>
            <w:noProof/>
            <w:webHidden/>
          </w:rPr>
          <w:fldChar w:fldCharType="end"/>
        </w:r>
      </w:hyperlink>
    </w:p>
    <w:p w14:paraId="57AD9099" w14:textId="570F84EA" w:rsidR="00200A65" w:rsidRDefault="00200A65">
      <w:pPr>
        <w:pStyle w:val="TableofFigures"/>
        <w:tabs>
          <w:tab w:val="right" w:leader="dot" w:pos="9016"/>
        </w:tabs>
        <w:rPr>
          <w:noProof/>
        </w:rPr>
      </w:pPr>
      <w:hyperlink w:anchor="_Toc164849547" w:history="1">
        <w:r w:rsidRPr="000C07A5">
          <w:rPr>
            <w:rStyle w:val="Hyperlink"/>
            <w:rFonts w:eastAsiaTheme="majorEastAsia"/>
            <w:noProof/>
          </w:rPr>
          <w:t>Table 7Payback Period calculation (source: author)</w:t>
        </w:r>
        <w:r>
          <w:rPr>
            <w:noProof/>
            <w:webHidden/>
          </w:rPr>
          <w:tab/>
        </w:r>
        <w:r>
          <w:rPr>
            <w:noProof/>
            <w:webHidden/>
          </w:rPr>
          <w:fldChar w:fldCharType="begin"/>
        </w:r>
        <w:r>
          <w:rPr>
            <w:noProof/>
            <w:webHidden/>
          </w:rPr>
          <w:instrText xml:space="preserve"> PAGEREF _Toc164849547 \h </w:instrText>
        </w:r>
        <w:r>
          <w:rPr>
            <w:noProof/>
            <w:webHidden/>
          </w:rPr>
        </w:r>
        <w:r>
          <w:rPr>
            <w:noProof/>
            <w:webHidden/>
          </w:rPr>
          <w:fldChar w:fldCharType="separate"/>
        </w:r>
        <w:r>
          <w:rPr>
            <w:noProof/>
            <w:webHidden/>
          </w:rPr>
          <w:t>14</w:t>
        </w:r>
        <w:r>
          <w:rPr>
            <w:noProof/>
            <w:webHidden/>
          </w:rPr>
          <w:fldChar w:fldCharType="end"/>
        </w:r>
      </w:hyperlink>
    </w:p>
    <w:p w14:paraId="38911F24" w14:textId="06CF92B9" w:rsidR="00200A65" w:rsidRDefault="00200A65">
      <w:pPr>
        <w:pStyle w:val="TableofFigures"/>
        <w:tabs>
          <w:tab w:val="right" w:leader="dot" w:pos="9016"/>
        </w:tabs>
        <w:rPr>
          <w:noProof/>
        </w:rPr>
      </w:pPr>
      <w:hyperlink w:anchor="_Toc164849548" w:history="1">
        <w:r w:rsidRPr="000C07A5">
          <w:rPr>
            <w:rStyle w:val="Hyperlink"/>
            <w:rFonts w:eastAsiaTheme="majorEastAsia"/>
            <w:noProof/>
          </w:rPr>
          <w:t>Table 8Payback Period Calculation Project A (source: author)</w:t>
        </w:r>
        <w:r>
          <w:rPr>
            <w:noProof/>
            <w:webHidden/>
          </w:rPr>
          <w:tab/>
        </w:r>
        <w:r>
          <w:rPr>
            <w:noProof/>
            <w:webHidden/>
          </w:rPr>
          <w:fldChar w:fldCharType="begin"/>
        </w:r>
        <w:r>
          <w:rPr>
            <w:noProof/>
            <w:webHidden/>
          </w:rPr>
          <w:instrText xml:space="preserve"> PAGEREF _Toc164849548 \h </w:instrText>
        </w:r>
        <w:r>
          <w:rPr>
            <w:noProof/>
            <w:webHidden/>
          </w:rPr>
        </w:r>
        <w:r>
          <w:rPr>
            <w:noProof/>
            <w:webHidden/>
          </w:rPr>
          <w:fldChar w:fldCharType="separate"/>
        </w:r>
        <w:r>
          <w:rPr>
            <w:noProof/>
            <w:webHidden/>
          </w:rPr>
          <w:t>14</w:t>
        </w:r>
        <w:r>
          <w:rPr>
            <w:noProof/>
            <w:webHidden/>
          </w:rPr>
          <w:fldChar w:fldCharType="end"/>
        </w:r>
      </w:hyperlink>
    </w:p>
    <w:p w14:paraId="32646E96" w14:textId="63E7D490" w:rsidR="00200A65" w:rsidRDefault="00200A65">
      <w:pPr>
        <w:pStyle w:val="TableofFigures"/>
        <w:tabs>
          <w:tab w:val="right" w:leader="dot" w:pos="9016"/>
        </w:tabs>
        <w:rPr>
          <w:noProof/>
        </w:rPr>
      </w:pPr>
      <w:hyperlink w:anchor="_Toc164849549" w:history="1">
        <w:r w:rsidRPr="000C07A5">
          <w:rPr>
            <w:rStyle w:val="Hyperlink"/>
            <w:rFonts w:eastAsiaTheme="majorEastAsia"/>
            <w:noProof/>
          </w:rPr>
          <w:t>Table 9Payback Period Calculation Project B (source author)</w:t>
        </w:r>
        <w:r>
          <w:rPr>
            <w:noProof/>
            <w:webHidden/>
          </w:rPr>
          <w:tab/>
        </w:r>
        <w:r>
          <w:rPr>
            <w:noProof/>
            <w:webHidden/>
          </w:rPr>
          <w:fldChar w:fldCharType="begin"/>
        </w:r>
        <w:r>
          <w:rPr>
            <w:noProof/>
            <w:webHidden/>
          </w:rPr>
          <w:instrText xml:space="preserve"> PAGEREF _Toc164849549 \h </w:instrText>
        </w:r>
        <w:r>
          <w:rPr>
            <w:noProof/>
            <w:webHidden/>
          </w:rPr>
        </w:r>
        <w:r>
          <w:rPr>
            <w:noProof/>
            <w:webHidden/>
          </w:rPr>
          <w:fldChar w:fldCharType="separate"/>
        </w:r>
        <w:r>
          <w:rPr>
            <w:noProof/>
            <w:webHidden/>
          </w:rPr>
          <w:t>15</w:t>
        </w:r>
        <w:r>
          <w:rPr>
            <w:noProof/>
            <w:webHidden/>
          </w:rPr>
          <w:fldChar w:fldCharType="end"/>
        </w:r>
      </w:hyperlink>
    </w:p>
    <w:p w14:paraId="51F34769" w14:textId="6D5AADF1" w:rsidR="00200A65" w:rsidRDefault="00200A65">
      <w:pPr>
        <w:pStyle w:val="TableofFigures"/>
        <w:tabs>
          <w:tab w:val="right" w:leader="dot" w:pos="9016"/>
        </w:tabs>
        <w:rPr>
          <w:noProof/>
        </w:rPr>
      </w:pPr>
      <w:hyperlink w:anchor="_Toc164849550" w:history="1">
        <w:r w:rsidRPr="000C07A5">
          <w:rPr>
            <w:rStyle w:val="Hyperlink"/>
            <w:rFonts w:eastAsiaTheme="majorEastAsia"/>
            <w:noProof/>
          </w:rPr>
          <w:t>Table 10Accounting Rate of Return Calculation Project A (Source: author)</w:t>
        </w:r>
        <w:r>
          <w:rPr>
            <w:noProof/>
            <w:webHidden/>
          </w:rPr>
          <w:tab/>
        </w:r>
        <w:r>
          <w:rPr>
            <w:noProof/>
            <w:webHidden/>
          </w:rPr>
          <w:fldChar w:fldCharType="begin"/>
        </w:r>
        <w:r>
          <w:rPr>
            <w:noProof/>
            <w:webHidden/>
          </w:rPr>
          <w:instrText xml:space="preserve"> PAGEREF _Toc164849550 \h </w:instrText>
        </w:r>
        <w:r>
          <w:rPr>
            <w:noProof/>
            <w:webHidden/>
          </w:rPr>
        </w:r>
        <w:r>
          <w:rPr>
            <w:noProof/>
            <w:webHidden/>
          </w:rPr>
          <w:fldChar w:fldCharType="separate"/>
        </w:r>
        <w:r>
          <w:rPr>
            <w:noProof/>
            <w:webHidden/>
          </w:rPr>
          <w:t>16</w:t>
        </w:r>
        <w:r>
          <w:rPr>
            <w:noProof/>
            <w:webHidden/>
          </w:rPr>
          <w:fldChar w:fldCharType="end"/>
        </w:r>
      </w:hyperlink>
    </w:p>
    <w:p w14:paraId="7D075597" w14:textId="2AC0DD8C" w:rsidR="00200A65" w:rsidRDefault="00200A65">
      <w:pPr>
        <w:pStyle w:val="TableofFigures"/>
        <w:tabs>
          <w:tab w:val="right" w:leader="dot" w:pos="9016"/>
        </w:tabs>
        <w:rPr>
          <w:noProof/>
        </w:rPr>
      </w:pPr>
      <w:hyperlink w:anchor="_Toc164849551" w:history="1">
        <w:r w:rsidRPr="000C07A5">
          <w:rPr>
            <w:rStyle w:val="Hyperlink"/>
            <w:rFonts w:eastAsiaTheme="majorEastAsia"/>
            <w:noProof/>
          </w:rPr>
          <w:t>Table 11Accounting Rate of Return Calculation Project B (Source: author)</w:t>
        </w:r>
        <w:r>
          <w:rPr>
            <w:noProof/>
            <w:webHidden/>
          </w:rPr>
          <w:tab/>
        </w:r>
        <w:r>
          <w:rPr>
            <w:noProof/>
            <w:webHidden/>
          </w:rPr>
          <w:fldChar w:fldCharType="begin"/>
        </w:r>
        <w:r>
          <w:rPr>
            <w:noProof/>
            <w:webHidden/>
          </w:rPr>
          <w:instrText xml:space="preserve"> PAGEREF _Toc164849551 \h </w:instrText>
        </w:r>
        <w:r>
          <w:rPr>
            <w:noProof/>
            <w:webHidden/>
          </w:rPr>
        </w:r>
        <w:r>
          <w:rPr>
            <w:noProof/>
            <w:webHidden/>
          </w:rPr>
          <w:fldChar w:fldCharType="separate"/>
        </w:r>
        <w:r>
          <w:rPr>
            <w:noProof/>
            <w:webHidden/>
          </w:rPr>
          <w:t>17</w:t>
        </w:r>
        <w:r>
          <w:rPr>
            <w:noProof/>
            <w:webHidden/>
          </w:rPr>
          <w:fldChar w:fldCharType="end"/>
        </w:r>
      </w:hyperlink>
    </w:p>
    <w:p w14:paraId="1D6B88E1" w14:textId="2CF01F11" w:rsidR="00200A65" w:rsidRDefault="00200A65">
      <w:pPr>
        <w:pStyle w:val="TableofFigures"/>
        <w:tabs>
          <w:tab w:val="right" w:leader="dot" w:pos="9016"/>
        </w:tabs>
        <w:rPr>
          <w:noProof/>
        </w:rPr>
      </w:pPr>
      <w:hyperlink w:anchor="_Toc164849552" w:history="1">
        <w:r w:rsidRPr="000C07A5">
          <w:rPr>
            <w:rStyle w:val="Hyperlink"/>
            <w:rFonts w:eastAsiaTheme="majorEastAsia"/>
            <w:noProof/>
          </w:rPr>
          <w:t>Table 12NPV Formula for long-term project (source Coker, D., 2024)</w:t>
        </w:r>
        <w:r>
          <w:rPr>
            <w:noProof/>
            <w:webHidden/>
          </w:rPr>
          <w:tab/>
        </w:r>
        <w:r>
          <w:rPr>
            <w:noProof/>
            <w:webHidden/>
          </w:rPr>
          <w:fldChar w:fldCharType="begin"/>
        </w:r>
        <w:r>
          <w:rPr>
            <w:noProof/>
            <w:webHidden/>
          </w:rPr>
          <w:instrText xml:space="preserve"> PAGEREF _Toc164849552 \h </w:instrText>
        </w:r>
        <w:r>
          <w:rPr>
            <w:noProof/>
            <w:webHidden/>
          </w:rPr>
        </w:r>
        <w:r>
          <w:rPr>
            <w:noProof/>
            <w:webHidden/>
          </w:rPr>
          <w:fldChar w:fldCharType="separate"/>
        </w:r>
        <w:r>
          <w:rPr>
            <w:noProof/>
            <w:webHidden/>
          </w:rPr>
          <w:t>18</w:t>
        </w:r>
        <w:r>
          <w:rPr>
            <w:noProof/>
            <w:webHidden/>
          </w:rPr>
          <w:fldChar w:fldCharType="end"/>
        </w:r>
      </w:hyperlink>
    </w:p>
    <w:p w14:paraId="416EDF81" w14:textId="0AD9283F" w:rsidR="00200A65" w:rsidRDefault="00200A65">
      <w:pPr>
        <w:pStyle w:val="TableofFigures"/>
        <w:tabs>
          <w:tab w:val="right" w:leader="dot" w:pos="9016"/>
        </w:tabs>
        <w:rPr>
          <w:noProof/>
        </w:rPr>
      </w:pPr>
      <w:hyperlink w:anchor="_Toc164849553" w:history="1">
        <w:r w:rsidRPr="000C07A5">
          <w:rPr>
            <w:rStyle w:val="Hyperlink"/>
            <w:rFonts w:eastAsiaTheme="majorEastAsia"/>
            <w:noProof/>
          </w:rPr>
          <w:t>Table 13NPV Project A (Source: Author)</w:t>
        </w:r>
        <w:r>
          <w:rPr>
            <w:noProof/>
            <w:webHidden/>
          </w:rPr>
          <w:tab/>
        </w:r>
        <w:r>
          <w:rPr>
            <w:noProof/>
            <w:webHidden/>
          </w:rPr>
          <w:fldChar w:fldCharType="begin"/>
        </w:r>
        <w:r>
          <w:rPr>
            <w:noProof/>
            <w:webHidden/>
          </w:rPr>
          <w:instrText xml:space="preserve"> PAGEREF _Toc164849553 \h </w:instrText>
        </w:r>
        <w:r>
          <w:rPr>
            <w:noProof/>
            <w:webHidden/>
          </w:rPr>
        </w:r>
        <w:r>
          <w:rPr>
            <w:noProof/>
            <w:webHidden/>
          </w:rPr>
          <w:fldChar w:fldCharType="separate"/>
        </w:r>
        <w:r>
          <w:rPr>
            <w:noProof/>
            <w:webHidden/>
          </w:rPr>
          <w:t>18</w:t>
        </w:r>
        <w:r>
          <w:rPr>
            <w:noProof/>
            <w:webHidden/>
          </w:rPr>
          <w:fldChar w:fldCharType="end"/>
        </w:r>
      </w:hyperlink>
    </w:p>
    <w:p w14:paraId="55812171" w14:textId="738DBE07" w:rsidR="00200A65" w:rsidRDefault="00200A65">
      <w:pPr>
        <w:pStyle w:val="TableofFigures"/>
        <w:tabs>
          <w:tab w:val="right" w:leader="dot" w:pos="9016"/>
        </w:tabs>
        <w:rPr>
          <w:noProof/>
        </w:rPr>
      </w:pPr>
      <w:hyperlink w:anchor="_Toc164849554" w:history="1">
        <w:r w:rsidRPr="000C07A5">
          <w:rPr>
            <w:rStyle w:val="Hyperlink"/>
            <w:rFonts w:eastAsiaTheme="majorEastAsia"/>
            <w:noProof/>
          </w:rPr>
          <w:t>Table 14NPV Project B  (Source: Author)</w:t>
        </w:r>
        <w:r>
          <w:rPr>
            <w:noProof/>
            <w:webHidden/>
          </w:rPr>
          <w:tab/>
        </w:r>
        <w:r>
          <w:rPr>
            <w:noProof/>
            <w:webHidden/>
          </w:rPr>
          <w:fldChar w:fldCharType="begin"/>
        </w:r>
        <w:r>
          <w:rPr>
            <w:noProof/>
            <w:webHidden/>
          </w:rPr>
          <w:instrText xml:space="preserve"> PAGEREF _Toc164849554 \h </w:instrText>
        </w:r>
        <w:r>
          <w:rPr>
            <w:noProof/>
            <w:webHidden/>
          </w:rPr>
        </w:r>
        <w:r>
          <w:rPr>
            <w:noProof/>
            <w:webHidden/>
          </w:rPr>
          <w:fldChar w:fldCharType="separate"/>
        </w:r>
        <w:r>
          <w:rPr>
            <w:noProof/>
            <w:webHidden/>
          </w:rPr>
          <w:t>19</w:t>
        </w:r>
        <w:r>
          <w:rPr>
            <w:noProof/>
            <w:webHidden/>
          </w:rPr>
          <w:fldChar w:fldCharType="end"/>
        </w:r>
      </w:hyperlink>
    </w:p>
    <w:p w14:paraId="55ECD420" w14:textId="67391C29" w:rsidR="00200A65" w:rsidRDefault="00200A65">
      <w:pPr>
        <w:pStyle w:val="TableofFigures"/>
        <w:tabs>
          <w:tab w:val="right" w:leader="dot" w:pos="9016"/>
        </w:tabs>
        <w:rPr>
          <w:noProof/>
        </w:rPr>
      </w:pPr>
      <w:hyperlink w:anchor="_Toc164849555" w:history="1">
        <w:r w:rsidRPr="000C07A5">
          <w:rPr>
            <w:rStyle w:val="Hyperlink"/>
            <w:rFonts w:eastAsiaTheme="majorEastAsia"/>
            <w:noProof/>
          </w:rPr>
          <w:t>Table 15NPV Project A increased by 10%, and all cash flows fell by 10% NPV (Source: Autor)</w:t>
        </w:r>
        <w:r>
          <w:rPr>
            <w:noProof/>
            <w:webHidden/>
          </w:rPr>
          <w:tab/>
        </w:r>
        <w:r>
          <w:rPr>
            <w:noProof/>
            <w:webHidden/>
          </w:rPr>
          <w:fldChar w:fldCharType="begin"/>
        </w:r>
        <w:r>
          <w:rPr>
            <w:noProof/>
            <w:webHidden/>
          </w:rPr>
          <w:instrText xml:space="preserve"> PAGEREF _Toc164849555 \h </w:instrText>
        </w:r>
        <w:r>
          <w:rPr>
            <w:noProof/>
            <w:webHidden/>
          </w:rPr>
        </w:r>
        <w:r>
          <w:rPr>
            <w:noProof/>
            <w:webHidden/>
          </w:rPr>
          <w:fldChar w:fldCharType="separate"/>
        </w:r>
        <w:r>
          <w:rPr>
            <w:noProof/>
            <w:webHidden/>
          </w:rPr>
          <w:t>19</w:t>
        </w:r>
        <w:r>
          <w:rPr>
            <w:noProof/>
            <w:webHidden/>
          </w:rPr>
          <w:fldChar w:fldCharType="end"/>
        </w:r>
      </w:hyperlink>
    </w:p>
    <w:p w14:paraId="7992B4ED" w14:textId="6F97B7D0" w:rsidR="00200A65" w:rsidRDefault="00200A65">
      <w:pPr>
        <w:pStyle w:val="TableofFigures"/>
        <w:tabs>
          <w:tab w:val="right" w:leader="dot" w:pos="9016"/>
        </w:tabs>
        <w:rPr>
          <w:noProof/>
        </w:rPr>
      </w:pPr>
      <w:hyperlink w:anchor="_Toc164849556" w:history="1">
        <w:r w:rsidRPr="000C07A5">
          <w:rPr>
            <w:rStyle w:val="Hyperlink"/>
            <w:rFonts w:eastAsiaTheme="majorEastAsia"/>
            <w:noProof/>
          </w:rPr>
          <w:t>Table 16NPV Project A increased by 10%, and all cash flows fell by 10% NPV (Source: Autor)</w:t>
        </w:r>
        <w:r>
          <w:rPr>
            <w:noProof/>
            <w:webHidden/>
          </w:rPr>
          <w:tab/>
        </w:r>
        <w:r>
          <w:rPr>
            <w:noProof/>
            <w:webHidden/>
          </w:rPr>
          <w:fldChar w:fldCharType="begin"/>
        </w:r>
        <w:r>
          <w:rPr>
            <w:noProof/>
            <w:webHidden/>
          </w:rPr>
          <w:instrText xml:space="preserve"> PAGEREF _Toc164849556 \h </w:instrText>
        </w:r>
        <w:r>
          <w:rPr>
            <w:noProof/>
            <w:webHidden/>
          </w:rPr>
        </w:r>
        <w:r>
          <w:rPr>
            <w:noProof/>
            <w:webHidden/>
          </w:rPr>
          <w:fldChar w:fldCharType="separate"/>
        </w:r>
        <w:r>
          <w:rPr>
            <w:noProof/>
            <w:webHidden/>
          </w:rPr>
          <w:t>20</w:t>
        </w:r>
        <w:r>
          <w:rPr>
            <w:noProof/>
            <w:webHidden/>
          </w:rPr>
          <w:fldChar w:fldCharType="end"/>
        </w:r>
      </w:hyperlink>
    </w:p>
    <w:p w14:paraId="43F75B83" w14:textId="0C33D81E" w:rsidR="00267551" w:rsidRDefault="00200A65" w:rsidP="00D56A6E">
      <w:pPr>
        <w:spacing w:line="360" w:lineRule="auto"/>
        <w:rPr>
          <w:rFonts w:ascii="Arial" w:hAnsi="Arial" w:cs="Arial"/>
          <w:color w:val="000000" w:themeColor="text1"/>
          <w:sz w:val="22"/>
          <w:szCs w:val="22"/>
          <w:u w:val="single"/>
        </w:rPr>
      </w:pPr>
      <w:r>
        <w:rPr>
          <w:rFonts w:ascii="Arial" w:hAnsi="Arial" w:cs="Arial"/>
          <w:color w:val="000000" w:themeColor="text1"/>
          <w:sz w:val="22"/>
          <w:szCs w:val="22"/>
          <w:u w:val="single"/>
        </w:rPr>
        <w:lastRenderedPageBreak/>
        <w:fldChar w:fldCharType="end"/>
      </w:r>
    </w:p>
    <w:p w14:paraId="0BBF8333" w14:textId="77777777" w:rsidR="00930C91" w:rsidRDefault="00930C91" w:rsidP="000E367E">
      <w:pPr>
        <w:pStyle w:val="Heading1"/>
      </w:pPr>
      <w:bookmarkStart w:id="0" w:name="_Toc164847600"/>
    </w:p>
    <w:p w14:paraId="522B18CD" w14:textId="77777777" w:rsidR="00930C91" w:rsidRDefault="00930C91" w:rsidP="000E367E">
      <w:pPr>
        <w:pStyle w:val="Heading1"/>
      </w:pPr>
    </w:p>
    <w:p w14:paraId="2D3DDB36" w14:textId="77777777" w:rsidR="00930C91" w:rsidRDefault="00930C91" w:rsidP="000E367E">
      <w:pPr>
        <w:pStyle w:val="Heading1"/>
      </w:pPr>
    </w:p>
    <w:p w14:paraId="20F6CEBE" w14:textId="77777777" w:rsidR="00930C91" w:rsidRDefault="00930C91" w:rsidP="000E367E">
      <w:pPr>
        <w:pStyle w:val="Heading1"/>
      </w:pPr>
    </w:p>
    <w:p w14:paraId="5FDF55A5" w14:textId="77777777" w:rsidR="00930C91" w:rsidRDefault="00930C91" w:rsidP="000E367E">
      <w:pPr>
        <w:pStyle w:val="Heading1"/>
      </w:pPr>
    </w:p>
    <w:p w14:paraId="200E3F33" w14:textId="77777777" w:rsidR="00930C91" w:rsidRDefault="00930C91" w:rsidP="000E367E">
      <w:pPr>
        <w:pStyle w:val="Heading1"/>
      </w:pPr>
    </w:p>
    <w:p w14:paraId="299D6B3B" w14:textId="77777777" w:rsidR="00930C91" w:rsidRDefault="00930C91" w:rsidP="000E367E">
      <w:pPr>
        <w:pStyle w:val="Heading1"/>
      </w:pPr>
    </w:p>
    <w:p w14:paraId="63388636" w14:textId="77777777" w:rsidR="00930C91" w:rsidRDefault="00930C91" w:rsidP="000E367E">
      <w:pPr>
        <w:pStyle w:val="Heading1"/>
      </w:pPr>
    </w:p>
    <w:p w14:paraId="2EF681D1" w14:textId="77777777" w:rsidR="00930C91" w:rsidRDefault="00930C91" w:rsidP="000E367E">
      <w:pPr>
        <w:pStyle w:val="Heading1"/>
      </w:pPr>
    </w:p>
    <w:p w14:paraId="228B8DF5" w14:textId="77777777" w:rsidR="00930C91" w:rsidRDefault="00930C91" w:rsidP="000E367E">
      <w:pPr>
        <w:pStyle w:val="Heading1"/>
      </w:pPr>
    </w:p>
    <w:p w14:paraId="2E567661" w14:textId="77777777" w:rsidR="00930C91" w:rsidRDefault="00930C91" w:rsidP="000E367E">
      <w:pPr>
        <w:pStyle w:val="Heading1"/>
      </w:pPr>
    </w:p>
    <w:p w14:paraId="436268B5" w14:textId="77777777" w:rsidR="00930C91" w:rsidRDefault="00930C91" w:rsidP="000E367E">
      <w:pPr>
        <w:pStyle w:val="Heading1"/>
      </w:pPr>
    </w:p>
    <w:p w14:paraId="15DCACDB" w14:textId="77777777" w:rsidR="00487118" w:rsidRDefault="00487118" w:rsidP="00487118">
      <w:pPr>
        <w:rPr>
          <w:lang w:eastAsia="en-US"/>
        </w:rPr>
      </w:pPr>
    </w:p>
    <w:p w14:paraId="24B45208" w14:textId="77777777" w:rsidR="00487118" w:rsidRDefault="00487118" w:rsidP="00487118">
      <w:pPr>
        <w:rPr>
          <w:lang w:eastAsia="en-US"/>
        </w:rPr>
      </w:pPr>
    </w:p>
    <w:p w14:paraId="2186D8F6" w14:textId="77777777" w:rsidR="00487118" w:rsidRPr="00487118" w:rsidRDefault="00487118" w:rsidP="00487118">
      <w:pPr>
        <w:rPr>
          <w:lang w:eastAsia="en-US"/>
        </w:rPr>
      </w:pPr>
    </w:p>
    <w:p w14:paraId="625BA2D8" w14:textId="46083191" w:rsidR="00D56A6E" w:rsidRPr="00FA5123" w:rsidRDefault="00D56A6E" w:rsidP="000E367E">
      <w:pPr>
        <w:pStyle w:val="Heading1"/>
      </w:pPr>
      <w:r w:rsidRPr="00FA5123">
        <w:lastRenderedPageBreak/>
        <w:t>Introduction</w:t>
      </w:r>
      <w:bookmarkEnd w:id="0"/>
      <w:r w:rsidRPr="00FA5123">
        <w:t xml:space="preserve"> </w:t>
      </w:r>
    </w:p>
    <w:p w14:paraId="277CC422" w14:textId="643BF7A4" w:rsidR="002A5D41" w:rsidRDefault="002A5D41" w:rsidP="00D56A6E">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 </w:t>
      </w:r>
      <w:r w:rsidRPr="002A5D41">
        <w:rPr>
          <w:rFonts w:ascii="Arial" w:hAnsi="Arial" w:cs="Arial"/>
          <w:color w:val="000000" w:themeColor="text1"/>
          <w:sz w:val="22"/>
          <w:szCs w:val="22"/>
        </w:rPr>
        <w:t xml:space="preserve">Visa Inc. is well-known for its innovative approaches and wide-ranging network that enable electronic transactions all over the world. Originally founded as </w:t>
      </w:r>
      <w:proofErr w:type="spellStart"/>
      <w:r w:rsidRPr="002A5D41">
        <w:rPr>
          <w:rFonts w:ascii="Arial" w:hAnsi="Arial" w:cs="Arial"/>
          <w:color w:val="000000" w:themeColor="text1"/>
          <w:sz w:val="22"/>
          <w:szCs w:val="22"/>
        </w:rPr>
        <w:t>BankAmericard</w:t>
      </w:r>
      <w:proofErr w:type="spellEnd"/>
      <w:r w:rsidRPr="002A5D41">
        <w:rPr>
          <w:rFonts w:ascii="Arial" w:hAnsi="Arial" w:cs="Arial"/>
          <w:color w:val="000000" w:themeColor="text1"/>
          <w:sz w:val="22"/>
          <w:szCs w:val="22"/>
        </w:rPr>
        <w:t xml:space="preserve"> in 1958, the business changed its name to Visa in 1976, securing its place as a pioneer in payment processing and financial technology. Visa is an essential link that connects consumers, businesses, and financial institutions. Its business model is based on offering secure and efficient payment services. Millions of consumers worldwide benefit from its extensive range of payment services and products, which include credit, debit, and prepaid debit cards. They are reliable as well as convenient. As a global company with operations in over 200 different countries</w:t>
      </w:r>
      <w:r w:rsidR="000D5772">
        <w:rPr>
          <w:rFonts w:ascii="Arial" w:hAnsi="Arial" w:cs="Arial"/>
          <w:color w:val="000000" w:themeColor="text1"/>
          <w:sz w:val="22"/>
          <w:szCs w:val="22"/>
        </w:rPr>
        <w:t xml:space="preserve"> and territories. </w:t>
      </w:r>
      <w:r w:rsidRPr="002A5D41">
        <w:rPr>
          <w:rFonts w:ascii="Arial" w:hAnsi="Arial" w:cs="Arial"/>
          <w:color w:val="000000" w:themeColor="text1"/>
          <w:sz w:val="22"/>
          <w:szCs w:val="22"/>
        </w:rPr>
        <w:t xml:space="preserve">Visa </w:t>
      </w:r>
      <w:r w:rsidR="0056392C" w:rsidRPr="002A5D41">
        <w:rPr>
          <w:rFonts w:ascii="Arial" w:hAnsi="Arial" w:cs="Arial"/>
          <w:color w:val="000000" w:themeColor="text1"/>
          <w:sz w:val="22"/>
          <w:szCs w:val="22"/>
        </w:rPr>
        <w:t>provides</w:t>
      </w:r>
      <w:r w:rsidRPr="002A5D41">
        <w:rPr>
          <w:rFonts w:ascii="Arial" w:hAnsi="Arial" w:cs="Arial"/>
          <w:color w:val="000000" w:themeColor="text1"/>
          <w:sz w:val="22"/>
          <w:szCs w:val="22"/>
        </w:rPr>
        <w:t xml:space="preserve"> easy, safe, and convenient digital payment solutions.</w:t>
      </w:r>
      <w:r w:rsidR="001F3C9E" w:rsidRPr="001F3C9E">
        <w:rPr>
          <w:rFonts w:ascii="Arial" w:hAnsi="Arial" w:cs="Arial"/>
          <w:color w:val="000000" w:themeColor="text1"/>
          <w:sz w:val="22"/>
          <w:szCs w:val="22"/>
        </w:rPr>
        <w:t xml:space="preserve"> </w:t>
      </w:r>
      <w:r w:rsidR="000D5772">
        <w:rPr>
          <w:rFonts w:ascii="Arial" w:hAnsi="Arial" w:cs="Arial"/>
          <w:color w:val="000000" w:themeColor="text1"/>
          <w:sz w:val="22"/>
          <w:szCs w:val="22"/>
        </w:rPr>
        <w:t>(visa.co.uk</w:t>
      </w:r>
      <w:r w:rsidR="001F06A4">
        <w:rPr>
          <w:rFonts w:ascii="Arial" w:hAnsi="Arial" w:cs="Arial"/>
          <w:color w:val="000000" w:themeColor="text1"/>
          <w:sz w:val="22"/>
          <w:szCs w:val="22"/>
        </w:rPr>
        <w:t xml:space="preserve"> 2024</w:t>
      </w:r>
      <w:r w:rsidR="000D5772">
        <w:rPr>
          <w:rFonts w:ascii="Arial" w:hAnsi="Arial" w:cs="Arial"/>
          <w:color w:val="000000" w:themeColor="text1"/>
          <w:sz w:val="22"/>
          <w:szCs w:val="22"/>
        </w:rPr>
        <w:t xml:space="preserve">) </w:t>
      </w:r>
    </w:p>
    <w:p w14:paraId="517739EF" w14:textId="77777777" w:rsidR="00487D04" w:rsidRDefault="00487D04" w:rsidP="00D56A6E">
      <w:pPr>
        <w:spacing w:line="360" w:lineRule="auto"/>
        <w:rPr>
          <w:rFonts w:ascii="Arial" w:hAnsi="Arial" w:cs="Arial"/>
          <w:color w:val="000000" w:themeColor="text1"/>
          <w:sz w:val="22"/>
          <w:szCs w:val="22"/>
        </w:rPr>
      </w:pPr>
    </w:p>
    <w:p w14:paraId="67A3A7BD" w14:textId="749156DE" w:rsidR="001F06A4" w:rsidRPr="00FA5123" w:rsidRDefault="00487D04" w:rsidP="000E367E">
      <w:pPr>
        <w:pStyle w:val="Heading2"/>
      </w:pPr>
      <w:bookmarkStart w:id="1" w:name="_Toc164847601"/>
      <w:r w:rsidRPr="00FA5123">
        <w:t>Industry Overvie</w:t>
      </w:r>
      <w:r w:rsidR="00FA5123">
        <w:t>w</w:t>
      </w:r>
      <w:bookmarkEnd w:id="1"/>
      <w:r w:rsidR="00FA5123">
        <w:t xml:space="preserve"> </w:t>
      </w:r>
    </w:p>
    <w:p w14:paraId="5768B959" w14:textId="72A73C45" w:rsidR="0058687C" w:rsidRPr="001F06A4" w:rsidRDefault="005D0EF2" w:rsidP="0058687C">
      <w:pPr>
        <w:tabs>
          <w:tab w:val="left" w:pos="2520"/>
        </w:tabs>
        <w:spacing w:line="360" w:lineRule="auto"/>
        <w:rPr>
          <w:rFonts w:ascii="Arial" w:hAnsi="Arial" w:cs="Arial"/>
          <w:b/>
          <w:bCs/>
          <w:color w:val="000000" w:themeColor="text1"/>
          <w:sz w:val="22"/>
          <w:szCs w:val="22"/>
        </w:rPr>
      </w:pPr>
      <w:r w:rsidRPr="005D0EF2">
        <w:rPr>
          <w:rFonts w:ascii="Arial" w:hAnsi="Arial" w:cs="Arial"/>
          <w:color w:val="000000" w:themeColor="text1"/>
          <w:sz w:val="22"/>
          <w:szCs w:val="22"/>
        </w:rPr>
        <w:t>The global debit card market was valued at USD 95.73 billion in 2022 and is forecasted to grow steadily at a compound annual growth rate (CAGR) of 3.39% from 2022 to 2031, reaching around USD 127.17 billion.</w:t>
      </w:r>
      <w:r w:rsidR="0058687C">
        <w:rPr>
          <w:rFonts w:ascii="Arial" w:hAnsi="Arial" w:cs="Arial"/>
          <w:color w:val="000000" w:themeColor="text1"/>
          <w:sz w:val="22"/>
          <w:szCs w:val="22"/>
        </w:rPr>
        <w:t xml:space="preserve"> (linkedin.com 2024) </w:t>
      </w:r>
    </w:p>
    <w:p w14:paraId="3DF78345" w14:textId="2A2523A7" w:rsidR="0058687C" w:rsidRDefault="0058687C" w:rsidP="0058687C">
      <w:pPr>
        <w:tabs>
          <w:tab w:val="left" w:pos="2520"/>
        </w:tabs>
        <w:spacing w:line="360" w:lineRule="auto"/>
        <w:rPr>
          <w:rFonts w:ascii="Arial" w:hAnsi="Arial" w:cs="Arial"/>
          <w:color w:val="000000" w:themeColor="text1"/>
          <w:sz w:val="22"/>
          <w:szCs w:val="22"/>
        </w:rPr>
      </w:pPr>
      <w:r w:rsidRPr="0058687C">
        <w:rPr>
          <w:rFonts w:ascii="Arial" w:hAnsi="Arial" w:cs="Arial"/>
          <w:color w:val="000000" w:themeColor="text1"/>
          <w:sz w:val="22"/>
          <w:szCs w:val="22"/>
        </w:rPr>
        <w:t>The payments industry is a dynamic sector focused on facilitating financial transactions globally. Visa Inc. is a key player in this space, specializing in payment processing and financial technology. With the rise of digital and cashless payments</w:t>
      </w:r>
      <w:r>
        <w:rPr>
          <w:rFonts w:ascii="Arial" w:hAnsi="Arial" w:cs="Arial"/>
          <w:color w:val="000000" w:themeColor="text1"/>
          <w:sz w:val="22"/>
          <w:szCs w:val="22"/>
        </w:rPr>
        <w:t>.</w:t>
      </w:r>
      <w:r w:rsidR="001F3C9E" w:rsidRPr="001F3C9E">
        <w:t xml:space="preserve"> </w:t>
      </w:r>
      <w:r w:rsidR="001F3C9E" w:rsidRPr="001F3C9E">
        <w:rPr>
          <w:rFonts w:ascii="Arial" w:hAnsi="Arial" w:cs="Arial"/>
          <w:color w:val="000000" w:themeColor="text1"/>
          <w:sz w:val="22"/>
          <w:szCs w:val="22"/>
        </w:rPr>
        <w:t>Because they serve as a link between traditional banking and the rapidly expanding field of fintech innovations, debit cards are essential for financial inclusion as digital payment networks grow.</w:t>
      </w:r>
      <w:r>
        <w:rPr>
          <w:rFonts w:ascii="Arial" w:hAnsi="Arial" w:cs="Arial"/>
          <w:color w:val="000000" w:themeColor="text1"/>
          <w:sz w:val="22"/>
          <w:szCs w:val="22"/>
        </w:rPr>
        <w:t xml:space="preserve"> (globaldata.com 2024)</w:t>
      </w:r>
    </w:p>
    <w:p w14:paraId="41F13F3A" w14:textId="77777777" w:rsidR="001F3C9E" w:rsidRDefault="001F3C9E" w:rsidP="0058687C">
      <w:pPr>
        <w:tabs>
          <w:tab w:val="left" w:pos="2520"/>
        </w:tabs>
        <w:spacing w:line="360" w:lineRule="auto"/>
        <w:rPr>
          <w:rFonts w:ascii="Arial" w:hAnsi="Arial" w:cs="Arial"/>
          <w:color w:val="000000" w:themeColor="text1"/>
          <w:sz w:val="22"/>
          <w:szCs w:val="22"/>
        </w:rPr>
      </w:pPr>
    </w:p>
    <w:p w14:paraId="7C311F78" w14:textId="03912DA4" w:rsidR="001F06A4" w:rsidRPr="001F06A4" w:rsidRDefault="001F3C9E" w:rsidP="000E367E">
      <w:pPr>
        <w:pStyle w:val="Heading2"/>
      </w:pPr>
      <w:bookmarkStart w:id="2" w:name="_Toc164847602"/>
      <w:r w:rsidRPr="001F06A4">
        <w:t>Business Model</w:t>
      </w:r>
      <w:bookmarkEnd w:id="2"/>
      <w:r w:rsidRPr="001F06A4">
        <w:t xml:space="preserve"> </w:t>
      </w:r>
    </w:p>
    <w:p w14:paraId="06E5A4E6" w14:textId="6D4AF40C" w:rsidR="001F06A4" w:rsidRDefault="001F06A4" w:rsidP="0058687C">
      <w:pPr>
        <w:tabs>
          <w:tab w:val="left" w:pos="2520"/>
        </w:tabs>
        <w:spacing w:line="360" w:lineRule="auto"/>
        <w:rPr>
          <w:rFonts w:ascii="Arial" w:hAnsi="Arial" w:cs="Arial"/>
          <w:color w:val="000000" w:themeColor="text1"/>
          <w:sz w:val="22"/>
          <w:szCs w:val="22"/>
        </w:rPr>
      </w:pPr>
      <w:r w:rsidRPr="001F06A4">
        <w:rPr>
          <w:rFonts w:ascii="Arial" w:hAnsi="Arial" w:cs="Arial"/>
          <w:color w:val="000000" w:themeColor="text1"/>
          <w:sz w:val="22"/>
          <w:szCs w:val="22"/>
        </w:rPr>
        <w:t xml:space="preserve">The foundation of Visa Inc.'s business strategy is its offering of payment processing services to banks and businesses across the </w:t>
      </w:r>
      <w:proofErr w:type="gramStart"/>
      <w:r w:rsidRPr="001F06A4">
        <w:rPr>
          <w:rFonts w:ascii="Arial" w:hAnsi="Arial" w:cs="Arial"/>
          <w:color w:val="000000" w:themeColor="text1"/>
          <w:sz w:val="22"/>
          <w:szCs w:val="22"/>
        </w:rPr>
        <w:t>globe..</w:t>
      </w:r>
      <w:proofErr w:type="gramEnd"/>
      <w:r w:rsidRPr="001F06A4">
        <w:rPr>
          <w:rFonts w:ascii="Arial" w:hAnsi="Arial" w:cs="Arial"/>
          <w:color w:val="000000" w:themeColor="text1"/>
          <w:sz w:val="22"/>
          <w:szCs w:val="22"/>
        </w:rPr>
        <w:t xml:space="preserve"> As a leading digital payments brand, Visa facilitates authorization, clearing, and settlement services, enabling seamless transactions for individual consumers and businesses. While Visa does not directly issue credit or debit cards, it partners with financial entities and businesses that do, serving as the </w:t>
      </w:r>
      <w:r w:rsidR="00BB2449">
        <w:rPr>
          <w:rFonts w:ascii="Arial" w:hAnsi="Arial" w:cs="Arial"/>
          <w:color w:val="000000" w:themeColor="text1"/>
          <w:sz w:val="22"/>
          <w:szCs w:val="22"/>
        </w:rPr>
        <w:t xml:space="preserve">foundation </w:t>
      </w:r>
      <w:r w:rsidRPr="001F06A4">
        <w:rPr>
          <w:rFonts w:ascii="Arial" w:hAnsi="Arial" w:cs="Arial"/>
          <w:color w:val="000000" w:themeColor="text1"/>
          <w:sz w:val="22"/>
          <w:szCs w:val="22"/>
        </w:rPr>
        <w:t xml:space="preserve">of </w:t>
      </w:r>
      <w:r w:rsidR="00BB2449">
        <w:rPr>
          <w:rFonts w:ascii="Arial" w:hAnsi="Arial" w:cs="Arial"/>
          <w:color w:val="000000" w:themeColor="text1"/>
          <w:sz w:val="22"/>
          <w:szCs w:val="22"/>
        </w:rPr>
        <w:t>its</w:t>
      </w:r>
      <w:r w:rsidRPr="001F06A4">
        <w:rPr>
          <w:rFonts w:ascii="Arial" w:hAnsi="Arial" w:cs="Arial"/>
          <w:color w:val="000000" w:themeColor="text1"/>
          <w:sz w:val="22"/>
          <w:szCs w:val="22"/>
        </w:rPr>
        <w:t xml:space="preserve"> card services infrastructure.</w:t>
      </w:r>
      <w:r>
        <w:rPr>
          <w:rFonts w:ascii="Arial" w:hAnsi="Arial" w:cs="Arial"/>
          <w:color w:val="000000" w:themeColor="text1"/>
          <w:sz w:val="22"/>
          <w:szCs w:val="22"/>
        </w:rPr>
        <w:t xml:space="preserve"> (</w:t>
      </w:r>
      <w:proofErr w:type="spellStart"/>
      <w:proofErr w:type="gramStart"/>
      <w:r>
        <w:rPr>
          <w:rFonts w:ascii="Arial" w:hAnsi="Arial" w:cs="Arial"/>
          <w:color w:val="000000" w:themeColor="text1"/>
          <w:sz w:val="22"/>
          <w:szCs w:val="22"/>
        </w:rPr>
        <w:t>Reiff,N</w:t>
      </w:r>
      <w:proofErr w:type="spellEnd"/>
      <w:r>
        <w:rPr>
          <w:rFonts w:ascii="Arial" w:hAnsi="Arial" w:cs="Arial"/>
          <w:color w:val="000000" w:themeColor="text1"/>
          <w:sz w:val="22"/>
          <w:szCs w:val="22"/>
        </w:rPr>
        <w:t>.</w:t>
      </w:r>
      <w:proofErr w:type="gramEnd"/>
      <w:r>
        <w:rPr>
          <w:rFonts w:ascii="Arial" w:hAnsi="Arial" w:cs="Arial"/>
          <w:color w:val="000000" w:themeColor="text1"/>
          <w:sz w:val="22"/>
          <w:szCs w:val="22"/>
        </w:rPr>
        <w:t xml:space="preserve">, 2024) </w:t>
      </w:r>
    </w:p>
    <w:p w14:paraId="6C3707A4" w14:textId="4E03DA2F" w:rsidR="00BB2449" w:rsidRDefault="00BB2449" w:rsidP="0058687C">
      <w:pPr>
        <w:tabs>
          <w:tab w:val="left" w:pos="2520"/>
        </w:tabs>
        <w:spacing w:line="360" w:lineRule="auto"/>
        <w:rPr>
          <w:rFonts w:ascii="Arial" w:hAnsi="Arial" w:cs="Arial"/>
          <w:color w:val="000000" w:themeColor="text1"/>
          <w:sz w:val="22"/>
          <w:szCs w:val="22"/>
        </w:rPr>
      </w:pPr>
      <w:r w:rsidRPr="00BB2449">
        <w:rPr>
          <w:rFonts w:ascii="Arial" w:hAnsi="Arial" w:cs="Arial"/>
          <w:color w:val="000000" w:themeColor="text1"/>
          <w:sz w:val="22"/>
          <w:szCs w:val="22"/>
        </w:rPr>
        <w:t>Furthermore, Visa is ranked seventh by Statista with a US$191.03 billion brand value.</w:t>
      </w:r>
      <w:r>
        <w:rPr>
          <w:rFonts w:ascii="Arial" w:hAnsi="Arial" w:cs="Arial"/>
          <w:color w:val="000000" w:themeColor="text1"/>
          <w:sz w:val="22"/>
          <w:szCs w:val="22"/>
        </w:rPr>
        <w:t xml:space="preserve"> (Statista.co.uk 2024) </w:t>
      </w:r>
    </w:p>
    <w:p w14:paraId="5AA7D3EB" w14:textId="77777777" w:rsidR="00BB2449" w:rsidRDefault="00BB2449" w:rsidP="0058687C">
      <w:pPr>
        <w:tabs>
          <w:tab w:val="left" w:pos="2520"/>
        </w:tabs>
        <w:spacing w:line="360" w:lineRule="auto"/>
        <w:rPr>
          <w:rFonts w:ascii="Arial" w:hAnsi="Arial" w:cs="Arial"/>
          <w:color w:val="000000" w:themeColor="text1"/>
          <w:sz w:val="22"/>
          <w:szCs w:val="22"/>
        </w:rPr>
      </w:pPr>
    </w:p>
    <w:p w14:paraId="237994CE" w14:textId="79C5994D" w:rsidR="00BB2449" w:rsidRPr="00623B49" w:rsidRDefault="00BB2449" w:rsidP="000E367E">
      <w:pPr>
        <w:pStyle w:val="Heading2"/>
      </w:pPr>
      <w:bookmarkStart w:id="3" w:name="_Toc164847603"/>
      <w:r w:rsidRPr="00623B49">
        <w:lastRenderedPageBreak/>
        <w:t>Market Position and Major Competitors</w:t>
      </w:r>
      <w:bookmarkEnd w:id="3"/>
      <w:r w:rsidRPr="00623B49">
        <w:t xml:space="preserve"> </w:t>
      </w:r>
    </w:p>
    <w:p w14:paraId="52C2F6FD" w14:textId="150334FE" w:rsidR="00623B49" w:rsidRDefault="00623B49" w:rsidP="0058687C">
      <w:pPr>
        <w:tabs>
          <w:tab w:val="left" w:pos="2520"/>
        </w:tabs>
        <w:spacing w:line="360" w:lineRule="auto"/>
        <w:rPr>
          <w:rFonts w:ascii="Arial" w:hAnsi="Arial" w:cs="Arial"/>
          <w:color w:val="000000" w:themeColor="text1"/>
          <w:sz w:val="22"/>
          <w:szCs w:val="22"/>
        </w:rPr>
      </w:pPr>
      <w:r w:rsidRPr="00623B49">
        <w:rPr>
          <w:rFonts w:ascii="Arial" w:hAnsi="Arial" w:cs="Arial"/>
          <w:color w:val="000000" w:themeColor="text1"/>
          <w:sz w:val="22"/>
          <w:szCs w:val="22"/>
        </w:rPr>
        <w:t xml:space="preserve">Visa Inc. is a key player in the global payments market, competing with </w:t>
      </w:r>
      <w:r>
        <w:rPr>
          <w:rFonts w:ascii="Arial" w:hAnsi="Arial" w:cs="Arial"/>
          <w:color w:val="000000" w:themeColor="text1"/>
          <w:sz w:val="22"/>
          <w:szCs w:val="22"/>
        </w:rPr>
        <w:t>competitors</w:t>
      </w:r>
      <w:r w:rsidRPr="00623B49">
        <w:rPr>
          <w:rFonts w:ascii="Arial" w:hAnsi="Arial" w:cs="Arial"/>
          <w:color w:val="000000" w:themeColor="text1"/>
          <w:sz w:val="22"/>
          <w:szCs w:val="22"/>
        </w:rPr>
        <w:t xml:space="preserve"> like Mastercard, American Express, PayPal, Discover Financial Services, and UnionPay. Its innovative technologies and strong brand have established its leadership in electronic transactions worldwide, despite competitive pressures. In the UK, Visa's market share declined by six percentage points between 2020 and 2021, although contactless debit card payments remain significant.</w:t>
      </w:r>
      <w:r>
        <w:rPr>
          <w:rFonts w:ascii="Arial" w:hAnsi="Arial" w:cs="Arial"/>
          <w:color w:val="000000" w:themeColor="text1"/>
          <w:sz w:val="22"/>
          <w:szCs w:val="22"/>
        </w:rPr>
        <w:t xml:space="preserve"> (Best. R., 2024) </w:t>
      </w:r>
    </w:p>
    <w:p w14:paraId="07F949CE" w14:textId="77777777" w:rsidR="00623B49" w:rsidRDefault="00623B49" w:rsidP="0058687C">
      <w:pPr>
        <w:tabs>
          <w:tab w:val="left" w:pos="2520"/>
        </w:tabs>
        <w:spacing w:line="360" w:lineRule="auto"/>
        <w:rPr>
          <w:rFonts w:ascii="Arial" w:hAnsi="Arial" w:cs="Arial"/>
          <w:color w:val="000000" w:themeColor="text1"/>
          <w:sz w:val="22"/>
          <w:szCs w:val="22"/>
        </w:rPr>
      </w:pPr>
    </w:p>
    <w:p w14:paraId="36C22387" w14:textId="1E50DBCB" w:rsidR="00623B49" w:rsidRPr="00FA5123" w:rsidRDefault="00623B49" w:rsidP="000E367E">
      <w:pPr>
        <w:pStyle w:val="Heading2"/>
      </w:pPr>
      <w:bookmarkStart w:id="4" w:name="_Toc164847604"/>
      <w:r w:rsidRPr="00FA5123">
        <w:t>Visa’s Major Events Over the Past 5 Years</w:t>
      </w:r>
      <w:bookmarkEnd w:id="4"/>
      <w:r w:rsidRPr="00FA5123">
        <w:t xml:space="preserve"> </w:t>
      </w:r>
    </w:p>
    <w:p w14:paraId="57B9F313" w14:textId="77777777" w:rsidR="00872F47" w:rsidRPr="00FA5123" w:rsidRDefault="00872F47" w:rsidP="0058687C">
      <w:pPr>
        <w:tabs>
          <w:tab w:val="left" w:pos="2520"/>
        </w:tabs>
        <w:spacing w:line="360" w:lineRule="auto"/>
        <w:rPr>
          <w:rFonts w:ascii="Arial" w:hAnsi="Arial" w:cs="Arial"/>
          <w:b/>
          <w:bCs/>
          <w:color w:val="000000" w:themeColor="text1"/>
          <w:sz w:val="22"/>
          <w:szCs w:val="22"/>
        </w:rPr>
      </w:pPr>
    </w:p>
    <w:p w14:paraId="06C25AAC" w14:textId="646C4F28" w:rsidR="00623B49" w:rsidRPr="00FA5123" w:rsidRDefault="00623B49" w:rsidP="0058687C">
      <w:pPr>
        <w:tabs>
          <w:tab w:val="left" w:pos="2520"/>
        </w:tabs>
        <w:spacing w:line="360" w:lineRule="auto"/>
        <w:rPr>
          <w:rFonts w:ascii="Arial" w:hAnsi="Arial" w:cs="Arial"/>
          <w:b/>
          <w:bCs/>
          <w:color w:val="000000" w:themeColor="text1"/>
          <w:sz w:val="22"/>
          <w:szCs w:val="22"/>
        </w:rPr>
      </w:pPr>
      <w:r w:rsidRPr="00FA5123">
        <w:rPr>
          <w:rFonts w:ascii="Arial" w:hAnsi="Arial" w:cs="Arial"/>
          <w:b/>
          <w:bCs/>
          <w:color w:val="000000" w:themeColor="text1"/>
          <w:sz w:val="22"/>
          <w:szCs w:val="22"/>
        </w:rPr>
        <w:t xml:space="preserve">2019 - </w:t>
      </w:r>
      <w:r w:rsidR="00872F47" w:rsidRPr="00FA5123">
        <w:rPr>
          <w:rFonts w:ascii="Arial" w:hAnsi="Arial" w:cs="Arial"/>
          <w:b/>
          <w:bCs/>
          <w:color w:val="000000" w:themeColor="text1"/>
          <w:sz w:val="22"/>
          <w:szCs w:val="22"/>
        </w:rPr>
        <w:t xml:space="preserve">Visa Acquires Control of </w:t>
      </w:r>
      <w:proofErr w:type="spellStart"/>
      <w:r w:rsidR="00872F47" w:rsidRPr="00FA5123">
        <w:rPr>
          <w:rFonts w:ascii="Arial" w:hAnsi="Arial" w:cs="Arial"/>
          <w:b/>
          <w:bCs/>
          <w:color w:val="000000" w:themeColor="text1"/>
          <w:sz w:val="22"/>
          <w:szCs w:val="22"/>
        </w:rPr>
        <w:t>Earthport</w:t>
      </w:r>
      <w:proofErr w:type="spellEnd"/>
    </w:p>
    <w:p w14:paraId="2A99A12E" w14:textId="3917954F" w:rsidR="00872F47" w:rsidRDefault="002D7C08" w:rsidP="0058687C">
      <w:pPr>
        <w:tabs>
          <w:tab w:val="left" w:pos="2520"/>
        </w:tabs>
        <w:spacing w:line="360" w:lineRule="auto"/>
        <w:rPr>
          <w:rFonts w:ascii="Arial" w:hAnsi="Arial" w:cs="Arial"/>
          <w:color w:val="000000" w:themeColor="text1"/>
          <w:sz w:val="22"/>
          <w:szCs w:val="22"/>
        </w:rPr>
      </w:pPr>
      <w:r w:rsidRPr="002D7C08">
        <w:rPr>
          <w:rFonts w:ascii="Arial" w:hAnsi="Arial" w:cs="Arial"/>
          <w:color w:val="000000" w:themeColor="text1"/>
          <w:sz w:val="22"/>
          <w:szCs w:val="22"/>
        </w:rPr>
        <w:t>On May 8, 2019, Visa Inc. (</w:t>
      </w:r>
      <w:proofErr w:type="gramStart"/>
      <w:r w:rsidRPr="002D7C08">
        <w:rPr>
          <w:rFonts w:ascii="Arial" w:hAnsi="Arial" w:cs="Arial"/>
          <w:color w:val="000000" w:themeColor="text1"/>
          <w:sz w:val="22"/>
          <w:szCs w:val="22"/>
        </w:rPr>
        <w:t>NYSE:V</w:t>
      </w:r>
      <w:proofErr w:type="gramEnd"/>
      <w:r w:rsidRPr="002D7C08">
        <w:rPr>
          <w:rFonts w:ascii="Arial" w:hAnsi="Arial" w:cs="Arial"/>
          <w:color w:val="000000" w:themeColor="text1"/>
          <w:sz w:val="22"/>
          <w:szCs w:val="22"/>
        </w:rPr>
        <w:t xml:space="preserve">) revealed its acquisition of </w:t>
      </w:r>
      <w:proofErr w:type="spellStart"/>
      <w:r w:rsidRPr="002D7C08">
        <w:rPr>
          <w:rFonts w:ascii="Arial" w:hAnsi="Arial" w:cs="Arial"/>
          <w:color w:val="000000" w:themeColor="text1"/>
          <w:sz w:val="22"/>
          <w:szCs w:val="22"/>
        </w:rPr>
        <w:t>Earthport</w:t>
      </w:r>
      <w:proofErr w:type="spellEnd"/>
      <w:r w:rsidRPr="002D7C08">
        <w:rPr>
          <w:rFonts w:ascii="Arial" w:hAnsi="Arial" w:cs="Arial"/>
          <w:color w:val="000000" w:themeColor="text1"/>
          <w:sz w:val="22"/>
          <w:szCs w:val="22"/>
        </w:rPr>
        <w:t xml:space="preserve"> (AIM:EPO), a company specializing in facilitating cross-border payments for banks, money transfer service providers, and businesses through its extensive ACH network. With this acquisition, Visa introduced Visa Direct, a platform enabling real-time payments.</w:t>
      </w:r>
      <w:r w:rsidR="00872F47">
        <w:rPr>
          <w:rFonts w:ascii="Arial" w:hAnsi="Arial" w:cs="Arial"/>
          <w:color w:val="000000" w:themeColor="text1"/>
          <w:sz w:val="22"/>
          <w:szCs w:val="22"/>
        </w:rPr>
        <w:t xml:space="preserve"> (usa.visa.com 2019) </w:t>
      </w:r>
    </w:p>
    <w:p w14:paraId="3B00F019" w14:textId="77777777" w:rsidR="00872F47" w:rsidRDefault="00872F47" w:rsidP="0058687C">
      <w:pPr>
        <w:tabs>
          <w:tab w:val="left" w:pos="2520"/>
        </w:tabs>
        <w:spacing w:line="360" w:lineRule="auto"/>
        <w:rPr>
          <w:rFonts w:ascii="Arial" w:hAnsi="Arial" w:cs="Arial"/>
          <w:color w:val="000000" w:themeColor="text1"/>
          <w:sz w:val="22"/>
          <w:szCs w:val="22"/>
        </w:rPr>
      </w:pPr>
    </w:p>
    <w:p w14:paraId="7AD6815C" w14:textId="6788B07B" w:rsidR="00872F47" w:rsidRPr="00FA5123" w:rsidRDefault="00872F47" w:rsidP="0058687C">
      <w:pPr>
        <w:tabs>
          <w:tab w:val="left" w:pos="2520"/>
        </w:tabs>
        <w:spacing w:line="360" w:lineRule="auto"/>
        <w:rPr>
          <w:rFonts w:ascii="Arial" w:hAnsi="Arial" w:cs="Arial"/>
          <w:b/>
          <w:bCs/>
          <w:color w:val="000000" w:themeColor="text1"/>
          <w:sz w:val="22"/>
          <w:szCs w:val="22"/>
        </w:rPr>
      </w:pPr>
      <w:r w:rsidRPr="00FA5123">
        <w:rPr>
          <w:rFonts w:ascii="Arial" w:hAnsi="Arial" w:cs="Arial"/>
          <w:b/>
          <w:bCs/>
          <w:color w:val="000000" w:themeColor="text1"/>
          <w:sz w:val="22"/>
          <w:szCs w:val="22"/>
        </w:rPr>
        <w:t xml:space="preserve">2020 – Deal between Visa and Plaid </w:t>
      </w:r>
    </w:p>
    <w:p w14:paraId="22053519" w14:textId="452AA718" w:rsidR="00872F47" w:rsidRDefault="00872F47" w:rsidP="0058687C">
      <w:pPr>
        <w:tabs>
          <w:tab w:val="left" w:pos="2520"/>
        </w:tabs>
        <w:spacing w:line="360" w:lineRule="auto"/>
        <w:rPr>
          <w:rFonts w:ascii="Arial" w:hAnsi="Arial" w:cs="Arial"/>
          <w:color w:val="000000" w:themeColor="text1"/>
          <w:sz w:val="22"/>
          <w:szCs w:val="22"/>
        </w:rPr>
      </w:pPr>
      <w:r w:rsidRPr="00872F47">
        <w:rPr>
          <w:rFonts w:ascii="Arial" w:hAnsi="Arial" w:cs="Arial"/>
          <w:color w:val="000000" w:themeColor="text1"/>
          <w:sz w:val="22"/>
          <w:szCs w:val="22"/>
        </w:rPr>
        <w:t>In January 2020, Visa declared that it had signed a $5.3 billion agreement to buy Plaid. Even though Plaid is now a very modest participant in the UK, the CMA gave considerable thought to the company's potential for future expansion in the payment services industry.</w:t>
      </w:r>
      <w:r w:rsidR="002151EC">
        <w:rPr>
          <w:rFonts w:ascii="Arial" w:hAnsi="Arial" w:cs="Arial"/>
          <w:color w:val="000000" w:themeColor="text1"/>
          <w:sz w:val="22"/>
          <w:szCs w:val="22"/>
        </w:rPr>
        <w:t xml:space="preserve"> (gov.uk 2020) </w:t>
      </w:r>
    </w:p>
    <w:p w14:paraId="1BC5A7C2" w14:textId="77777777" w:rsidR="007A19E0" w:rsidRPr="00FA5123" w:rsidRDefault="007A19E0" w:rsidP="0058687C">
      <w:pPr>
        <w:tabs>
          <w:tab w:val="left" w:pos="2520"/>
        </w:tabs>
        <w:spacing w:line="360" w:lineRule="auto"/>
        <w:rPr>
          <w:rFonts w:ascii="Arial" w:hAnsi="Arial" w:cs="Arial"/>
          <w:b/>
          <w:bCs/>
          <w:color w:val="000000" w:themeColor="text1"/>
          <w:sz w:val="22"/>
          <w:szCs w:val="22"/>
        </w:rPr>
      </w:pPr>
    </w:p>
    <w:p w14:paraId="01368562" w14:textId="3BFAC80E" w:rsidR="007A19E0" w:rsidRPr="00FA5123" w:rsidRDefault="007A19E0" w:rsidP="0058687C">
      <w:pPr>
        <w:tabs>
          <w:tab w:val="left" w:pos="2520"/>
        </w:tabs>
        <w:spacing w:line="360" w:lineRule="auto"/>
        <w:rPr>
          <w:rFonts w:ascii="Arial" w:hAnsi="Arial" w:cs="Arial"/>
          <w:b/>
          <w:bCs/>
          <w:color w:val="000000" w:themeColor="text1"/>
          <w:sz w:val="22"/>
          <w:szCs w:val="22"/>
        </w:rPr>
      </w:pPr>
      <w:r w:rsidRPr="00FA5123">
        <w:rPr>
          <w:rFonts w:ascii="Arial" w:hAnsi="Arial" w:cs="Arial"/>
          <w:b/>
          <w:bCs/>
          <w:color w:val="000000" w:themeColor="text1"/>
          <w:sz w:val="22"/>
          <w:szCs w:val="22"/>
        </w:rPr>
        <w:t xml:space="preserve">2020 – Visa profit falls 23% as payment volumes plunge </w:t>
      </w:r>
    </w:p>
    <w:p w14:paraId="440D254A" w14:textId="08A7B194" w:rsidR="00E732A1" w:rsidRPr="00E732A1" w:rsidRDefault="00E732A1" w:rsidP="00E732A1">
      <w:pPr>
        <w:tabs>
          <w:tab w:val="left" w:pos="2520"/>
        </w:tabs>
        <w:spacing w:line="360" w:lineRule="auto"/>
        <w:rPr>
          <w:rFonts w:ascii="Arial" w:hAnsi="Arial" w:cs="Arial"/>
          <w:color w:val="000000" w:themeColor="text1"/>
          <w:sz w:val="22"/>
          <w:szCs w:val="22"/>
        </w:rPr>
      </w:pPr>
      <w:r w:rsidRPr="00E732A1">
        <w:rPr>
          <w:rFonts w:ascii="Arial" w:hAnsi="Arial" w:cs="Arial"/>
          <w:color w:val="000000" w:themeColor="text1"/>
          <w:sz w:val="22"/>
          <w:szCs w:val="22"/>
        </w:rPr>
        <w:t>Visa Inc.'s fourth-quarter profit below Wall Street expectations on Wednesday as the recession caused by the coronavirus continued to have a negative impact on consumer spending due to high unemployment.</w:t>
      </w:r>
      <w:r>
        <w:rPr>
          <w:rFonts w:ascii="Arial" w:hAnsi="Arial" w:cs="Arial"/>
          <w:color w:val="000000" w:themeColor="text1"/>
          <w:sz w:val="22"/>
          <w:szCs w:val="22"/>
        </w:rPr>
        <w:t xml:space="preserve"> </w:t>
      </w:r>
      <w:r w:rsidRPr="00E732A1">
        <w:rPr>
          <w:rFonts w:ascii="Arial" w:hAnsi="Arial" w:cs="Arial"/>
          <w:color w:val="000000" w:themeColor="text1"/>
          <w:sz w:val="22"/>
          <w:szCs w:val="22"/>
        </w:rPr>
        <w:t xml:space="preserve">According to the </w:t>
      </w:r>
      <w:proofErr w:type="gramStart"/>
      <w:r w:rsidRPr="00E732A1">
        <w:rPr>
          <w:rFonts w:ascii="Arial" w:hAnsi="Arial" w:cs="Arial"/>
          <w:color w:val="000000" w:themeColor="text1"/>
          <w:sz w:val="22"/>
          <w:szCs w:val="22"/>
        </w:rPr>
        <w:t>payments</w:t>
      </w:r>
      <w:proofErr w:type="gramEnd"/>
      <w:r w:rsidRPr="00E732A1">
        <w:rPr>
          <w:rFonts w:ascii="Arial" w:hAnsi="Arial" w:cs="Arial"/>
          <w:color w:val="000000" w:themeColor="text1"/>
          <w:sz w:val="22"/>
          <w:szCs w:val="22"/>
        </w:rPr>
        <w:t xml:space="preserve"> processor, both overall spending and the number of processed transactions fell 10% and 13%</w:t>
      </w:r>
      <w:r>
        <w:rPr>
          <w:rFonts w:ascii="Arial" w:hAnsi="Arial" w:cs="Arial"/>
          <w:color w:val="000000" w:themeColor="text1"/>
          <w:sz w:val="22"/>
          <w:szCs w:val="22"/>
        </w:rPr>
        <w:t xml:space="preserve">. </w:t>
      </w:r>
      <w:r w:rsidRPr="00E732A1">
        <w:rPr>
          <w:rFonts w:ascii="Arial" w:hAnsi="Arial" w:cs="Arial"/>
          <w:color w:val="000000" w:themeColor="text1"/>
          <w:sz w:val="22"/>
          <w:szCs w:val="22"/>
        </w:rPr>
        <w:t>Cross-border volume fell 47% as travel demand was negatively impacted</w:t>
      </w:r>
      <w:r>
        <w:rPr>
          <w:rFonts w:ascii="Arial" w:hAnsi="Arial" w:cs="Arial"/>
          <w:color w:val="000000" w:themeColor="text1"/>
          <w:sz w:val="22"/>
          <w:szCs w:val="22"/>
        </w:rPr>
        <w:t xml:space="preserve">. (Moise, I., Nishant, N., 2020) </w:t>
      </w:r>
    </w:p>
    <w:p w14:paraId="230E0E03" w14:textId="77777777" w:rsidR="002151EC" w:rsidRDefault="002151EC" w:rsidP="0058687C">
      <w:pPr>
        <w:tabs>
          <w:tab w:val="left" w:pos="2520"/>
        </w:tabs>
        <w:spacing w:line="360" w:lineRule="auto"/>
        <w:rPr>
          <w:rFonts w:ascii="Arial" w:hAnsi="Arial" w:cs="Arial"/>
          <w:color w:val="000000" w:themeColor="text1"/>
          <w:sz w:val="22"/>
          <w:szCs w:val="22"/>
        </w:rPr>
      </w:pPr>
    </w:p>
    <w:p w14:paraId="402D9BD3" w14:textId="3B86DD0A" w:rsidR="002151EC" w:rsidRPr="00FA5123" w:rsidRDefault="002151EC" w:rsidP="0058687C">
      <w:pPr>
        <w:tabs>
          <w:tab w:val="left" w:pos="2520"/>
        </w:tabs>
        <w:spacing w:line="360" w:lineRule="auto"/>
        <w:rPr>
          <w:rFonts w:ascii="Arial" w:hAnsi="Arial" w:cs="Arial"/>
          <w:b/>
          <w:bCs/>
          <w:color w:val="000000" w:themeColor="text1"/>
          <w:sz w:val="22"/>
          <w:szCs w:val="22"/>
        </w:rPr>
      </w:pPr>
      <w:r w:rsidRPr="00FA5123">
        <w:rPr>
          <w:rFonts w:ascii="Arial" w:hAnsi="Arial" w:cs="Arial"/>
          <w:b/>
          <w:bCs/>
          <w:color w:val="000000" w:themeColor="text1"/>
          <w:sz w:val="22"/>
          <w:szCs w:val="22"/>
        </w:rPr>
        <w:t xml:space="preserve">2021 – </w:t>
      </w:r>
      <w:r w:rsidR="00E732A1" w:rsidRPr="00FA5123">
        <w:rPr>
          <w:rFonts w:ascii="Arial" w:hAnsi="Arial" w:cs="Arial"/>
          <w:b/>
          <w:bCs/>
          <w:color w:val="000000" w:themeColor="text1"/>
          <w:sz w:val="22"/>
          <w:szCs w:val="22"/>
        </w:rPr>
        <w:t>The c</w:t>
      </w:r>
      <w:r w:rsidRPr="00FA5123">
        <w:rPr>
          <w:rFonts w:ascii="Arial" w:hAnsi="Arial" w:cs="Arial"/>
          <w:b/>
          <w:bCs/>
          <w:color w:val="000000" w:themeColor="text1"/>
          <w:sz w:val="22"/>
          <w:szCs w:val="22"/>
        </w:rPr>
        <w:t xml:space="preserve">ompany </w:t>
      </w:r>
      <w:r w:rsidR="007A19E0" w:rsidRPr="00FA5123">
        <w:rPr>
          <w:rFonts w:ascii="Arial" w:hAnsi="Arial" w:cs="Arial"/>
          <w:b/>
          <w:bCs/>
          <w:color w:val="000000" w:themeColor="text1"/>
          <w:sz w:val="22"/>
          <w:szCs w:val="22"/>
        </w:rPr>
        <w:t xml:space="preserve">launched </w:t>
      </w:r>
      <w:proofErr w:type="spellStart"/>
      <w:r w:rsidR="007A19E0" w:rsidRPr="00FA5123">
        <w:rPr>
          <w:rFonts w:ascii="Arial" w:hAnsi="Arial" w:cs="Arial"/>
          <w:b/>
          <w:bCs/>
          <w:color w:val="000000" w:themeColor="text1"/>
          <w:sz w:val="22"/>
          <w:szCs w:val="22"/>
        </w:rPr>
        <w:t>VisaNet</w:t>
      </w:r>
      <w:proofErr w:type="spellEnd"/>
      <w:r w:rsidR="007A19E0" w:rsidRPr="00FA5123">
        <w:rPr>
          <w:rFonts w:ascii="Arial" w:hAnsi="Arial" w:cs="Arial"/>
          <w:b/>
          <w:bCs/>
          <w:color w:val="000000" w:themeColor="text1"/>
          <w:sz w:val="22"/>
          <w:szCs w:val="22"/>
        </w:rPr>
        <w:t xml:space="preserve"> +AI </w:t>
      </w:r>
    </w:p>
    <w:p w14:paraId="5C8BE26D" w14:textId="5DC48042" w:rsidR="007A19E0" w:rsidRDefault="007A19E0" w:rsidP="0058687C">
      <w:pPr>
        <w:tabs>
          <w:tab w:val="left" w:pos="2520"/>
        </w:tabs>
        <w:spacing w:line="360" w:lineRule="auto"/>
        <w:rPr>
          <w:rFonts w:ascii="Arial" w:hAnsi="Arial" w:cs="Arial"/>
          <w:color w:val="000000" w:themeColor="text1"/>
          <w:sz w:val="22"/>
          <w:szCs w:val="22"/>
        </w:rPr>
      </w:pPr>
      <w:r w:rsidRPr="007A19E0">
        <w:rPr>
          <w:rFonts w:ascii="Arial" w:hAnsi="Arial" w:cs="Arial"/>
          <w:color w:val="000000" w:themeColor="text1"/>
          <w:sz w:val="22"/>
          <w:szCs w:val="22"/>
        </w:rPr>
        <w:t>SAN FRANCISCO--(BUSINESS WIRE)-</w:t>
      </w:r>
      <w:r>
        <w:rPr>
          <w:rFonts w:ascii="Arial" w:hAnsi="Arial" w:cs="Arial"/>
          <w:color w:val="000000" w:themeColor="text1"/>
          <w:sz w:val="22"/>
          <w:szCs w:val="22"/>
        </w:rPr>
        <w:t xml:space="preserve"> </w:t>
      </w:r>
      <w:r w:rsidRPr="007A19E0">
        <w:rPr>
          <w:rFonts w:ascii="Arial" w:hAnsi="Arial" w:cs="Arial"/>
          <w:color w:val="000000" w:themeColor="text1"/>
          <w:sz w:val="22"/>
          <w:szCs w:val="22"/>
        </w:rPr>
        <w:t xml:space="preserve">introduced </w:t>
      </w:r>
      <w:proofErr w:type="spellStart"/>
      <w:r w:rsidRPr="007A19E0">
        <w:rPr>
          <w:rFonts w:ascii="Arial" w:hAnsi="Arial" w:cs="Arial"/>
          <w:color w:val="000000" w:themeColor="text1"/>
          <w:sz w:val="22"/>
          <w:szCs w:val="22"/>
        </w:rPr>
        <w:t>VisaNet</w:t>
      </w:r>
      <w:proofErr w:type="spellEnd"/>
      <w:r w:rsidRPr="007A19E0">
        <w:rPr>
          <w:rFonts w:ascii="Arial" w:hAnsi="Arial" w:cs="Arial"/>
          <w:color w:val="000000" w:themeColor="text1"/>
          <w:sz w:val="22"/>
          <w:szCs w:val="22"/>
        </w:rPr>
        <w:t xml:space="preserve"> +AI, an artificial intelligence platform built to improve transaction processing efficiency and bolster fraud detection capabilities.</w:t>
      </w:r>
      <w:r>
        <w:rPr>
          <w:rFonts w:ascii="Arial" w:hAnsi="Arial" w:cs="Arial"/>
          <w:color w:val="000000" w:themeColor="text1"/>
          <w:sz w:val="22"/>
          <w:szCs w:val="22"/>
        </w:rPr>
        <w:t xml:space="preserve"> </w:t>
      </w:r>
      <w:r w:rsidR="002D7C08">
        <w:rPr>
          <w:rFonts w:ascii="Arial" w:hAnsi="Arial" w:cs="Arial"/>
          <w:color w:val="000000" w:themeColor="text1"/>
          <w:sz w:val="22"/>
          <w:szCs w:val="22"/>
        </w:rPr>
        <w:t>(usa.visa.com 2019)</w:t>
      </w:r>
    </w:p>
    <w:p w14:paraId="55904E11" w14:textId="3F8C9FC2" w:rsidR="00371133" w:rsidRDefault="00371133" w:rsidP="0058687C">
      <w:pPr>
        <w:tabs>
          <w:tab w:val="left" w:pos="2520"/>
        </w:tabs>
        <w:spacing w:line="360" w:lineRule="auto"/>
        <w:rPr>
          <w:rFonts w:ascii="Arial" w:hAnsi="Arial" w:cs="Arial"/>
          <w:color w:val="000000" w:themeColor="text1"/>
          <w:sz w:val="22"/>
          <w:szCs w:val="22"/>
        </w:rPr>
      </w:pPr>
    </w:p>
    <w:p w14:paraId="3FEA871F" w14:textId="13E16FBB" w:rsidR="009F0190" w:rsidRPr="00FA5123" w:rsidRDefault="009F0190" w:rsidP="0058687C">
      <w:pPr>
        <w:tabs>
          <w:tab w:val="left" w:pos="2520"/>
        </w:tabs>
        <w:spacing w:line="360" w:lineRule="auto"/>
        <w:rPr>
          <w:rFonts w:ascii="Arial" w:hAnsi="Arial" w:cs="Arial"/>
          <w:b/>
          <w:bCs/>
          <w:color w:val="000000" w:themeColor="text1"/>
          <w:sz w:val="22"/>
          <w:szCs w:val="22"/>
        </w:rPr>
      </w:pPr>
      <w:r w:rsidRPr="00FA5123">
        <w:rPr>
          <w:rFonts w:ascii="Arial" w:hAnsi="Arial" w:cs="Arial"/>
          <w:b/>
          <w:bCs/>
          <w:color w:val="000000" w:themeColor="text1"/>
          <w:sz w:val="22"/>
          <w:szCs w:val="22"/>
        </w:rPr>
        <w:t xml:space="preserve">2022 – Slow Down of revenue growth </w:t>
      </w:r>
    </w:p>
    <w:p w14:paraId="5CE652BB" w14:textId="07E23C65" w:rsidR="009F0190" w:rsidRDefault="009F0190" w:rsidP="0058687C">
      <w:pPr>
        <w:tabs>
          <w:tab w:val="left" w:pos="2520"/>
        </w:tabs>
        <w:spacing w:line="360" w:lineRule="auto"/>
        <w:rPr>
          <w:rFonts w:ascii="Arial" w:hAnsi="Arial" w:cs="Arial"/>
          <w:color w:val="000000" w:themeColor="text1"/>
          <w:sz w:val="22"/>
          <w:szCs w:val="22"/>
        </w:rPr>
      </w:pPr>
      <w:r w:rsidRPr="009F0190">
        <w:rPr>
          <w:rFonts w:ascii="Arial" w:hAnsi="Arial" w:cs="Arial"/>
          <w:color w:val="000000" w:themeColor="text1"/>
          <w:sz w:val="22"/>
          <w:szCs w:val="22"/>
        </w:rPr>
        <w:lastRenderedPageBreak/>
        <w:t>Concerns over slower revenue growth, growing competition from fintech firms, and the use of other payment methods contributed to volatility in Visa's stock price and a decrease in investor confidence.</w:t>
      </w:r>
      <w:r>
        <w:rPr>
          <w:rFonts w:ascii="Arial" w:hAnsi="Arial" w:cs="Arial"/>
          <w:color w:val="000000" w:themeColor="text1"/>
          <w:sz w:val="22"/>
          <w:szCs w:val="22"/>
        </w:rPr>
        <w:t xml:space="preserve"> </w:t>
      </w:r>
    </w:p>
    <w:p w14:paraId="35CD0DB9" w14:textId="67DC6647" w:rsidR="009F0190" w:rsidRDefault="009F0190" w:rsidP="0058687C">
      <w:pPr>
        <w:tabs>
          <w:tab w:val="left" w:pos="2520"/>
        </w:tabs>
        <w:spacing w:line="360" w:lineRule="auto"/>
        <w:rPr>
          <w:rFonts w:ascii="Arial" w:hAnsi="Arial" w:cs="Arial"/>
          <w:color w:val="000000" w:themeColor="text1"/>
          <w:sz w:val="22"/>
          <w:szCs w:val="22"/>
        </w:rPr>
      </w:pPr>
      <w:r w:rsidRPr="009F0190">
        <w:rPr>
          <w:rFonts w:ascii="Arial" w:hAnsi="Arial" w:cs="Arial"/>
          <w:color w:val="000000" w:themeColor="text1"/>
          <w:sz w:val="22"/>
          <w:szCs w:val="22"/>
        </w:rPr>
        <w:t>Below is a table followed by a graph showing 5-year historical volatility measures for Visa Inc (V) stock.</w:t>
      </w:r>
      <w:r>
        <w:rPr>
          <w:rFonts w:ascii="Arial" w:hAnsi="Arial" w:cs="Arial"/>
          <w:color w:val="000000" w:themeColor="text1"/>
          <w:sz w:val="22"/>
          <w:szCs w:val="22"/>
        </w:rPr>
        <w:t xml:space="preserve"> (netcials.com </w:t>
      </w:r>
      <w:r w:rsidR="00FA5123">
        <w:rPr>
          <w:rFonts w:ascii="Arial" w:hAnsi="Arial" w:cs="Arial"/>
          <w:color w:val="000000" w:themeColor="text1"/>
          <w:sz w:val="22"/>
          <w:szCs w:val="22"/>
        </w:rPr>
        <w:t xml:space="preserve">2024) </w:t>
      </w:r>
    </w:p>
    <w:p w14:paraId="14C90383" w14:textId="7C89F925" w:rsidR="002D7C08" w:rsidRDefault="00200A65" w:rsidP="00200A65">
      <w:pPr>
        <w:pStyle w:val="Caption"/>
        <w:rPr>
          <w:rFonts w:ascii="Arial" w:hAnsi="Arial" w:cs="Arial"/>
          <w:color w:val="000000" w:themeColor="text1"/>
          <w:sz w:val="22"/>
          <w:szCs w:val="22"/>
        </w:rPr>
      </w:pPr>
      <w:bookmarkStart w:id="5" w:name="_Toc164849541"/>
      <w:r>
        <w:t xml:space="preserve">Table </w:t>
      </w:r>
      <w:r>
        <w:fldChar w:fldCharType="begin"/>
      </w:r>
      <w:r>
        <w:instrText xml:space="preserve"> SEQ Table \* ARABIC </w:instrText>
      </w:r>
      <w:r>
        <w:fldChar w:fldCharType="separate"/>
      </w:r>
      <w:r w:rsidR="00083413">
        <w:rPr>
          <w:noProof/>
        </w:rPr>
        <w:t>1</w:t>
      </w:r>
      <w:r>
        <w:fldChar w:fldCharType="end"/>
      </w:r>
      <w:r w:rsidRPr="00616163">
        <w:t>5-year historical volatility measures for Visa Inc (source: netcials.com 2024)</w:t>
      </w:r>
      <w:bookmarkEnd w:id="5"/>
    </w:p>
    <w:p w14:paraId="0C927D32" w14:textId="5DF1344D" w:rsidR="009F0190" w:rsidRDefault="009F0190" w:rsidP="0058687C">
      <w:pPr>
        <w:tabs>
          <w:tab w:val="left" w:pos="2520"/>
        </w:tabs>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Year                                                              Volatility ($) </w:t>
      </w:r>
    </w:p>
    <w:tbl>
      <w:tblPr>
        <w:tblW w:w="9000" w:type="dxa"/>
        <w:tblBorders>
          <w:top w:val="single" w:sz="6" w:space="0" w:color="E9E9E9"/>
          <w:left w:val="single" w:sz="6" w:space="0" w:color="E9E9E9"/>
          <w:bottom w:val="single" w:sz="6" w:space="0" w:color="E9E9E9"/>
          <w:right w:val="single" w:sz="6" w:space="0" w:color="E9E9E9"/>
        </w:tblBorders>
        <w:tblCellMar>
          <w:top w:w="15" w:type="dxa"/>
          <w:left w:w="15" w:type="dxa"/>
          <w:bottom w:w="15" w:type="dxa"/>
          <w:right w:w="0" w:type="dxa"/>
        </w:tblCellMar>
        <w:tblLook w:val="04A0" w:firstRow="1" w:lastRow="0" w:firstColumn="1" w:lastColumn="0" w:noHBand="0" w:noVBand="1"/>
      </w:tblPr>
      <w:tblGrid>
        <w:gridCol w:w="4241"/>
        <w:gridCol w:w="4759"/>
      </w:tblGrid>
      <w:tr w:rsidR="009F0190" w14:paraId="41B39752" w14:textId="77777777" w:rsidTr="009F0190">
        <w:tc>
          <w:tcPr>
            <w:tcW w:w="0" w:type="auto"/>
            <w:tcBorders>
              <w:top w:val="single" w:sz="6" w:space="0" w:color="E9E9E9"/>
              <w:left w:val="single" w:sz="6" w:space="0" w:color="E9E9E9"/>
              <w:bottom w:val="single" w:sz="6" w:space="0" w:color="E9E9E9"/>
              <w:right w:val="single" w:sz="6" w:space="0" w:color="E9E9E9"/>
            </w:tcBorders>
            <w:hideMark/>
          </w:tcPr>
          <w:p w14:paraId="60846570" w14:textId="77777777" w:rsidR="009F0190" w:rsidRDefault="009F0190">
            <w:pPr>
              <w:spacing w:before="240" w:after="240"/>
              <w:rPr>
                <w:rFonts w:ascii="Arial" w:hAnsi="Arial" w:cs="Arial"/>
                <w:color w:val="333333"/>
              </w:rPr>
            </w:pPr>
            <w:r>
              <w:rPr>
                <w:rFonts w:ascii="Arial" w:hAnsi="Arial" w:cs="Arial"/>
                <w:color w:val="333333"/>
              </w:rPr>
              <w:t>2019</w:t>
            </w:r>
          </w:p>
        </w:tc>
        <w:tc>
          <w:tcPr>
            <w:tcW w:w="0" w:type="auto"/>
            <w:tcBorders>
              <w:top w:val="single" w:sz="6" w:space="0" w:color="E9E9E9"/>
              <w:left w:val="single" w:sz="6" w:space="0" w:color="E9E9E9"/>
              <w:bottom w:val="single" w:sz="6" w:space="0" w:color="E9E9E9"/>
              <w:right w:val="single" w:sz="6" w:space="0" w:color="E9E9E9"/>
            </w:tcBorders>
            <w:hideMark/>
          </w:tcPr>
          <w:p w14:paraId="52347684" w14:textId="77777777" w:rsidR="009F0190" w:rsidRDefault="009F0190">
            <w:pPr>
              <w:spacing w:before="240" w:after="240"/>
              <w:rPr>
                <w:rFonts w:ascii="Arial" w:hAnsi="Arial" w:cs="Arial"/>
                <w:color w:val="333333"/>
              </w:rPr>
            </w:pPr>
            <w:r>
              <w:rPr>
                <w:rFonts w:ascii="Arial" w:hAnsi="Arial" w:cs="Arial"/>
                <w:color w:val="333333"/>
              </w:rPr>
              <w:t>15.00</w:t>
            </w:r>
          </w:p>
        </w:tc>
      </w:tr>
      <w:tr w:rsidR="009F0190" w14:paraId="3E70B23C" w14:textId="77777777" w:rsidTr="009F0190">
        <w:tc>
          <w:tcPr>
            <w:tcW w:w="0" w:type="auto"/>
            <w:tcBorders>
              <w:top w:val="single" w:sz="6" w:space="0" w:color="E9E9E9"/>
              <w:left w:val="single" w:sz="6" w:space="0" w:color="E9E9E9"/>
              <w:bottom w:val="single" w:sz="6" w:space="0" w:color="E9E9E9"/>
              <w:right w:val="single" w:sz="6" w:space="0" w:color="E9E9E9"/>
            </w:tcBorders>
            <w:hideMark/>
          </w:tcPr>
          <w:p w14:paraId="21C0F7D0" w14:textId="77777777" w:rsidR="009F0190" w:rsidRDefault="009F0190">
            <w:pPr>
              <w:spacing w:before="240" w:after="240"/>
              <w:rPr>
                <w:rFonts w:ascii="Arial" w:hAnsi="Arial" w:cs="Arial"/>
                <w:color w:val="333333"/>
              </w:rPr>
            </w:pPr>
            <w:r>
              <w:rPr>
                <w:rFonts w:ascii="Arial" w:hAnsi="Arial" w:cs="Arial"/>
                <w:color w:val="333333"/>
              </w:rPr>
              <w:t>2020</w:t>
            </w:r>
          </w:p>
        </w:tc>
        <w:tc>
          <w:tcPr>
            <w:tcW w:w="0" w:type="auto"/>
            <w:tcBorders>
              <w:top w:val="single" w:sz="6" w:space="0" w:color="E9E9E9"/>
              <w:left w:val="single" w:sz="6" w:space="0" w:color="E9E9E9"/>
              <w:bottom w:val="single" w:sz="6" w:space="0" w:color="E9E9E9"/>
              <w:right w:val="single" w:sz="6" w:space="0" w:color="E9E9E9"/>
            </w:tcBorders>
            <w:hideMark/>
          </w:tcPr>
          <w:p w14:paraId="02EFA3EF" w14:textId="77777777" w:rsidR="009F0190" w:rsidRDefault="009F0190">
            <w:pPr>
              <w:spacing w:before="240" w:after="240"/>
              <w:rPr>
                <w:rFonts w:ascii="Arial" w:hAnsi="Arial" w:cs="Arial"/>
                <w:color w:val="333333"/>
              </w:rPr>
            </w:pPr>
            <w:r>
              <w:rPr>
                <w:rFonts w:ascii="Arial" w:hAnsi="Arial" w:cs="Arial"/>
                <w:color w:val="333333"/>
              </w:rPr>
              <w:t>15.25</w:t>
            </w:r>
          </w:p>
        </w:tc>
      </w:tr>
      <w:tr w:rsidR="009F0190" w14:paraId="118C9BDF" w14:textId="77777777" w:rsidTr="009F0190">
        <w:tc>
          <w:tcPr>
            <w:tcW w:w="0" w:type="auto"/>
            <w:tcBorders>
              <w:top w:val="single" w:sz="6" w:space="0" w:color="E9E9E9"/>
              <w:left w:val="single" w:sz="6" w:space="0" w:color="E9E9E9"/>
              <w:bottom w:val="single" w:sz="6" w:space="0" w:color="E9E9E9"/>
              <w:right w:val="single" w:sz="6" w:space="0" w:color="E9E9E9"/>
            </w:tcBorders>
            <w:hideMark/>
          </w:tcPr>
          <w:p w14:paraId="04727A4D" w14:textId="77777777" w:rsidR="009F0190" w:rsidRDefault="009F0190">
            <w:pPr>
              <w:spacing w:before="240" w:after="240"/>
              <w:rPr>
                <w:rFonts w:ascii="Arial" w:hAnsi="Arial" w:cs="Arial"/>
                <w:color w:val="333333"/>
              </w:rPr>
            </w:pPr>
            <w:r>
              <w:rPr>
                <w:rFonts w:ascii="Arial" w:hAnsi="Arial" w:cs="Arial"/>
                <w:color w:val="333333"/>
              </w:rPr>
              <w:t>2021</w:t>
            </w:r>
          </w:p>
        </w:tc>
        <w:tc>
          <w:tcPr>
            <w:tcW w:w="0" w:type="auto"/>
            <w:tcBorders>
              <w:top w:val="single" w:sz="6" w:space="0" w:color="E9E9E9"/>
              <w:left w:val="single" w:sz="6" w:space="0" w:color="E9E9E9"/>
              <w:bottom w:val="single" w:sz="6" w:space="0" w:color="E9E9E9"/>
              <w:right w:val="single" w:sz="6" w:space="0" w:color="E9E9E9"/>
            </w:tcBorders>
            <w:hideMark/>
          </w:tcPr>
          <w:p w14:paraId="36CA7F91" w14:textId="77777777" w:rsidR="009F0190" w:rsidRDefault="009F0190">
            <w:pPr>
              <w:spacing w:before="240" w:after="240"/>
              <w:rPr>
                <w:rFonts w:ascii="Arial" w:hAnsi="Arial" w:cs="Arial"/>
                <w:color w:val="333333"/>
              </w:rPr>
            </w:pPr>
            <w:r>
              <w:rPr>
                <w:rFonts w:ascii="Arial" w:hAnsi="Arial" w:cs="Arial"/>
                <w:color w:val="333333"/>
              </w:rPr>
              <w:t>12.62</w:t>
            </w:r>
          </w:p>
        </w:tc>
      </w:tr>
      <w:tr w:rsidR="009F0190" w14:paraId="4E18565B" w14:textId="77777777" w:rsidTr="009F0190">
        <w:tc>
          <w:tcPr>
            <w:tcW w:w="0" w:type="auto"/>
            <w:tcBorders>
              <w:top w:val="single" w:sz="6" w:space="0" w:color="E9E9E9"/>
              <w:left w:val="single" w:sz="6" w:space="0" w:color="E9E9E9"/>
              <w:bottom w:val="single" w:sz="6" w:space="0" w:color="E9E9E9"/>
              <w:right w:val="single" w:sz="6" w:space="0" w:color="E9E9E9"/>
            </w:tcBorders>
            <w:hideMark/>
          </w:tcPr>
          <w:p w14:paraId="5A446458" w14:textId="77777777" w:rsidR="009F0190" w:rsidRDefault="009F0190">
            <w:pPr>
              <w:spacing w:before="240" w:after="240"/>
              <w:rPr>
                <w:rFonts w:ascii="Arial" w:hAnsi="Arial" w:cs="Arial"/>
                <w:color w:val="333333"/>
              </w:rPr>
            </w:pPr>
            <w:r>
              <w:rPr>
                <w:rFonts w:ascii="Arial" w:hAnsi="Arial" w:cs="Arial"/>
                <w:color w:val="333333"/>
              </w:rPr>
              <w:t>2022</w:t>
            </w:r>
          </w:p>
        </w:tc>
        <w:tc>
          <w:tcPr>
            <w:tcW w:w="0" w:type="auto"/>
            <w:tcBorders>
              <w:top w:val="single" w:sz="6" w:space="0" w:color="E9E9E9"/>
              <w:left w:val="single" w:sz="6" w:space="0" w:color="E9E9E9"/>
              <w:bottom w:val="single" w:sz="6" w:space="0" w:color="E9E9E9"/>
              <w:right w:val="single" w:sz="6" w:space="0" w:color="E9E9E9"/>
            </w:tcBorders>
            <w:hideMark/>
          </w:tcPr>
          <w:p w14:paraId="0CCA75DD" w14:textId="77777777" w:rsidR="009F0190" w:rsidRDefault="009F0190">
            <w:pPr>
              <w:spacing w:before="240" w:after="240"/>
              <w:rPr>
                <w:rFonts w:ascii="Arial" w:hAnsi="Arial" w:cs="Arial"/>
                <w:color w:val="333333"/>
              </w:rPr>
            </w:pPr>
            <w:r>
              <w:rPr>
                <w:rFonts w:ascii="Arial" w:hAnsi="Arial" w:cs="Arial"/>
                <w:color w:val="333333"/>
              </w:rPr>
              <w:t>11.51</w:t>
            </w:r>
          </w:p>
        </w:tc>
      </w:tr>
      <w:tr w:rsidR="009F0190" w14:paraId="56573B24" w14:textId="77777777" w:rsidTr="009F0190">
        <w:tc>
          <w:tcPr>
            <w:tcW w:w="0" w:type="auto"/>
            <w:tcBorders>
              <w:top w:val="single" w:sz="6" w:space="0" w:color="E9E9E9"/>
              <w:left w:val="single" w:sz="6" w:space="0" w:color="E9E9E9"/>
              <w:bottom w:val="single" w:sz="6" w:space="0" w:color="E9E9E9"/>
              <w:right w:val="single" w:sz="6" w:space="0" w:color="E9E9E9"/>
            </w:tcBorders>
            <w:hideMark/>
          </w:tcPr>
          <w:p w14:paraId="16B5CE4F" w14:textId="77777777" w:rsidR="009F0190" w:rsidRDefault="009F0190">
            <w:pPr>
              <w:spacing w:before="240" w:after="240"/>
              <w:rPr>
                <w:rFonts w:ascii="Arial" w:hAnsi="Arial" w:cs="Arial"/>
                <w:color w:val="333333"/>
              </w:rPr>
            </w:pPr>
            <w:r>
              <w:rPr>
                <w:rFonts w:ascii="Arial" w:hAnsi="Arial" w:cs="Arial"/>
                <w:color w:val="333333"/>
              </w:rPr>
              <w:t>2023</w:t>
            </w:r>
          </w:p>
        </w:tc>
        <w:tc>
          <w:tcPr>
            <w:tcW w:w="0" w:type="auto"/>
            <w:tcBorders>
              <w:top w:val="single" w:sz="6" w:space="0" w:color="E9E9E9"/>
              <w:left w:val="single" w:sz="6" w:space="0" w:color="E9E9E9"/>
              <w:bottom w:val="single" w:sz="6" w:space="0" w:color="E9E9E9"/>
              <w:right w:val="single" w:sz="6" w:space="0" w:color="E9E9E9"/>
            </w:tcBorders>
            <w:hideMark/>
          </w:tcPr>
          <w:p w14:paraId="57B859BB" w14:textId="77777777" w:rsidR="009F0190" w:rsidRDefault="009F0190">
            <w:pPr>
              <w:spacing w:before="240" w:after="240"/>
              <w:rPr>
                <w:rFonts w:ascii="Arial" w:hAnsi="Arial" w:cs="Arial"/>
                <w:color w:val="333333"/>
              </w:rPr>
            </w:pPr>
            <w:r>
              <w:rPr>
                <w:rFonts w:ascii="Arial" w:hAnsi="Arial" w:cs="Arial"/>
                <w:color w:val="333333"/>
              </w:rPr>
              <w:t>11.78</w:t>
            </w:r>
          </w:p>
        </w:tc>
      </w:tr>
    </w:tbl>
    <w:p w14:paraId="0E6338D4" w14:textId="77777777" w:rsidR="009F0190" w:rsidRPr="009F0190" w:rsidRDefault="009F0190" w:rsidP="0058687C">
      <w:pPr>
        <w:tabs>
          <w:tab w:val="left" w:pos="2520"/>
        </w:tabs>
        <w:spacing w:line="360" w:lineRule="auto"/>
        <w:rPr>
          <w:rFonts w:ascii="Arial" w:hAnsi="Arial" w:cs="Arial"/>
          <w:color w:val="000000" w:themeColor="text1"/>
          <w:sz w:val="22"/>
          <w:szCs w:val="22"/>
        </w:rPr>
      </w:pPr>
    </w:p>
    <w:p w14:paraId="62764F5C" w14:textId="77777777" w:rsidR="00C70BDD" w:rsidRDefault="00C70BDD" w:rsidP="0058687C">
      <w:pPr>
        <w:tabs>
          <w:tab w:val="left" w:pos="2520"/>
        </w:tabs>
        <w:spacing w:line="360" w:lineRule="auto"/>
        <w:rPr>
          <w:rFonts w:ascii="Arial" w:hAnsi="Arial" w:cs="Arial"/>
          <w:color w:val="000000" w:themeColor="text1"/>
          <w:sz w:val="22"/>
          <w:szCs w:val="22"/>
          <w:u w:val="single"/>
        </w:rPr>
      </w:pPr>
    </w:p>
    <w:p w14:paraId="0097753B" w14:textId="3CE5021A" w:rsidR="00C70BDD" w:rsidRPr="00FA5123" w:rsidRDefault="00C70BDD" w:rsidP="0058687C">
      <w:pPr>
        <w:tabs>
          <w:tab w:val="left" w:pos="2520"/>
        </w:tabs>
        <w:spacing w:line="360" w:lineRule="auto"/>
        <w:rPr>
          <w:rFonts w:ascii="Arial" w:hAnsi="Arial" w:cs="Arial"/>
          <w:b/>
          <w:bCs/>
          <w:color w:val="000000" w:themeColor="text1"/>
          <w:sz w:val="22"/>
          <w:szCs w:val="22"/>
        </w:rPr>
      </w:pPr>
      <w:r w:rsidRPr="00FA5123">
        <w:rPr>
          <w:rFonts w:ascii="Arial" w:hAnsi="Arial" w:cs="Arial"/>
          <w:b/>
          <w:bCs/>
          <w:color w:val="000000" w:themeColor="text1"/>
          <w:sz w:val="22"/>
          <w:szCs w:val="22"/>
        </w:rPr>
        <w:t xml:space="preserve">2023 – Visa’s Shares fell 3% during extended trade </w:t>
      </w:r>
    </w:p>
    <w:p w14:paraId="4CDB36AC" w14:textId="7D996D1E" w:rsidR="00C70BDD" w:rsidRPr="00C70BDD" w:rsidRDefault="00C70BDD" w:rsidP="0058687C">
      <w:pPr>
        <w:tabs>
          <w:tab w:val="left" w:pos="2520"/>
        </w:tabs>
        <w:spacing w:line="360" w:lineRule="auto"/>
        <w:rPr>
          <w:rFonts w:ascii="Arial" w:hAnsi="Arial" w:cs="Arial"/>
          <w:color w:val="000000" w:themeColor="text1"/>
          <w:sz w:val="22"/>
          <w:szCs w:val="22"/>
        </w:rPr>
      </w:pPr>
      <w:r w:rsidRPr="00C70BDD">
        <w:rPr>
          <w:rFonts w:ascii="Arial" w:hAnsi="Arial" w:cs="Arial"/>
          <w:color w:val="000000" w:themeColor="text1"/>
          <w:sz w:val="22"/>
          <w:szCs w:val="22"/>
        </w:rPr>
        <w:t xml:space="preserve">Following the company's prediction of </w:t>
      </w:r>
      <w:proofErr w:type="gramStart"/>
      <w:r w:rsidRPr="00C70BDD">
        <w:rPr>
          <w:rFonts w:ascii="Arial" w:hAnsi="Arial" w:cs="Arial"/>
          <w:color w:val="000000" w:themeColor="text1"/>
          <w:sz w:val="22"/>
          <w:szCs w:val="22"/>
        </w:rPr>
        <w:t>a</w:t>
      </w:r>
      <w:proofErr w:type="gramEnd"/>
      <w:r w:rsidRPr="00C70BDD">
        <w:rPr>
          <w:rFonts w:ascii="Arial" w:hAnsi="Arial" w:cs="Arial"/>
          <w:color w:val="000000" w:themeColor="text1"/>
          <w:sz w:val="22"/>
          <w:szCs w:val="22"/>
        </w:rPr>
        <w:t xml:space="preserve"> "upper mid- to high single-digit" growth in second-quarter net sales, Visa's shares fell 3% during extended trade. The forecast is in line with an 11% growth </w:t>
      </w:r>
      <w:proofErr w:type="gramStart"/>
      <w:r w:rsidRPr="00C70BDD">
        <w:rPr>
          <w:rFonts w:ascii="Arial" w:hAnsi="Arial" w:cs="Arial"/>
          <w:color w:val="000000" w:themeColor="text1"/>
          <w:sz w:val="22"/>
          <w:szCs w:val="22"/>
        </w:rPr>
        <w:t>in</w:t>
      </w:r>
      <w:proofErr w:type="gramEnd"/>
      <w:r w:rsidRPr="00C70BDD">
        <w:rPr>
          <w:rFonts w:ascii="Arial" w:hAnsi="Arial" w:cs="Arial"/>
          <w:color w:val="000000" w:themeColor="text1"/>
          <w:sz w:val="22"/>
          <w:szCs w:val="22"/>
        </w:rPr>
        <w:t xml:space="preserve"> the same time in 2023.</w:t>
      </w:r>
      <w:r>
        <w:rPr>
          <w:rFonts w:ascii="Arial" w:hAnsi="Arial" w:cs="Arial"/>
          <w:color w:val="000000" w:themeColor="text1"/>
          <w:sz w:val="22"/>
          <w:szCs w:val="22"/>
        </w:rPr>
        <w:t xml:space="preserve"> </w:t>
      </w:r>
      <w:r w:rsidR="009F0190">
        <w:rPr>
          <w:rFonts w:ascii="Arial" w:hAnsi="Arial" w:cs="Arial"/>
          <w:color w:val="000000" w:themeColor="text1"/>
          <w:sz w:val="22"/>
          <w:szCs w:val="22"/>
        </w:rPr>
        <w:t xml:space="preserve">(Saini, M., 2024) </w:t>
      </w:r>
    </w:p>
    <w:p w14:paraId="004BEB90" w14:textId="77777777" w:rsidR="00872F47" w:rsidRDefault="00872F47" w:rsidP="0058687C">
      <w:pPr>
        <w:tabs>
          <w:tab w:val="left" w:pos="2520"/>
        </w:tabs>
        <w:spacing w:line="360" w:lineRule="auto"/>
        <w:rPr>
          <w:rFonts w:ascii="Arial" w:hAnsi="Arial" w:cs="Arial"/>
          <w:color w:val="000000" w:themeColor="text1"/>
          <w:sz w:val="22"/>
          <w:szCs w:val="22"/>
        </w:rPr>
      </w:pPr>
    </w:p>
    <w:p w14:paraId="49361C52" w14:textId="77777777" w:rsidR="00623B49" w:rsidRDefault="00623B49" w:rsidP="0058687C">
      <w:pPr>
        <w:tabs>
          <w:tab w:val="left" w:pos="2520"/>
        </w:tabs>
        <w:spacing w:line="360" w:lineRule="auto"/>
        <w:rPr>
          <w:rFonts w:ascii="Arial" w:hAnsi="Arial" w:cs="Arial"/>
          <w:color w:val="000000" w:themeColor="text1"/>
          <w:sz w:val="22"/>
          <w:szCs w:val="22"/>
        </w:rPr>
      </w:pPr>
    </w:p>
    <w:p w14:paraId="12F73EBB" w14:textId="77777777" w:rsidR="00B409E2" w:rsidRDefault="002819D0" w:rsidP="000E367E">
      <w:pPr>
        <w:pStyle w:val="Heading1"/>
      </w:pPr>
      <w:bookmarkStart w:id="6" w:name="_Toc164847605"/>
      <w:r w:rsidRPr="002819D0">
        <w:t>Critical review of the company’s financial performance</w:t>
      </w:r>
      <w:r w:rsidR="00424242">
        <w:t xml:space="preserve"> 2023</w:t>
      </w:r>
      <w:bookmarkEnd w:id="6"/>
      <w:r w:rsidR="00B409E2">
        <w:t xml:space="preserve"> </w:t>
      </w:r>
    </w:p>
    <w:p w14:paraId="657EE2C4" w14:textId="7AFC2A69" w:rsidR="00623B49" w:rsidRPr="00B409E2" w:rsidRDefault="00B409E2" w:rsidP="0058687C">
      <w:pPr>
        <w:tabs>
          <w:tab w:val="left" w:pos="2520"/>
        </w:tabs>
        <w:spacing w:line="360" w:lineRule="auto"/>
        <w:rPr>
          <w:rFonts w:ascii="Arial" w:hAnsi="Arial" w:cs="Arial"/>
          <w:color w:val="000000" w:themeColor="text1"/>
          <w:sz w:val="22"/>
          <w:szCs w:val="22"/>
        </w:rPr>
      </w:pPr>
      <w:r w:rsidRPr="00B409E2">
        <w:rPr>
          <w:rFonts w:ascii="Arial" w:hAnsi="Arial" w:cs="Arial"/>
          <w:color w:val="000000" w:themeColor="text1"/>
          <w:sz w:val="22"/>
          <w:szCs w:val="22"/>
        </w:rPr>
        <w:t xml:space="preserve">(refer to Appendix 1.1.for calculation) </w:t>
      </w:r>
    </w:p>
    <w:p w14:paraId="1A9D7B7D" w14:textId="77777777" w:rsidR="00443189" w:rsidRPr="000E367E" w:rsidRDefault="002819D0" w:rsidP="000E367E">
      <w:pPr>
        <w:rPr>
          <w:rFonts w:ascii="Arial" w:hAnsi="Arial" w:cs="Arial"/>
          <w:b/>
          <w:bCs/>
          <w:sz w:val="22"/>
          <w:szCs w:val="22"/>
        </w:rPr>
      </w:pPr>
      <w:r w:rsidRPr="000E367E">
        <w:rPr>
          <w:rFonts w:ascii="Arial" w:hAnsi="Arial" w:cs="Arial"/>
          <w:b/>
          <w:bCs/>
          <w:sz w:val="22"/>
          <w:szCs w:val="22"/>
        </w:rPr>
        <w:t xml:space="preserve">Financial Ratios </w:t>
      </w:r>
    </w:p>
    <w:p w14:paraId="3FA76176" w14:textId="62CAD6C0" w:rsidR="00424242" w:rsidRDefault="00EE1C57" w:rsidP="00443189">
      <w:pPr>
        <w:tabs>
          <w:tab w:val="left" w:pos="2520"/>
        </w:tabs>
        <w:spacing w:line="360" w:lineRule="auto"/>
        <w:rPr>
          <w:rFonts w:ascii="ArialMT" w:hAnsi="ArialMT"/>
          <w:b/>
          <w:bCs/>
          <w:sz w:val="22"/>
          <w:szCs w:val="22"/>
        </w:rPr>
      </w:pPr>
      <w:r>
        <w:rPr>
          <w:rFonts w:ascii="ArialMT" w:hAnsi="ArialMT"/>
          <w:b/>
          <w:bCs/>
          <w:sz w:val="22"/>
          <w:szCs w:val="22"/>
        </w:rPr>
        <w:t xml:space="preserve">Return on Asset (ROA) </w:t>
      </w:r>
    </w:p>
    <w:p w14:paraId="7ADD7357" w14:textId="5B994659" w:rsidR="0031169A" w:rsidRPr="00BB582C" w:rsidRDefault="00391CB4" w:rsidP="00443189">
      <w:pPr>
        <w:tabs>
          <w:tab w:val="left" w:pos="2520"/>
        </w:tabs>
        <w:spacing w:line="360" w:lineRule="auto"/>
        <w:rPr>
          <w:rFonts w:ascii="Arial" w:hAnsi="Arial" w:cs="Arial"/>
          <w:sz w:val="22"/>
          <w:szCs w:val="22"/>
        </w:rPr>
      </w:pPr>
      <w:r w:rsidRPr="00391CB4">
        <w:rPr>
          <w:rFonts w:ascii="Arial" w:hAnsi="Arial" w:cs="Arial"/>
          <w:color w:val="000000" w:themeColor="text1"/>
          <w:sz w:val="22"/>
          <w:szCs w:val="22"/>
        </w:rPr>
        <w:t xml:space="preserve">Return on assets (ROA) is a ratio used to assess how well a business makes money </w:t>
      </w:r>
      <w:proofErr w:type="gramStart"/>
      <w:r w:rsidRPr="00391CB4">
        <w:rPr>
          <w:rFonts w:ascii="Arial" w:hAnsi="Arial" w:cs="Arial"/>
          <w:color w:val="000000" w:themeColor="text1"/>
          <w:sz w:val="22"/>
          <w:szCs w:val="22"/>
        </w:rPr>
        <w:t>off of</w:t>
      </w:r>
      <w:proofErr w:type="gramEnd"/>
      <w:r w:rsidRPr="00391CB4">
        <w:rPr>
          <w:rFonts w:ascii="Arial" w:hAnsi="Arial" w:cs="Arial"/>
          <w:color w:val="000000" w:themeColor="text1"/>
          <w:sz w:val="22"/>
          <w:szCs w:val="22"/>
        </w:rPr>
        <w:t xml:space="preserve"> its assets. Strong profitability and effective use of assets are indicated by a high ROA, whereas inefficient asset management is indicated by a low ROA. Net Income is divided by the average Total Assets during a certain </w:t>
      </w:r>
      <w:proofErr w:type="gramStart"/>
      <w:r w:rsidRPr="00391CB4">
        <w:rPr>
          <w:rFonts w:ascii="Arial" w:hAnsi="Arial" w:cs="Arial"/>
          <w:color w:val="000000" w:themeColor="text1"/>
          <w:sz w:val="22"/>
          <w:szCs w:val="22"/>
        </w:rPr>
        <w:t>time period</w:t>
      </w:r>
      <w:proofErr w:type="gramEnd"/>
      <w:r w:rsidRPr="00391CB4">
        <w:rPr>
          <w:rFonts w:ascii="Arial" w:hAnsi="Arial" w:cs="Arial"/>
          <w:color w:val="000000" w:themeColor="text1"/>
          <w:sz w:val="22"/>
          <w:szCs w:val="22"/>
        </w:rPr>
        <w:t xml:space="preserve"> to get ROA%. </w:t>
      </w:r>
      <w:r w:rsidR="00443189" w:rsidRPr="00BB582C">
        <w:rPr>
          <w:rFonts w:ascii="Arial" w:hAnsi="Arial" w:cs="Arial"/>
          <w:color w:val="000000" w:themeColor="text1"/>
          <w:sz w:val="22"/>
          <w:szCs w:val="22"/>
        </w:rPr>
        <w:t xml:space="preserve"> </w:t>
      </w:r>
      <w:r w:rsidR="00FF5ECD" w:rsidRPr="00BB582C">
        <w:rPr>
          <w:rFonts w:ascii="Arial" w:hAnsi="Arial" w:cs="Arial"/>
          <w:sz w:val="22"/>
          <w:szCs w:val="22"/>
        </w:rPr>
        <w:t>(Hargrave, M.,2024)</w:t>
      </w:r>
    </w:p>
    <w:p w14:paraId="24ED8D61" w14:textId="77777777" w:rsidR="00877990" w:rsidRDefault="00877990" w:rsidP="00443189">
      <w:pPr>
        <w:tabs>
          <w:tab w:val="left" w:pos="2520"/>
        </w:tabs>
        <w:spacing w:line="360" w:lineRule="auto"/>
        <w:rPr>
          <w:rFonts w:ascii="Arial" w:hAnsi="Arial" w:cs="Arial"/>
          <w:color w:val="000000" w:themeColor="text1"/>
          <w:sz w:val="22"/>
          <w:szCs w:val="22"/>
        </w:rPr>
      </w:pPr>
    </w:p>
    <w:p w14:paraId="25C045BF" w14:textId="7A38C0E6" w:rsidR="0031169A" w:rsidRPr="00275E8E" w:rsidRDefault="0031169A" w:rsidP="0031169A">
      <w:pPr>
        <w:tabs>
          <w:tab w:val="left" w:pos="2520"/>
        </w:tabs>
        <w:spacing w:line="360" w:lineRule="auto"/>
        <w:rPr>
          <w:rFonts w:ascii="Arial" w:hAnsi="Arial" w:cs="Arial"/>
          <w:b/>
          <w:bCs/>
          <w:color w:val="000000" w:themeColor="text1"/>
          <w:sz w:val="22"/>
          <w:szCs w:val="22"/>
        </w:rPr>
      </w:pPr>
      <w:r w:rsidRPr="00275E8E">
        <w:rPr>
          <w:rFonts w:ascii="Arial" w:hAnsi="Arial" w:cs="Arial"/>
          <w:b/>
          <w:bCs/>
          <w:color w:val="000000" w:themeColor="text1"/>
          <w:sz w:val="22"/>
          <w:szCs w:val="22"/>
        </w:rPr>
        <w:t>Return on Asset</w:t>
      </w:r>
      <w:r w:rsidR="00877990" w:rsidRPr="00275E8E">
        <w:rPr>
          <w:rFonts w:ascii="Arial" w:hAnsi="Arial" w:cs="Arial"/>
          <w:b/>
          <w:bCs/>
          <w:color w:val="000000" w:themeColor="text1"/>
          <w:sz w:val="22"/>
          <w:szCs w:val="22"/>
        </w:rPr>
        <w:t xml:space="preserve">s Formula </w:t>
      </w:r>
    </w:p>
    <w:p w14:paraId="5C40698E" w14:textId="77777777" w:rsidR="0031169A" w:rsidRDefault="0031169A" w:rsidP="0031169A">
      <w:pPr>
        <w:tabs>
          <w:tab w:val="left" w:pos="2520"/>
        </w:tabs>
        <w:spacing w:line="360" w:lineRule="auto"/>
        <w:rPr>
          <w:rFonts w:ascii="Arial" w:hAnsi="Arial" w:cs="Arial"/>
          <w:b/>
          <w:bCs/>
          <w:color w:val="000000" w:themeColor="text1"/>
          <w:sz w:val="22"/>
          <w:szCs w:val="22"/>
        </w:rPr>
      </w:pPr>
      <w:r w:rsidRPr="00275E8E">
        <w:rPr>
          <w:rFonts w:ascii="Arial" w:hAnsi="Arial" w:cs="Arial"/>
          <w:b/>
          <w:bCs/>
          <w:color w:val="000000" w:themeColor="text1"/>
          <w:sz w:val="22"/>
          <w:szCs w:val="22"/>
        </w:rPr>
        <w:t>ROA= Net Income/ Average Total Assets</w:t>
      </w:r>
    </w:p>
    <w:p w14:paraId="721C111D" w14:textId="423B462B" w:rsidR="00200241" w:rsidRPr="00275E8E" w:rsidRDefault="00200A65" w:rsidP="00200A65">
      <w:pPr>
        <w:pStyle w:val="Caption"/>
        <w:rPr>
          <w:rFonts w:ascii="Arial" w:hAnsi="Arial" w:cs="Arial"/>
          <w:b/>
          <w:bCs/>
          <w:color w:val="000000" w:themeColor="text1"/>
          <w:sz w:val="22"/>
          <w:szCs w:val="22"/>
        </w:rPr>
      </w:pPr>
      <w:bookmarkStart w:id="7" w:name="_Toc164849542"/>
      <w:r>
        <w:t xml:space="preserve">Table </w:t>
      </w:r>
      <w:r>
        <w:fldChar w:fldCharType="begin"/>
      </w:r>
      <w:r>
        <w:instrText xml:space="preserve"> SEQ Table \* ARABIC </w:instrText>
      </w:r>
      <w:r>
        <w:fldChar w:fldCharType="separate"/>
      </w:r>
      <w:r w:rsidR="00083413">
        <w:rPr>
          <w:noProof/>
        </w:rPr>
        <w:t>2</w:t>
      </w:r>
      <w:r>
        <w:fldChar w:fldCharType="end"/>
      </w:r>
      <w:r w:rsidRPr="00A17070">
        <w:t>ROA calculation (source: author)</w:t>
      </w:r>
      <w:bookmarkEnd w:id="7"/>
    </w:p>
    <w:tbl>
      <w:tblPr>
        <w:tblW w:w="10120" w:type="dxa"/>
        <w:tblLook w:val="04A0" w:firstRow="1" w:lastRow="0" w:firstColumn="1" w:lastColumn="0" w:noHBand="0" w:noVBand="1"/>
      </w:tblPr>
      <w:tblGrid>
        <w:gridCol w:w="2280"/>
        <w:gridCol w:w="480"/>
        <w:gridCol w:w="1860"/>
        <w:gridCol w:w="1780"/>
        <w:gridCol w:w="1840"/>
        <w:gridCol w:w="1880"/>
      </w:tblGrid>
      <w:tr w:rsidR="00877990" w:rsidRPr="00200241" w14:paraId="073A64B8" w14:textId="77777777" w:rsidTr="00877990">
        <w:trPr>
          <w:gridAfter w:val="5"/>
          <w:wAfter w:w="7840" w:type="dxa"/>
          <w:trHeight w:val="320"/>
        </w:trPr>
        <w:tc>
          <w:tcPr>
            <w:tcW w:w="2280" w:type="dxa"/>
            <w:tcBorders>
              <w:top w:val="nil"/>
              <w:left w:val="nil"/>
              <w:bottom w:val="nil"/>
              <w:right w:val="nil"/>
            </w:tcBorders>
            <w:shd w:val="clear" w:color="auto" w:fill="auto"/>
            <w:noWrap/>
            <w:vAlign w:val="bottom"/>
            <w:hideMark/>
          </w:tcPr>
          <w:p w14:paraId="09E0917F" w14:textId="48F9B1B6" w:rsidR="00877990" w:rsidRPr="00200241" w:rsidRDefault="00877990" w:rsidP="00E765C1">
            <w:pPr>
              <w:rPr>
                <w:rFonts w:ascii="Arial Narrow" w:hAnsi="Arial Narrow"/>
                <w:i/>
                <w:iCs/>
                <w:color w:val="000000" w:themeColor="text1"/>
                <w:sz w:val="20"/>
                <w:szCs w:val="20"/>
              </w:rPr>
            </w:pPr>
          </w:p>
        </w:tc>
      </w:tr>
      <w:tr w:rsidR="00877990" w14:paraId="3860F68E" w14:textId="77777777" w:rsidTr="00877990">
        <w:trPr>
          <w:trHeight w:val="320"/>
        </w:trPr>
        <w:tc>
          <w:tcPr>
            <w:tcW w:w="2760" w:type="dxa"/>
            <w:gridSpan w:val="2"/>
            <w:tcBorders>
              <w:top w:val="nil"/>
              <w:left w:val="nil"/>
              <w:bottom w:val="nil"/>
              <w:right w:val="nil"/>
            </w:tcBorders>
            <w:shd w:val="clear" w:color="auto" w:fill="auto"/>
            <w:noWrap/>
            <w:vAlign w:val="bottom"/>
            <w:hideMark/>
          </w:tcPr>
          <w:p w14:paraId="51F485C3" w14:textId="777A0F49" w:rsidR="00877990" w:rsidRPr="00877990" w:rsidRDefault="00877990">
            <w:pPr>
              <w:rPr>
                <w:rFonts w:ascii="Aptos Narrow" w:hAnsi="Aptos Narrow"/>
                <w:color w:val="000000" w:themeColor="text1"/>
              </w:rPr>
            </w:pPr>
            <w:r w:rsidRPr="00877990">
              <w:rPr>
                <w:rFonts w:ascii="Aptos Narrow" w:hAnsi="Aptos Narrow"/>
                <w:color w:val="000000" w:themeColor="text1"/>
              </w:rPr>
              <w:t xml:space="preserve">ROA - </w:t>
            </w:r>
            <w:r w:rsidR="00DF076F" w:rsidRPr="00877990">
              <w:rPr>
                <w:rFonts w:ascii="Aptos Narrow" w:hAnsi="Aptos Narrow"/>
                <w:color w:val="000000" w:themeColor="text1"/>
              </w:rPr>
              <w:t>Profitability</w:t>
            </w:r>
            <w:r w:rsidRPr="00877990">
              <w:rPr>
                <w:rFonts w:ascii="Aptos Narrow" w:hAnsi="Aptos Narrow"/>
                <w:color w:val="000000" w:themeColor="text1"/>
              </w:rPr>
              <w:t xml:space="preserve"> </w:t>
            </w:r>
          </w:p>
        </w:tc>
        <w:tc>
          <w:tcPr>
            <w:tcW w:w="1860" w:type="dxa"/>
            <w:tcBorders>
              <w:top w:val="nil"/>
              <w:left w:val="nil"/>
              <w:bottom w:val="nil"/>
              <w:right w:val="nil"/>
            </w:tcBorders>
            <w:shd w:val="clear" w:color="auto" w:fill="auto"/>
            <w:noWrap/>
            <w:vAlign w:val="bottom"/>
            <w:hideMark/>
          </w:tcPr>
          <w:p w14:paraId="2CBC5E5C" w14:textId="77777777" w:rsidR="00877990" w:rsidRPr="00877990" w:rsidRDefault="00877990">
            <w:pPr>
              <w:rPr>
                <w:rFonts w:ascii="Aptos Narrow" w:hAnsi="Aptos Narrow"/>
                <w:color w:val="000000" w:themeColor="text1"/>
              </w:rPr>
            </w:pPr>
            <w:r w:rsidRPr="00877990">
              <w:rPr>
                <w:rFonts w:ascii="Aptos Narrow" w:hAnsi="Aptos Narrow"/>
                <w:color w:val="000000" w:themeColor="text1"/>
              </w:rPr>
              <w:t xml:space="preserve">Net Income </w:t>
            </w:r>
          </w:p>
        </w:tc>
        <w:tc>
          <w:tcPr>
            <w:tcW w:w="1780" w:type="dxa"/>
            <w:tcBorders>
              <w:top w:val="nil"/>
              <w:left w:val="nil"/>
              <w:bottom w:val="nil"/>
              <w:right w:val="nil"/>
            </w:tcBorders>
            <w:shd w:val="clear" w:color="auto" w:fill="auto"/>
            <w:noWrap/>
            <w:vAlign w:val="bottom"/>
            <w:hideMark/>
          </w:tcPr>
          <w:p w14:paraId="517CC510" w14:textId="77777777" w:rsidR="00877990" w:rsidRPr="00877990" w:rsidRDefault="00877990">
            <w:pPr>
              <w:rPr>
                <w:rFonts w:ascii="Aptos Narrow" w:hAnsi="Aptos Narrow"/>
                <w:color w:val="000000" w:themeColor="text1"/>
              </w:rPr>
            </w:pPr>
            <w:r w:rsidRPr="00877990">
              <w:rPr>
                <w:rFonts w:ascii="Aptos Narrow" w:hAnsi="Aptos Narrow"/>
                <w:color w:val="000000" w:themeColor="text1"/>
              </w:rPr>
              <w:t xml:space="preserve">Total Assets </w:t>
            </w:r>
          </w:p>
        </w:tc>
        <w:tc>
          <w:tcPr>
            <w:tcW w:w="1840" w:type="dxa"/>
            <w:tcBorders>
              <w:top w:val="nil"/>
              <w:left w:val="nil"/>
              <w:bottom w:val="nil"/>
              <w:right w:val="nil"/>
            </w:tcBorders>
            <w:shd w:val="clear" w:color="auto" w:fill="auto"/>
            <w:noWrap/>
            <w:vAlign w:val="bottom"/>
            <w:hideMark/>
          </w:tcPr>
          <w:p w14:paraId="3AA0E841" w14:textId="77777777" w:rsidR="00877990" w:rsidRPr="00877990" w:rsidRDefault="00877990">
            <w:pPr>
              <w:rPr>
                <w:rFonts w:ascii="Aptos Narrow" w:hAnsi="Aptos Narrow"/>
                <w:color w:val="000000" w:themeColor="text1"/>
              </w:rPr>
            </w:pPr>
          </w:p>
        </w:tc>
        <w:tc>
          <w:tcPr>
            <w:tcW w:w="1880" w:type="dxa"/>
            <w:tcBorders>
              <w:top w:val="nil"/>
              <w:left w:val="nil"/>
              <w:bottom w:val="nil"/>
              <w:right w:val="nil"/>
            </w:tcBorders>
            <w:shd w:val="clear" w:color="auto" w:fill="auto"/>
            <w:noWrap/>
            <w:vAlign w:val="bottom"/>
            <w:hideMark/>
          </w:tcPr>
          <w:p w14:paraId="49FADF9A" w14:textId="630B8518" w:rsidR="00877990" w:rsidRPr="00877990" w:rsidRDefault="00877990">
            <w:pPr>
              <w:rPr>
                <w:rFonts w:ascii="Aptos Narrow" w:hAnsi="Aptos Narrow"/>
                <w:b/>
                <w:bCs/>
                <w:color w:val="000000" w:themeColor="text1"/>
              </w:rPr>
            </w:pPr>
            <w:r w:rsidRPr="00877990">
              <w:rPr>
                <w:rFonts w:ascii="Aptos Narrow" w:hAnsi="Aptos Narrow"/>
                <w:color w:val="000000" w:themeColor="text1"/>
              </w:rPr>
              <w:t xml:space="preserve">         </w:t>
            </w:r>
            <w:r w:rsidRPr="00877990">
              <w:rPr>
                <w:rFonts w:ascii="Aptos Narrow" w:hAnsi="Aptos Narrow"/>
                <w:b/>
                <w:bCs/>
                <w:color w:val="000000" w:themeColor="text1"/>
              </w:rPr>
              <w:t>%</w:t>
            </w:r>
          </w:p>
        </w:tc>
      </w:tr>
      <w:tr w:rsidR="00877990" w14:paraId="41314840" w14:textId="77777777" w:rsidTr="00877990">
        <w:trPr>
          <w:trHeight w:val="320"/>
        </w:trPr>
        <w:tc>
          <w:tcPr>
            <w:tcW w:w="2760" w:type="dxa"/>
            <w:gridSpan w:val="2"/>
            <w:tcBorders>
              <w:top w:val="nil"/>
              <w:left w:val="nil"/>
              <w:bottom w:val="nil"/>
              <w:right w:val="nil"/>
            </w:tcBorders>
            <w:shd w:val="clear" w:color="auto" w:fill="auto"/>
            <w:noWrap/>
            <w:vAlign w:val="bottom"/>
            <w:hideMark/>
          </w:tcPr>
          <w:p w14:paraId="7ADF76BB" w14:textId="77777777" w:rsidR="00877990" w:rsidRPr="00877990" w:rsidRDefault="00877990">
            <w:pPr>
              <w:rPr>
                <w:rFonts w:ascii="Aptos Narrow" w:hAnsi="Aptos Narrow"/>
                <w:color w:val="000000" w:themeColor="text1"/>
              </w:rPr>
            </w:pPr>
            <w:r w:rsidRPr="00877990">
              <w:rPr>
                <w:rFonts w:ascii="Aptos Narrow" w:hAnsi="Aptos Narrow"/>
                <w:color w:val="000000" w:themeColor="text1"/>
              </w:rPr>
              <w:t xml:space="preserve"> Visa</w:t>
            </w:r>
          </w:p>
        </w:tc>
        <w:tc>
          <w:tcPr>
            <w:tcW w:w="1860" w:type="dxa"/>
            <w:tcBorders>
              <w:top w:val="nil"/>
              <w:left w:val="nil"/>
              <w:bottom w:val="nil"/>
              <w:right w:val="nil"/>
            </w:tcBorders>
            <w:shd w:val="clear" w:color="auto" w:fill="auto"/>
            <w:noWrap/>
            <w:vAlign w:val="bottom"/>
            <w:hideMark/>
          </w:tcPr>
          <w:p w14:paraId="69DAD945" w14:textId="77777777" w:rsidR="00877990" w:rsidRPr="00877990" w:rsidRDefault="00877990" w:rsidP="00877990">
            <w:pPr>
              <w:rPr>
                <w:rFonts w:ascii="Aptos Narrow" w:hAnsi="Aptos Narrow"/>
                <w:color w:val="215E99" w:themeColor="text2" w:themeTint="BF"/>
              </w:rPr>
            </w:pPr>
            <w:r w:rsidRPr="00877990">
              <w:rPr>
                <w:rFonts w:ascii="Aptos Narrow" w:hAnsi="Aptos Narrow"/>
                <w:color w:val="215E99" w:themeColor="text2" w:themeTint="BF"/>
              </w:rPr>
              <w:t>17,273</w:t>
            </w:r>
          </w:p>
        </w:tc>
        <w:tc>
          <w:tcPr>
            <w:tcW w:w="1780" w:type="dxa"/>
            <w:tcBorders>
              <w:top w:val="nil"/>
              <w:left w:val="nil"/>
              <w:bottom w:val="nil"/>
              <w:right w:val="nil"/>
            </w:tcBorders>
            <w:shd w:val="clear" w:color="auto" w:fill="auto"/>
            <w:noWrap/>
            <w:vAlign w:val="bottom"/>
            <w:hideMark/>
          </w:tcPr>
          <w:p w14:paraId="0BCE174B" w14:textId="77777777" w:rsidR="00877990" w:rsidRPr="00877990" w:rsidRDefault="00877990" w:rsidP="00877990">
            <w:pPr>
              <w:rPr>
                <w:rFonts w:ascii="Aptos Narrow" w:hAnsi="Aptos Narrow"/>
                <w:color w:val="215E99" w:themeColor="text2" w:themeTint="BF"/>
              </w:rPr>
            </w:pPr>
            <w:r w:rsidRPr="00877990">
              <w:rPr>
                <w:rFonts w:ascii="Aptos Narrow" w:hAnsi="Aptos Narrow"/>
                <w:color w:val="215E99" w:themeColor="text2" w:themeTint="BF"/>
              </w:rPr>
              <w:t>90,499</w:t>
            </w:r>
          </w:p>
        </w:tc>
        <w:tc>
          <w:tcPr>
            <w:tcW w:w="1840" w:type="dxa"/>
            <w:tcBorders>
              <w:top w:val="nil"/>
              <w:left w:val="nil"/>
              <w:bottom w:val="nil"/>
              <w:right w:val="nil"/>
            </w:tcBorders>
            <w:shd w:val="clear" w:color="auto" w:fill="auto"/>
            <w:noWrap/>
            <w:vAlign w:val="bottom"/>
            <w:hideMark/>
          </w:tcPr>
          <w:p w14:paraId="7C6048F2" w14:textId="77777777" w:rsidR="00877990" w:rsidRPr="00877990" w:rsidRDefault="00877990" w:rsidP="00877990">
            <w:pPr>
              <w:rPr>
                <w:rFonts w:ascii="Aptos Narrow" w:hAnsi="Aptos Narrow"/>
                <w:color w:val="215E99" w:themeColor="text2" w:themeTint="BF"/>
              </w:rPr>
            </w:pPr>
            <w:r w:rsidRPr="00877990">
              <w:rPr>
                <w:rFonts w:ascii="Aptos Narrow" w:hAnsi="Aptos Narrow"/>
                <w:color w:val="215E99" w:themeColor="text2" w:themeTint="BF"/>
              </w:rPr>
              <w:t>0.190863987</w:t>
            </w:r>
          </w:p>
        </w:tc>
        <w:tc>
          <w:tcPr>
            <w:tcW w:w="1880" w:type="dxa"/>
            <w:tcBorders>
              <w:top w:val="nil"/>
              <w:left w:val="nil"/>
              <w:bottom w:val="nil"/>
              <w:right w:val="nil"/>
            </w:tcBorders>
            <w:shd w:val="clear" w:color="auto" w:fill="auto"/>
            <w:noWrap/>
            <w:vAlign w:val="bottom"/>
            <w:hideMark/>
          </w:tcPr>
          <w:p w14:paraId="14DB6EAB" w14:textId="4BFDD7DD" w:rsidR="00877990" w:rsidRPr="00877990" w:rsidRDefault="00877990" w:rsidP="00877990">
            <w:pPr>
              <w:rPr>
                <w:rFonts w:ascii="Aptos Narrow" w:hAnsi="Aptos Narrow"/>
                <w:b/>
                <w:bCs/>
                <w:color w:val="215E99" w:themeColor="text2" w:themeTint="BF"/>
              </w:rPr>
            </w:pPr>
            <w:r w:rsidRPr="00877990">
              <w:rPr>
                <w:rFonts w:ascii="Aptos Narrow" w:hAnsi="Aptos Narrow"/>
                <w:b/>
                <w:bCs/>
                <w:color w:val="215E99" w:themeColor="text2" w:themeTint="BF"/>
              </w:rPr>
              <w:t xml:space="preserve"> 19.08639874</w:t>
            </w:r>
          </w:p>
        </w:tc>
      </w:tr>
      <w:tr w:rsidR="00877990" w14:paraId="16770569" w14:textId="77777777" w:rsidTr="00877990">
        <w:trPr>
          <w:trHeight w:val="320"/>
        </w:trPr>
        <w:tc>
          <w:tcPr>
            <w:tcW w:w="2760" w:type="dxa"/>
            <w:gridSpan w:val="2"/>
            <w:tcBorders>
              <w:top w:val="nil"/>
              <w:left w:val="nil"/>
              <w:bottom w:val="nil"/>
              <w:right w:val="nil"/>
            </w:tcBorders>
            <w:shd w:val="clear" w:color="auto" w:fill="auto"/>
            <w:noWrap/>
            <w:vAlign w:val="bottom"/>
            <w:hideMark/>
          </w:tcPr>
          <w:p w14:paraId="1AAD8696" w14:textId="77777777" w:rsidR="00877990" w:rsidRPr="00877990" w:rsidRDefault="00877990">
            <w:pPr>
              <w:rPr>
                <w:rFonts w:ascii="Aptos Narrow" w:hAnsi="Aptos Narrow"/>
                <w:color w:val="000000" w:themeColor="text1"/>
              </w:rPr>
            </w:pPr>
            <w:r w:rsidRPr="00877990">
              <w:rPr>
                <w:rFonts w:ascii="Aptos Narrow" w:hAnsi="Aptos Narrow"/>
                <w:color w:val="000000" w:themeColor="text1"/>
              </w:rPr>
              <w:t xml:space="preserve">Master Card </w:t>
            </w:r>
          </w:p>
        </w:tc>
        <w:tc>
          <w:tcPr>
            <w:tcW w:w="1860" w:type="dxa"/>
            <w:tcBorders>
              <w:top w:val="nil"/>
              <w:left w:val="nil"/>
              <w:bottom w:val="nil"/>
              <w:right w:val="nil"/>
            </w:tcBorders>
            <w:shd w:val="clear" w:color="auto" w:fill="auto"/>
            <w:noWrap/>
            <w:vAlign w:val="bottom"/>
            <w:hideMark/>
          </w:tcPr>
          <w:p w14:paraId="0E10D8F9" w14:textId="77777777" w:rsidR="00877990" w:rsidRPr="00877990" w:rsidRDefault="00877990" w:rsidP="00877990">
            <w:pPr>
              <w:rPr>
                <w:rFonts w:ascii="Aptos Narrow" w:hAnsi="Aptos Narrow"/>
                <w:color w:val="215E99" w:themeColor="text2" w:themeTint="BF"/>
              </w:rPr>
            </w:pPr>
            <w:r w:rsidRPr="00877990">
              <w:rPr>
                <w:rFonts w:ascii="Aptos Narrow" w:hAnsi="Aptos Narrow"/>
                <w:color w:val="215E99" w:themeColor="text2" w:themeTint="BF"/>
              </w:rPr>
              <w:t>11,164</w:t>
            </w:r>
          </w:p>
        </w:tc>
        <w:tc>
          <w:tcPr>
            <w:tcW w:w="1780" w:type="dxa"/>
            <w:tcBorders>
              <w:top w:val="nil"/>
              <w:left w:val="nil"/>
              <w:bottom w:val="nil"/>
              <w:right w:val="nil"/>
            </w:tcBorders>
            <w:shd w:val="clear" w:color="auto" w:fill="auto"/>
            <w:noWrap/>
            <w:vAlign w:val="bottom"/>
            <w:hideMark/>
          </w:tcPr>
          <w:p w14:paraId="37608FF1" w14:textId="77777777" w:rsidR="00877990" w:rsidRPr="00877990" w:rsidRDefault="00877990" w:rsidP="00877990">
            <w:pPr>
              <w:rPr>
                <w:rFonts w:ascii="Aptos Narrow" w:hAnsi="Aptos Narrow"/>
                <w:color w:val="215E99" w:themeColor="text2" w:themeTint="BF"/>
              </w:rPr>
            </w:pPr>
            <w:r w:rsidRPr="00877990">
              <w:rPr>
                <w:rFonts w:ascii="Aptos Narrow" w:hAnsi="Aptos Narrow"/>
                <w:color w:val="215E99" w:themeColor="text2" w:themeTint="BF"/>
              </w:rPr>
              <w:t>41,061</w:t>
            </w:r>
          </w:p>
        </w:tc>
        <w:tc>
          <w:tcPr>
            <w:tcW w:w="1840" w:type="dxa"/>
            <w:tcBorders>
              <w:top w:val="nil"/>
              <w:left w:val="nil"/>
              <w:bottom w:val="nil"/>
              <w:right w:val="nil"/>
            </w:tcBorders>
            <w:shd w:val="clear" w:color="auto" w:fill="auto"/>
            <w:noWrap/>
            <w:vAlign w:val="bottom"/>
            <w:hideMark/>
          </w:tcPr>
          <w:p w14:paraId="0E7ECEF8" w14:textId="77777777" w:rsidR="00877990" w:rsidRPr="00877990" w:rsidRDefault="00877990" w:rsidP="00877990">
            <w:pPr>
              <w:rPr>
                <w:rFonts w:ascii="Aptos Narrow" w:hAnsi="Aptos Narrow"/>
                <w:color w:val="215E99" w:themeColor="text2" w:themeTint="BF"/>
              </w:rPr>
            </w:pPr>
            <w:r w:rsidRPr="00877990">
              <w:rPr>
                <w:rFonts w:ascii="Aptos Narrow" w:hAnsi="Aptos Narrow"/>
                <w:color w:val="215E99" w:themeColor="text2" w:themeTint="BF"/>
              </w:rPr>
              <w:t>0.271888166</w:t>
            </w:r>
          </w:p>
        </w:tc>
        <w:tc>
          <w:tcPr>
            <w:tcW w:w="1880" w:type="dxa"/>
            <w:tcBorders>
              <w:top w:val="nil"/>
              <w:left w:val="nil"/>
              <w:bottom w:val="nil"/>
              <w:right w:val="nil"/>
            </w:tcBorders>
            <w:shd w:val="clear" w:color="auto" w:fill="auto"/>
            <w:noWrap/>
            <w:vAlign w:val="bottom"/>
            <w:hideMark/>
          </w:tcPr>
          <w:p w14:paraId="31D6BF56" w14:textId="1EC77AD0" w:rsidR="00877990" w:rsidRPr="00877990" w:rsidRDefault="00877990" w:rsidP="00877990">
            <w:pPr>
              <w:rPr>
                <w:rFonts w:ascii="Aptos Narrow" w:hAnsi="Aptos Narrow"/>
                <w:b/>
                <w:bCs/>
                <w:color w:val="215E99" w:themeColor="text2" w:themeTint="BF"/>
              </w:rPr>
            </w:pPr>
            <w:r w:rsidRPr="00877990">
              <w:rPr>
                <w:rFonts w:ascii="Aptos Narrow" w:hAnsi="Aptos Narrow"/>
                <w:b/>
                <w:bCs/>
                <w:color w:val="215E99" w:themeColor="text2" w:themeTint="BF"/>
              </w:rPr>
              <w:t xml:space="preserve">  27.18881664</w:t>
            </w:r>
          </w:p>
        </w:tc>
      </w:tr>
      <w:tr w:rsidR="00877990" w14:paraId="5726BD67" w14:textId="77777777" w:rsidTr="00877990">
        <w:trPr>
          <w:trHeight w:val="320"/>
        </w:trPr>
        <w:tc>
          <w:tcPr>
            <w:tcW w:w="2760" w:type="dxa"/>
            <w:gridSpan w:val="2"/>
            <w:tcBorders>
              <w:top w:val="nil"/>
              <w:left w:val="nil"/>
              <w:bottom w:val="nil"/>
              <w:right w:val="nil"/>
            </w:tcBorders>
            <w:shd w:val="clear" w:color="auto" w:fill="auto"/>
            <w:noWrap/>
            <w:vAlign w:val="bottom"/>
            <w:hideMark/>
          </w:tcPr>
          <w:p w14:paraId="6F174557" w14:textId="77777777" w:rsidR="00877990" w:rsidRPr="00877990" w:rsidRDefault="00877990">
            <w:pPr>
              <w:rPr>
                <w:rFonts w:ascii="Aptos Narrow" w:hAnsi="Aptos Narrow"/>
                <w:color w:val="000000" w:themeColor="text1"/>
              </w:rPr>
            </w:pPr>
            <w:r w:rsidRPr="00877990">
              <w:rPr>
                <w:rFonts w:ascii="Aptos Narrow" w:hAnsi="Aptos Narrow"/>
                <w:color w:val="000000" w:themeColor="text1"/>
              </w:rPr>
              <w:t xml:space="preserve">American Express </w:t>
            </w:r>
          </w:p>
        </w:tc>
        <w:tc>
          <w:tcPr>
            <w:tcW w:w="1860" w:type="dxa"/>
            <w:tcBorders>
              <w:top w:val="nil"/>
              <w:left w:val="nil"/>
              <w:bottom w:val="nil"/>
              <w:right w:val="nil"/>
            </w:tcBorders>
            <w:shd w:val="clear" w:color="auto" w:fill="auto"/>
            <w:noWrap/>
            <w:vAlign w:val="bottom"/>
            <w:hideMark/>
          </w:tcPr>
          <w:p w14:paraId="6ACBFD49" w14:textId="77777777" w:rsidR="00877990" w:rsidRPr="00877990" w:rsidRDefault="00877990" w:rsidP="00877990">
            <w:pPr>
              <w:rPr>
                <w:rFonts w:ascii="Aptos Narrow" w:hAnsi="Aptos Narrow"/>
                <w:color w:val="215E99" w:themeColor="text2" w:themeTint="BF"/>
              </w:rPr>
            </w:pPr>
            <w:r w:rsidRPr="00877990">
              <w:rPr>
                <w:rFonts w:ascii="Aptos Narrow" w:hAnsi="Aptos Narrow"/>
                <w:color w:val="215E99" w:themeColor="text2" w:themeTint="BF"/>
              </w:rPr>
              <w:t>825</w:t>
            </w:r>
          </w:p>
        </w:tc>
        <w:tc>
          <w:tcPr>
            <w:tcW w:w="1780" w:type="dxa"/>
            <w:tcBorders>
              <w:top w:val="nil"/>
              <w:left w:val="nil"/>
              <w:bottom w:val="nil"/>
              <w:right w:val="nil"/>
            </w:tcBorders>
            <w:shd w:val="clear" w:color="auto" w:fill="auto"/>
            <w:noWrap/>
            <w:vAlign w:val="bottom"/>
            <w:hideMark/>
          </w:tcPr>
          <w:p w14:paraId="2EC0BBE7" w14:textId="77777777" w:rsidR="00877990" w:rsidRPr="00877990" w:rsidRDefault="00877990" w:rsidP="00877990">
            <w:pPr>
              <w:rPr>
                <w:rFonts w:ascii="Aptos Narrow" w:hAnsi="Aptos Narrow"/>
                <w:color w:val="215E99" w:themeColor="text2" w:themeTint="BF"/>
              </w:rPr>
            </w:pPr>
            <w:r w:rsidRPr="00877990">
              <w:rPr>
                <w:rFonts w:ascii="Aptos Narrow" w:hAnsi="Aptos Narrow"/>
                <w:color w:val="215E99" w:themeColor="text2" w:themeTint="BF"/>
              </w:rPr>
              <w:t>26,111</w:t>
            </w:r>
          </w:p>
        </w:tc>
        <w:tc>
          <w:tcPr>
            <w:tcW w:w="1840" w:type="dxa"/>
            <w:tcBorders>
              <w:top w:val="nil"/>
              <w:left w:val="nil"/>
              <w:bottom w:val="nil"/>
              <w:right w:val="nil"/>
            </w:tcBorders>
            <w:shd w:val="clear" w:color="auto" w:fill="auto"/>
            <w:noWrap/>
            <w:vAlign w:val="bottom"/>
            <w:hideMark/>
          </w:tcPr>
          <w:p w14:paraId="32F5536D" w14:textId="77777777" w:rsidR="00877990" w:rsidRPr="00877990" w:rsidRDefault="00877990" w:rsidP="00877990">
            <w:pPr>
              <w:rPr>
                <w:rFonts w:ascii="Aptos Narrow" w:hAnsi="Aptos Narrow"/>
                <w:color w:val="215E99" w:themeColor="text2" w:themeTint="BF"/>
              </w:rPr>
            </w:pPr>
            <w:r w:rsidRPr="00877990">
              <w:rPr>
                <w:rFonts w:ascii="Aptos Narrow" w:hAnsi="Aptos Narrow"/>
                <w:color w:val="215E99" w:themeColor="text2" w:themeTint="BF"/>
              </w:rPr>
              <w:t>0.031595879</w:t>
            </w:r>
          </w:p>
        </w:tc>
        <w:tc>
          <w:tcPr>
            <w:tcW w:w="1880" w:type="dxa"/>
            <w:tcBorders>
              <w:top w:val="nil"/>
              <w:left w:val="nil"/>
              <w:bottom w:val="nil"/>
              <w:right w:val="nil"/>
            </w:tcBorders>
            <w:shd w:val="clear" w:color="auto" w:fill="auto"/>
            <w:noWrap/>
            <w:vAlign w:val="bottom"/>
            <w:hideMark/>
          </w:tcPr>
          <w:p w14:paraId="088E5385" w14:textId="7159D82F" w:rsidR="00877990" w:rsidRPr="00877990" w:rsidRDefault="00877990" w:rsidP="00877990">
            <w:pPr>
              <w:rPr>
                <w:rFonts w:ascii="Aptos Narrow" w:hAnsi="Aptos Narrow"/>
                <w:b/>
                <w:bCs/>
                <w:color w:val="215E99" w:themeColor="text2" w:themeTint="BF"/>
              </w:rPr>
            </w:pPr>
            <w:r w:rsidRPr="00877990">
              <w:rPr>
                <w:rFonts w:ascii="Aptos Narrow" w:hAnsi="Aptos Narrow"/>
                <w:b/>
                <w:bCs/>
                <w:color w:val="215E99" w:themeColor="text2" w:themeTint="BF"/>
              </w:rPr>
              <w:t xml:space="preserve">  3.159587913</w:t>
            </w:r>
          </w:p>
        </w:tc>
      </w:tr>
    </w:tbl>
    <w:p w14:paraId="3E7093B2" w14:textId="77777777" w:rsidR="0031169A" w:rsidRDefault="0031169A" w:rsidP="00443189">
      <w:pPr>
        <w:tabs>
          <w:tab w:val="left" w:pos="2520"/>
        </w:tabs>
        <w:spacing w:line="360" w:lineRule="auto"/>
        <w:rPr>
          <w:rFonts w:ascii="Arial" w:hAnsi="Arial" w:cs="Arial"/>
          <w:color w:val="000000" w:themeColor="text1"/>
          <w:sz w:val="22"/>
          <w:szCs w:val="22"/>
        </w:rPr>
      </w:pPr>
    </w:p>
    <w:p w14:paraId="4B64A837" w14:textId="29F3B99B" w:rsidR="00DD0404" w:rsidRPr="0031169A" w:rsidRDefault="00443189" w:rsidP="00443189">
      <w:pPr>
        <w:tabs>
          <w:tab w:val="left" w:pos="2520"/>
        </w:tabs>
        <w:spacing w:line="360" w:lineRule="auto"/>
        <w:rPr>
          <w:rFonts w:ascii="ArialMT" w:hAnsi="ArialMT"/>
          <w:sz w:val="22"/>
          <w:szCs w:val="22"/>
        </w:rPr>
      </w:pPr>
      <w:r w:rsidRPr="00443189">
        <w:rPr>
          <w:rFonts w:ascii="Arial" w:hAnsi="Arial" w:cs="Arial"/>
          <w:color w:val="000000" w:themeColor="text1"/>
          <w:sz w:val="22"/>
          <w:szCs w:val="22"/>
        </w:rPr>
        <w:t xml:space="preserve">Visa's reported Net Income </w:t>
      </w:r>
      <w:proofErr w:type="gramStart"/>
      <w:r w:rsidRPr="00443189">
        <w:rPr>
          <w:rFonts w:ascii="Arial" w:hAnsi="Arial" w:cs="Arial"/>
          <w:color w:val="000000" w:themeColor="text1"/>
          <w:sz w:val="22"/>
          <w:szCs w:val="22"/>
        </w:rPr>
        <w:t>for  Dec.</w:t>
      </w:r>
      <w:proofErr w:type="gramEnd"/>
      <w:r w:rsidRPr="00443189">
        <w:rPr>
          <w:rFonts w:ascii="Arial" w:hAnsi="Arial" w:cs="Arial"/>
          <w:color w:val="000000" w:themeColor="text1"/>
          <w:sz w:val="22"/>
          <w:szCs w:val="22"/>
        </w:rPr>
        <w:t xml:space="preserve"> 2023 was $17,273 Mil. Visa's reported Total Assets $90,499 Mil. Therefore, Visa's ROA % for 2023 was 19,1%</w:t>
      </w:r>
      <w:r w:rsidR="0031169A">
        <w:rPr>
          <w:rFonts w:ascii="ArialMT" w:hAnsi="ArialMT"/>
          <w:sz w:val="22"/>
          <w:szCs w:val="22"/>
        </w:rPr>
        <w:t xml:space="preserve">. </w:t>
      </w:r>
      <w:r w:rsidRPr="00443189">
        <w:rPr>
          <w:rFonts w:ascii="Arial" w:hAnsi="Arial" w:cs="Arial"/>
          <w:color w:val="000000" w:themeColor="text1"/>
          <w:sz w:val="22"/>
          <w:szCs w:val="22"/>
        </w:rPr>
        <w:t>With a Return on Assets (ROA) of 19.1% in 2023, Visa Inc. had a strong profit margin in relation to its total assets during that year. ROA calculates how well a business uses its resources to produce revenue.</w:t>
      </w:r>
      <w:r w:rsidR="0031169A">
        <w:rPr>
          <w:rFonts w:ascii="Arial" w:hAnsi="Arial" w:cs="Arial"/>
          <w:color w:val="000000" w:themeColor="text1"/>
          <w:sz w:val="22"/>
          <w:szCs w:val="22"/>
        </w:rPr>
        <w:t xml:space="preserve"> </w:t>
      </w:r>
      <w:r w:rsidRPr="00443189">
        <w:rPr>
          <w:rFonts w:ascii="Arial" w:hAnsi="Arial" w:cs="Arial"/>
          <w:color w:val="000000" w:themeColor="text1"/>
          <w:sz w:val="22"/>
          <w:szCs w:val="22"/>
        </w:rPr>
        <w:t>With a ROA of 19.1%, Visa Inc. generated $0.191 in net income for every dollar of assets it owned in 2023. This shows that Visa Inc. demonstrated operational efficiency and effective use of resources by managing its assets to create profits</w:t>
      </w:r>
      <w:r w:rsidR="008003D2">
        <w:rPr>
          <w:rFonts w:ascii="Arial" w:hAnsi="Arial" w:cs="Arial"/>
          <w:color w:val="000000" w:themeColor="text1"/>
          <w:sz w:val="22"/>
          <w:szCs w:val="22"/>
        </w:rPr>
        <w:t>,</w:t>
      </w:r>
      <w:r>
        <w:rPr>
          <w:rFonts w:ascii="Arial" w:hAnsi="Arial" w:cs="Arial"/>
          <w:color w:val="000000" w:themeColor="text1"/>
          <w:sz w:val="22"/>
          <w:szCs w:val="22"/>
        </w:rPr>
        <w:t xml:space="preserve"> </w:t>
      </w:r>
      <w:r w:rsidR="008003D2">
        <w:rPr>
          <w:rFonts w:ascii="Arial" w:hAnsi="Arial" w:cs="Arial"/>
          <w:color w:val="000000" w:themeColor="text1"/>
          <w:sz w:val="22"/>
          <w:szCs w:val="22"/>
        </w:rPr>
        <w:t>(</w:t>
      </w:r>
      <w:proofErr w:type="spellStart"/>
      <w:proofErr w:type="gramStart"/>
      <w:r w:rsidR="008003D2" w:rsidRPr="008003D2">
        <w:rPr>
          <w:rFonts w:ascii="Arial" w:hAnsi="Arial" w:cs="Arial"/>
          <w:color w:val="000000" w:themeColor="text1"/>
          <w:sz w:val="22"/>
          <w:szCs w:val="22"/>
        </w:rPr>
        <w:t>Eugene</w:t>
      </w:r>
      <w:r w:rsidR="008003D2">
        <w:rPr>
          <w:rFonts w:ascii="Arial" w:hAnsi="Arial" w:cs="Arial"/>
          <w:color w:val="000000" w:themeColor="text1"/>
          <w:sz w:val="22"/>
          <w:szCs w:val="22"/>
        </w:rPr>
        <w:t>,F</w:t>
      </w:r>
      <w:proofErr w:type="spellEnd"/>
      <w:r w:rsidR="008003D2" w:rsidRPr="008003D2">
        <w:rPr>
          <w:rFonts w:ascii="Arial" w:hAnsi="Arial" w:cs="Arial"/>
          <w:color w:val="000000" w:themeColor="text1"/>
          <w:sz w:val="22"/>
          <w:szCs w:val="22"/>
        </w:rPr>
        <w:t>.</w:t>
      </w:r>
      <w:proofErr w:type="gramEnd"/>
      <w:r w:rsidR="008003D2">
        <w:rPr>
          <w:rFonts w:ascii="Arial" w:hAnsi="Arial" w:cs="Arial"/>
          <w:color w:val="000000" w:themeColor="text1"/>
          <w:sz w:val="22"/>
          <w:szCs w:val="22"/>
        </w:rPr>
        <w:t>,</w:t>
      </w:r>
      <w:r w:rsidR="008003D2" w:rsidRPr="008003D2">
        <w:rPr>
          <w:rFonts w:ascii="Arial" w:hAnsi="Arial" w:cs="Arial"/>
          <w:color w:val="000000" w:themeColor="text1"/>
          <w:sz w:val="22"/>
          <w:szCs w:val="22"/>
        </w:rPr>
        <w:t xml:space="preserve"> Brigham</w:t>
      </w:r>
      <w:r w:rsidR="008003D2">
        <w:rPr>
          <w:rFonts w:ascii="Arial" w:hAnsi="Arial" w:cs="Arial"/>
          <w:color w:val="000000" w:themeColor="text1"/>
          <w:sz w:val="22"/>
          <w:szCs w:val="22"/>
        </w:rPr>
        <w:t xml:space="preserve">, F., </w:t>
      </w:r>
      <w:r w:rsidR="008003D2" w:rsidRPr="008003D2">
        <w:rPr>
          <w:rFonts w:ascii="Arial" w:hAnsi="Arial" w:cs="Arial"/>
          <w:color w:val="000000" w:themeColor="text1"/>
          <w:sz w:val="22"/>
          <w:szCs w:val="22"/>
        </w:rPr>
        <w:t>Joel</w:t>
      </w:r>
      <w:r w:rsidR="008003D2">
        <w:rPr>
          <w:rFonts w:ascii="Arial" w:hAnsi="Arial" w:cs="Arial"/>
          <w:color w:val="000000" w:themeColor="text1"/>
          <w:sz w:val="22"/>
          <w:szCs w:val="22"/>
        </w:rPr>
        <w:t>, H. 2013)</w:t>
      </w:r>
    </w:p>
    <w:p w14:paraId="4615A7E0" w14:textId="40CAA8BA" w:rsidR="00DD0404" w:rsidRDefault="00734CA7" w:rsidP="00443189">
      <w:pPr>
        <w:tabs>
          <w:tab w:val="left" w:pos="2520"/>
        </w:tabs>
        <w:spacing w:line="360" w:lineRule="auto"/>
        <w:rPr>
          <w:rFonts w:ascii="Arial" w:hAnsi="Arial" w:cs="Arial"/>
          <w:color w:val="000000" w:themeColor="text1"/>
          <w:sz w:val="22"/>
          <w:szCs w:val="22"/>
        </w:rPr>
      </w:pPr>
      <w:r w:rsidRPr="00734CA7">
        <w:rPr>
          <w:rFonts w:ascii="Arial" w:hAnsi="Arial" w:cs="Arial"/>
          <w:color w:val="000000" w:themeColor="text1"/>
          <w:sz w:val="22"/>
          <w:szCs w:val="22"/>
        </w:rPr>
        <w:t xml:space="preserve">Generally speaking, </w:t>
      </w:r>
      <w:proofErr w:type="gramStart"/>
      <w:r w:rsidR="00391CB4" w:rsidRPr="00391CB4">
        <w:rPr>
          <w:rFonts w:ascii="Arial" w:hAnsi="Arial" w:cs="Arial"/>
          <w:color w:val="000000" w:themeColor="text1"/>
          <w:sz w:val="22"/>
          <w:szCs w:val="22"/>
        </w:rPr>
        <w:t>More</w:t>
      </w:r>
      <w:proofErr w:type="gramEnd"/>
      <w:r w:rsidR="00391CB4" w:rsidRPr="00391CB4">
        <w:rPr>
          <w:rFonts w:ascii="Arial" w:hAnsi="Arial" w:cs="Arial"/>
          <w:color w:val="000000" w:themeColor="text1"/>
          <w:sz w:val="22"/>
          <w:szCs w:val="22"/>
        </w:rPr>
        <w:t xml:space="preserve"> than 5% is considered good, and more than 20% is exceptional for ROA. Companies in the same sector should, however, constantly contrast their ROAs with those of competitors. </w:t>
      </w:r>
      <w:r w:rsidRPr="00734CA7">
        <w:rPr>
          <w:rFonts w:ascii="Arial" w:hAnsi="Arial" w:cs="Arial"/>
          <w:color w:val="000000" w:themeColor="text1"/>
          <w:sz w:val="22"/>
          <w:szCs w:val="22"/>
        </w:rPr>
        <w:t>Visa competitors include Mastercard, Stripe, Capital One, American Express and PayPal.</w:t>
      </w:r>
      <w:r>
        <w:rPr>
          <w:rFonts w:ascii="Arial" w:hAnsi="Arial" w:cs="Arial"/>
          <w:color w:val="000000" w:themeColor="text1"/>
          <w:sz w:val="22"/>
          <w:szCs w:val="22"/>
        </w:rPr>
        <w:t xml:space="preserve"> (Comparability.com 2023)</w:t>
      </w:r>
    </w:p>
    <w:p w14:paraId="4B0D0017" w14:textId="77777777" w:rsidR="0031169A" w:rsidRDefault="0031169A" w:rsidP="00443189">
      <w:pPr>
        <w:tabs>
          <w:tab w:val="left" w:pos="2520"/>
        </w:tabs>
        <w:spacing w:line="360" w:lineRule="auto"/>
        <w:rPr>
          <w:rFonts w:ascii="Arial" w:hAnsi="Arial" w:cs="Arial"/>
          <w:color w:val="000000" w:themeColor="text1"/>
          <w:sz w:val="22"/>
          <w:szCs w:val="22"/>
        </w:rPr>
      </w:pPr>
    </w:p>
    <w:p w14:paraId="0A40C66E" w14:textId="77777777" w:rsidR="00C72629" w:rsidRDefault="00734CA7" w:rsidP="00443189">
      <w:pPr>
        <w:tabs>
          <w:tab w:val="left" w:pos="2520"/>
        </w:tabs>
        <w:spacing w:line="360" w:lineRule="auto"/>
        <w:rPr>
          <w:rFonts w:ascii="Arial" w:hAnsi="Arial" w:cs="Arial"/>
          <w:color w:val="000000" w:themeColor="text1"/>
          <w:sz w:val="22"/>
          <w:szCs w:val="22"/>
        </w:rPr>
      </w:pPr>
      <w:r w:rsidRPr="00734CA7">
        <w:rPr>
          <w:rFonts w:ascii="Arial" w:hAnsi="Arial" w:cs="Arial"/>
          <w:color w:val="000000" w:themeColor="text1"/>
          <w:sz w:val="22"/>
          <w:szCs w:val="22"/>
        </w:rPr>
        <w:t xml:space="preserve">Mastercard (Mastercard) ROA </w:t>
      </w:r>
      <w:r w:rsidR="00DD0404">
        <w:rPr>
          <w:rFonts w:ascii="Arial" w:hAnsi="Arial" w:cs="Arial"/>
          <w:color w:val="000000" w:themeColor="text1"/>
          <w:sz w:val="22"/>
          <w:szCs w:val="22"/>
        </w:rPr>
        <w:t xml:space="preserve">is </w:t>
      </w:r>
      <w:r w:rsidRPr="00734CA7">
        <w:rPr>
          <w:rFonts w:ascii="Arial" w:hAnsi="Arial" w:cs="Arial"/>
          <w:color w:val="000000" w:themeColor="text1"/>
          <w:sz w:val="22"/>
          <w:szCs w:val="22"/>
        </w:rPr>
        <w:t>27</w:t>
      </w:r>
      <w:r>
        <w:rPr>
          <w:rFonts w:ascii="Arial" w:hAnsi="Arial" w:cs="Arial"/>
          <w:color w:val="000000" w:themeColor="text1"/>
          <w:sz w:val="22"/>
          <w:szCs w:val="22"/>
        </w:rPr>
        <w:t>,</w:t>
      </w:r>
      <w:r w:rsidRPr="00734CA7">
        <w:rPr>
          <w:rFonts w:ascii="Arial" w:hAnsi="Arial" w:cs="Arial"/>
          <w:color w:val="000000" w:themeColor="text1"/>
          <w:sz w:val="22"/>
          <w:szCs w:val="22"/>
        </w:rPr>
        <w:t xml:space="preserve">19% </w:t>
      </w:r>
      <w:r>
        <w:rPr>
          <w:rFonts w:ascii="Arial" w:hAnsi="Arial" w:cs="Arial"/>
          <w:color w:val="000000" w:themeColor="text1"/>
          <w:sz w:val="22"/>
          <w:szCs w:val="22"/>
        </w:rPr>
        <w:t>and American Express ROA</w:t>
      </w:r>
      <w:r w:rsidR="00DD0404">
        <w:rPr>
          <w:rFonts w:ascii="Arial" w:hAnsi="Arial" w:cs="Arial"/>
          <w:color w:val="000000" w:themeColor="text1"/>
          <w:sz w:val="22"/>
          <w:szCs w:val="22"/>
        </w:rPr>
        <w:t xml:space="preserve"> is</w:t>
      </w:r>
      <w:r>
        <w:rPr>
          <w:rFonts w:ascii="Arial" w:hAnsi="Arial" w:cs="Arial"/>
          <w:color w:val="000000" w:themeColor="text1"/>
          <w:sz w:val="22"/>
          <w:szCs w:val="22"/>
        </w:rPr>
        <w:t xml:space="preserve"> 3.3%</w:t>
      </w:r>
      <w:r w:rsidR="00DD0404">
        <w:rPr>
          <w:rFonts w:ascii="Arial" w:hAnsi="Arial" w:cs="Arial"/>
          <w:color w:val="000000" w:themeColor="text1"/>
          <w:sz w:val="22"/>
          <w:szCs w:val="22"/>
        </w:rPr>
        <w:t xml:space="preserve">, While Visa Inc. ROA is 19,1% - </w:t>
      </w:r>
      <w:r w:rsidR="00DD0404" w:rsidRPr="00DD0404">
        <w:rPr>
          <w:rFonts w:ascii="Arial" w:hAnsi="Arial" w:cs="Arial"/>
          <w:color w:val="000000" w:themeColor="text1"/>
          <w:sz w:val="22"/>
          <w:szCs w:val="22"/>
        </w:rPr>
        <w:t>With a return on assets (ROA) of 19.1%, Visa Inc. is positioned between Mastercard and American Express in terms of profitability and use of assets efficiency. With a ROA of 27.19%, Mastercard demonstrates better efficiency, but Visa Inc. continues to do well with a reasonable ROA, demonstrating strong profitability and efficient use of its assets.</w:t>
      </w:r>
    </w:p>
    <w:p w14:paraId="0D4DB405" w14:textId="78FFD950" w:rsidR="00C72629" w:rsidRDefault="00DD0404" w:rsidP="00443189">
      <w:pPr>
        <w:tabs>
          <w:tab w:val="left" w:pos="2520"/>
        </w:tabs>
        <w:spacing w:line="360" w:lineRule="auto"/>
        <w:rPr>
          <w:rFonts w:ascii="Arial" w:hAnsi="Arial" w:cs="Arial"/>
          <w:color w:val="000000" w:themeColor="text1"/>
          <w:sz w:val="22"/>
          <w:szCs w:val="22"/>
        </w:rPr>
      </w:pPr>
      <w:r w:rsidRPr="00DD0404">
        <w:rPr>
          <w:rFonts w:ascii="Arial" w:hAnsi="Arial" w:cs="Arial"/>
          <w:color w:val="000000" w:themeColor="text1"/>
          <w:sz w:val="22"/>
          <w:szCs w:val="22"/>
        </w:rPr>
        <w:t xml:space="preserve"> </w:t>
      </w:r>
    </w:p>
    <w:p w14:paraId="18A85B4A" w14:textId="55778E4A" w:rsidR="00DD0404" w:rsidRDefault="00DD0404" w:rsidP="00443189">
      <w:pPr>
        <w:tabs>
          <w:tab w:val="left" w:pos="2520"/>
        </w:tabs>
        <w:spacing w:line="360" w:lineRule="auto"/>
        <w:rPr>
          <w:rFonts w:ascii="Arial" w:hAnsi="Arial" w:cs="Arial"/>
          <w:color w:val="000000" w:themeColor="text1"/>
          <w:sz w:val="22"/>
          <w:szCs w:val="22"/>
        </w:rPr>
      </w:pPr>
      <w:r w:rsidRPr="00DD0404">
        <w:rPr>
          <w:rFonts w:ascii="Arial" w:hAnsi="Arial" w:cs="Arial"/>
          <w:color w:val="000000" w:themeColor="text1"/>
          <w:sz w:val="22"/>
          <w:szCs w:val="22"/>
        </w:rPr>
        <w:t xml:space="preserve">With a ROA of 3.3%, American Express, in comparison, </w:t>
      </w:r>
      <w:r>
        <w:rPr>
          <w:rFonts w:ascii="Arial" w:hAnsi="Arial" w:cs="Arial"/>
          <w:color w:val="000000" w:themeColor="text1"/>
          <w:sz w:val="22"/>
          <w:szCs w:val="22"/>
        </w:rPr>
        <w:t xml:space="preserve">is </w:t>
      </w:r>
      <w:r w:rsidRPr="00DD0404">
        <w:rPr>
          <w:rFonts w:ascii="Arial" w:hAnsi="Arial" w:cs="Arial"/>
          <w:color w:val="000000" w:themeColor="text1"/>
          <w:sz w:val="22"/>
          <w:szCs w:val="22"/>
        </w:rPr>
        <w:t xml:space="preserve">behind both Visa Inc. and Mastercard, indicating difficulties with asset utilisation and operational effectiveness. </w:t>
      </w:r>
      <w:r w:rsidR="004B3B87" w:rsidRPr="004B3B87">
        <w:rPr>
          <w:rFonts w:ascii="Arial" w:hAnsi="Arial" w:cs="Arial"/>
          <w:color w:val="000000" w:themeColor="text1"/>
          <w:sz w:val="22"/>
          <w:szCs w:val="22"/>
        </w:rPr>
        <w:t>A lower ROA suggests potential inefficiencies in operations, higher expenses relative to revenue, or lower profitability margins.</w:t>
      </w:r>
      <w:r w:rsidR="004B3B87" w:rsidRPr="004B3B87">
        <w:rPr>
          <w:rFonts w:ascii="Arial" w:hAnsi="Arial" w:cs="Arial"/>
          <w:color w:val="000000" w:themeColor="text1"/>
          <w:sz w:val="22"/>
          <w:szCs w:val="22"/>
        </w:rPr>
        <w:t xml:space="preserve"> </w:t>
      </w:r>
      <w:r w:rsidRPr="00DD0404">
        <w:rPr>
          <w:rFonts w:ascii="Arial" w:hAnsi="Arial" w:cs="Arial"/>
          <w:color w:val="000000" w:themeColor="text1"/>
          <w:sz w:val="22"/>
          <w:szCs w:val="22"/>
        </w:rPr>
        <w:t>Visa Inc. maintains its position as a major player in the payment industry, despite its ROA falling short of Mastercard's. It has proven to have solid financial standing and competitive advantages over competitors.</w:t>
      </w:r>
    </w:p>
    <w:p w14:paraId="60353A94" w14:textId="77777777" w:rsidR="0031169A" w:rsidRDefault="0031169A" w:rsidP="00443189">
      <w:pPr>
        <w:tabs>
          <w:tab w:val="left" w:pos="2520"/>
        </w:tabs>
        <w:spacing w:line="360" w:lineRule="auto"/>
        <w:rPr>
          <w:rFonts w:ascii="Arial" w:hAnsi="Arial" w:cs="Arial"/>
          <w:color w:val="000000" w:themeColor="text1"/>
          <w:sz w:val="22"/>
          <w:szCs w:val="22"/>
        </w:rPr>
      </w:pPr>
    </w:p>
    <w:p w14:paraId="160FBFCF" w14:textId="11EF50D8" w:rsidR="00DD0404" w:rsidRDefault="00BB582C" w:rsidP="00443189">
      <w:pPr>
        <w:tabs>
          <w:tab w:val="left" w:pos="2520"/>
        </w:tabs>
        <w:spacing w:line="360" w:lineRule="auto"/>
        <w:rPr>
          <w:rFonts w:ascii="Arial" w:hAnsi="Arial" w:cs="Arial"/>
          <w:color w:val="000000" w:themeColor="text1"/>
          <w:sz w:val="22"/>
          <w:szCs w:val="22"/>
        </w:rPr>
      </w:pPr>
      <w:r w:rsidRPr="00BB582C">
        <w:rPr>
          <w:rFonts w:ascii="Arial" w:hAnsi="Arial" w:cs="Arial"/>
          <w:color w:val="0D0D0D"/>
          <w:sz w:val="22"/>
          <w:szCs w:val="22"/>
          <w:shd w:val="clear" w:color="auto" w:fill="FFFFFF"/>
        </w:rPr>
        <w:t>Visa's key competitive strengths lie in its extensive scale, strong brand recognition, global presence, seasoned leadership, and commitment to innovation</w:t>
      </w:r>
      <w:r>
        <w:rPr>
          <w:rFonts w:ascii="Segoe UI" w:hAnsi="Segoe UI" w:cs="Segoe UI"/>
          <w:color w:val="0D0D0D"/>
          <w:shd w:val="clear" w:color="auto" w:fill="FFFFFF"/>
        </w:rPr>
        <w:t>.</w:t>
      </w:r>
      <w:r>
        <w:rPr>
          <w:rFonts w:ascii="Segoe UI" w:hAnsi="Segoe UI" w:cs="Segoe UI"/>
          <w:color w:val="0D0D0D"/>
          <w:shd w:val="clear" w:color="auto" w:fill="FFFFFF"/>
        </w:rPr>
        <w:t xml:space="preserve"> </w:t>
      </w:r>
      <w:proofErr w:type="gramStart"/>
      <w:r w:rsidR="00DD0404" w:rsidRPr="00DD0404">
        <w:rPr>
          <w:rFonts w:ascii="Arial" w:hAnsi="Arial" w:cs="Arial"/>
          <w:color w:val="000000" w:themeColor="text1"/>
          <w:sz w:val="22"/>
          <w:szCs w:val="22"/>
        </w:rPr>
        <w:t>Constant</w:t>
      </w:r>
      <w:proofErr w:type="gramEnd"/>
      <w:r w:rsidR="00DD0404" w:rsidRPr="00DD0404">
        <w:rPr>
          <w:rFonts w:ascii="Arial" w:hAnsi="Arial" w:cs="Arial"/>
          <w:color w:val="000000" w:themeColor="text1"/>
          <w:sz w:val="22"/>
          <w:szCs w:val="22"/>
        </w:rPr>
        <w:t xml:space="preserve"> technical </w:t>
      </w:r>
      <w:r w:rsidR="00DD0404" w:rsidRPr="00DD0404">
        <w:rPr>
          <w:rFonts w:ascii="Arial" w:hAnsi="Arial" w:cs="Arial"/>
          <w:color w:val="000000" w:themeColor="text1"/>
          <w:sz w:val="22"/>
          <w:szCs w:val="22"/>
        </w:rPr>
        <w:lastRenderedPageBreak/>
        <w:t>innovation helps Visa maintain its leadership position and improves its ability to process payments, which adds to its strong return on assets.</w:t>
      </w:r>
      <w:r w:rsidR="00DD0404">
        <w:rPr>
          <w:rFonts w:ascii="Arial" w:hAnsi="Arial" w:cs="Arial"/>
          <w:color w:val="000000" w:themeColor="text1"/>
          <w:sz w:val="22"/>
          <w:szCs w:val="22"/>
        </w:rPr>
        <w:t xml:space="preserve"> (smf.business.uconn.edu 2023) </w:t>
      </w:r>
    </w:p>
    <w:p w14:paraId="6778DAB3" w14:textId="7C8FE93D" w:rsidR="00DD0404" w:rsidRDefault="00DD0404" w:rsidP="00443189">
      <w:pPr>
        <w:tabs>
          <w:tab w:val="left" w:pos="2520"/>
        </w:tabs>
        <w:spacing w:line="360" w:lineRule="auto"/>
        <w:rPr>
          <w:rFonts w:ascii="Arial" w:hAnsi="Arial" w:cs="Arial"/>
          <w:color w:val="000000" w:themeColor="text1"/>
          <w:sz w:val="22"/>
          <w:szCs w:val="22"/>
        </w:rPr>
      </w:pPr>
      <w:r w:rsidRPr="00DD0404">
        <w:rPr>
          <w:rFonts w:ascii="Arial" w:hAnsi="Arial" w:cs="Arial"/>
          <w:color w:val="000000" w:themeColor="text1"/>
          <w:sz w:val="22"/>
          <w:szCs w:val="22"/>
        </w:rPr>
        <w:t>Furthermore, Visa's extremely scalable payment processing network effectively manages huge transaction volumes at minimal extra expenses while improving return on assets.</w:t>
      </w:r>
    </w:p>
    <w:p w14:paraId="206F304A" w14:textId="227EF9E9" w:rsidR="00DD0404" w:rsidRDefault="00DD0404" w:rsidP="00443189">
      <w:pPr>
        <w:tabs>
          <w:tab w:val="left" w:pos="2520"/>
        </w:tabs>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Additionally, </w:t>
      </w:r>
      <w:r w:rsidRPr="00DD0404">
        <w:rPr>
          <w:rFonts w:ascii="Arial" w:hAnsi="Arial" w:cs="Arial"/>
          <w:color w:val="000000" w:themeColor="text1"/>
          <w:sz w:val="22"/>
          <w:szCs w:val="22"/>
        </w:rPr>
        <w:t xml:space="preserve">its dominant global presence and widespread card acceptance drive economies of scale, reducing average transaction costs as volumes increase. Visa leverages network effects through its extensive network of cardholders, merchants, and financial institutions, further amplifying transaction volumes and revenue.  Lastly, Visa's global footprint across over 200 countries and territories broadens revenue opportunities, bolstering its profitability. These factors collectively </w:t>
      </w:r>
      <w:r>
        <w:rPr>
          <w:rFonts w:ascii="Arial" w:hAnsi="Arial" w:cs="Arial"/>
          <w:color w:val="000000" w:themeColor="text1"/>
          <w:sz w:val="22"/>
          <w:szCs w:val="22"/>
        </w:rPr>
        <w:t>support</w:t>
      </w:r>
      <w:r w:rsidRPr="00DD0404">
        <w:rPr>
          <w:rFonts w:ascii="Arial" w:hAnsi="Arial" w:cs="Arial"/>
          <w:color w:val="000000" w:themeColor="text1"/>
          <w:sz w:val="22"/>
          <w:szCs w:val="22"/>
        </w:rPr>
        <w:t xml:space="preserve"> Visa's</w:t>
      </w:r>
      <w:r>
        <w:rPr>
          <w:rFonts w:ascii="Arial" w:hAnsi="Arial" w:cs="Arial"/>
          <w:color w:val="000000" w:themeColor="text1"/>
          <w:sz w:val="22"/>
          <w:szCs w:val="22"/>
        </w:rPr>
        <w:t xml:space="preserve"> strong</w:t>
      </w:r>
      <w:r w:rsidRPr="00DD0404">
        <w:rPr>
          <w:rFonts w:ascii="Arial" w:hAnsi="Arial" w:cs="Arial"/>
          <w:color w:val="000000" w:themeColor="text1"/>
          <w:sz w:val="22"/>
          <w:szCs w:val="22"/>
        </w:rPr>
        <w:t xml:space="preserve"> financial performance.</w:t>
      </w:r>
      <w:r>
        <w:rPr>
          <w:rFonts w:ascii="Arial" w:hAnsi="Arial" w:cs="Arial"/>
          <w:color w:val="000000" w:themeColor="text1"/>
          <w:sz w:val="22"/>
          <w:szCs w:val="22"/>
        </w:rPr>
        <w:t xml:space="preserve"> (visa.co.uk 2024) </w:t>
      </w:r>
    </w:p>
    <w:p w14:paraId="205088F0" w14:textId="77777777" w:rsidR="00DD0404" w:rsidRDefault="00DD0404" w:rsidP="00443189">
      <w:pPr>
        <w:tabs>
          <w:tab w:val="left" w:pos="2520"/>
        </w:tabs>
        <w:spacing w:line="360" w:lineRule="auto"/>
        <w:rPr>
          <w:rFonts w:ascii="Arial" w:hAnsi="Arial" w:cs="Arial"/>
          <w:color w:val="000000" w:themeColor="text1"/>
          <w:sz w:val="22"/>
          <w:szCs w:val="22"/>
        </w:rPr>
      </w:pPr>
    </w:p>
    <w:p w14:paraId="7136F638" w14:textId="4CA216A2" w:rsidR="00DD0404" w:rsidRPr="0031169A" w:rsidRDefault="00DD0404" w:rsidP="00443189">
      <w:pPr>
        <w:tabs>
          <w:tab w:val="left" w:pos="2520"/>
        </w:tabs>
        <w:spacing w:line="360" w:lineRule="auto"/>
        <w:rPr>
          <w:rFonts w:ascii="Arial" w:hAnsi="Arial" w:cs="Arial"/>
          <w:b/>
          <w:bCs/>
          <w:color w:val="000000" w:themeColor="text1"/>
          <w:sz w:val="22"/>
          <w:szCs w:val="22"/>
        </w:rPr>
      </w:pPr>
      <w:r w:rsidRPr="0031169A">
        <w:rPr>
          <w:rFonts w:ascii="Arial" w:hAnsi="Arial" w:cs="Arial"/>
          <w:b/>
          <w:bCs/>
          <w:color w:val="000000" w:themeColor="text1"/>
          <w:sz w:val="22"/>
          <w:szCs w:val="22"/>
        </w:rPr>
        <w:t xml:space="preserve">Liquidity Ratio </w:t>
      </w:r>
    </w:p>
    <w:p w14:paraId="282754A0" w14:textId="60EA5D8D" w:rsidR="00DD0404" w:rsidRDefault="00DD0404" w:rsidP="00443189">
      <w:pPr>
        <w:tabs>
          <w:tab w:val="left" w:pos="2520"/>
        </w:tabs>
        <w:spacing w:line="360" w:lineRule="auto"/>
        <w:rPr>
          <w:rFonts w:ascii="Arial" w:hAnsi="Arial" w:cs="Arial"/>
          <w:b/>
          <w:bCs/>
          <w:color w:val="000000" w:themeColor="text1"/>
          <w:sz w:val="22"/>
          <w:szCs w:val="22"/>
        </w:rPr>
      </w:pPr>
      <w:r w:rsidRPr="0031169A">
        <w:rPr>
          <w:rFonts w:ascii="Arial" w:hAnsi="Arial" w:cs="Arial"/>
          <w:b/>
          <w:bCs/>
          <w:color w:val="000000" w:themeColor="text1"/>
          <w:sz w:val="22"/>
          <w:szCs w:val="22"/>
        </w:rPr>
        <w:t xml:space="preserve">Current Ratio </w:t>
      </w:r>
    </w:p>
    <w:p w14:paraId="7932312E" w14:textId="219F8069" w:rsidR="00D848DA" w:rsidRDefault="00391CB4" w:rsidP="00443189">
      <w:pPr>
        <w:tabs>
          <w:tab w:val="left" w:pos="2520"/>
        </w:tabs>
        <w:spacing w:line="360" w:lineRule="auto"/>
        <w:rPr>
          <w:rFonts w:ascii="Arial" w:hAnsi="Arial" w:cs="Arial"/>
          <w:color w:val="000000" w:themeColor="text1"/>
          <w:sz w:val="22"/>
          <w:szCs w:val="22"/>
        </w:rPr>
      </w:pPr>
      <w:r w:rsidRPr="00391CB4">
        <w:rPr>
          <w:rFonts w:ascii="Arial" w:hAnsi="Arial" w:cs="Arial"/>
          <w:color w:val="000000" w:themeColor="text1"/>
          <w:sz w:val="22"/>
          <w:szCs w:val="22"/>
        </w:rPr>
        <w:t xml:space="preserve">The current ratio assesses how well a business can pay down its short-term debt with its short-term assets. It is calculated by dividing current liabilities by current assets, which shows how well the business runs and how easily it can turn assets into cash. A high current ratio indicates solid liquidity, while a low ratio indicates possible problems with liquidity. On the other hand, unused assets may be indicated by ratios that are too high, therefore a balanced approach is necessary for the best financial health. </w:t>
      </w:r>
      <w:r w:rsidR="00BB582C">
        <w:rPr>
          <w:rFonts w:ascii="Arial" w:hAnsi="Arial" w:cs="Arial"/>
          <w:color w:val="000000" w:themeColor="text1"/>
          <w:sz w:val="22"/>
          <w:szCs w:val="22"/>
        </w:rPr>
        <w:t xml:space="preserve"> (</w:t>
      </w:r>
      <w:r w:rsidR="00BB582C">
        <w:rPr>
          <w:rFonts w:ascii="Arial" w:hAnsi="Arial" w:cs="Arial"/>
          <w:color w:val="000000" w:themeColor="text1"/>
          <w:sz w:val="22"/>
          <w:szCs w:val="22"/>
        </w:rPr>
        <w:t>Fernando, J., 2024)</w:t>
      </w:r>
      <w:r w:rsidR="00BB582C">
        <w:rPr>
          <w:rFonts w:ascii="Arial" w:hAnsi="Arial" w:cs="Arial"/>
          <w:color w:val="000000" w:themeColor="text1"/>
          <w:sz w:val="22"/>
          <w:szCs w:val="22"/>
        </w:rPr>
        <w:t xml:space="preserve"> </w:t>
      </w:r>
      <w:r w:rsidR="00BB582C">
        <w:rPr>
          <w:rFonts w:ascii="Arial" w:hAnsi="Arial" w:cs="Arial"/>
          <w:color w:val="000000" w:themeColor="text1"/>
          <w:sz w:val="22"/>
          <w:szCs w:val="22"/>
        </w:rPr>
        <w:t>(gurufocus.com 2023)</w:t>
      </w:r>
    </w:p>
    <w:p w14:paraId="1A691AD3" w14:textId="77777777" w:rsidR="00BB582C" w:rsidRDefault="00BB582C" w:rsidP="00443189">
      <w:pPr>
        <w:tabs>
          <w:tab w:val="left" w:pos="2520"/>
        </w:tabs>
        <w:spacing w:line="360" w:lineRule="auto"/>
        <w:rPr>
          <w:rFonts w:ascii="Arial" w:hAnsi="Arial" w:cs="Arial"/>
          <w:color w:val="000000" w:themeColor="text1"/>
          <w:sz w:val="22"/>
          <w:szCs w:val="22"/>
        </w:rPr>
      </w:pPr>
    </w:p>
    <w:p w14:paraId="76BA4B87" w14:textId="4C54B518" w:rsidR="00877990" w:rsidRPr="00D17422" w:rsidRDefault="00877990" w:rsidP="00443189">
      <w:pPr>
        <w:tabs>
          <w:tab w:val="left" w:pos="2520"/>
        </w:tabs>
        <w:spacing w:line="360" w:lineRule="auto"/>
        <w:rPr>
          <w:rFonts w:ascii="Arial" w:hAnsi="Arial" w:cs="Arial"/>
          <w:b/>
          <w:bCs/>
          <w:color w:val="000000" w:themeColor="text1"/>
          <w:sz w:val="22"/>
          <w:szCs w:val="22"/>
        </w:rPr>
      </w:pPr>
      <w:r w:rsidRPr="00D17422">
        <w:rPr>
          <w:rFonts w:ascii="Arial" w:hAnsi="Arial" w:cs="Arial"/>
          <w:b/>
          <w:bCs/>
          <w:color w:val="000000" w:themeColor="text1"/>
          <w:sz w:val="22"/>
          <w:szCs w:val="22"/>
        </w:rPr>
        <w:t xml:space="preserve">Current Ration Formula </w:t>
      </w:r>
    </w:p>
    <w:p w14:paraId="16FA3BC2" w14:textId="77F2A65B" w:rsidR="00366D76" w:rsidRDefault="00366D76" w:rsidP="00443189">
      <w:pPr>
        <w:tabs>
          <w:tab w:val="left" w:pos="2520"/>
        </w:tabs>
        <w:spacing w:line="360" w:lineRule="auto"/>
        <w:rPr>
          <w:rFonts w:ascii="Arial" w:hAnsi="Arial" w:cs="Arial"/>
          <w:b/>
          <w:bCs/>
          <w:color w:val="000000" w:themeColor="text1"/>
          <w:sz w:val="22"/>
          <w:szCs w:val="22"/>
        </w:rPr>
      </w:pPr>
      <w:r w:rsidRPr="00275E8E">
        <w:rPr>
          <w:rFonts w:ascii="Arial" w:hAnsi="Arial" w:cs="Arial"/>
          <w:b/>
          <w:bCs/>
          <w:color w:val="000000" w:themeColor="text1"/>
          <w:sz w:val="22"/>
          <w:szCs w:val="22"/>
        </w:rPr>
        <w:t xml:space="preserve">Current Ratio = Current Assets / Current Liabilities </w:t>
      </w:r>
    </w:p>
    <w:p w14:paraId="3BBE29FE" w14:textId="14D3A5F8" w:rsidR="00200241" w:rsidRPr="00275E8E" w:rsidRDefault="00200A65" w:rsidP="00200A65">
      <w:pPr>
        <w:pStyle w:val="Caption"/>
        <w:rPr>
          <w:rFonts w:ascii="Arial" w:hAnsi="Arial" w:cs="Arial"/>
          <w:b/>
          <w:bCs/>
          <w:color w:val="000000" w:themeColor="text1"/>
          <w:sz w:val="22"/>
          <w:szCs w:val="22"/>
        </w:rPr>
      </w:pPr>
      <w:bookmarkStart w:id="8" w:name="_Toc164849543"/>
      <w:r>
        <w:t xml:space="preserve">Table </w:t>
      </w:r>
      <w:r>
        <w:fldChar w:fldCharType="begin"/>
      </w:r>
      <w:r>
        <w:instrText xml:space="preserve"> SEQ Table \* ARABIC </w:instrText>
      </w:r>
      <w:r>
        <w:fldChar w:fldCharType="separate"/>
      </w:r>
      <w:r w:rsidR="00083413">
        <w:rPr>
          <w:noProof/>
        </w:rPr>
        <w:t>3</w:t>
      </w:r>
      <w:r>
        <w:fldChar w:fldCharType="end"/>
      </w:r>
      <w:r w:rsidRPr="006038E0">
        <w:t>Current Ratio calculation (source; author)</w:t>
      </w:r>
      <w:bookmarkEnd w:id="8"/>
    </w:p>
    <w:p w14:paraId="705D060E" w14:textId="77777777" w:rsidR="00200241" w:rsidRPr="00275E8E" w:rsidRDefault="00200241" w:rsidP="00443189">
      <w:pPr>
        <w:tabs>
          <w:tab w:val="left" w:pos="2520"/>
        </w:tabs>
        <w:spacing w:line="360" w:lineRule="auto"/>
        <w:rPr>
          <w:rFonts w:ascii="Arial" w:hAnsi="Arial" w:cs="Arial"/>
          <w:b/>
          <w:bCs/>
          <w:color w:val="000000" w:themeColor="text1"/>
          <w:sz w:val="22"/>
          <w:szCs w:val="22"/>
        </w:rPr>
      </w:pPr>
    </w:p>
    <w:tbl>
      <w:tblPr>
        <w:tblW w:w="9781" w:type="dxa"/>
        <w:tblLook w:val="04A0" w:firstRow="1" w:lastRow="0" w:firstColumn="1" w:lastColumn="0" w:noHBand="0" w:noVBand="1"/>
      </w:tblPr>
      <w:tblGrid>
        <w:gridCol w:w="2760"/>
        <w:gridCol w:w="1860"/>
        <w:gridCol w:w="1780"/>
        <w:gridCol w:w="1840"/>
        <w:gridCol w:w="1541"/>
      </w:tblGrid>
      <w:tr w:rsidR="00877990" w14:paraId="199B111E" w14:textId="77777777" w:rsidTr="00877990">
        <w:trPr>
          <w:trHeight w:val="320"/>
        </w:trPr>
        <w:tc>
          <w:tcPr>
            <w:tcW w:w="2760" w:type="dxa"/>
            <w:tcBorders>
              <w:top w:val="nil"/>
              <w:left w:val="nil"/>
              <w:bottom w:val="nil"/>
              <w:right w:val="nil"/>
            </w:tcBorders>
            <w:shd w:val="clear" w:color="auto" w:fill="auto"/>
            <w:noWrap/>
            <w:vAlign w:val="bottom"/>
            <w:hideMark/>
          </w:tcPr>
          <w:p w14:paraId="2608B268" w14:textId="77777777" w:rsidR="00877990" w:rsidRPr="00877990" w:rsidRDefault="00877990">
            <w:pPr>
              <w:rPr>
                <w:rFonts w:ascii="Aptos Narrow" w:hAnsi="Aptos Narrow"/>
                <w:color w:val="000000"/>
              </w:rPr>
            </w:pPr>
            <w:r w:rsidRPr="00877990">
              <w:rPr>
                <w:rFonts w:ascii="Aptos Narrow" w:hAnsi="Aptos Narrow"/>
                <w:color w:val="000000"/>
              </w:rPr>
              <w:t xml:space="preserve">Current Ratio - Liquidity </w:t>
            </w:r>
          </w:p>
        </w:tc>
        <w:tc>
          <w:tcPr>
            <w:tcW w:w="1860" w:type="dxa"/>
            <w:tcBorders>
              <w:top w:val="nil"/>
              <w:left w:val="nil"/>
              <w:bottom w:val="nil"/>
              <w:right w:val="nil"/>
            </w:tcBorders>
            <w:shd w:val="clear" w:color="auto" w:fill="auto"/>
            <w:noWrap/>
            <w:vAlign w:val="bottom"/>
            <w:hideMark/>
          </w:tcPr>
          <w:p w14:paraId="36B108B0" w14:textId="77777777" w:rsidR="00877990" w:rsidRDefault="00877990">
            <w:pPr>
              <w:rPr>
                <w:rFonts w:ascii="Aptos Narrow" w:hAnsi="Aptos Narrow"/>
                <w:color w:val="000000"/>
              </w:rPr>
            </w:pPr>
            <w:r>
              <w:rPr>
                <w:rFonts w:ascii="Aptos Narrow" w:hAnsi="Aptos Narrow"/>
                <w:color w:val="000000"/>
              </w:rPr>
              <w:t>Current Assets</w:t>
            </w:r>
          </w:p>
        </w:tc>
        <w:tc>
          <w:tcPr>
            <w:tcW w:w="1780" w:type="dxa"/>
            <w:tcBorders>
              <w:top w:val="nil"/>
              <w:left w:val="nil"/>
              <w:bottom w:val="nil"/>
              <w:right w:val="nil"/>
            </w:tcBorders>
            <w:shd w:val="clear" w:color="auto" w:fill="auto"/>
            <w:noWrap/>
            <w:vAlign w:val="bottom"/>
            <w:hideMark/>
          </w:tcPr>
          <w:p w14:paraId="40A717A9" w14:textId="07E9123F" w:rsidR="00877990" w:rsidRDefault="00877990">
            <w:pPr>
              <w:rPr>
                <w:rFonts w:ascii="Aptos Narrow" w:hAnsi="Aptos Narrow"/>
                <w:color w:val="000000"/>
              </w:rPr>
            </w:pPr>
            <w:r>
              <w:rPr>
                <w:rFonts w:ascii="Aptos Narrow" w:hAnsi="Aptos Narrow"/>
                <w:color w:val="000000"/>
              </w:rPr>
              <w:t xml:space="preserve">Current    Liabilities </w:t>
            </w:r>
          </w:p>
        </w:tc>
        <w:tc>
          <w:tcPr>
            <w:tcW w:w="1840" w:type="dxa"/>
            <w:tcBorders>
              <w:top w:val="nil"/>
              <w:left w:val="nil"/>
              <w:bottom w:val="nil"/>
              <w:right w:val="nil"/>
            </w:tcBorders>
            <w:shd w:val="clear" w:color="auto" w:fill="auto"/>
            <w:noWrap/>
            <w:vAlign w:val="bottom"/>
            <w:hideMark/>
          </w:tcPr>
          <w:p w14:paraId="6543926C" w14:textId="21FB333E" w:rsidR="00877990" w:rsidRDefault="00877990">
            <w:pPr>
              <w:jc w:val="center"/>
              <w:rPr>
                <w:rFonts w:ascii="Aptos Narrow" w:hAnsi="Aptos Narrow"/>
                <w:color w:val="000000"/>
              </w:rPr>
            </w:pPr>
          </w:p>
        </w:tc>
        <w:tc>
          <w:tcPr>
            <w:tcW w:w="1541" w:type="dxa"/>
            <w:tcBorders>
              <w:top w:val="nil"/>
              <w:left w:val="nil"/>
              <w:bottom w:val="nil"/>
              <w:right w:val="nil"/>
            </w:tcBorders>
            <w:shd w:val="clear" w:color="auto" w:fill="auto"/>
            <w:noWrap/>
            <w:vAlign w:val="bottom"/>
            <w:hideMark/>
          </w:tcPr>
          <w:p w14:paraId="6C5525E1" w14:textId="3C303F5A" w:rsidR="00877990" w:rsidRDefault="00877990">
            <w:pPr>
              <w:jc w:val="center"/>
              <w:rPr>
                <w:rFonts w:ascii="Aptos Narrow" w:hAnsi="Aptos Narrow"/>
                <w:b/>
                <w:bCs/>
                <w:color w:val="000000"/>
              </w:rPr>
            </w:pPr>
          </w:p>
        </w:tc>
      </w:tr>
      <w:tr w:rsidR="00877990" w:rsidRPr="00877990" w14:paraId="73182962" w14:textId="77777777" w:rsidTr="00877990">
        <w:trPr>
          <w:trHeight w:val="320"/>
        </w:trPr>
        <w:tc>
          <w:tcPr>
            <w:tcW w:w="2760" w:type="dxa"/>
            <w:tcBorders>
              <w:top w:val="nil"/>
              <w:left w:val="nil"/>
              <w:bottom w:val="nil"/>
              <w:right w:val="nil"/>
            </w:tcBorders>
            <w:shd w:val="clear" w:color="auto" w:fill="auto"/>
            <w:noWrap/>
            <w:vAlign w:val="bottom"/>
            <w:hideMark/>
          </w:tcPr>
          <w:p w14:paraId="6CEC606C" w14:textId="77777777" w:rsidR="00877990" w:rsidRPr="00877990" w:rsidRDefault="00877990">
            <w:pPr>
              <w:rPr>
                <w:rFonts w:ascii="Aptos Narrow" w:hAnsi="Aptos Narrow"/>
                <w:color w:val="000000" w:themeColor="text1"/>
              </w:rPr>
            </w:pPr>
            <w:r w:rsidRPr="00877990">
              <w:rPr>
                <w:rFonts w:ascii="Aptos Narrow" w:hAnsi="Aptos Narrow"/>
                <w:color w:val="000000" w:themeColor="text1"/>
              </w:rPr>
              <w:t xml:space="preserve">Visa </w:t>
            </w:r>
          </w:p>
        </w:tc>
        <w:tc>
          <w:tcPr>
            <w:tcW w:w="1860" w:type="dxa"/>
            <w:tcBorders>
              <w:top w:val="nil"/>
              <w:left w:val="nil"/>
              <w:bottom w:val="nil"/>
              <w:right w:val="nil"/>
            </w:tcBorders>
            <w:shd w:val="clear" w:color="auto" w:fill="auto"/>
            <w:noWrap/>
            <w:vAlign w:val="bottom"/>
            <w:hideMark/>
          </w:tcPr>
          <w:p w14:paraId="433BF5BD" w14:textId="77777777" w:rsidR="00877990" w:rsidRPr="00877990" w:rsidRDefault="00877990" w:rsidP="00877990">
            <w:pPr>
              <w:rPr>
                <w:rFonts w:ascii="Aptos Narrow" w:hAnsi="Aptos Narrow"/>
                <w:color w:val="215E99" w:themeColor="text2" w:themeTint="BF"/>
              </w:rPr>
            </w:pPr>
            <w:r w:rsidRPr="00877990">
              <w:rPr>
                <w:rFonts w:ascii="Aptos Narrow" w:hAnsi="Aptos Narrow"/>
                <w:color w:val="215E99" w:themeColor="text2" w:themeTint="BF"/>
              </w:rPr>
              <w:t>33532</w:t>
            </w:r>
          </w:p>
        </w:tc>
        <w:tc>
          <w:tcPr>
            <w:tcW w:w="1780" w:type="dxa"/>
            <w:tcBorders>
              <w:top w:val="nil"/>
              <w:left w:val="nil"/>
              <w:bottom w:val="nil"/>
              <w:right w:val="nil"/>
            </w:tcBorders>
            <w:shd w:val="clear" w:color="auto" w:fill="auto"/>
            <w:noWrap/>
            <w:vAlign w:val="bottom"/>
            <w:hideMark/>
          </w:tcPr>
          <w:p w14:paraId="6E4F19B7" w14:textId="77777777" w:rsidR="00877990" w:rsidRPr="00877990" w:rsidRDefault="00877990" w:rsidP="00877990">
            <w:pPr>
              <w:rPr>
                <w:rFonts w:ascii="Aptos Narrow" w:hAnsi="Aptos Narrow"/>
                <w:color w:val="215E99" w:themeColor="text2" w:themeTint="BF"/>
              </w:rPr>
            </w:pPr>
            <w:r w:rsidRPr="00877990">
              <w:rPr>
                <w:rFonts w:ascii="Aptos Narrow" w:hAnsi="Aptos Narrow"/>
                <w:color w:val="215E99" w:themeColor="text2" w:themeTint="BF"/>
              </w:rPr>
              <w:t>23,098</w:t>
            </w:r>
          </w:p>
        </w:tc>
        <w:tc>
          <w:tcPr>
            <w:tcW w:w="1840" w:type="dxa"/>
            <w:tcBorders>
              <w:top w:val="nil"/>
              <w:left w:val="nil"/>
              <w:bottom w:val="nil"/>
              <w:right w:val="nil"/>
            </w:tcBorders>
            <w:shd w:val="clear" w:color="auto" w:fill="auto"/>
            <w:noWrap/>
            <w:vAlign w:val="bottom"/>
            <w:hideMark/>
          </w:tcPr>
          <w:p w14:paraId="6B9A7B50" w14:textId="77777777" w:rsidR="00877990" w:rsidRPr="00877990" w:rsidRDefault="00877990" w:rsidP="00877990">
            <w:pPr>
              <w:rPr>
                <w:rFonts w:ascii="Aptos Narrow" w:hAnsi="Aptos Narrow"/>
                <w:b/>
                <w:bCs/>
                <w:color w:val="215E99" w:themeColor="text2" w:themeTint="BF"/>
              </w:rPr>
            </w:pPr>
            <w:r w:rsidRPr="00877990">
              <w:rPr>
                <w:rFonts w:ascii="Aptos Narrow" w:hAnsi="Aptos Narrow"/>
                <w:b/>
                <w:bCs/>
                <w:color w:val="215E99" w:themeColor="text2" w:themeTint="BF"/>
              </w:rPr>
              <w:t>1.451727422</w:t>
            </w:r>
          </w:p>
        </w:tc>
        <w:tc>
          <w:tcPr>
            <w:tcW w:w="1541" w:type="dxa"/>
            <w:tcBorders>
              <w:top w:val="nil"/>
              <w:left w:val="nil"/>
              <w:bottom w:val="nil"/>
              <w:right w:val="nil"/>
            </w:tcBorders>
            <w:shd w:val="clear" w:color="auto" w:fill="auto"/>
            <w:noWrap/>
            <w:vAlign w:val="bottom"/>
            <w:hideMark/>
          </w:tcPr>
          <w:p w14:paraId="20799364" w14:textId="77777777" w:rsidR="00877990" w:rsidRPr="00877990" w:rsidRDefault="00877990">
            <w:pPr>
              <w:jc w:val="right"/>
              <w:rPr>
                <w:rFonts w:ascii="Aptos Narrow" w:hAnsi="Aptos Narrow"/>
                <w:color w:val="215E99" w:themeColor="text2" w:themeTint="BF"/>
              </w:rPr>
            </w:pPr>
            <w:r w:rsidRPr="00877990">
              <w:rPr>
                <w:rFonts w:ascii="Aptos Narrow" w:hAnsi="Aptos Narrow"/>
                <w:color w:val="215E99" w:themeColor="text2" w:themeTint="BF"/>
              </w:rPr>
              <w:t>145.1727422</w:t>
            </w:r>
          </w:p>
        </w:tc>
      </w:tr>
      <w:tr w:rsidR="00877990" w:rsidRPr="00877990" w14:paraId="2E2BC0AE" w14:textId="77777777" w:rsidTr="00877990">
        <w:trPr>
          <w:trHeight w:val="320"/>
        </w:trPr>
        <w:tc>
          <w:tcPr>
            <w:tcW w:w="2760" w:type="dxa"/>
            <w:tcBorders>
              <w:top w:val="nil"/>
              <w:left w:val="nil"/>
              <w:bottom w:val="nil"/>
              <w:right w:val="nil"/>
            </w:tcBorders>
            <w:shd w:val="clear" w:color="auto" w:fill="auto"/>
            <w:noWrap/>
            <w:vAlign w:val="bottom"/>
            <w:hideMark/>
          </w:tcPr>
          <w:p w14:paraId="00F88E70" w14:textId="77777777" w:rsidR="00877990" w:rsidRPr="00877990" w:rsidRDefault="00877990">
            <w:pPr>
              <w:rPr>
                <w:rFonts w:ascii="Aptos Narrow" w:hAnsi="Aptos Narrow"/>
                <w:color w:val="000000" w:themeColor="text1"/>
              </w:rPr>
            </w:pPr>
            <w:r w:rsidRPr="00877990">
              <w:rPr>
                <w:rFonts w:ascii="Aptos Narrow" w:hAnsi="Aptos Narrow"/>
                <w:color w:val="000000" w:themeColor="text1"/>
              </w:rPr>
              <w:t xml:space="preserve">Master Card </w:t>
            </w:r>
          </w:p>
        </w:tc>
        <w:tc>
          <w:tcPr>
            <w:tcW w:w="1860" w:type="dxa"/>
            <w:tcBorders>
              <w:top w:val="nil"/>
              <w:left w:val="nil"/>
              <w:bottom w:val="nil"/>
              <w:right w:val="nil"/>
            </w:tcBorders>
            <w:shd w:val="clear" w:color="auto" w:fill="auto"/>
            <w:noWrap/>
            <w:vAlign w:val="bottom"/>
            <w:hideMark/>
          </w:tcPr>
          <w:p w14:paraId="5A7D1FA6" w14:textId="77777777" w:rsidR="00877990" w:rsidRPr="00877990" w:rsidRDefault="00877990" w:rsidP="00877990">
            <w:pPr>
              <w:rPr>
                <w:rFonts w:ascii="Aptos Narrow" w:hAnsi="Aptos Narrow"/>
                <w:color w:val="215E99" w:themeColor="text2" w:themeTint="BF"/>
              </w:rPr>
            </w:pPr>
            <w:r w:rsidRPr="00877990">
              <w:rPr>
                <w:rFonts w:ascii="Aptos Narrow" w:hAnsi="Aptos Narrow"/>
                <w:color w:val="215E99" w:themeColor="text2" w:themeTint="BF"/>
              </w:rPr>
              <w:t>1896</w:t>
            </w:r>
          </w:p>
        </w:tc>
        <w:tc>
          <w:tcPr>
            <w:tcW w:w="1780" w:type="dxa"/>
            <w:tcBorders>
              <w:top w:val="nil"/>
              <w:left w:val="nil"/>
              <w:bottom w:val="nil"/>
              <w:right w:val="nil"/>
            </w:tcBorders>
            <w:shd w:val="clear" w:color="auto" w:fill="auto"/>
            <w:noWrap/>
            <w:vAlign w:val="bottom"/>
            <w:hideMark/>
          </w:tcPr>
          <w:p w14:paraId="0D340FA8" w14:textId="77777777" w:rsidR="00877990" w:rsidRPr="00877990" w:rsidRDefault="00877990" w:rsidP="00877990">
            <w:pPr>
              <w:rPr>
                <w:rFonts w:ascii="Aptos Narrow" w:hAnsi="Aptos Narrow"/>
                <w:color w:val="215E99" w:themeColor="text2" w:themeTint="BF"/>
              </w:rPr>
            </w:pPr>
            <w:r w:rsidRPr="00877990">
              <w:rPr>
                <w:rFonts w:ascii="Aptos Narrow" w:hAnsi="Aptos Narrow"/>
                <w:color w:val="215E99" w:themeColor="text2" w:themeTint="BF"/>
              </w:rPr>
              <w:t>1626</w:t>
            </w:r>
          </w:p>
        </w:tc>
        <w:tc>
          <w:tcPr>
            <w:tcW w:w="1840" w:type="dxa"/>
            <w:tcBorders>
              <w:top w:val="nil"/>
              <w:left w:val="nil"/>
              <w:bottom w:val="nil"/>
              <w:right w:val="nil"/>
            </w:tcBorders>
            <w:shd w:val="clear" w:color="auto" w:fill="auto"/>
            <w:noWrap/>
            <w:vAlign w:val="bottom"/>
            <w:hideMark/>
          </w:tcPr>
          <w:p w14:paraId="214951A3" w14:textId="77777777" w:rsidR="00877990" w:rsidRPr="00877990" w:rsidRDefault="00877990" w:rsidP="00877990">
            <w:pPr>
              <w:rPr>
                <w:rFonts w:ascii="Aptos Narrow" w:hAnsi="Aptos Narrow"/>
                <w:b/>
                <w:bCs/>
                <w:color w:val="215E99" w:themeColor="text2" w:themeTint="BF"/>
              </w:rPr>
            </w:pPr>
            <w:r w:rsidRPr="00877990">
              <w:rPr>
                <w:rFonts w:ascii="Aptos Narrow" w:hAnsi="Aptos Narrow"/>
                <w:b/>
                <w:bCs/>
                <w:color w:val="215E99" w:themeColor="text2" w:themeTint="BF"/>
              </w:rPr>
              <w:t>1.166051661</w:t>
            </w:r>
          </w:p>
        </w:tc>
        <w:tc>
          <w:tcPr>
            <w:tcW w:w="1541" w:type="dxa"/>
            <w:tcBorders>
              <w:top w:val="nil"/>
              <w:left w:val="nil"/>
              <w:bottom w:val="nil"/>
              <w:right w:val="nil"/>
            </w:tcBorders>
            <w:shd w:val="clear" w:color="auto" w:fill="auto"/>
            <w:noWrap/>
            <w:vAlign w:val="bottom"/>
            <w:hideMark/>
          </w:tcPr>
          <w:p w14:paraId="14CD9722" w14:textId="77777777" w:rsidR="00877990" w:rsidRPr="00877990" w:rsidRDefault="00877990">
            <w:pPr>
              <w:jc w:val="right"/>
              <w:rPr>
                <w:rFonts w:ascii="Aptos Narrow" w:hAnsi="Aptos Narrow"/>
                <w:color w:val="215E99" w:themeColor="text2" w:themeTint="BF"/>
              </w:rPr>
            </w:pPr>
            <w:r w:rsidRPr="00877990">
              <w:rPr>
                <w:rFonts w:ascii="Aptos Narrow" w:hAnsi="Aptos Narrow"/>
                <w:color w:val="215E99" w:themeColor="text2" w:themeTint="BF"/>
              </w:rPr>
              <w:t>116.6051661</w:t>
            </w:r>
          </w:p>
        </w:tc>
      </w:tr>
      <w:tr w:rsidR="00877990" w:rsidRPr="00877990" w14:paraId="20BD8850" w14:textId="77777777" w:rsidTr="00877990">
        <w:trPr>
          <w:trHeight w:val="320"/>
        </w:trPr>
        <w:tc>
          <w:tcPr>
            <w:tcW w:w="2760" w:type="dxa"/>
            <w:tcBorders>
              <w:top w:val="nil"/>
              <w:left w:val="nil"/>
              <w:bottom w:val="nil"/>
              <w:right w:val="nil"/>
            </w:tcBorders>
            <w:shd w:val="clear" w:color="auto" w:fill="auto"/>
            <w:noWrap/>
            <w:vAlign w:val="bottom"/>
            <w:hideMark/>
          </w:tcPr>
          <w:p w14:paraId="5F8B9812" w14:textId="77777777" w:rsidR="00877990" w:rsidRPr="00877990" w:rsidRDefault="00877990">
            <w:pPr>
              <w:rPr>
                <w:rFonts w:ascii="Aptos Narrow" w:hAnsi="Aptos Narrow"/>
                <w:color w:val="000000" w:themeColor="text1"/>
              </w:rPr>
            </w:pPr>
            <w:r w:rsidRPr="00877990">
              <w:rPr>
                <w:rFonts w:ascii="Aptos Narrow" w:hAnsi="Aptos Narrow"/>
                <w:color w:val="000000" w:themeColor="text1"/>
              </w:rPr>
              <w:t xml:space="preserve">American Express </w:t>
            </w:r>
          </w:p>
        </w:tc>
        <w:tc>
          <w:tcPr>
            <w:tcW w:w="1860" w:type="dxa"/>
            <w:tcBorders>
              <w:top w:val="nil"/>
              <w:left w:val="nil"/>
              <w:bottom w:val="nil"/>
              <w:right w:val="nil"/>
            </w:tcBorders>
            <w:shd w:val="clear" w:color="auto" w:fill="auto"/>
            <w:noWrap/>
            <w:vAlign w:val="bottom"/>
            <w:hideMark/>
          </w:tcPr>
          <w:p w14:paraId="0955C19C" w14:textId="77777777" w:rsidR="00877990" w:rsidRPr="00877990" w:rsidRDefault="00877990" w:rsidP="00877990">
            <w:pPr>
              <w:rPr>
                <w:rFonts w:ascii="Aptos Narrow" w:hAnsi="Aptos Narrow"/>
                <w:color w:val="215E99" w:themeColor="text2" w:themeTint="BF"/>
              </w:rPr>
            </w:pPr>
            <w:r w:rsidRPr="00877990">
              <w:rPr>
                <w:rFonts w:ascii="Aptos Narrow" w:hAnsi="Aptos Narrow"/>
                <w:color w:val="215E99" w:themeColor="text2" w:themeTint="BF"/>
              </w:rPr>
              <w:t>2347</w:t>
            </w:r>
          </w:p>
        </w:tc>
        <w:tc>
          <w:tcPr>
            <w:tcW w:w="1780" w:type="dxa"/>
            <w:tcBorders>
              <w:top w:val="nil"/>
              <w:left w:val="nil"/>
              <w:bottom w:val="nil"/>
              <w:right w:val="nil"/>
            </w:tcBorders>
            <w:shd w:val="clear" w:color="auto" w:fill="auto"/>
            <w:noWrap/>
            <w:vAlign w:val="bottom"/>
            <w:hideMark/>
          </w:tcPr>
          <w:p w14:paraId="39F133B2" w14:textId="77777777" w:rsidR="00877990" w:rsidRPr="00877990" w:rsidRDefault="00877990" w:rsidP="00877990">
            <w:pPr>
              <w:rPr>
                <w:rFonts w:ascii="Aptos Narrow" w:hAnsi="Aptos Narrow"/>
                <w:color w:val="215E99" w:themeColor="text2" w:themeTint="BF"/>
              </w:rPr>
            </w:pPr>
            <w:r w:rsidRPr="00877990">
              <w:rPr>
                <w:rFonts w:ascii="Aptos Narrow" w:hAnsi="Aptos Narrow"/>
                <w:color w:val="215E99" w:themeColor="text2" w:themeTint="BF"/>
              </w:rPr>
              <w:t>1741</w:t>
            </w:r>
          </w:p>
        </w:tc>
        <w:tc>
          <w:tcPr>
            <w:tcW w:w="1840" w:type="dxa"/>
            <w:tcBorders>
              <w:top w:val="nil"/>
              <w:left w:val="nil"/>
              <w:bottom w:val="nil"/>
              <w:right w:val="nil"/>
            </w:tcBorders>
            <w:shd w:val="clear" w:color="auto" w:fill="auto"/>
            <w:noWrap/>
            <w:vAlign w:val="bottom"/>
            <w:hideMark/>
          </w:tcPr>
          <w:p w14:paraId="75590C14" w14:textId="77777777" w:rsidR="00877990" w:rsidRPr="00877990" w:rsidRDefault="00877990" w:rsidP="00877990">
            <w:pPr>
              <w:rPr>
                <w:rFonts w:ascii="Aptos Narrow" w:hAnsi="Aptos Narrow"/>
                <w:b/>
                <w:bCs/>
                <w:color w:val="215E99" w:themeColor="text2" w:themeTint="BF"/>
              </w:rPr>
            </w:pPr>
            <w:r w:rsidRPr="00877990">
              <w:rPr>
                <w:rFonts w:ascii="Aptos Narrow" w:hAnsi="Aptos Narrow"/>
                <w:b/>
                <w:bCs/>
                <w:color w:val="215E99" w:themeColor="text2" w:themeTint="BF"/>
              </w:rPr>
              <w:t>1.348075818</w:t>
            </w:r>
          </w:p>
        </w:tc>
        <w:tc>
          <w:tcPr>
            <w:tcW w:w="1541" w:type="dxa"/>
            <w:tcBorders>
              <w:top w:val="nil"/>
              <w:left w:val="nil"/>
              <w:bottom w:val="nil"/>
              <w:right w:val="nil"/>
            </w:tcBorders>
            <w:shd w:val="clear" w:color="auto" w:fill="auto"/>
            <w:noWrap/>
            <w:vAlign w:val="bottom"/>
            <w:hideMark/>
          </w:tcPr>
          <w:p w14:paraId="743141FD" w14:textId="77777777" w:rsidR="00877990" w:rsidRPr="00877990" w:rsidRDefault="00877990">
            <w:pPr>
              <w:jc w:val="right"/>
              <w:rPr>
                <w:rFonts w:ascii="Aptos Narrow" w:hAnsi="Aptos Narrow"/>
                <w:color w:val="215E99" w:themeColor="text2" w:themeTint="BF"/>
              </w:rPr>
            </w:pPr>
            <w:r w:rsidRPr="00877990">
              <w:rPr>
                <w:rFonts w:ascii="Aptos Narrow" w:hAnsi="Aptos Narrow"/>
                <w:color w:val="215E99" w:themeColor="text2" w:themeTint="BF"/>
              </w:rPr>
              <w:t>134.8075818</w:t>
            </w:r>
          </w:p>
        </w:tc>
      </w:tr>
    </w:tbl>
    <w:p w14:paraId="5B61FD9C" w14:textId="77777777" w:rsidR="00877990" w:rsidRDefault="00877990" w:rsidP="00443189">
      <w:pPr>
        <w:tabs>
          <w:tab w:val="left" w:pos="2520"/>
        </w:tabs>
        <w:spacing w:line="360" w:lineRule="auto"/>
        <w:rPr>
          <w:rFonts w:ascii="Arial" w:hAnsi="Arial" w:cs="Arial"/>
          <w:color w:val="000000" w:themeColor="text1"/>
          <w:sz w:val="22"/>
          <w:szCs w:val="22"/>
        </w:rPr>
      </w:pPr>
    </w:p>
    <w:p w14:paraId="7DA34185" w14:textId="77777777" w:rsidR="00391CB4" w:rsidRPr="00391CB4" w:rsidRDefault="00391CB4" w:rsidP="00391CB4">
      <w:pPr>
        <w:tabs>
          <w:tab w:val="left" w:pos="2520"/>
        </w:tabs>
        <w:spacing w:line="360" w:lineRule="auto"/>
        <w:rPr>
          <w:rFonts w:ascii="Arial" w:hAnsi="Arial" w:cs="Arial"/>
          <w:color w:val="000000" w:themeColor="text1"/>
          <w:sz w:val="22"/>
          <w:szCs w:val="22"/>
        </w:rPr>
      </w:pPr>
      <w:r w:rsidRPr="00391CB4">
        <w:rPr>
          <w:rFonts w:ascii="Arial" w:hAnsi="Arial" w:cs="Arial"/>
          <w:color w:val="000000" w:themeColor="text1"/>
          <w:sz w:val="22"/>
          <w:szCs w:val="22"/>
        </w:rPr>
        <w:t xml:space="preserve">A current ratio that is ideal falls between 1.2 and 2, which indicates that the company has enough current assets to pay for its short-term commitments. A current ratio less than one indicates that there aren't enough liquid assets to pay for upcoming obligations. </w:t>
      </w:r>
      <w:proofErr w:type="gramStart"/>
      <w:r w:rsidRPr="00391CB4">
        <w:rPr>
          <w:rFonts w:ascii="Arial" w:hAnsi="Arial" w:cs="Arial"/>
          <w:color w:val="000000" w:themeColor="text1"/>
          <w:sz w:val="22"/>
          <w:szCs w:val="22"/>
        </w:rPr>
        <w:t>( 2023</w:t>
      </w:r>
      <w:proofErr w:type="gramEnd"/>
      <w:r w:rsidRPr="00391CB4">
        <w:rPr>
          <w:rFonts w:ascii="Arial" w:hAnsi="Arial" w:cs="Arial"/>
          <w:color w:val="000000" w:themeColor="text1"/>
          <w:sz w:val="22"/>
          <w:szCs w:val="22"/>
        </w:rPr>
        <w:t xml:space="preserve"> freshbooks.com ) </w:t>
      </w:r>
    </w:p>
    <w:p w14:paraId="73D134A8" w14:textId="7B159601" w:rsidR="00877990" w:rsidRDefault="00391CB4" w:rsidP="00391CB4">
      <w:pPr>
        <w:tabs>
          <w:tab w:val="left" w:pos="2520"/>
        </w:tabs>
        <w:spacing w:line="360" w:lineRule="auto"/>
        <w:rPr>
          <w:rFonts w:ascii="Arial" w:hAnsi="Arial" w:cs="Arial"/>
          <w:color w:val="000000" w:themeColor="text1"/>
          <w:sz w:val="22"/>
          <w:szCs w:val="22"/>
        </w:rPr>
      </w:pPr>
      <w:r w:rsidRPr="00391CB4">
        <w:rPr>
          <w:rFonts w:ascii="Arial" w:hAnsi="Arial" w:cs="Arial"/>
          <w:color w:val="000000" w:themeColor="text1"/>
          <w:sz w:val="22"/>
          <w:szCs w:val="22"/>
        </w:rPr>
        <w:t xml:space="preserve">Having enough short-term assets to cover its short-term liabilities gives Visa Inc. a healthy liquidity position, as seen by its current ratio of 1.5. This ratio is greater than the industry </w:t>
      </w:r>
      <w:r w:rsidRPr="00391CB4">
        <w:rPr>
          <w:rFonts w:ascii="Arial" w:hAnsi="Arial" w:cs="Arial"/>
          <w:color w:val="000000" w:themeColor="text1"/>
          <w:sz w:val="22"/>
          <w:szCs w:val="22"/>
        </w:rPr>
        <w:lastRenderedPageBreak/>
        <w:t xml:space="preserve">norm and demonstrates a strong ability to meet short-term financial obligations. </w:t>
      </w:r>
      <w:r w:rsidR="00877990" w:rsidRPr="00877990">
        <w:rPr>
          <w:rFonts w:ascii="Arial" w:hAnsi="Arial" w:cs="Arial"/>
          <w:color w:val="000000" w:themeColor="text1"/>
          <w:sz w:val="22"/>
          <w:szCs w:val="22"/>
        </w:rPr>
        <w:t>Visa Inc.'s favourable current ratio can be attributed to its steady profitability and strong cash flows.</w:t>
      </w:r>
      <w:r w:rsidR="0035468A">
        <w:rPr>
          <w:rFonts w:ascii="Arial" w:hAnsi="Arial" w:cs="Arial"/>
          <w:color w:val="000000" w:themeColor="text1"/>
          <w:sz w:val="22"/>
          <w:szCs w:val="22"/>
        </w:rPr>
        <w:t xml:space="preserve"> The 1,5 current R</w:t>
      </w:r>
      <w:r w:rsidR="0035468A" w:rsidRPr="0035468A">
        <w:rPr>
          <w:rFonts w:ascii="Arial" w:hAnsi="Arial" w:cs="Arial"/>
          <w:color w:val="000000" w:themeColor="text1"/>
          <w:sz w:val="22"/>
          <w:szCs w:val="22"/>
        </w:rPr>
        <w:t>atio demonstrates how well Visa manages its working capital, allowing it to easily satisfy its short-term debts.  Visa has a substantial amount of liquidity, so it can take advantage of growth possibilities and manage unexpected challenges.  Investors and stakeholders can stay optimistic about the company's strong liquidity position</w:t>
      </w:r>
      <w:r w:rsidR="004B3B87">
        <w:rPr>
          <w:rFonts w:ascii="Arial" w:hAnsi="Arial" w:cs="Arial"/>
          <w:color w:val="000000" w:themeColor="text1"/>
          <w:sz w:val="22"/>
          <w:szCs w:val="22"/>
        </w:rPr>
        <w:t xml:space="preserve">. </w:t>
      </w:r>
      <w:r w:rsidR="004B3B87" w:rsidRPr="004B3B87">
        <w:rPr>
          <w:rFonts w:ascii="Arial" w:hAnsi="Arial" w:cs="Arial"/>
          <w:color w:val="000000" w:themeColor="text1"/>
          <w:sz w:val="22"/>
          <w:szCs w:val="22"/>
        </w:rPr>
        <w:t>Visa's strong liquidity position reflects positively on its financial stability, enhancing investor confidence and potentially lowering borrowing costs</w:t>
      </w:r>
      <w:r w:rsidR="00FF0A8E">
        <w:rPr>
          <w:rFonts w:ascii="Arial" w:hAnsi="Arial" w:cs="Arial"/>
          <w:color w:val="000000" w:themeColor="text1"/>
          <w:sz w:val="22"/>
          <w:szCs w:val="22"/>
        </w:rPr>
        <w:t xml:space="preserve">. (dbc.ca 2019) </w:t>
      </w:r>
    </w:p>
    <w:p w14:paraId="3A54D765" w14:textId="77777777" w:rsidR="00D157A2" w:rsidRDefault="00D157A2" w:rsidP="00443189">
      <w:pPr>
        <w:tabs>
          <w:tab w:val="left" w:pos="2520"/>
        </w:tabs>
        <w:spacing w:line="360" w:lineRule="auto"/>
        <w:rPr>
          <w:rFonts w:ascii="Arial" w:hAnsi="Arial" w:cs="Arial"/>
          <w:color w:val="000000" w:themeColor="text1"/>
          <w:sz w:val="22"/>
          <w:szCs w:val="22"/>
        </w:rPr>
      </w:pPr>
    </w:p>
    <w:p w14:paraId="77D8BD8D" w14:textId="5E0AB192" w:rsidR="00D157A2" w:rsidRDefault="00D157A2" w:rsidP="00443189">
      <w:pPr>
        <w:tabs>
          <w:tab w:val="left" w:pos="2520"/>
        </w:tabs>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However </w:t>
      </w:r>
      <w:r w:rsidRPr="00D157A2">
        <w:rPr>
          <w:rFonts w:ascii="Arial" w:hAnsi="Arial" w:cs="Arial"/>
          <w:color w:val="000000" w:themeColor="text1"/>
          <w:sz w:val="22"/>
          <w:szCs w:val="22"/>
        </w:rPr>
        <w:t>high current ratios are not always a good thing</w:t>
      </w:r>
      <w:r>
        <w:rPr>
          <w:rFonts w:ascii="Arial" w:hAnsi="Arial" w:cs="Arial"/>
          <w:color w:val="000000" w:themeColor="text1"/>
          <w:sz w:val="22"/>
          <w:szCs w:val="22"/>
        </w:rPr>
        <w:t xml:space="preserve"> when it comes to investors. </w:t>
      </w:r>
      <w:r w:rsidRPr="00D157A2">
        <w:rPr>
          <w:rFonts w:ascii="Arial" w:hAnsi="Arial" w:cs="Arial"/>
          <w:color w:val="000000" w:themeColor="text1"/>
          <w:sz w:val="22"/>
          <w:szCs w:val="22"/>
        </w:rPr>
        <w:t>An excessively high current ratio could mean that the business is not making the best use of its short-term funding options or current assets.</w:t>
      </w:r>
      <w:r w:rsidRPr="00D157A2">
        <w:rPr>
          <w:rFonts w:ascii="Segoe UI" w:hAnsi="Segoe UI" w:cs="Segoe UI"/>
          <w:color w:val="0D0D0D"/>
          <w:shd w:val="clear" w:color="auto" w:fill="FFFFFF"/>
        </w:rPr>
        <w:t xml:space="preserve"> </w:t>
      </w:r>
      <w:r w:rsidRPr="00D157A2">
        <w:rPr>
          <w:rFonts w:ascii="Arial" w:hAnsi="Arial" w:cs="Arial"/>
          <w:color w:val="0D0D0D"/>
          <w:sz w:val="22"/>
          <w:szCs w:val="22"/>
          <w:shd w:val="clear" w:color="auto" w:fill="FFFFFF"/>
        </w:rPr>
        <w:t>While a current ratio of 1.5 indicates liquidity, it also raises questions about whether Visa may be overcapitali</w:t>
      </w:r>
      <w:r w:rsidR="00DF076F">
        <w:rPr>
          <w:rFonts w:ascii="Arial" w:hAnsi="Arial" w:cs="Arial"/>
          <w:color w:val="0D0D0D"/>
          <w:sz w:val="22"/>
          <w:szCs w:val="22"/>
          <w:shd w:val="clear" w:color="auto" w:fill="FFFFFF"/>
        </w:rPr>
        <w:t>s</w:t>
      </w:r>
      <w:r w:rsidRPr="00D157A2">
        <w:rPr>
          <w:rFonts w:ascii="Arial" w:hAnsi="Arial" w:cs="Arial"/>
          <w:color w:val="0D0D0D"/>
          <w:sz w:val="22"/>
          <w:szCs w:val="22"/>
          <w:shd w:val="clear" w:color="auto" w:fill="FFFFFF"/>
        </w:rPr>
        <w:t>ed. Holding excess liquidity can result in missed investment opportunities or lower returns on assets, potentially impacting shareholder value in the long run.</w:t>
      </w:r>
      <w:r w:rsidR="00FF5ECD">
        <w:rPr>
          <w:rFonts w:ascii="Arial" w:hAnsi="Arial" w:cs="Arial"/>
          <w:color w:val="0D0D0D"/>
          <w:sz w:val="22"/>
          <w:szCs w:val="22"/>
          <w:shd w:val="clear" w:color="auto" w:fill="FFFFFF"/>
        </w:rPr>
        <w:t xml:space="preserve"> </w:t>
      </w:r>
      <w:r w:rsidR="00FF5ECD">
        <w:rPr>
          <w:rFonts w:ascii="Arial" w:hAnsi="Arial" w:cs="Arial"/>
          <w:color w:val="000000" w:themeColor="text1"/>
          <w:sz w:val="22"/>
          <w:szCs w:val="22"/>
        </w:rPr>
        <w:t>(Fernando, J., 2024)</w:t>
      </w:r>
    </w:p>
    <w:p w14:paraId="14FC909A" w14:textId="77777777" w:rsidR="0035468A" w:rsidRDefault="0035468A" w:rsidP="00443189">
      <w:pPr>
        <w:tabs>
          <w:tab w:val="left" w:pos="2520"/>
        </w:tabs>
        <w:spacing w:line="360" w:lineRule="auto"/>
        <w:rPr>
          <w:rFonts w:ascii="Arial" w:hAnsi="Arial" w:cs="Arial"/>
          <w:color w:val="000000" w:themeColor="text1"/>
          <w:sz w:val="22"/>
          <w:szCs w:val="22"/>
        </w:rPr>
      </w:pPr>
    </w:p>
    <w:p w14:paraId="2643876B" w14:textId="66D3DF46" w:rsidR="0035468A" w:rsidRDefault="0035468A" w:rsidP="00443189">
      <w:pPr>
        <w:tabs>
          <w:tab w:val="left" w:pos="2520"/>
        </w:tabs>
        <w:spacing w:line="360" w:lineRule="auto"/>
        <w:rPr>
          <w:rFonts w:ascii="Arial" w:hAnsi="Arial" w:cs="Arial"/>
          <w:color w:val="000000" w:themeColor="text1"/>
          <w:sz w:val="22"/>
          <w:szCs w:val="22"/>
        </w:rPr>
      </w:pPr>
      <w:r w:rsidRPr="0035468A">
        <w:rPr>
          <w:rFonts w:ascii="Arial" w:hAnsi="Arial" w:cs="Arial"/>
          <w:color w:val="000000" w:themeColor="text1"/>
          <w:sz w:val="22"/>
          <w:szCs w:val="22"/>
        </w:rPr>
        <w:t>Mastercard, on the other hand, shows a little lower current ratio of 1.17. Mastercard's ratio is not as high as Visa's, but it still shows liquidity and points to a smaller short-term liability safety.  The difference may result from differences in the two businesses' debt loads, cash management techniques, or operational effectiveness. Mastercard's financial stability is not harmed by a lower current ratio, however, the difference highlights Visa's stronger liquidity position and possibly more effective working capital management strategies.</w:t>
      </w:r>
      <w:r w:rsidR="00C72629" w:rsidRPr="00C72629">
        <w:t xml:space="preserve"> </w:t>
      </w:r>
      <w:r w:rsidR="00C72629" w:rsidRPr="00C72629">
        <w:rPr>
          <w:rFonts w:ascii="Arial" w:hAnsi="Arial" w:cs="Arial"/>
          <w:color w:val="000000" w:themeColor="text1"/>
          <w:sz w:val="22"/>
          <w:szCs w:val="22"/>
        </w:rPr>
        <w:t>A low current ratio indicates that the business may struggle to make its immediate debt and liability payments. A current ratio of 1 or more is accepted as positive, and anything less than 1 should be taken cautiously.</w:t>
      </w:r>
    </w:p>
    <w:p w14:paraId="74CEBFD6" w14:textId="77777777" w:rsidR="00C72629" w:rsidRDefault="00C72629" w:rsidP="00443189">
      <w:pPr>
        <w:tabs>
          <w:tab w:val="left" w:pos="2520"/>
        </w:tabs>
        <w:spacing w:line="360" w:lineRule="auto"/>
        <w:rPr>
          <w:rFonts w:ascii="Arial" w:hAnsi="Arial" w:cs="Arial"/>
          <w:color w:val="000000" w:themeColor="text1"/>
          <w:sz w:val="22"/>
          <w:szCs w:val="22"/>
        </w:rPr>
      </w:pPr>
    </w:p>
    <w:p w14:paraId="03621134" w14:textId="192410C1" w:rsidR="00C72629" w:rsidRDefault="00C72629" w:rsidP="00443189">
      <w:pPr>
        <w:tabs>
          <w:tab w:val="left" w:pos="2520"/>
        </w:tabs>
        <w:spacing w:line="360" w:lineRule="auto"/>
        <w:rPr>
          <w:rFonts w:ascii="Arial" w:hAnsi="Arial" w:cs="Arial"/>
          <w:color w:val="000000" w:themeColor="text1"/>
          <w:sz w:val="22"/>
          <w:szCs w:val="22"/>
        </w:rPr>
      </w:pPr>
      <w:r>
        <w:rPr>
          <w:rFonts w:ascii="Arial" w:hAnsi="Arial" w:cs="Arial"/>
          <w:color w:val="000000" w:themeColor="text1"/>
          <w:sz w:val="22"/>
          <w:szCs w:val="22"/>
        </w:rPr>
        <w:t>L</w:t>
      </w:r>
      <w:r w:rsidRPr="00C72629">
        <w:rPr>
          <w:rFonts w:ascii="Arial" w:hAnsi="Arial" w:cs="Arial"/>
          <w:color w:val="000000" w:themeColor="text1"/>
          <w:sz w:val="22"/>
          <w:szCs w:val="22"/>
        </w:rPr>
        <w:t>ikewise, American Express maintains a current ratio of 1.3, which places it in the middle between Mastercard and Visa. Although American Express has a strong liquidity position, its ratio is not as strong as Visa's, suggesting a somewhat weaker capacity to meet short-term obligations. These organisations' different current ratios could be the result of different capital allocation approaches, industry dynamics, or company models.</w:t>
      </w:r>
      <w:r w:rsidR="002F7B3F">
        <w:rPr>
          <w:rFonts w:ascii="Arial" w:hAnsi="Arial" w:cs="Arial"/>
          <w:color w:val="000000" w:themeColor="text1"/>
          <w:sz w:val="22"/>
          <w:szCs w:val="22"/>
        </w:rPr>
        <w:t xml:space="preserve"> (Jason, F.,2024) </w:t>
      </w:r>
    </w:p>
    <w:p w14:paraId="748C7F0F" w14:textId="77777777" w:rsidR="002F7B3F" w:rsidRDefault="002F7B3F" w:rsidP="00443189">
      <w:pPr>
        <w:tabs>
          <w:tab w:val="left" w:pos="2520"/>
        </w:tabs>
        <w:spacing w:line="360" w:lineRule="auto"/>
        <w:rPr>
          <w:rFonts w:ascii="Arial" w:hAnsi="Arial" w:cs="Arial"/>
          <w:color w:val="000000" w:themeColor="text1"/>
          <w:sz w:val="22"/>
          <w:szCs w:val="22"/>
        </w:rPr>
      </w:pPr>
    </w:p>
    <w:p w14:paraId="5190D183" w14:textId="77777777" w:rsidR="00D17422" w:rsidRDefault="00D17422" w:rsidP="00443189">
      <w:pPr>
        <w:tabs>
          <w:tab w:val="left" w:pos="2520"/>
        </w:tabs>
        <w:spacing w:line="360" w:lineRule="auto"/>
        <w:rPr>
          <w:rFonts w:ascii="Arial" w:hAnsi="Arial" w:cs="Arial"/>
          <w:b/>
          <w:bCs/>
          <w:color w:val="000000" w:themeColor="text1"/>
          <w:sz w:val="22"/>
          <w:szCs w:val="22"/>
        </w:rPr>
      </w:pPr>
      <w:r w:rsidRPr="00D17422">
        <w:rPr>
          <w:rFonts w:ascii="Arial" w:hAnsi="Arial" w:cs="Arial"/>
          <w:b/>
          <w:bCs/>
          <w:color w:val="000000" w:themeColor="text1"/>
          <w:sz w:val="22"/>
          <w:szCs w:val="22"/>
        </w:rPr>
        <w:t>Gearing</w:t>
      </w:r>
      <w:r w:rsidRPr="00D17422">
        <w:rPr>
          <w:rFonts w:ascii="Arial" w:hAnsi="Arial" w:cs="Arial"/>
          <w:b/>
          <w:bCs/>
          <w:color w:val="000000" w:themeColor="text1"/>
          <w:sz w:val="22"/>
          <w:szCs w:val="22"/>
        </w:rPr>
        <w:t xml:space="preserve"> </w:t>
      </w:r>
    </w:p>
    <w:p w14:paraId="6AC3B88D" w14:textId="0AEA1769" w:rsidR="002123FC" w:rsidRPr="00D17422" w:rsidRDefault="002123FC" w:rsidP="00443189">
      <w:pPr>
        <w:tabs>
          <w:tab w:val="left" w:pos="2520"/>
        </w:tabs>
        <w:spacing w:line="360" w:lineRule="auto"/>
        <w:rPr>
          <w:rFonts w:ascii="Arial" w:hAnsi="Arial" w:cs="Arial"/>
          <w:b/>
          <w:bCs/>
          <w:color w:val="000000" w:themeColor="text1"/>
          <w:sz w:val="22"/>
          <w:szCs w:val="22"/>
        </w:rPr>
      </w:pPr>
      <w:r w:rsidRPr="00D17422">
        <w:rPr>
          <w:rFonts w:ascii="Arial" w:hAnsi="Arial" w:cs="Arial"/>
          <w:b/>
          <w:bCs/>
          <w:color w:val="000000" w:themeColor="text1"/>
          <w:sz w:val="22"/>
          <w:szCs w:val="22"/>
        </w:rPr>
        <w:t xml:space="preserve">Debt-Equity Ratio </w:t>
      </w:r>
    </w:p>
    <w:p w14:paraId="56742ABB" w14:textId="397ED3D8" w:rsidR="00275E8E" w:rsidRDefault="00391CB4" w:rsidP="00443189">
      <w:pPr>
        <w:tabs>
          <w:tab w:val="left" w:pos="2520"/>
        </w:tabs>
        <w:spacing w:line="360" w:lineRule="auto"/>
        <w:rPr>
          <w:rFonts w:ascii="Arial" w:hAnsi="Arial" w:cs="Arial"/>
          <w:color w:val="000000" w:themeColor="text1"/>
          <w:sz w:val="22"/>
          <w:szCs w:val="22"/>
        </w:rPr>
      </w:pPr>
      <w:r w:rsidRPr="00391CB4">
        <w:rPr>
          <w:rFonts w:ascii="Arial" w:hAnsi="Arial" w:cs="Arial"/>
          <w:color w:val="000000" w:themeColor="text1"/>
          <w:sz w:val="22"/>
          <w:szCs w:val="22"/>
        </w:rPr>
        <w:t xml:space="preserve">The debt-to-equity ratio measures the financial leverage of a company by comparing its total debt to the equity held by its shareholders.  This ratio, which calculates the percentage of </w:t>
      </w:r>
      <w:r w:rsidRPr="00391CB4">
        <w:rPr>
          <w:rFonts w:ascii="Arial" w:hAnsi="Arial" w:cs="Arial"/>
          <w:color w:val="000000" w:themeColor="text1"/>
          <w:sz w:val="22"/>
          <w:szCs w:val="22"/>
        </w:rPr>
        <w:lastRenderedPageBreak/>
        <w:t>total debt and financial commitments to total shareholders' equity, provides insight into the company's dependence on debt vs equity for financing its operations.</w:t>
      </w:r>
      <w:r w:rsidR="00670636">
        <w:rPr>
          <w:rFonts w:ascii="Arial" w:hAnsi="Arial" w:cs="Arial"/>
          <w:color w:val="000000" w:themeColor="text1"/>
          <w:sz w:val="22"/>
          <w:szCs w:val="22"/>
        </w:rPr>
        <w:t xml:space="preserve"> </w:t>
      </w:r>
      <w:r w:rsidR="00CA099F">
        <w:rPr>
          <w:rFonts w:ascii="Arial" w:hAnsi="Arial" w:cs="Arial"/>
          <w:color w:val="000000" w:themeColor="text1"/>
          <w:sz w:val="22"/>
          <w:szCs w:val="22"/>
        </w:rPr>
        <w:t>(Fernando, J., 2024)</w:t>
      </w:r>
    </w:p>
    <w:p w14:paraId="05FDE777" w14:textId="77777777" w:rsidR="00275E8E" w:rsidRDefault="00275E8E" w:rsidP="00443189">
      <w:pPr>
        <w:tabs>
          <w:tab w:val="left" w:pos="2520"/>
        </w:tabs>
        <w:spacing w:line="360" w:lineRule="auto"/>
        <w:rPr>
          <w:rFonts w:ascii="Arial" w:hAnsi="Arial" w:cs="Arial"/>
          <w:color w:val="000000" w:themeColor="text1"/>
          <w:sz w:val="22"/>
          <w:szCs w:val="22"/>
        </w:rPr>
      </w:pPr>
    </w:p>
    <w:p w14:paraId="1961D222" w14:textId="001D709A" w:rsidR="00670636" w:rsidRDefault="00275E8E" w:rsidP="00443189">
      <w:pPr>
        <w:tabs>
          <w:tab w:val="left" w:pos="2520"/>
        </w:tabs>
        <w:spacing w:line="360" w:lineRule="auto"/>
        <w:rPr>
          <w:rFonts w:ascii="Arial" w:hAnsi="Arial" w:cs="Arial"/>
          <w:color w:val="000000" w:themeColor="text1"/>
          <w:sz w:val="22"/>
          <w:szCs w:val="22"/>
        </w:rPr>
      </w:pPr>
      <w:r w:rsidRPr="00275E8E">
        <w:rPr>
          <w:rFonts w:ascii="Arial" w:hAnsi="Arial" w:cs="Arial"/>
          <w:color w:val="000000" w:themeColor="text1"/>
          <w:sz w:val="22"/>
          <w:szCs w:val="22"/>
        </w:rPr>
        <w:t xml:space="preserve">A low debt-to-equity ratio indicates responsible financing and minimal financial risk, whereas a high ratio signals riskier financing. </w:t>
      </w:r>
      <w:r w:rsidR="0065666E" w:rsidRPr="00275E8E">
        <w:rPr>
          <w:rFonts w:ascii="Arial" w:hAnsi="Arial" w:cs="Arial"/>
          <w:color w:val="000000" w:themeColor="text1"/>
          <w:sz w:val="22"/>
          <w:szCs w:val="22"/>
        </w:rPr>
        <w:t>To</w:t>
      </w:r>
      <w:r w:rsidRPr="00275E8E">
        <w:rPr>
          <w:rFonts w:ascii="Arial" w:hAnsi="Arial" w:cs="Arial"/>
          <w:color w:val="000000" w:themeColor="text1"/>
          <w:sz w:val="22"/>
          <w:szCs w:val="22"/>
        </w:rPr>
        <w:t xml:space="preserve"> maximise both financial stability and development opportunities, the ratio must be balanced.</w:t>
      </w:r>
      <w:r w:rsidRPr="00275E8E">
        <w:rPr>
          <w:rFonts w:ascii="Arial" w:hAnsi="Arial" w:cs="Arial"/>
          <w:color w:val="000000" w:themeColor="text1"/>
          <w:sz w:val="22"/>
          <w:szCs w:val="22"/>
        </w:rPr>
        <w:t xml:space="preserve"> </w:t>
      </w:r>
      <w:r w:rsidR="00670636">
        <w:rPr>
          <w:rFonts w:ascii="Arial" w:hAnsi="Arial" w:cs="Arial"/>
          <w:color w:val="000000" w:themeColor="text1"/>
          <w:sz w:val="22"/>
          <w:szCs w:val="22"/>
        </w:rPr>
        <w:t xml:space="preserve">(CFI team, 2024) </w:t>
      </w:r>
    </w:p>
    <w:p w14:paraId="742386DB" w14:textId="5191D1F8" w:rsidR="00D848DA" w:rsidRDefault="00366D76" w:rsidP="00443189">
      <w:pPr>
        <w:tabs>
          <w:tab w:val="left" w:pos="2520"/>
        </w:tabs>
        <w:spacing w:line="360" w:lineRule="auto"/>
        <w:rPr>
          <w:rFonts w:ascii="Arial" w:hAnsi="Arial" w:cs="Arial"/>
          <w:color w:val="000000" w:themeColor="text1"/>
          <w:sz w:val="22"/>
          <w:szCs w:val="22"/>
        </w:rPr>
      </w:pPr>
      <w:r w:rsidRPr="00366D76">
        <w:rPr>
          <w:rFonts w:ascii="Arial" w:hAnsi="Arial" w:cs="Arial"/>
          <w:color w:val="000000" w:themeColor="text1"/>
          <w:sz w:val="22"/>
          <w:szCs w:val="22"/>
        </w:rPr>
        <w:t>A company's entire debt must be divided by its total equity to get the Debt-Equity Ratio (gearing).</w:t>
      </w:r>
    </w:p>
    <w:p w14:paraId="44EB8BAF" w14:textId="77777777" w:rsidR="00D848DA" w:rsidRDefault="00D848DA" w:rsidP="00443189">
      <w:pPr>
        <w:tabs>
          <w:tab w:val="left" w:pos="2520"/>
        </w:tabs>
        <w:spacing w:line="360" w:lineRule="auto"/>
        <w:rPr>
          <w:rFonts w:ascii="Arial" w:hAnsi="Arial" w:cs="Arial"/>
          <w:color w:val="000000" w:themeColor="text1"/>
          <w:sz w:val="22"/>
          <w:szCs w:val="22"/>
        </w:rPr>
      </w:pPr>
    </w:p>
    <w:p w14:paraId="26D26491" w14:textId="6CF67EE6" w:rsidR="00366D76" w:rsidRPr="00D17422" w:rsidRDefault="00366D76" w:rsidP="00443189">
      <w:pPr>
        <w:tabs>
          <w:tab w:val="left" w:pos="2520"/>
        </w:tabs>
        <w:spacing w:line="360" w:lineRule="auto"/>
        <w:rPr>
          <w:rFonts w:ascii="Arial" w:hAnsi="Arial" w:cs="Arial"/>
          <w:b/>
          <w:bCs/>
          <w:color w:val="000000" w:themeColor="text1"/>
          <w:sz w:val="22"/>
          <w:szCs w:val="22"/>
        </w:rPr>
      </w:pPr>
      <w:r w:rsidRPr="00D17422">
        <w:rPr>
          <w:rFonts w:ascii="Arial" w:hAnsi="Arial" w:cs="Arial"/>
          <w:b/>
          <w:bCs/>
          <w:color w:val="000000" w:themeColor="text1"/>
          <w:sz w:val="22"/>
          <w:szCs w:val="22"/>
        </w:rPr>
        <w:t>Debt-Equity Ratio</w:t>
      </w:r>
      <w:r w:rsidRPr="00D17422">
        <w:rPr>
          <w:rFonts w:ascii="Arial" w:hAnsi="Arial" w:cs="Arial"/>
          <w:b/>
          <w:bCs/>
          <w:color w:val="000000" w:themeColor="text1"/>
          <w:sz w:val="22"/>
          <w:szCs w:val="22"/>
        </w:rPr>
        <w:t xml:space="preserve"> Formula </w:t>
      </w:r>
    </w:p>
    <w:p w14:paraId="3C6FA8EE" w14:textId="2E49FB8B" w:rsidR="00366D76" w:rsidRDefault="00366D76" w:rsidP="00443189">
      <w:pPr>
        <w:tabs>
          <w:tab w:val="left" w:pos="2520"/>
        </w:tabs>
        <w:spacing w:line="360" w:lineRule="auto"/>
        <w:rPr>
          <w:rFonts w:ascii="Arial" w:hAnsi="Arial" w:cs="Arial"/>
          <w:b/>
          <w:bCs/>
          <w:color w:val="000000" w:themeColor="text1"/>
          <w:sz w:val="22"/>
          <w:szCs w:val="22"/>
        </w:rPr>
      </w:pPr>
      <w:r w:rsidRPr="00275E8E">
        <w:rPr>
          <w:rFonts w:ascii="Arial" w:hAnsi="Arial" w:cs="Arial"/>
          <w:b/>
          <w:bCs/>
          <w:color w:val="000000" w:themeColor="text1"/>
          <w:sz w:val="22"/>
          <w:szCs w:val="22"/>
        </w:rPr>
        <w:t>Debt-Equity Ratio</w:t>
      </w:r>
      <w:r w:rsidRPr="00275E8E">
        <w:rPr>
          <w:rFonts w:ascii="Arial" w:hAnsi="Arial" w:cs="Arial"/>
          <w:b/>
          <w:bCs/>
          <w:color w:val="000000" w:themeColor="text1"/>
          <w:sz w:val="22"/>
          <w:szCs w:val="22"/>
        </w:rPr>
        <w:t xml:space="preserve"> = Total Debt / Total Equity </w:t>
      </w:r>
    </w:p>
    <w:p w14:paraId="21943487" w14:textId="6B2F9204" w:rsidR="00200241" w:rsidRPr="00275E8E" w:rsidRDefault="00200A65" w:rsidP="00200A65">
      <w:pPr>
        <w:pStyle w:val="Caption"/>
        <w:rPr>
          <w:rFonts w:ascii="Arial" w:hAnsi="Arial" w:cs="Arial"/>
          <w:b/>
          <w:bCs/>
          <w:color w:val="000000" w:themeColor="text1"/>
          <w:sz w:val="22"/>
          <w:szCs w:val="22"/>
        </w:rPr>
      </w:pPr>
      <w:bookmarkStart w:id="9" w:name="_Toc164849544"/>
      <w:r>
        <w:t xml:space="preserve">Table </w:t>
      </w:r>
      <w:r>
        <w:fldChar w:fldCharType="begin"/>
      </w:r>
      <w:r>
        <w:instrText xml:space="preserve"> SEQ Table \* ARABIC </w:instrText>
      </w:r>
      <w:r>
        <w:fldChar w:fldCharType="separate"/>
      </w:r>
      <w:r w:rsidR="00083413">
        <w:rPr>
          <w:noProof/>
        </w:rPr>
        <w:t>4</w:t>
      </w:r>
      <w:r>
        <w:fldChar w:fldCharType="end"/>
      </w:r>
      <w:r w:rsidRPr="00921FA2">
        <w:t>Debt-Equity Ratio (source: author)</w:t>
      </w:r>
      <w:bookmarkEnd w:id="9"/>
    </w:p>
    <w:p w14:paraId="5F0D7025" w14:textId="77777777" w:rsidR="00200241" w:rsidRPr="00275E8E" w:rsidRDefault="00200241" w:rsidP="00443189">
      <w:pPr>
        <w:tabs>
          <w:tab w:val="left" w:pos="2520"/>
        </w:tabs>
        <w:spacing w:line="360" w:lineRule="auto"/>
        <w:rPr>
          <w:rFonts w:ascii="Arial" w:hAnsi="Arial" w:cs="Arial"/>
          <w:b/>
          <w:bCs/>
          <w:color w:val="000000" w:themeColor="text1"/>
          <w:sz w:val="22"/>
          <w:szCs w:val="22"/>
        </w:rPr>
      </w:pPr>
    </w:p>
    <w:tbl>
      <w:tblPr>
        <w:tblW w:w="10120" w:type="dxa"/>
        <w:tblLook w:val="04A0" w:firstRow="1" w:lastRow="0" w:firstColumn="1" w:lastColumn="0" w:noHBand="0" w:noVBand="1"/>
      </w:tblPr>
      <w:tblGrid>
        <w:gridCol w:w="2760"/>
        <w:gridCol w:w="1860"/>
        <w:gridCol w:w="1780"/>
        <w:gridCol w:w="1538"/>
        <w:gridCol w:w="2182"/>
      </w:tblGrid>
      <w:tr w:rsidR="00366D76" w14:paraId="37994451" w14:textId="77777777" w:rsidTr="004B3B65">
        <w:trPr>
          <w:trHeight w:val="320"/>
        </w:trPr>
        <w:tc>
          <w:tcPr>
            <w:tcW w:w="2760" w:type="dxa"/>
            <w:tcBorders>
              <w:top w:val="nil"/>
              <w:left w:val="nil"/>
              <w:bottom w:val="nil"/>
              <w:right w:val="nil"/>
            </w:tcBorders>
            <w:shd w:val="clear" w:color="auto" w:fill="auto"/>
            <w:noWrap/>
            <w:vAlign w:val="bottom"/>
            <w:hideMark/>
          </w:tcPr>
          <w:p w14:paraId="1BF5CFFB" w14:textId="77777777" w:rsidR="00366D76" w:rsidRDefault="00366D76">
            <w:pPr>
              <w:rPr>
                <w:rFonts w:ascii="Aptos Narrow" w:hAnsi="Aptos Narrow"/>
                <w:b/>
                <w:bCs/>
                <w:color w:val="000000"/>
              </w:rPr>
            </w:pPr>
            <w:r>
              <w:rPr>
                <w:rFonts w:ascii="Aptos Narrow" w:hAnsi="Aptos Narrow"/>
                <w:b/>
                <w:bCs/>
                <w:color w:val="000000"/>
              </w:rPr>
              <w:t xml:space="preserve">Debt-Equity Ratio - Gearing </w:t>
            </w:r>
          </w:p>
        </w:tc>
        <w:tc>
          <w:tcPr>
            <w:tcW w:w="1860" w:type="dxa"/>
            <w:tcBorders>
              <w:top w:val="nil"/>
              <w:left w:val="nil"/>
              <w:bottom w:val="nil"/>
              <w:right w:val="nil"/>
            </w:tcBorders>
            <w:shd w:val="clear" w:color="auto" w:fill="auto"/>
            <w:noWrap/>
            <w:vAlign w:val="bottom"/>
            <w:hideMark/>
          </w:tcPr>
          <w:p w14:paraId="40387EB7" w14:textId="77777777" w:rsidR="00366D76" w:rsidRDefault="00366D76">
            <w:pPr>
              <w:rPr>
                <w:rFonts w:ascii="Aptos Narrow" w:hAnsi="Aptos Narrow"/>
                <w:color w:val="000000"/>
              </w:rPr>
            </w:pPr>
            <w:r>
              <w:rPr>
                <w:rFonts w:ascii="Aptos Narrow" w:hAnsi="Aptos Narrow"/>
                <w:color w:val="000000"/>
              </w:rPr>
              <w:t xml:space="preserve">Total Debt </w:t>
            </w:r>
          </w:p>
        </w:tc>
        <w:tc>
          <w:tcPr>
            <w:tcW w:w="1780" w:type="dxa"/>
            <w:tcBorders>
              <w:top w:val="nil"/>
              <w:left w:val="nil"/>
              <w:bottom w:val="nil"/>
              <w:right w:val="nil"/>
            </w:tcBorders>
            <w:shd w:val="clear" w:color="auto" w:fill="auto"/>
            <w:noWrap/>
            <w:vAlign w:val="bottom"/>
            <w:hideMark/>
          </w:tcPr>
          <w:p w14:paraId="5262049A" w14:textId="77777777" w:rsidR="00366D76" w:rsidRDefault="00366D76">
            <w:pPr>
              <w:rPr>
                <w:rFonts w:ascii="Aptos Narrow" w:hAnsi="Aptos Narrow"/>
                <w:color w:val="000000"/>
              </w:rPr>
            </w:pPr>
            <w:r>
              <w:rPr>
                <w:rFonts w:ascii="Aptos Narrow" w:hAnsi="Aptos Narrow"/>
                <w:color w:val="000000"/>
              </w:rPr>
              <w:t xml:space="preserve">Total Equity </w:t>
            </w:r>
          </w:p>
        </w:tc>
        <w:tc>
          <w:tcPr>
            <w:tcW w:w="1538" w:type="dxa"/>
            <w:tcBorders>
              <w:top w:val="nil"/>
              <w:left w:val="nil"/>
              <w:bottom w:val="nil"/>
              <w:right w:val="nil"/>
            </w:tcBorders>
            <w:shd w:val="clear" w:color="auto" w:fill="auto"/>
            <w:noWrap/>
            <w:vAlign w:val="bottom"/>
            <w:hideMark/>
          </w:tcPr>
          <w:p w14:paraId="155764C9" w14:textId="77777777" w:rsidR="00366D76" w:rsidRDefault="00366D76">
            <w:pPr>
              <w:jc w:val="center"/>
              <w:rPr>
                <w:rFonts w:ascii="Aptos Narrow" w:hAnsi="Aptos Narrow"/>
                <w:color w:val="000000"/>
              </w:rPr>
            </w:pPr>
            <w:r>
              <w:rPr>
                <w:rFonts w:ascii="Aptos Narrow" w:hAnsi="Aptos Narrow"/>
                <w:color w:val="000000"/>
              </w:rPr>
              <w:t>#VALUE!</w:t>
            </w:r>
          </w:p>
        </w:tc>
        <w:tc>
          <w:tcPr>
            <w:tcW w:w="2182" w:type="dxa"/>
            <w:tcBorders>
              <w:top w:val="nil"/>
              <w:left w:val="nil"/>
              <w:bottom w:val="nil"/>
              <w:right w:val="nil"/>
            </w:tcBorders>
            <w:shd w:val="clear" w:color="auto" w:fill="auto"/>
            <w:noWrap/>
            <w:vAlign w:val="bottom"/>
            <w:hideMark/>
          </w:tcPr>
          <w:p w14:paraId="54C22884" w14:textId="77777777" w:rsidR="00366D76" w:rsidRDefault="00366D76">
            <w:pPr>
              <w:jc w:val="center"/>
              <w:rPr>
                <w:rFonts w:ascii="Aptos Narrow" w:hAnsi="Aptos Narrow"/>
                <w:b/>
                <w:bCs/>
                <w:color w:val="000000"/>
              </w:rPr>
            </w:pPr>
            <w:r>
              <w:rPr>
                <w:rFonts w:ascii="Aptos Narrow" w:hAnsi="Aptos Narrow"/>
                <w:b/>
                <w:bCs/>
                <w:color w:val="000000"/>
              </w:rPr>
              <w:t>#VALUE!</w:t>
            </w:r>
          </w:p>
        </w:tc>
      </w:tr>
      <w:tr w:rsidR="00366D76" w14:paraId="38E5C3C0" w14:textId="77777777" w:rsidTr="004B3B65">
        <w:trPr>
          <w:trHeight w:val="320"/>
        </w:trPr>
        <w:tc>
          <w:tcPr>
            <w:tcW w:w="2760" w:type="dxa"/>
            <w:tcBorders>
              <w:top w:val="nil"/>
              <w:left w:val="nil"/>
              <w:bottom w:val="nil"/>
              <w:right w:val="nil"/>
            </w:tcBorders>
            <w:shd w:val="clear" w:color="auto" w:fill="auto"/>
            <w:noWrap/>
            <w:vAlign w:val="bottom"/>
            <w:hideMark/>
          </w:tcPr>
          <w:p w14:paraId="0DDEB4A4" w14:textId="77777777" w:rsidR="00366D76" w:rsidRDefault="00366D76">
            <w:pPr>
              <w:rPr>
                <w:rFonts w:ascii="Aptos Narrow" w:hAnsi="Aptos Narrow"/>
                <w:color w:val="000000"/>
              </w:rPr>
            </w:pPr>
            <w:r>
              <w:rPr>
                <w:rFonts w:ascii="Aptos Narrow" w:hAnsi="Aptos Narrow"/>
                <w:color w:val="000000"/>
              </w:rPr>
              <w:t>Visa</w:t>
            </w:r>
          </w:p>
        </w:tc>
        <w:tc>
          <w:tcPr>
            <w:tcW w:w="1860" w:type="dxa"/>
            <w:tcBorders>
              <w:top w:val="nil"/>
              <w:left w:val="nil"/>
              <w:bottom w:val="nil"/>
              <w:right w:val="nil"/>
            </w:tcBorders>
            <w:shd w:val="clear" w:color="auto" w:fill="auto"/>
            <w:noWrap/>
            <w:vAlign w:val="bottom"/>
            <w:hideMark/>
          </w:tcPr>
          <w:p w14:paraId="33C4A98E" w14:textId="77777777" w:rsidR="00366D76" w:rsidRPr="00366D76" w:rsidRDefault="00366D76" w:rsidP="00366D76">
            <w:pPr>
              <w:rPr>
                <w:rFonts w:ascii="Aptos Narrow" w:hAnsi="Aptos Narrow"/>
                <w:color w:val="215E99" w:themeColor="text2" w:themeTint="BF"/>
              </w:rPr>
            </w:pPr>
            <w:r w:rsidRPr="00366D76">
              <w:rPr>
                <w:rFonts w:ascii="Aptos Narrow" w:hAnsi="Aptos Narrow"/>
                <w:color w:val="215E99" w:themeColor="text2" w:themeTint="BF"/>
              </w:rPr>
              <w:t>20,463</w:t>
            </w:r>
          </w:p>
        </w:tc>
        <w:tc>
          <w:tcPr>
            <w:tcW w:w="1780" w:type="dxa"/>
            <w:tcBorders>
              <w:top w:val="nil"/>
              <w:left w:val="nil"/>
              <w:bottom w:val="nil"/>
              <w:right w:val="nil"/>
            </w:tcBorders>
            <w:shd w:val="clear" w:color="auto" w:fill="auto"/>
            <w:noWrap/>
            <w:vAlign w:val="bottom"/>
            <w:hideMark/>
          </w:tcPr>
          <w:p w14:paraId="1AA98C59" w14:textId="77777777" w:rsidR="00366D76" w:rsidRPr="00366D76" w:rsidRDefault="00366D76" w:rsidP="00366D76">
            <w:pPr>
              <w:rPr>
                <w:rFonts w:ascii="Aptos Narrow" w:hAnsi="Aptos Narrow"/>
                <w:color w:val="215E99" w:themeColor="text2" w:themeTint="BF"/>
              </w:rPr>
            </w:pPr>
            <w:r w:rsidRPr="00366D76">
              <w:rPr>
                <w:rFonts w:ascii="Aptos Narrow" w:hAnsi="Aptos Narrow"/>
                <w:color w:val="215E99" w:themeColor="text2" w:themeTint="BF"/>
              </w:rPr>
              <w:t>38,733</w:t>
            </w:r>
          </w:p>
        </w:tc>
        <w:tc>
          <w:tcPr>
            <w:tcW w:w="1538" w:type="dxa"/>
            <w:tcBorders>
              <w:top w:val="nil"/>
              <w:left w:val="nil"/>
              <w:bottom w:val="nil"/>
              <w:right w:val="nil"/>
            </w:tcBorders>
            <w:shd w:val="clear" w:color="auto" w:fill="auto"/>
            <w:noWrap/>
            <w:vAlign w:val="bottom"/>
            <w:hideMark/>
          </w:tcPr>
          <w:p w14:paraId="7579EB0D" w14:textId="77777777" w:rsidR="00366D76" w:rsidRPr="00366D76" w:rsidRDefault="00366D76">
            <w:pPr>
              <w:jc w:val="right"/>
              <w:rPr>
                <w:rFonts w:ascii="Aptos Narrow" w:hAnsi="Aptos Narrow"/>
                <w:color w:val="215E99" w:themeColor="text2" w:themeTint="BF"/>
              </w:rPr>
            </w:pPr>
            <w:r w:rsidRPr="00366D76">
              <w:rPr>
                <w:rFonts w:ascii="Aptos Narrow" w:hAnsi="Aptos Narrow"/>
                <w:color w:val="215E99" w:themeColor="text2" w:themeTint="BF"/>
              </w:rPr>
              <w:t>0.528309194</w:t>
            </w:r>
          </w:p>
        </w:tc>
        <w:tc>
          <w:tcPr>
            <w:tcW w:w="2182" w:type="dxa"/>
            <w:tcBorders>
              <w:top w:val="nil"/>
              <w:left w:val="nil"/>
              <w:bottom w:val="nil"/>
              <w:right w:val="nil"/>
            </w:tcBorders>
            <w:shd w:val="clear" w:color="auto" w:fill="auto"/>
            <w:noWrap/>
            <w:vAlign w:val="bottom"/>
            <w:hideMark/>
          </w:tcPr>
          <w:p w14:paraId="613B3ED1" w14:textId="77777777" w:rsidR="00366D76" w:rsidRPr="00366D76" w:rsidRDefault="00366D76">
            <w:pPr>
              <w:jc w:val="right"/>
              <w:rPr>
                <w:rFonts w:ascii="Aptos Narrow" w:hAnsi="Aptos Narrow"/>
                <w:b/>
                <w:bCs/>
                <w:color w:val="215E99" w:themeColor="text2" w:themeTint="BF"/>
              </w:rPr>
            </w:pPr>
            <w:r w:rsidRPr="00366D76">
              <w:rPr>
                <w:rFonts w:ascii="Aptos Narrow" w:hAnsi="Aptos Narrow"/>
                <w:b/>
                <w:bCs/>
                <w:color w:val="215E99" w:themeColor="text2" w:themeTint="BF"/>
              </w:rPr>
              <w:t>52.83091937</w:t>
            </w:r>
          </w:p>
        </w:tc>
      </w:tr>
      <w:tr w:rsidR="00366D76" w14:paraId="48F8C975" w14:textId="77777777" w:rsidTr="004B3B65">
        <w:trPr>
          <w:trHeight w:val="320"/>
        </w:trPr>
        <w:tc>
          <w:tcPr>
            <w:tcW w:w="2760" w:type="dxa"/>
            <w:tcBorders>
              <w:top w:val="nil"/>
              <w:left w:val="nil"/>
              <w:bottom w:val="nil"/>
              <w:right w:val="nil"/>
            </w:tcBorders>
            <w:shd w:val="clear" w:color="auto" w:fill="auto"/>
            <w:noWrap/>
            <w:vAlign w:val="bottom"/>
            <w:hideMark/>
          </w:tcPr>
          <w:p w14:paraId="61935ED6" w14:textId="77777777" w:rsidR="00366D76" w:rsidRDefault="00366D76">
            <w:pPr>
              <w:rPr>
                <w:rFonts w:ascii="Aptos Narrow" w:hAnsi="Aptos Narrow"/>
                <w:color w:val="000000"/>
              </w:rPr>
            </w:pPr>
            <w:r>
              <w:rPr>
                <w:rFonts w:ascii="Aptos Narrow" w:hAnsi="Aptos Narrow"/>
                <w:color w:val="000000"/>
              </w:rPr>
              <w:t xml:space="preserve">Master Card </w:t>
            </w:r>
          </w:p>
        </w:tc>
        <w:tc>
          <w:tcPr>
            <w:tcW w:w="1860" w:type="dxa"/>
            <w:tcBorders>
              <w:top w:val="nil"/>
              <w:left w:val="nil"/>
              <w:bottom w:val="nil"/>
              <w:right w:val="nil"/>
            </w:tcBorders>
            <w:shd w:val="clear" w:color="auto" w:fill="auto"/>
            <w:noWrap/>
            <w:vAlign w:val="bottom"/>
            <w:hideMark/>
          </w:tcPr>
          <w:p w14:paraId="6DAA1985" w14:textId="77777777" w:rsidR="00366D76" w:rsidRPr="00366D76" w:rsidRDefault="00366D76" w:rsidP="00366D76">
            <w:pPr>
              <w:rPr>
                <w:rFonts w:ascii="Aptos Narrow" w:hAnsi="Aptos Narrow"/>
                <w:color w:val="215E99" w:themeColor="text2" w:themeTint="BF"/>
              </w:rPr>
            </w:pPr>
            <w:r w:rsidRPr="00366D76">
              <w:rPr>
                <w:rFonts w:ascii="Aptos Narrow" w:hAnsi="Aptos Narrow"/>
                <w:color w:val="215E99" w:themeColor="text2" w:themeTint="BF"/>
              </w:rPr>
              <w:t>157200</w:t>
            </w:r>
          </w:p>
        </w:tc>
        <w:tc>
          <w:tcPr>
            <w:tcW w:w="1780" w:type="dxa"/>
            <w:tcBorders>
              <w:top w:val="nil"/>
              <w:left w:val="nil"/>
              <w:bottom w:val="nil"/>
              <w:right w:val="nil"/>
            </w:tcBorders>
            <w:shd w:val="clear" w:color="auto" w:fill="auto"/>
            <w:noWrap/>
            <w:vAlign w:val="bottom"/>
            <w:hideMark/>
          </w:tcPr>
          <w:p w14:paraId="31A20518" w14:textId="77777777" w:rsidR="00366D76" w:rsidRPr="00366D76" w:rsidRDefault="00366D76" w:rsidP="00366D76">
            <w:pPr>
              <w:rPr>
                <w:rFonts w:ascii="Aptos Narrow" w:hAnsi="Aptos Narrow"/>
                <w:color w:val="215E99" w:themeColor="text2" w:themeTint="BF"/>
              </w:rPr>
            </w:pPr>
            <w:r w:rsidRPr="00366D76">
              <w:rPr>
                <w:rFonts w:ascii="Aptos Narrow" w:hAnsi="Aptos Narrow"/>
                <w:color w:val="215E99" w:themeColor="text2" w:themeTint="BF"/>
              </w:rPr>
              <w:t>69012</w:t>
            </w:r>
          </w:p>
        </w:tc>
        <w:tc>
          <w:tcPr>
            <w:tcW w:w="1538" w:type="dxa"/>
            <w:tcBorders>
              <w:top w:val="nil"/>
              <w:left w:val="nil"/>
              <w:bottom w:val="nil"/>
              <w:right w:val="nil"/>
            </w:tcBorders>
            <w:shd w:val="clear" w:color="auto" w:fill="auto"/>
            <w:noWrap/>
            <w:vAlign w:val="bottom"/>
            <w:hideMark/>
          </w:tcPr>
          <w:p w14:paraId="2FAA3446" w14:textId="77777777" w:rsidR="00366D76" w:rsidRPr="00366D76" w:rsidRDefault="00366D76">
            <w:pPr>
              <w:jc w:val="right"/>
              <w:rPr>
                <w:rFonts w:ascii="Aptos Narrow" w:hAnsi="Aptos Narrow"/>
                <w:color w:val="215E99" w:themeColor="text2" w:themeTint="BF"/>
              </w:rPr>
            </w:pPr>
            <w:r w:rsidRPr="00366D76">
              <w:rPr>
                <w:rFonts w:ascii="Aptos Narrow" w:hAnsi="Aptos Narrow"/>
                <w:color w:val="215E99" w:themeColor="text2" w:themeTint="BF"/>
              </w:rPr>
              <w:t>2.277864719</w:t>
            </w:r>
          </w:p>
        </w:tc>
        <w:tc>
          <w:tcPr>
            <w:tcW w:w="2182" w:type="dxa"/>
            <w:tcBorders>
              <w:top w:val="nil"/>
              <w:left w:val="nil"/>
              <w:bottom w:val="nil"/>
              <w:right w:val="nil"/>
            </w:tcBorders>
            <w:shd w:val="clear" w:color="auto" w:fill="auto"/>
            <w:noWrap/>
            <w:vAlign w:val="bottom"/>
            <w:hideMark/>
          </w:tcPr>
          <w:p w14:paraId="2FA43101" w14:textId="77777777" w:rsidR="00366D76" w:rsidRPr="00366D76" w:rsidRDefault="00366D76">
            <w:pPr>
              <w:jc w:val="right"/>
              <w:rPr>
                <w:rFonts w:ascii="Aptos Narrow" w:hAnsi="Aptos Narrow"/>
                <w:b/>
                <w:bCs/>
                <w:color w:val="215E99" w:themeColor="text2" w:themeTint="BF"/>
              </w:rPr>
            </w:pPr>
            <w:r w:rsidRPr="00366D76">
              <w:rPr>
                <w:rFonts w:ascii="Aptos Narrow" w:hAnsi="Aptos Narrow"/>
                <w:b/>
                <w:bCs/>
                <w:color w:val="215E99" w:themeColor="text2" w:themeTint="BF"/>
              </w:rPr>
              <w:t>227.7864719</w:t>
            </w:r>
          </w:p>
        </w:tc>
      </w:tr>
      <w:tr w:rsidR="00366D76" w14:paraId="74CFCA99" w14:textId="77777777" w:rsidTr="004B3B65">
        <w:trPr>
          <w:trHeight w:val="320"/>
        </w:trPr>
        <w:tc>
          <w:tcPr>
            <w:tcW w:w="2760" w:type="dxa"/>
            <w:tcBorders>
              <w:top w:val="nil"/>
              <w:left w:val="nil"/>
              <w:bottom w:val="nil"/>
              <w:right w:val="nil"/>
            </w:tcBorders>
            <w:shd w:val="clear" w:color="auto" w:fill="auto"/>
            <w:noWrap/>
            <w:vAlign w:val="bottom"/>
            <w:hideMark/>
          </w:tcPr>
          <w:p w14:paraId="0B555C08" w14:textId="5B46D9B4" w:rsidR="00366D76" w:rsidRDefault="00366D76">
            <w:pPr>
              <w:rPr>
                <w:rFonts w:ascii="Aptos Narrow" w:hAnsi="Aptos Narrow"/>
                <w:color w:val="000000"/>
              </w:rPr>
            </w:pPr>
            <w:r>
              <w:rPr>
                <w:rFonts w:ascii="Aptos Narrow" w:hAnsi="Aptos Narrow"/>
                <w:color w:val="000000"/>
              </w:rPr>
              <w:t xml:space="preserve">American </w:t>
            </w:r>
            <w:r>
              <w:rPr>
                <w:rFonts w:ascii="Aptos Narrow" w:hAnsi="Aptos Narrow"/>
                <w:color w:val="000000"/>
              </w:rPr>
              <w:t>Express</w:t>
            </w:r>
          </w:p>
        </w:tc>
        <w:tc>
          <w:tcPr>
            <w:tcW w:w="1860" w:type="dxa"/>
            <w:tcBorders>
              <w:top w:val="nil"/>
              <w:left w:val="nil"/>
              <w:bottom w:val="nil"/>
              <w:right w:val="nil"/>
            </w:tcBorders>
            <w:shd w:val="clear" w:color="auto" w:fill="auto"/>
            <w:noWrap/>
            <w:vAlign w:val="bottom"/>
            <w:hideMark/>
          </w:tcPr>
          <w:p w14:paraId="64B8602B" w14:textId="77777777" w:rsidR="00366D76" w:rsidRPr="00366D76" w:rsidRDefault="00366D76" w:rsidP="00366D76">
            <w:pPr>
              <w:rPr>
                <w:rFonts w:ascii="Aptos Narrow" w:hAnsi="Aptos Narrow"/>
                <w:color w:val="215E99" w:themeColor="text2" w:themeTint="BF"/>
              </w:rPr>
            </w:pPr>
            <w:r w:rsidRPr="00366D76">
              <w:rPr>
                <w:rFonts w:ascii="Aptos Narrow" w:hAnsi="Aptos Narrow"/>
                <w:color w:val="215E99" w:themeColor="text2" w:themeTint="BF"/>
              </w:rPr>
              <w:t>4935</w:t>
            </w:r>
          </w:p>
        </w:tc>
        <w:tc>
          <w:tcPr>
            <w:tcW w:w="1780" w:type="dxa"/>
            <w:tcBorders>
              <w:top w:val="nil"/>
              <w:left w:val="nil"/>
              <w:bottom w:val="nil"/>
              <w:right w:val="nil"/>
            </w:tcBorders>
            <w:shd w:val="clear" w:color="auto" w:fill="auto"/>
            <w:noWrap/>
            <w:vAlign w:val="bottom"/>
            <w:hideMark/>
          </w:tcPr>
          <w:p w14:paraId="104E337B" w14:textId="77777777" w:rsidR="00366D76" w:rsidRPr="00366D76" w:rsidRDefault="00366D76" w:rsidP="00366D76">
            <w:pPr>
              <w:rPr>
                <w:rFonts w:ascii="Aptos Narrow" w:hAnsi="Aptos Narrow"/>
                <w:color w:val="215E99" w:themeColor="text2" w:themeTint="BF"/>
              </w:rPr>
            </w:pPr>
            <w:r w:rsidRPr="00366D76">
              <w:rPr>
                <w:rFonts w:ascii="Aptos Narrow" w:hAnsi="Aptos Narrow"/>
                <w:color w:val="215E99" w:themeColor="text2" w:themeTint="BF"/>
              </w:rPr>
              <w:t>2867</w:t>
            </w:r>
          </w:p>
        </w:tc>
        <w:tc>
          <w:tcPr>
            <w:tcW w:w="1538" w:type="dxa"/>
            <w:tcBorders>
              <w:top w:val="nil"/>
              <w:left w:val="nil"/>
              <w:bottom w:val="nil"/>
              <w:right w:val="nil"/>
            </w:tcBorders>
            <w:shd w:val="clear" w:color="auto" w:fill="auto"/>
            <w:noWrap/>
            <w:vAlign w:val="bottom"/>
            <w:hideMark/>
          </w:tcPr>
          <w:p w14:paraId="2319B1B4" w14:textId="77777777" w:rsidR="00366D76" w:rsidRPr="004B3B65" w:rsidRDefault="00366D76">
            <w:pPr>
              <w:jc w:val="right"/>
              <w:rPr>
                <w:rFonts w:ascii="Aptos Narrow" w:hAnsi="Aptos Narrow"/>
                <w:color w:val="215E99" w:themeColor="text2" w:themeTint="BF"/>
              </w:rPr>
            </w:pPr>
            <w:r w:rsidRPr="004B3B65">
              <w:rPr>
                <w:rFonts w:ascii="Aptos Narrow" w:hAnsi="Aptos Narrow"/>
                <w:color w:val="215E99" w:themeColor="text2" w:themeTint="BF"/>
              </w:rPr>
              <w:t>1.721311475</w:t>
            </w:r>
          </w:p>
        </w:tc>
        <w:tc>
          <w:tcPr>
            <w:tcW w:w="2182" w:type="dxa"/>
            <w:tcBorders>
              <w:top w:val="nil"/>
              <w:left w:val="nil"/>
              <w:bottom w:val="nil"/>
              <w:right w:val="nil"/>
            </w:tcBorders>
            <w:shd w:val="clear" w:color="auto" w:fill="auto"/>
            <w:noWrap/>
            <w:vAlign w:val="bottom"/>
            <w:hideMark/>
          </w:tcPr>
          <w:p w14:paraId="2BC30CD3" w14:textId="77777777" w:rsidR="00366D76" w:rsidRPr="004B3B65" w:rsidRDefault="00366D76">
            <w:pPr>
              <w:jc w:val="right"/>
              <w:rPr>
                <w:rFonts w:ascii="Aptos Narrow" w:hAnsi="Aptos Narrow"/>
                <w:b/>
                <w:bCs/>
                <w:color w:val="215E99" w:themeColor="text2" w:themeTint="BF"/>
              </w:rPr>
            </w:pPr>
            <w:r w:rsidRPr="004B3B65">
              <w:rPr>
                <w:rFonts w:ascii="Aptos Narrow" w:hAnsi="Aptos Narrow"/>
                <w:b/>
                <w:bCs/>
                <w:color w:val="215E99" w:themeColor="text2" w:themeTint="BF"/>
              </w:rPr>
              <w:t>172.1311475</w:t>
            </w:r>
          </w:p>
        </w:tc>
      </w:tr>
    </w:tbl>
    <w:p w14:paraId="0FF7D7E8" w14:textId="77777777" w:rsidR="00366D76" w:rsidRDefault="00366D76" w:rsidP="00443189">
      <w:pPr>
        <w:tabs>
          <w:tab w:val="left" w:pos="2520"/>
        </w:tabs>
        <w:spacing w:line="360" w:lineRule="auto"/>
        <w:rPr>
          <w:rFonts w:ascii="Arial" w:hAnsi="Arial" w:cs="Arial"/>
          <w:color w:val="000000" w:themeColor="text1"/>
          <w:sz w:val="22"/>
          <w:szCs w:val="22"/>
        </w:rPr>
      </w:pPr>
    </w:p>
    <w:p w14:paraId="613A9FFB" w14:textId="1D22A675" w:rsidR="002123FC" w:rsidRDefault="008E16C1" w:rsidP="00443189">
      <w:pPr>
        <w:tabs>
          <w:tab w:val="left" w:pos="2520"/>
        </w:tabs>
        <w:spacing w:line="360" w:lineRule="auto"/>
        <w:rPr>
          <w:rFonts w:ascii="Arial" w:hAnsi="Arial" w:cs="Arial"/>
          <w:color w:val="000000" w:themeColor="text1"/>
          <w:sz w:val="22"/>
          <w:szCs w:val="22"/>
        </w:rPr>
      </w:pPr>
      <w:r w:rsidRPr="008E16C1">
        <w:rPr>
          <w:rFonts w:ascii="Arial" w:hAnsi="Arial" w:cs="Arial"/>
          <w:color w:val="000000" w:themeColor="text1"/>
          <w:sz w:val="22"/>
          <w:szCs w:val="22"/>
        </w:rPr>
        <w:t>The corporation appears to have an acceptable amount of financial leverage when the ratio is 53%. It shows that little over half of the company's capital is provided by debt, with the remaining amount coming from equity.</w:t>
      </w:r>
      <w:r w:rsidRPr="008E16C1">
        <w:rPr>
          <w:rFonts w:ascii="Arial" w:hAnsi="Arial" w:cs="Arial"/>
          <w:color w:val="000000" w:themeColor="text1"/>
          <w:sz w:val="22"/>
          <w:szCs w:val="22"/>
        </w:rPr>
        <w:t xml:space="preserve"> </w:t>
      </w:r>
      <w:r w:rsidRPr="008E16C1">
        <w:rPr>
          <w:rFonts w:ascii="Arial" w:hAnsi="Arial" w:cs="Arial"/>
          <w:color w:val="000000" w:themeColor="text1"/>
          <w:sz w:val="22"/>
          <w:szCs w:val="22"/>
        </w:rPr>
        <w:t>With $20.</w:t>
      </w:r>
      <w:r>
        <w:rPr>
          <w:rFonts w:ascii="Arial" w:hAnsi="Arial" w:cs="Arial"/>
          <w:color w:val="000000" w:themeColor="text1"/>
          <w:sz w:val="22"/>
          <w:szCs w:val="22"/>
        </w:rPr>
        <w:t xml:space="preserve">5 </w:t>
      </w:r>
      <w:r w:rsidRPr="008E16C1">
        <w:rPr>
          <w:rFonts w:ascii="Arial" w:hAnsi="Arial" w:cs="Arial"/>
          <w:color w:val="000000" w:themeColor="text1"/>
          <w:sz w:val="22"/>
          <w:szCs w:val="22"/>
        </w:rPr>
        <w:t>billion in total debt and $39 billion in shareholder equity, Visa's debt-to-equity ratio is 5</w:t>
      </w:r>
      <w:r>
        <w:rPr>
          <w:rFonts w:ascii="Arial" w:hAnsi="Arial" w:cs="Arial"/>
          <w:color w:val="000000" w:themeColor="text1"/>
          <w:sz w:val="22"/>
          <w:szCs w:val="22"/>
        </w:rPr>
        <w:t>3</w:t>
      </w:r>
      <w:r w:rsidRPr="008E16C1">
        <w:rPr>
          <w:rFonts w:ascii="Arial" w:hAnsi="Arial" w:cs="Arial"/>
          <w:color w:val="000000" w:themeColor="text1"/>
          <w:sz w:val="22"/>
          <w:szCs w:val="22"/>
        </w:rPr>
        <w:t xml:space="preserve">%. It has $51.7 billion in total liabilities and $91.4 billion in total assets. With an EBIT of $22.5 billion, Visa has a </w:t>
      </w:r>
      <w:proofErr w:type="gramStart"/>
      <w:r w:rsidRPr="008E16C1">
        <w:rPr>
          <w:rFonts w:ascii="Arial" w:hAnsi="Arial" w:cs="Arial"/>
          <w:color w:val="000000" w:themeColor="text1"/>
          <w:sz w:val="22"/>
          <w:szCs w:val="22"/>
        </w:rPr>
        <w:t>-117 interest</w:t>
      </w:r>
      <w:proofErr w:type="gramEnd"/>
      <w:r w:rsidRPr="008E16C1">
        <w:rPr>
          <w:rFonts w:ascii="Arial" w:hAnsi="Arial" w:cs="Arial"/>
          <w:color w:val="000000" w:themeColor="text1"/>
          <w:sz w:val="22"/>
          <w:szCs w:val="22"/>
        </w:rPr>
        <w:t xml:space="preserve"> coverage ratio. It has $18.6 billion in cash and short-term investments.</w:t>
      </w:r>
      <w:r w:rsidR="00CA099F">
        <w:rPr>
          <w:rFonts w:ascii="Arial" w:hAnsi="Arial" w:cs="Arial"/>
          <w:color w:val="000000" w:themeColor="text1"/>
          <w:sz w:val="22"/>
          <w:szCs w:val="22"/>
        </w:rPr>
        <w:t xml:space="preserve"> </w:t>
      </w:r>
      <w:r w:rsidRPr="008E16C1">
        <w:rPr>
          <w:rFonts w:ascii="Arial" w:hAnsi="Arial" w:cs="Arial"/>
          <w:color w:val="000000" w:themeColor="text1"/>
          <w:sz w:val="22"/>
          <w:szCs w:val="22"/>
        </w:rPr>
        <w:t>Although there are advantages to moderate leverage, like tax breaks and higher return on equity, there are disadvantages as well. A larger percentage of debt indicates that the business has more interest payments to make and might find it difficult to make repayments on loans, especially during times of low profitability or economic downturns.</w:t>
      </w:r>
      <w:r w:rsidR="00CA099F">
        <w:rPr>
          <w:rFonts w:ascii="Arial" w:hAnsi="Arial" w:cs="Arial"/>
          <w:color w:val="000000" w:themeColor="text1"/>
          <w:sz w:val="22"/>
          <w:szCs w:val="22"/>
        </w:rPr>
        <w:t xml:space="preserve"> </w:t>
      </w:r>
      <w:r w:rsidR="00CA099F">
        <w:rPr>
          <w:rFonts w:ascii="Arial" w:hAnsi="Arial" w:cs="Arial"/>
          <w:color w:val="000000" w:themeColor="text1"/>
          <w:sz w:val="22"/>
          <w:szCs w:val="22"/>
        </w:rPr>
        <w:t>(Fernando, J., 2024)</w:t>
      </w:r>
    </w:p>
    <w:p w14:paraId="7BA80FFB" w14:textId="77777777" w:rsidR="00D17422" w:rsidRDefault="00D17422" w:rsidP="00443189">
      <w:pPr>
        <w:tabs>
          <w:tab w:val="left" w:pos="2520"/>
        </w:tabs>
        <w:spacing w:line="360" w:lineRule="auto"/>
        <w:rPr>
          <w:rFonts w:ascii="Arial" w:hAnsi="Arial" w:cs="Arial"/>
          <w:color w:val="000000" w:themeColor="text1"/>
          <w:sz w:val="22"/>
          <w:szCs w:val="22"/>
        </w:rPr>
      </w:pPr>
    </w:p>
    <w:p w14:paraId="58B9EFD2" w14:textId="6C8BA01A" w:rsidR="00D17422" w:rsidRDefault="001F2C6A" w:rsidP="00443189">
      <w:pPr>
        <w:tabs>
          <w:tab w:val="left" w:pos="2520"/>
        </w:tabs>
        <w:spacing w:line="360" w:lineRule="auto"/>
        <w:rPr>
          <w:rFonts w:ascii="Arial" w:hAnsi="Arial" w:cs="Arial"/>
          <w:color w:val="000000" w:themeColor="text1"/>
          <w:sz w:val="22"/>
          <w:szCs w:val="22"/>
        </w:rPr>
      </w:pPr>
      <w:r w:rsidRPr="001F2C6A">
        <w:rPr>
          <w:rFonts w:ascii="Arial" w:hAnsi="Arial" w:cs="Arial"/>
          <w:color w:val="000000" w:themeColor="text1"/>
          <w:sz w:val="22"/>
          <w:szCs w:val="22"/>
        </w:rPr>
        <w:t xml:space="preserve">For instance, Master Card, a competitor to Visa Mastercard has a debt-to-equity ratio of 227.8%, with $15.7 billion in total debt and $7.0 billion in total shareholder equity. Its overall assets are $42.4 billion, while its total liabilities are $35.5 billion. The corporation's entire debt is significantly higher than its total equity, as seen by its debt-to-equity ratio of 227.8%. In comparison to the use of equity, this ratio indicates that the company depends largely on debt financing to fund its operations and investments. A high debt ratio indicates that a business is using debt to fund its growth. </w:t>
      </w:r>
      <w:r w:rsidR="004B3B65">
        <w:rPr>
          <w:rFonts w:ascii="Arial" w:hAnsi="Arial" w:cs="Arial"/>
          <w:color w:val="000000" w:themeColor="text1"/>
          <w:sz w:val="22"/>
          <w:szCs w:val="22"/>
        </w:rPr>
        <w:t xml:space="preserve"> (British-business-bank.co.uk 2024) </w:t>
      </w:r>
    </w:p>
    <w:p w14:paraId="48C0CBB4" w14:textId="77777777" w:rsidR="00D22573" w:rsidRDefault="00D22573" w:rsidP="00443189">
      <w:pPr>
        <w:tabs>
          <w:tab w:val="left" w:pos="2520"/>
        </w:tabs>
        <w:spacing w:line="360" w:lineRule="auto"/>
        <w:rPr>
          <w:rFonts w:ascii="Arial" w:hAnsi="Arial" w:cs="Arial"/>
          <w:color w:val="000000" w:themeColor="text1"/>
          <w:sz w:val="22"/>
          <w:szCs w:val="22"/>
        </w:rPr>
      </w:pPr>
    </w:p>
    <w:p w14:paraId="4C687F9D" w14:textId="02F42B71" w:rsidR="00D22573" w:rsidRDefault="00D22573" w:rsidP="00443189">
      <w:pPr>
        <w:tabs>
          <w:tab w:val="left" w:pos="2520"/>
        </w:tabs>
        <w:spacing w:line="360" w:lineRule="auto"/>
        <w:rPr>
          <w:rFonts w:ascii="Arial" w:hAnsi="Arial" w:cs="Arial"/>
          <w:color w:val="000000" w:themeColor="text1"/>
          <w:sz w:val="22"/>
          <w:szCs w:val="22"/>
        </w:rPr>
      </w:pPr>
      <w:r w:rsidRPr="00D22573">
        <w:rPr>
          <w:rFonts w:ascii="Arial" w:hAnsi="Arial" w:cs="Arial"/>
          <w:color w:val="000000" w:themeColor="text1"/>
          <w:sz w:val="22"/>
          <w:szCs w:val="22"/>
        </w:rPr>
        <w:t xml:space="preserve">Visa's Debt to Equity (D/E) ratio is 52% or 0.52, </w:t>
      </w:r>
      <w:r w:rsidR="00054379">
        <w:rPr>
          <w:rFonts w:ascii="Arial" w:hAnsi="Arial" w:cs="Arial"/>
          <w:color w:val="000000" w:themeColor="text1"/>
          <w:sz w:val="22"/>
          <w:szCs w:val="22"/>
        </w:rPr>
        <w:t>which</w:t>
      </w:r>
      <w:r w:rsidRPr="00D22573">
        <w:rPr>
          <w:rFonts w:ascii="Arial" w:hAnsi="Arial" w:cs="Arial"/>
          <w:color w:val="000000" w:themeColor="text1"/>
          <w:sz w:val="22"/>
          <w:szCs w:val="22"/>
        </w:rPr>
        <w:t xml:space="preserve"> indicates that Visa has a moderate level of reliance on borrowed funds compared to its equity. While the ratio is below 100%, suggesting that Visa has more equity than debt, it's essential to interpret it within the context of lender and investor preferences. Lenders and investors generally favo</w:t>
      </w:r>
      <w:r>
        <w:rPr>
          <w:rFonts w:ascii="Arial" w:hAnsi="Arial" w:cs="Arial"/>
          <w:color w:val="000000" w:themeColor="text1"/>
          <w:sz w:val="22"/>
          <w:szCs w:val="22"/>
        </w:rPr>
        <w:t>u</w:t>
      </w:r>
      <w:r w:rsidRPr="00D22573">
        <w:rPr>
          <w:rFonts w:ascii="Arial" w:hAnsi="Arial" w:cs="Arial"/>
          <w:color w:val="000000" w:themeColor="text1"/>
          <w:sz w:val="22"/>
          <w:szCs w:val="22"/>
        </w:rPr>
        <w:t>r businesses with lower D/E ratios due to the reduced risk associated with debt</w:t>
      </w:r>
      <w:r w:rsidR="001F2C6A">
        <w:rPr>
          <w:rFonts w:ascii="Arial" w:hAnsi="Arial" w:cs="Arial"/>
          <w:color w:val="000000" w:themeColor="text1"/>
          <w:sz w:val="22"/>
          <w:szCs w:val="22"/>
        </w:rPr>
        <w:t xml:space="preserve">. </w:t>
      </w:r>
      <w:r w:rsidR="001F2C6A" w:rsidRPr="001F2C6A">
        <w:rPr>
          <w:rFonts w:ascii="Arial" w:hAnsi="Arial" w:cs="Arial"/>
          <w:color w:val="000000" w:themeColor="text1"/>
          <w:sz w:val="22"/>
          <w:szCs w:val="22"/>
        </w:rPr>
        <w:t xml:space="preserve">A lower ratio indicates less chance of failure during economic downturns for shareholders and a lower risk of loan default for lenders. Therefore, given its moderate debt to equity ratio and possible indication of a balanced capital structure and manageable level of financial risk, Visa's D/E ratio of 52% may be beneficial to lenders and investors. </w:t>
      </w:r>
      <w:r w:rsidR="00CA099F">
        <w:rPr>
          <w:rFonts w:ascii="Arial" w:hAnsi="Arial" w:cs="Arial"/>
          <w:color w:val="000000" w:themeColor="text1"/>
          <w:sz w:val="22"/>
          <w:szCs w:val="22"/>
        </w:rPr>
        <w:t xml:space="preserve"> (Boyle, M.,2024) </w:t>
      </w:r>
    </w:p>
    <w:p w14:paraId="791C6242" w14:textId="77777777" w:rsidR="00D22573" w:rsidRDefault="00D22573" w:rsidP="00443189">
      <w:pPr>
        <w:tabs>
          <w:tab w:val="left" w:pos="2520"/>
        </w:tabs>
        <w:spacing w:line="360" w:lineRule="auto"/>
        <w:rPr>
          <w:rFonts w:ascii="Arial" w:hAnsi="Arial" w:cs="Arial"/>
          <w:color w:val="000000" w:themeColor="text1"/>
          <w:sz w:val="22"/>
          <w:szCs w:val="22"/>
        </w:rPr>
      </w:pPr>
    </w:p>
    <w:p w14:paraId="7FAA4D4C" w14:textId="5C8011A8" w:rsidR="006A375E" w:rsidRPr="00D22573" w:rsidRDefault="00D22573" w:rsidP="00443189">
      <w:pPr>
        <w:tabs>
          <w:tab w:val="left" w:pos="2520"/>
        </w:tabs>
        <w:spacing w:line="360" w:lineRule="auto"/>
        <w:rPr>
          <w:rFonts w:ascii="Arial" w:hAnsi="Arial" w:cs="Arial"/>
          <w:b/>
          <w:bCs/>
          <w:color w:val="000000" w:themeColor="text1"/>
          <w:sz w:val="22"/>
          <w:szCs w:val="22"/>
        </w:rPr>
      </w:pPr>
      <w:r w:rsidRPr="00D22573">
        <w:rPr>
          <w:rFonts w:ascii="Arial" w:hAnsi="Arial" w:cs="Arial"/>
          <w:b/>
          <w:bCs/>
          <w:color w:val="000000" w:themeColor="text1"/>
          <w:sz w:val="22"/>
          <w:szCs w:val="22"/>
        </w:rPr>
        <w:t>Efficiency</w:t>
      </w:r>
    </w:p>
    <w:p w14:paraId="6C08BFBE" w14:textId="67CDC80A" w:rsidR="00DD0404" w:rsidRDefault="00D22573" w:rsidP="00443189">
      <w:pPr>
        <w:tabs>
          <w:tab w:val="left" w:pos="2520"/>
        </w:tabs>
        <w:spacing w:line="360" w:lineRule="auto"/>
        <w:rPr>
          <w:rFonts w:ascii="Arial" w:hAnsi="Arial" w:cs="Arial"/>
          <w:b/>
          <w:bCs/>
          <w:color w:val="000000" w:themeColor="text1"/>
          <w:sz w:val="22"/>
          <w:szCs w:val="22"/>
        </w:rPr>
      </w:pPr>
      <w:r w:rsidRPr="00D22573">
        <w:rPr>
          <w:rFonts w:ascii="Arial" w:hAnsi="Arial" w:cs="Arial"/>
          <w:b/>
          <w:bCs/>
          <w:color w:val="000000" w:themeColor="text1"/>
          <w:sz w:val="22"/>
          <w:szCs w:val="22"/>
        </w:rPr>
        <w:t>Asset Turnover</w:t>
      </w:r>
    </w:p>
    <w:p w14:paraId="18D3ED78" w14:textId="01615DEC" w:rsidR="00275E8E" w:rsidRDefault="001F2C6A" w:rsidP="00443189">
      <w:pPr>
        <w:tabs>
          <w:tab w:val="left" w:pos="2520"/>
        </w:tabs>
        <w:spacing w:line="360" w:lineRule="auto"/>
        <w:rPr>
          <w:rFonts w:ascii="Arial" w:hAnsi="Arial" w:cs="Arial"/>
          <w:color w:val="000000" w:themeColor="text1"/>
          <w:sz w:val="22"/>
          <w:szCs w:val="22"/>
        </w:rPr>
      </w:pPr>
      <w:r w:rsidRPr="001F2C6A">
        <w:rPr>
          <w:rFonts w:ascii="Arial" w:hAnsi="Arial" w:cs="Arial"/>
          <w:color w:val="000000" w:themeColor="text1"/>
          <w:sz w:val="22"/>
          <w:szCs w:val="22"/>
        </w:rPr>
        <w:t xml:space="preserve">The asset turnover ratio indicates how well an organization's assets generate revenue or sales. This ratio, which is given as a percentage over a year, contrasts the total assets with the revenue (sales) amount. </w:t>
      </w:r>
      <w:r w:rsidR="00EC0BA9">
        <w:rPr>
          <w:rFonts w:ascii="Arial" w:hAnsi="Arial" w:cs="Arial"/>
          <w:color w:val="000000" w:themeColor="text1"/>
          <w:sz w:val="22"/>
          <w:szCs w:val="22"/>
        </w:rPr>
        <w:t xml:space="preserve"> </w:t>
      </w:r>
      <w:r w:rsidR="0065666E">
        <w:rPr>
          <w:rFonts w:ascii="Arial" w:hAnsi="Arial" w:cs="Arial"/>
          <w:color w:val="000000" w:themeColor="text1"/>
          <w:sz w:val="22"/>
          <w:szCs w:val="22"/>
        </w:rPr>
        <w:t xml:space="preserve">(Hayes, A.,2024) </w:t>
      </w:r>
    </w:p>
    <w:p w14:paraId="4D086FA1" w14:textId="77777777" w:rsidR="00275E8E" w:rsidRDefault="00275E8E" w:rsidP="00443189">
      <w:pPr>
        <w:tabs>
          <w:tab w:val="left" w:pos="2520"/>
        </w:tabs>
        <w:spacing w:line="360" w:lineRule="auto"/>
        <w:rPr>
          <w:rFonts w:ascii="Arial" w:hAnsi="Arial" w:cs="Arial"/>
          <w:color w:val="000000" w:themeColor="text1"/>
          <w:sz w:val="22"/>
          <w:szCs w:val="22"/>
        </w:rPr>
      </w:pPr>
    </w:p>
    <w:p w14:paraId="21FC221F" w14:textId="5F77DE29" w:rsidR="00EC0BA9" w:rsidRDefault="001F2C6A" w:rsidP="00443189">
      <w:pPr>
        <w:tabs>
          <w:tab w:val="left" w:pos="2520"/>
        </w:tabs>
        <w:spacing w:line="360" w:lineRule="auto"/>
        <w:rPr>
          <w:rFonts w:ascii="Arial" w:hAnsi="Arial" w:cs="Arial"/>
          <w:color w:val="000000" w:themeColor="text1"/>
          <w:sz w:val="22"/>
          <w:szCs w:val="22"/>
        </w:rPr>
      </w:pPr>
      <w:r w:rsidRPr="001F2C6A">
        <w:rPr>
          <w:rFonts w:ascii="Arial" w:hAnsi="Arial" w:cs="Arial"/>
          <w:color w:val="000000" w:themeColor="text1"/>
          <w:sz w:val="22"/>
          <w:szCs w:val="22"/>
        </w:rPr>
        <w:t xml:space="preserve">An increased asset turnover ratio suggests improved company efficiency, or more revenue generated per asset dollar. Strong revenue generation and effective asset use are reflected in high-efficiency asset turnover, which could lead to greater corporate success. However, a lower ratio may point to inefficiencies in asset management or underutilization of assets to generate more </w:t>
      </w:r>
      <w:proofErr w:type="spellStart"/>
      <w:proofErr w:type="gramStart"/>
      <w:r w:rsidRPr="001F2C6A">
        <w:rPr>
          <w:rFonts w:ascii="Arial" w:hAnsi="Arial" w:cs="Arial"/>
          <w:color w:val="000000" w:themeColor="text1"/>
          <w:sz w:val="22"/>
          <w:szCs w:val="22"/>
        </w:rPr>
        <w:t>revenue.Divide</w:t>
      </w:r>
      <w:proofErr w:type="spellEnd"/>
      <w:proofErr w:type="gramEnd"/>
      <w:r w:rsidRPr="001F2C6A">
        <w:rPr>
          <w:rFonts w:ascii="Arial" w:hAnsi="Arial" w:cs="Arial"/>
          <w:color w:val="000000" w:themeColor="text1"/>
          <w:sz w:val="22"/>
          <w:szCs w:val="22"/>
        </w:rPr>
        <w:t xml:space="preserve"> net sales or revenue by the average total assets to find asset turnover. </w:t>
      </w:r>
      <w:r w:rsidR="0065666E">
        <w:rPr>
          <w:rFonts w:ascii="Arial" w:hAnsi="Arial" w:cs="Arial"/>
          <w:color w:val="000000" w:themeColor="text1"/>
          <w:sz w:val="22"/>
          <w:szCs w:val="22"/>
        </w:rPr>
        <w:t xml:space="preserve"> </w:t>
      </w:r>
      <w:r w:rsidR="0065666E">
        <w:rPr>
          <w:rFonts w:ascii="Arial" w:hAnsi="Arial" w:cs="Arial"/>
          <w:color w:val="000000" w:themeColor="text1"/>
          <w:sz w:val="22"/>
          <w:szCs w:val="22"/>
        </w:rPr>
        <w:t>(Adam, H. 2024)</w:t>
      </w:r>
    </w:p>
    <w:p w14:paraId="41619CE0" w14:textId="77777777" w:rsidR="00EC0BA9" w:rsidRDefault="00EC0BA9" w:rsidP="00443189">
      <w:pPr>
        <w:tabs>
          <w:tab w:val="left" w:pos="2520"/>
        </w:tabs>
        <w:spacing w:line="360" w:lineRule="auto"/>
        <w:rPr>
          <w:rFonts w:ascii="Arial" w:hAnsi="Arial" w:cs="Arial"/>
          <w:color w:val="000000" w:themeColor="text1"/>
          <w:sz w:val="22"/>
          <w:szCs w:val="22"/>
        </w:rPr>
      </w:pPr>
    </w:p>
    <w:p w14:paraId="60BAAA6C" w14:textId="67096257" w:rsidR="00EC0BA9" w:rsidRDefault="00EC0BA9" w:rsidP="00443189">
      <w:pPr>
        <w:tabs>
          <w:tab w:val="left" w:pos="2520"/>
        </w:tabs>
        <w:spacing w:line="360" w:lineRule="auto"/>
        <w:rPr>
          <w:rFonts w:ascii="Arial" w:hAnsi="Arial" w:cs="Arial"/>
          <w:b/>
          <w:bCs/>
          <w:color w:val="000000" w:themeColor="text1"/>
          <w:sz w:val="22"/>
          <w:szCs w:val="22"/>
        </w:rPr>
      </w:pPr>
      <w:r w:rsidRPr="00EC0BA9">
        <w:rPr>
          <w:rFonts w:ascii="Arial" w:hAnsi="Arial" w:cs="Arial"/>
          <w:b/>
          <w:bCs/>
          <w:color w:val="000000" w:themeColor="text1"/>
          <w:sz w:val="22"/>
          <w:szCs w:val="22"/>
        </w:rPr>
        <w:t xml:space="preserve">Asset Turnover Formula </w:t>
      </w:r>
    </w:p>
    <w:p w14:paraId="0F6D42F9" w14:textId="01B6A84E" w:rsidR="008D67D7" w:rsidRDefault="008D67D7" w:rsidP="00443189">
      <w:pPr>
        <w:tabs>
          <w:tab w:val="left" w:pos="2520"/>
        </w:tabs>
        <w:spacing w:line="360" w:lineRule="auto"/>
        <w:rPr>
          <w:rFonts w:ascii="Arial" w:hAnsi="Arial" w:cs="Arial"/>
          <w:b/>
          <w:bCs/>
          <w:color w:val="000000" w:themeColor="text1"/>
          <w:sz w:val="22"/>
          <w:szCs w:val="22"/>
        </w:rPr>
      </w:pPr>
      <w:r w:rsidRPr="00275E8E">
        <w:rPr>
          <w:rFonts w:ascii="Arial" w:hAnsi="Arial" w:cs="Arial"/>
          <w:b/>
          <w:bCs/>
          <w:color w:val="000000" w:themeColor="text1"/>
          <w:sz w:val="22"/>
          <w:szCs w:val="22"/>
        </w:rPr>
        <w:t xml:space="preserve">Asset Turnover = Net Sales / Assets </w:t>
      </w:r>
    </w:p>
    <w:p w14:paraId="74465D85" w14:textId="16447C33" w:rsidR="00200241" w:rsidRPr="00275E8E" w:rsidRDefault="00200A65" w:rsidP="00200A65">
      <w:pPr>
        <w:pStyle w:val="Caption"/>
        <w:rPr>
          <w:rFonts w:ascii="Arial" w:hAnsi="Arial" w:cs="Arial"/>
          <w:b/>
          <w:bCs/>
          <w:color w:val="000000" w:themeColor="text1"/>
          <w:sz w:val="22"/>
          <w:szCs w:val="22"/>
        </w:rPr>
      </w:pPr>
      <w:bookmarkStart w:id="10" w:name="_Toc164849545"/>
      <w:r>
        <w:t xml:space="preserve">Table </w:t>
      </w:r>
      <w:r>
        <w:fldChar w:fldCharType="begin"/>
      </w:r>
      <w:r>
        <w:instrText xml:space="preserve"> SEQ Table \* ARABIC </w:instrText>
      </w:r>
      <w:r>
        <w:fldChar w:fldCharType="separate"/>
      </w:r>
      <w:r w:rsidR="00083413">
        <w:rPr>
          <w:noProof/>
        </w:rPr>
        <w:t>5</w:t>
      </w:r>
      <w:r>
        <w:fldChar w:fldCharType="end"/>
      </w:r>
      <w:r w:rsidRPr="00F85545">
        <w:t>Asset Turnover (source: author)</w:t>
      </w:r>
      <w:bookmarkEnd w:id="10"/>
    </w:p>
    <w:tbl>
      <w:tblPr>
        <w:tblW w:w="10120" w:type="dxa"/>
        <w:tblLook w:val="04A0" w:firstRow="1" w:lastRow="0" w:firstColumn="1" w:lastColumn="0" w:noHBand="0" w:noVBand="1"/>
      </w:tblPr>
      <w:tblGrid>
        <w:gridCol w:w="2760"/>
        <w:gridCol w:w="1860"/>
        <w:gridCol w:w="1780"/>
        <w:gridCol w:w="1840"/>
        <w:gridCol w:w="1880"/>
      </w:tblGrid>
      <w:tr w:rsidR="008D67D7" w14:paraId="308118BB" w14:textId="77777777" w:rsidTr="008D67D7">
        <w:trPr>
          <w:trHeight w:val="320"/>
        </w:trPr>
        <w:tc>
          <w:tcPr>
            <w:tcW w:w="2760" w:type="dxa"/>
            <w:tcBorders>
              <w:top w:val="nil"/>
              <w:left w:val="nil"/>
              <w:bottom w:val="nil"/>
              <w:right w:val="nil"/>
            </w:tcBorders>
            <w:shd w:val="clear" w:color="auto" w:fill="auto"/>
            <w:noWrap/>
            <w:vAlign w:val="bottom"/>
            <w:hideMark/>
          </w:tcPr>
          <w:p w14:paraId="6F34D706" w14:textId="77777777" w:rsidR="008D67D7" w:rsidRDefault="008D67D7">
            <w:pPr>
              <w:rPr>
                <w:rFonts w:ascii="Aptos Narrow" w:hAnsi="Aptos Narrow"/>
                <w:b/>
                <w:bCs/>
                <w:color w:val="000000"/>
              </w:rPr>
            </w:pPr>
            <w:r>
              <w:rPr>
                <w:rFonts w:ascii="Aptos Narrow" w:hAnsi="Aptos Narrow"/>
                <w:b/>
                <w:bCs/>
                <w:color w:val="000000"/>
              </w:rPr>
              <w:t xml:space="preserve">Asset Turnover - Efficiency </w:t>
            </w:r>
          </w:p>
        </w:tc>
        <w:tc>
          <w:tcPr>
            <w:tcW w:w="1860" w:type="dxa"/>
            <w:tcBorders>
              <w:top w:val="nil"/>
              <w:left w:val="nil"/>
              <w:bottom w:val="nil"/>
              <w:right w:val="nil"/>
            </w:tcBorders>
            <w:shd w:val="clear" w:color="auto" w:fill="auto"/>
            <w:noWrap/>
            <w:vAlign w:val="bottom"/>
            <w:hideMark/>
          </w:tcPr>
          <w:p w14:paraId="5929F0E6" w14:textId="77777777" w:rsidR="008D67D7" w:rsidRDefault="008D67D7">
            <w:pPr>
              <w:rPr>
                <w:rFonts w:ascii="Aptos Narrow" w:hAnsi="Aptos Narrow"/>
                <w:color w:val="000000"/>
              </w:rPr>
            </w:pPr>
            <w:r>
              <w:rPr>
                <w:rFonts w:ascii="Aptos Narrow" w:hAnsi="Aptos Narrow"/>
                <w:color w:val="000000"/>
              </w:rPr>
              <w:t xml:space="preserve">Net Sales </w:t>
            </w:r>
          </w:p>
        </w:tc>
        <w:tc>
          <w:tcPr>
            <w:tcW w:w="1780" w:type="dxa"/>
            <w:tcBorders>
              <w:top w:val="nil"/>
              <w:left w:val="nil"/>
              <w:bottom w:val="nil"/>
              <w:right w:val="nil"/>
            </w:tcBorders>
            <w:shd w:val="clear" w:color="auto" w:fill="auto"/>
            <w:noWrap/>
            <w:vAlign w:val="bottom"/>
            <w:hideMark/>
          </w:tcPr>
          <w:p w14:paraId="390B7ACD" w14:textId="101235B2" w:rsidR="008D67D7" w:rsidRDefault="00DF076F">
            <w:pPr>
              <w:rPr>
                <w:rFonts w:ascii="Aptos Narrow" w:hAnsi="Aptos Narrow"/>
                <w:color w:val="000000"/>
              </w:rPr>
            </w:pPr>
            <w:r>
              <w:rPr>
                <w:rFonts w:ascii="Aptos Narrow" w:hAnsi="Aptos Narrow"/>
                <w:color w:val="000000"/>
              </w:rPr>
              <w:t>Average</w:t>
            </w:r>
            <w:r w:rsidR="008D67D7">
              <w:rPr>
                <w:rFonts w:ascii="Aptos Narrow" w:hAnsi="Aptos Narrow"/>
                <w:color w:val="000000"/>
              </w:rPr>
              <w:t xml:space="preserve"> Total Assets </w:t>
            </w:r>
          </w:p>
        </w:tc>
        <w:tc>
          <w:tcPr>
            <w:tcW w:w="1840" w:type="dxa"/>
            <w:tcBorders>
              <w:top w:val="nil"/>
              <w:left w:val="nil"/>
              <w:bottom w:val="nil"/>
              <w:right w:val="nil"/>
            </w:tcBorders>
            <w:shd w:val="clear" w:color="auto" w:fill="auto"/>
            <w:noWrap/>
            <w:vAlign w:val="bottom"/>
            <w:hideMark/>
          </w:tcPr>
          <w:p w14:paraId="0872DCBF" w14:textId="77777777" w:rsidR="008D67D7" w:rsidRDefault="008D67D7">
            <w:pPr>
              <w:jc w:val="center"/>
              <w:rPr>
                <w:rFonts w:ascii="Aptos Narrow" w:hAnsi="Aptos Narrow"/>
                <w:color w:val="000000"/>
              </w:rPr>
            </w:pPr>
            <w:r>
              <w:rPr>
                <w:rFonts w:ascii="Aptos Narrow" w:hAnsi="Aptos Narrow"/>
                <w:color w:val="000000"/>
              </w:rPr>
              <w:t>#VALUE!</w:t>
            </w:r>
          </w:p>
        </w:tc>
        <w:tc>
          <w:tcPr>
            <w:tcW w:w="1880" w:type="dxa"/>
            <w:tcBorders>
              <w:top w:val="nil"/>
              <w:left w:val="nil"/>
              <w:bottom w:val="nil"/>
              <w:right w:val="nil"/>
            </w:tcBorders>
            <w:shd w:val="clear" w:color="auto" w:fill="auto"/>
            <w:noWrap/>
            <w:vAlign w:val="bottom"/>
            <w:hideMark/>
          </w:tcPr>
          <w:p w14:paraId="398B4FCC" w14:textId="77777777" w:rsidR="008D67D7" w:rsidRDefault="008D67D7">
            <w:pPr>
              <w:jc w:val="center"/>
              <w:rPr>
                <w:rFonts w:ascii="Aptos Narrow" w:hAnsi="Aptos Narrow"/>
                <w:b/>
                <w:bCs/>
                <w:color w:val="000000"/>
              </w:rPr>
            </w:pPr>
            <w:r>
              <w:rPr>
                <w:rFonts w:ascii="Aptos Narrow" w:hAnsi="Aptos Narrow"/>
                <w:b/>
                <w:bCs/>
                <w:color w:val="000000"/>
              </w:rPr>
              <w:t>#VALUE!</w:t>
            </w:r>
          </w:p>
        </w:tc>
      </w:tr>
      <w:tr w:rsidR="008D67D7" w:rsidRPr="008D67D7" w14:paraId="22193129" w14:textId="77777777" w:rsidTr="008D67D7">
        <w:trPr>
          <w:trHeight w:val="320"/>
        </w:trPr>
        <w:tc>
          <w:tcPr>
            <w:tcW w:w="2760" w:type="dxa"/>
            <w:tcBorders>
              <w:top w:val="nil"/>
              <w:left w:val="nil"/>
              <w:bottom w:val="nil"/>
              <w:right w:val="nil"/>
            </w:tcBorders>
            <w:shd w:val="clear" w:color="auto" w:fill="auto"/>
            <w:noWrap/>
            <w:vAlign w:val="bottom"/>
            <w:hideMark/>
          </w:tcPr>
          <w:p w14:paraId="639E8CAE" w14:textId="77777777" w:rsidR="008D67D7" w:rsidRDefault="008D67D7">
            <w:pPr>
              <w:rPr>
                <w:rFonts w:ascii="Aptos Narrow" w:hAnsi="Aptos Narrow"/>
                <w:color w:val="000000"/>
              </w:rPr>
            </w:pPr>
            <w:r>
              <w:rPr>
                <w:rFonts w:ascii="Aptos Narrow" w:hAnsi="Aptos Narrow"/>
                <w:color w:val="000000"/>
              </w:rPr>
              <w:t>Visa</w:t>
            </w:r>
          </w:p>
        </w:tc>
        <w:tc>
          <w:tcPr>
            <w:tcW w:w="1860" w:type="dxa"/>
            <w:tcBorders>
              <w:top w:val="nil"/>
              <w:left w:val="nil"/>
              <w:bottom w:val="nil"/>
              <w:right w:val="nil"/>
            </w:tcBorders>
            <w:shd w:val="clear" w:color="auto" w:fill="auto"/>
            <w:noWrap/>
            <w:vAlign w:val="bottom"/>
            <w:hideMark/>
          </w:tcPr>
          <w:p w14:paraId="5487EBBE" w14:textId="77777777" w:rsidR="008D67D7" w:rsidRPr="008D67D7" w:rsidRDefault="008D67D7" w:rsidP="008D67D7">
            <w:pPr>
              <w:rPr>
                <w:rFonts w:ascii="Aptos Narrow" w:hAnsi="Aptos Narrow"/>
                <w:color w:val="215E99" w:themeColor="text2" w:themeTint="BF"/>
              </w:rPr>
            </w:pPr>
            <w:r w:rsidRPr="008D67D7">
              <w:rPr>
                <w:rFonts w:ascii="Aptos Narrow" w:hAnsi="Aptos Narrow"/>
                <w:color w:val="215E99" w:themeColor="text2" w:themeTint="BF"/>
              </w:rPr>
              <w:t>32,653</w:t>
            </w:r>
          </w:p>
        </w:tc>
        <w:tc>
          <w:tcPr>
            <w:tcW w:w="1780" w:type="dxa"/>
            <w:tcBorders>
              <w:top w:val="nil"/>
              <w:left w:val="nil"/>
              <w:bottom w:val="nil"/>
              <w:right w:val="nil"/>
            </w:tcBorders>
            <w:shd w:val="clear" w:color="auto" w:fill="auto"/>
            <w:noWrap/>
            <w:vAlign w:val="bottom"/>
            <w:hideMark/>
          </w:tcPr>
          <w:p w14:paraId="7D6BAD83" w14:textId="77777777" w:rsidR="008D67D7" w:rsidRPr="008D67D7" w:rsidRDefault="008D67D7" w:rsidP="008D67D7">
            <w:pPr>
              <w:rPr>
                <w:rFonts w:ascii="Aptos Narrow" w:hAnsi="Aptos Narrow"/>
                <w:color w:val="215E99" w:themeColor="text2" w:themeTint="BF"/>
              </w:rPr>
            </w:pPr>
            <w:r w:rsidRPr="008D67D7">
              <w:rPr>
                <w:rFonts w:ascii="Aptos Narrow" w:hAnsi="Aptos Narrow"/>
                <w:color w:val="215E99" w:themeColor="text2" w:themeTint="BF"/>
              </w:rPr>
              <w:t>33,532</w:t>
            </w:r>
          </w:p>
        </w:tc>
        <w:tc>
          <w:tcPr>
            <w:tcW w:w="1840" w:type="dxa"/>
            <w:tcBorders>
              <w:top w:val="nil"/>
              <w:left w:val="nil"/>
              <w:bottom w:val="nil"/>
              <w:right w:val="nil"/>
            </w:tcBorders>
            <w:shd w:val="clear" w:color="auto" w:fill="auto"/>
            <w:noWrap/>
            <w:vAlign w:val="bottom"/>
            <w:hideMark/>
          </w:tcPr>
          <w:p w14:paraId="26EC8476" w14:textId="77777777" w:rsidR="008D67D7" w:rsidRPr="008D67D7" w:rsidRDefault="008D67D7">
            <w:pPr>
              <w:jc w:val="right"/>
              <w:rPr>
                <w:rFonts w:ascii="Aptos Narrow" w:hAnsi="Aptos Narrow"/>
                <w:color w:val="215E99" w:themeColor="text2" w:themeTint="BF"/>
              </w:rPr>
            </w:pPr>
            <w:r w:rsidRPr="008D67D7">
              <w:rPr>
                <w:rFonts w:ascii="Aptos Narrow" w:hAnsi="Aptos Narrow"/>
                <w:color w:val="215E99" w:themeColor="text2" w:themeTint="BF"/>
              </w:rPr>
              <w:t>0.973786234</w:t>
            </w:r>
          </w:p>
        </w:tc>
        <w:tc>
          <w:tcPr>
            <w:tcW w:w="1880" w:type="dxa"/>
            <w:tcBorders>
              <w:top w:val="nil"/>
              <w:left w:val="nil"/>
              <w:bottom w:val="nil"/>
              <w:right w:val="nil"/>
            </w:tcBorders>
            <w:shd w:val="clear" w:color="auto" w:fill="auto"/>
            <w:noWrap/>
            <w:vAlign w:val="bottom"/>
            <w:hideMark/>
          </w:tcPr>
          <w:p w14:paraId="5AA25EBC" w14:textId="77777777" w:rsidR="008D67D7" w:rsidRPr="008D67D7" w:rsidRDefault="008D67D7">
            <w:pPr>
              <w:jc w:val="right"/>
              <w:rPr>
                <w:rFonts w:ascii="Aptos Narrow" w:hAnsi="Aptos Narrow"/>
                <w:b/>
                <w:bCs/>
                <w:color w:val="215E99" w:themeColor="text2" w:themeTint="BF"/>
              </w:rPr>
            </w:pPr>
            <w:r w:rsidRPr="008D67D7">
              <w:rPr>
                <w:rFonts w:ascii="Aptos Narrow" w:hAnsi="Aptos Narrow"/>
                <w:b/>
                <w:bCs/>
                <w:color w:val="215E99" w:themeColor="text2" w:themeTint="BF"/>
              </w:rPr>
              <w:t>97.3786234</w:t>
            </w:r>
          </w:p>
        </w:tc>
      </w:tr>
      <w:tr w:rsidR="008D67D7" w:rsidRPr="008D67D7" w14:paraId="7CC21202" w14:textId="77777777" w:rsidTr="008D67D7">
        <w:trPr>
          <w:trHeight w:val="320"/>
        </w:trPr>
        <w:tc>
          <w:tcPr>
            <w:tcW w:w="2760" w:type="dxa"/>
            <w:tcBorders>
              <w:top w:val="nil"/>
              <w:left w:val="nil"/>
              <w:bottom w:val="nil"/>
              <w:right w:val="nil"/>
            </w:tcBorders>
            <w:shd w:val="clear" w:color="auto" w:fill="auto"/>
            <w:noWrap/>
            <w:vAlign w:val="bottom"/>
            <w:hideMark/>
          </w:tcPr>
          <w:p w14:paraId="3B7FA3B9" w14:textId="77777777" w:rsidR="008D67D7" w:rsidRDefault="008D67D7">
            <w:pPr>
              <w:rPr>
                <w:rFonts w:ascii="Aptos Narrow" w:hAnsi="Aptos Narrow"/>
                <w:color w:val="000000"/>
              </w:rPr>
            </w:pPr>
            <w:r>
              <w:rPr>
                <w:rFonts w:ascii="Aptos Narrow" w:hAnsi="Aptos Narrow"/>
                <w:color w:val="000000"/>
              </w:rPr>
              <w:t xml:space="preserve">Master Card </w:t>
            </w:r>
          </w:p>
        </w:tc>
        <w:tc>
          <w:tcPr>
            <w:tcW w:w="1860" w:type="dxa"/>
            <w:tcBorders>
              <w:top w:val="nil"/>
              <w:left w:val="nil"/>
              <w:bottom w:val="nil"/>
              <w:right w:val="nil"/>
            </w:tcBorders>
            <w:shd w:val="clear" w:color="auto" w:fill="auto"/>
            <w:noWrap/>
            <w:vAlign w:val="bottom"/>
            <w:hideMark/>
          </w:tcPr>
          <w:p w14:paraId="2AB8C208" w14:textId="77777777" w:rsidR="008D67D7" w:rsidRPr="008D67D7" w:rsidRDefault="008D67D7" w:rsidP="008D67D7">
            <w:pPr>
              <w:rPr>
                <w:rFonts w:ascii="Aptos Narrow" w:hAnsi="Aptos Narrow"/>
                <w:color w:val="215E99" w:themeColor="text2" w:themeTint="BF"/>
              </w:rPr>
            </w:pPr>
            <w:r w:rsidRPr="008D67D7">
              <w:rPr>
                <w:rFonts w:ascii="Aptos Narrow" w:hAnsi="Aptos Narrow"/>
                <w:color w:val="215E99" w:themeColor="text2" w:themeTint="BF"/>
              </w:rPr>
              <w:t>25,098</w:t>
            </w:r>
          </w:p>
        </w:tc>
        <w:tc>
          <w:tcPr>
            <w:tcW w:w="1780" w:type="dxa"/>
            <w:tcBorders>
              <w:top w:val="nil"/>
              <w:left w:val="nil"/>
              <w:bottom w:val="nil"/>
              <w:right w:val="nil"/>
            </w:tcBorders>
            <w:shd w:val="clear" w:color="auto" w:fill="auto"/>
            <w:noWrap/>
            <w:vAlign w:val="bottom"/>
            <w:hideMark/>
          </w:tcPr>
          <w:p w14:paraId="0CF86DDF" w14:textId="77777777" w:rsidR="008D67D7" w:rsidRPr="008D67D7" w:rsidRDefault="008D67D7" w:rsidP="008D67D7">
            <w:pPr>
              <w:rPr>
                <w:rFonts w:ascii="Aptos Narrow" w:hAnsi="Aptos Narrow"/>
                <w:color w:val="215E99" w:themeColor="text2" w:themeTint="BF"/>
              </w:rPr>
            </w:pPr>
            <w:r w:rsidRPr="008D67D7">
              <w:rPr>
                <w:rFonts w:ascii="Aptos Narrow" w:hAnsi="Aptos Narrow"/>
                <w:color w:val="215E99" w:themeColor="text2" w:themeTint="BF"/>
              </w:rPr>
              <w:t>18,961</w:t>
            </w:r>
          </w:p>
        </w:tc>
        <w:tc>
          <w:tcPr>
            <w:tcW w:w="1840" w:type="dxa"/>
            <w:tcBorders>
              <w:top w:val="nil"/>
              <w:left w:val="nil"/>
              <w:bottom w:val="nil"/>
              <w:right w:val="nil"/>
            </w:tcBorders>
            <w:shd w:val="clear" w:color="auto" w:fill="auto"/>
            <w:noWrap/>
            <w:vAlign w:val="bottom"/>
            <w:hideMark/>
          </w:tcPr>
          <w:p w14:paraId="319BC9FF" w14:textId="77777777" w:rsidR="008D67D7" w:rsidRPr="008D67D7" w:rsidRDefault="008D67D7">
            <w:pPr>
              <w:jc w:val="right"/>
              <w:rPr>
                <w:rFonts w:ascii="Aptos Narrow" w:hAnsi="Aptos Narrow"/>
                <w:color w:val="215E99" w:themeColor="text2" w:themeTint="BF"/>
              </w:rPr>
            </w:pPr>
            <w:r w:rsidRPr="008D67D7">
              <w:rPr>
                <w:rFonts w:ascii="Aptos Narrow" w:hAnsi="Aptos Narrow"/>
                <w:color w:val="215E99" w:themeColor="text2" w:themeTint="BF"/>
              </w:rPr>
              <w:t>1.323664364</w:t>
            </w:r>
          </w:p>
        </w:tc>
        <w:tc>
          <w:tcPr>
            <w:tcW w:w="1880" w:type="dxa"/>
            <w:tcBorders>
              <w:top w:val="nil"/>
              <w:left w:val="nil"/>
              <w:bottom w:val="nil"/>
              <w:right w:val="nil"/>
            </w:tcBorders>
            <w:shd w:val="clear" w:color="auto" w:fill="auto"/>
            <w:noWrap/>
            <w:vAlign w:val="bottom"/>
            <w:hideMark/>
          </w:tcPr>
          <w:p w14:paraId="40A10824" w14:textId="77777777" w:rsidR="008D67D7" w:rsidRPr="008D67D7" w:rsidRDefault="008D67D7">
            <w:pPr>
              <w:jc w:val="right"/>
              <w:rPr>
                <w:rFonts w:ascii="Aptos Narrow" w:hAnsi="Aptos Narrow"/>
                <w:b/>
                <w:bCs/>
                <w:color w:val="215E99" w:themeColor="text2" w:themeTint="BF"/>
              </w:rPr>
            </w:pPr>
            <w:r w:rsidRPr="008D67D7">
              <w:rPr>
                <w:rFonts w:ascii="Aptos Narrow" w:hAnsi="Aptos Narrow"/>
                <w:b/>
                <w:bCs/>
                <w:color w:val="215E99" w:themeColor="text2" w:themeTint="BF"/>
              </w:rPr>
              <w:t>132.3664364</w:t>
            </w:r>
          </w:p>
        </w:tc>
      </w:tr>
      <w:tr w:rsidR="008D67D7" w:rsidRPr="008D67D7" w14:paraId="79851156" w14:textId="77777777" w:rsidTr="008D67D7">
        <w:trPr>
          <w:trHeight w:val="320"/>
        </w:trPr>
        <w:tc>
          <w:tcPr>
            <w:tcW w:w="2760" w:type="dxa"/>
            <w:tcBorders>
              <w:top w:val="nil"/>
              <w:left w:val="nil"/>
              <w:bottom w:val="nil"/>
              <w:right w:val="nil"/>
            </w:tcBorders>
            <w:shd w:val="clear" w:color="auto" w:fill="auto"/>
            <w:noWrap/>
            <w:vAlign w:val="bottom"/>
            <w:hideMark/>
          </w:tcPr>
          <w:p w14:paraId="3C39DB20" w14:textId="77777777" w:rsidR="008D67D7" w:rsidRDefault="008D67D7">
            <w:pPr>
              <w:rPr>
                <w:rFonts w:ascii="Aptos Narrow" w:hAnsi="Aptos Narrow"/>
                <w:color w:val="000000"/>
              </w:rPr>
            </w:pPr>
            <w:r>
              <w:rPr>
                <w:rFonts w:ascii="Aptos Narrow" w:hAnsi="Aptos Narrow"/>
                <w:color w:val="000000"/>
              </w:rPr>
              <w:t xml:space="preserve">American Express </w:t>
            </w:r>
          </w:p>
        </w:tc>
        <w:tc>
          <w:tcPr>
            <w:tcW w:w="1860" w:type="dxa"/>
            <w:tcBorders>
              <w:top w:val="nil"/>
              <w:left w:val="nil"/>
              <w:bottom w:val="nil"/>
              <w:right w:val="nil"/>
            </w:tcBorders>
            <w:shd w:val="clear" w:color="auto" w:fill="auto"/>
            <w:noWrap/>
            <w:vAlign w:val="bottom"/>
            <w:hideMark/>
          </w:tcPr>
          <w:p w14:paraId="129832F8" w14:textId="77777777" w:rsidR="008D67D7" w:rsidRPr="008D67D7" w:rsidRDefault="008D67D7" w:rsidP="008D67D7">
            <w:pPr>
              <w:rPr>
                <w:rFonts w:ascii="Aptos Narrow" w:hAnsi="Aptos Narrow"/>
                <w:color w:val="215E99" w:themeColor="text2" w:themeTint="BF"/>
              </w:rPr>
            </w:pPr>
            <w:r w:rsidRPr="008D67D7">
              <w:rPr>
                <w:rFonts w:ascii="Aptos Narrow" w:hAnsi="Aptos Narrow"/>
                <w:color w:val="215E99" w:themeColor="text2" w:themeTint="BF"/>
              </w:rPr>
              <w:t>60,500</w:t>
            </w:r>
          </w:p>
        </w:tc>
        <w:tc>
          <w:tcPr>
            <w:tcW w:w="1780" w:type="dxa"/>
            <w:tcBorders>
              <w:top w:val="nil"/>
              <w:left w:val="nil"/>
              <w:bottom w:val="nil"/>
              <w:right w:val="nil"/>
            </w:tcBorders>
            <w:shd w:val="clear" w:color="auto" w:fill="auto"/>
            <w:noWrap/>
            <w:vAlign w:val="bottom"/>
            <w:hideMark/>
          </w:tcPr>
          <w:p w14:paraId="73E80D7C" w14:textId="77777777" w:rsidR="008D67D7" w:rsidRPr="008D67D7" w:rsidRDefault="008D67D7" w:rsidP="008D67D7">
            <w:pPr>
              <w:rPr>
                <w:rFonts w:ascii="Aptos Narrow" w:hAnsi="Aptos Narrow"/>
                <w:color w:val="215E99" w:themeColor="text2" w:themeTint="BF"/>
              </w:rPr>
            </w:pPr>
            <w:r w:rsidRPr="008D67D7">
              <w:rPr>
                <w:rFonts w:ascii="Aptos Narrow" w:hAnsi="Aptos Narrow"/>
                <w:color w:val="215E99" w:themeColor="text2" w:themeTint="BF"/>
              </w:rPr>
              <w:t>234,678</w:t>
            </w:r>
          </w:p>
        </w:tc>
        <w:tc>
          <w:tcPr>
            <w:tcW w:w="1840" w:type="dxa"/>
            <w:tcBorders>
              <w:top w:val="nil"/>
              <w:left w:val="nil"/>
              <w:bottom w:val="nil"/>
              <w:right w:val="nil"/>
            </w:tcBorders>
            <w:shd w:val="clear" w:color="auto" w:fill="auto"/>
            <w:noWrap/>
            <w:vAlign w:val="bottom"/>
            <w:hideMark/>
          </w:tcPr>
          <w:p w14:paraId="285A537F" w14:textId="77777777" w:rsidR="008D67D7" w:rsidRPr="008D67D7" w:rsidRDefault="008D67D7">
            <w:pPr>
              <w:jc w:val="right"/>
              <w:rPr>
                <w:rFonts w:ascii="Aptos Narrow" w:hAnsi="Aptos Narrow"/>
                <w:color w:val="215E99" w:themeColor="text2" w:themeTint="BF"/>
              </w:rPr>
            </w:pPr>
            <w:r w:rsidRPr="008D67D7">
              <w:rPr>
                <w:rFonts w:ascii="Aptos Narrow" w:hAnsi="Aptos Narrow"/>
                <w:color w:val="215E99" w:themeColor="text2" w:themeTint="BF"/>
              </w:rPr>
              <w:t>0.257800049</w:t>
            </w:r>
          </w:p>
        </w:tc>
        <w:tc>
          <w:tcPr>
            <w:tcW w:w="1880" w:type="dxa"/>
            <w:tcBorders>
              <w:top w:val="nil"/>
              <w:left w:val="nil"/>
              <w:bottom w:val="nil"/>
              <w:right w:val="nil"/>
            </w:tcBorders>
            <w:shd w:val="clear" w:color="auto" w:fill="auto"/>
            <w:noWrap/>
            <w:vAlign w:val="bottom"/>
            <w:hideMark/>
          </w:tcPr>
          <w:p w14:paraId="2C41F5F2" w14:textId="77777777" w:rsidR="008D67D7" w:rsidRPr="008D67D7" w:rsidRDefault="008D67D7">
            <w:pPr>
              <w:jc w:val="right"/>
              <w:rPr>
                <w:rFonts w:ascii="Aptos Narrow" w:hAnsi="Aptos Narrow"/>
                <w:b/>
                <w:bCs/>
                <w:color w:val="215E99" w:themeColor="text2" w:themeTint="BF"/>
              </w:rPr>
            </w:pPr>
            <w:r w:rsidRPr="008D67D7">
              <w:rPr>
                <w:rFonts w:ascii="Aptos Narrow" w:hAnsi="Aptos Narrow"/>
                <w:b/>
                <w:bCs/>
                <w:color w:val="215E99" w:themeColor="text2" w:themeTint="BF"/>
              </w:rPr>
              <w:t>25.78000494</w:t>
            </w:r>
          </w:p>
        </w:tc>
      </w:tr>
    </w:tbl>
    <w:p w14:paraId="257E8EDE" w14:textId="77777777" w:rsidR="00EC0BA9" w:rsidRPr="00EC0BA9" w:rsidRDefault="00EC0BA9" w:rsidP="00443189">
      <w:pPr>
        <w:tabs>
          <w:tab w:val="left" w:pos="2520"/>
        </w:tabs>
        <w:spacing w:line="360" w:lineRule="auto"/>
        <w:rPr>
          <w:rFonts w:ascii="Arial" w:hAnsi="Arial" w:cs="Arial"/>
          <w:b/>
          <w:bCs/>
          <w:color w:val="000000" w:themeColor="text1"/>
          <w:sz w:val="22"/>
          <w:szCs w:val="22"/>
        </w:rPr>
      </w:pPr>
    </w:p>
    <w:p w14:paraId="49144E45" w14:textId="77777777" w:rsidR="00DD0404" w:rsidRDefault="00DD0404" w:rsidP="00443189">
      <w:pPr>
        <w:tabs>
          <w:tab w:val="left" w:pos="2520"/>
        </w:tabs>
        <w:spacing w:line="360" w:lineRule="auto"/>
        <w:rPr>
          <w:rFonts w:ascii="Arial" w:hAnsi="Arial" w:cs="Arial"/>
          <w:color w:val="000000" w:themeColor="text1"/>
          <w:sz w:val="22"/>
          <w:szCs w:val="22"/>
        </w:rPr>
      </w:pPr>
    </w:p>
    <w:p w14:paraId="404CF048" w14:textId="445A5A36" w:rsidR="00734CA7" w:rsidRDefault="00734CA7" w:rsidP="00443189">
      <w:pPr>
        <w:tabs>
          <w:tab w:val="left" w:pos="2520"/>
        </w:tabs>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 </w:t>
      </w:r>
      <w:r w:rsidR="006735DF" w:rsidRPr="006735DF">
        <w:rPr>
          <w:rFonts w:ascii="Arial" w:hAnsi="Arial" w:cs="Arial"/>
          <w:color w:val="000000" w:themeColor="text1"/>
          <w:sz w:val="22"/>
          <w:szCs w:val="22"/>
        </w:rPr>
        <w:t xml:space="preserve">Visa's asset turnover ratio of approximately 0.97 indicates that for every dollar of average total assets, Visa generates roughly $0.97 in net sales. While Visa's ratio is below 1, suggesting some inefficiency in asset utilization, it's important to consider the nature of </w:t>
      </w:r>
      <w:r w:rsidR="006735DF" w:rsidRPr="006735DF">
        <w:rPr>
          <w:rFonts w:ascii="Arial" w:hAnsi="Arial" w:cs="Arial"/>
          <w:color w:val="000000" w:themeColor="text1"/>
          <w:sz w:val="22"/>
          <w:szCs w:val="22"/>
        </w:rPr>
        <w:lastRenderedPageBreak/>
        <w:t>Visa's business, which involves significant investments in technology infrastructure and network expansion. Therefore, a slightly lower asset turnover ratio may be expected in comparison to companies with less asset-intensive operations.</w:t>
      </w:r>
    </w:p>
    <w:p w14:paraId="11616282" w14:textId="77777777" w:rsidR="006735DF" w:rsidRDefault="006735DF" w:rsidP="00443189">
      <w:pPr>
        <w:tabs>
          <w:tab w:val="left" w:pos="2520"/>
        </w:tabs>
        <w:spacing w:line="360" w:lineRule="auto"/>
        <w:rPr>
          <w:rFonts w:ascii="Arial" w:hAnsi="Arial" w:cs="Arial"/>
          <w:color w:val="000000" w:themeColor="text1"/>
          <w:sz w:val="22"/>
          <w:szCs w:val="22"/>
        </w:rPr>
      </w:pPr>
    </w:p>
    <w:p w14:paraId="67AFD9B6" w14:textId="2ED3A158" w:rsidR="006735DF" w:rsidRDefault="006735DF" w:rsidP="00443189">
      <w:pPr>
        <w:tabs>
          <w:tab w:val="left" w:pos="2520"/>
        </w:tabs>
        <w:spacing w:line="360" w:lineRule="auto"/>
        <w:rPr>
          <w:rFonts w:ascii="Arial" w:hAnsi="Arial" w:cs="Arial"/>
          <w:color w:val="000000" w:themeColor="text1"/>
          <w:sz w:val="22"/>
          <w:szCs w:val="22"/>
        </w:rPr>
      </w:pPr>
      <w:r w:rsidRPr="006735DF">
        <w:rPr>
          <w:rFonts w:ascii="Arial" w:hAnsi="Arial" w:cs="Arial"/>
          <w:color w:val="000000" w:themeColor="text1"/>
          <w:sz w:val="22"/>
          <w:szCs w:val="22"/>
        </w:rPr>
        <w:t xml:space="preserve">When compared to Visa, Mastercard has a higher asset turnover ratio of roughly 1.32, which suggests more effective asset utilisation. Approximately $1.32 in net sales are produced by Mastercard for every dollar in average total assets. This shows that Mastercard makes good use of its asset base to make money, maybe as a result of its focus on transaction processing services, which need </w:t>
      </w:r>
      <w:proofErr w:type="gramStart"/>
      <w:r w:rsidRPr="006735DF">
        <w:rPr>
          <w:rFonts w:ascii="Arial" w:hAnsi="Arial" w:cs="Arial"/>
          <w:color w:val="000000" w:themeColor="text1"/>
          <w:sz w:val="22"/>
          <w:szCs w:val="22"/>
        </w:rPr>
        <w:t>less</w:t>
      </w:r>
      <w:proofErr w:type="gramEnd"/>
      <w:r w:rsidRPr="006735DF">
        <w:rPr>
          <w:rFonts w:ascii="Arial" w:hAnsi="Arial" w:cs="Arial"/>
          <w:color w:val="000000" w:themeColor="text1"/>
          <w:sz w:val="22"/>
          <w:szCs w:val="22"/>
        </w:rPr>
        <w:t xml:space="preserve"> tangible assets.</w:t>
      </w:r>
      <w:r w:rsidR="0065666E">
        <w:rPr>
          <w:rFonts w:ascii="Arial" w:hAnsi="Arial" w:cs="Arial"/>
          <w:color w:val="000000" w:themeColor="text1"/>
          <w:sz w:val="22"/>
          <w:szCs w:val="22"/>
        </w:rPr>
        <w:t xml:space="preserve"> (Adam, H.,2024) </w:t>
      </w:r>
    </w:p>
    <w:p w14:paraId="5920CE00" w14:textId="77777777" w:rsidR="006735DF" w:rsidRDefault="006735DF" w:rsidP="00443189">
      <w:pPr>
        <w:tabs>
          <w:tab w:val="left" w:pos="2520"/>
        </w:tabs>
        <w:spacing w:line="360" w:lineRule="auto"/>
        <w:rPr>
          <w:rFonts w:ascii="Arial" w:hAnsi="Arial" w:cs="Arial"/>
          <w:color w:val="000000" w:themeColor="text1"/>
          <w:sz w:val="22"/>
          <w:szCs w:val="22"/>
        </w:rPr>
      </w:pPr>
    </w:p>
    <w:p w14:paraId="3E949DDE" w14:textId="27807776" w:rsidR="006735DF" w:rsidRDefault="006735DF" w:rsidP="00443189">
      <w:pPr>
        <w:tabs>
          <w:tab w:val="left" w:pos="2520"/>
        </w:tabs>
        <w:spacing w:line="360" w:lineRule="auto"/>
        <w:rPr>
          <w:rFonts w:ascii="Arial" w:hAnsi="Arial" w:cs="Arial"/>
          <w:color w:val="000000" w:themeColor="text1"/>
          <w:sz w:val="22"/>
          <w:szCs w:val="22"/>
        </w:rPr>
      </w:pPr>
      <w:r w:rsidRPr="006735DF">
        <w:rPr>
          <w:rFonts w:ascii="Arial" w:hAnsi="Arial" w:cs="Arial"/>
          <w:color w:val="000000" w:themeColor="text1"/>
          <w:sz w:val="22"/>
          <w:szCs w:val="22"/>
        </w:rPr>
        <w:t>However, American Express is behind Visa and Master card with an asset turnover ratio of about 0.26, indicating comparatively low asset utilisation efficiency. Only approximately $0.26 in net sales are produced by American Express for every dollar of average total assets.</w:t>
      </w:r>
      <w:r w:rsidRPr="006735DF">
        <w:t xml:space="preserve"> </w:t>
      </w:r>
      <w:r w:rsidRPr="006735DF">
        <w:rPr>
          <w:rFonts w:ascii="Arial" w:hAnsi="Arial" w:cs="Arial"/>
          <w:color w:val="000000" w:themeColor="text1"/>
          <w:sz w:val="22"/>
          <w:szCs w:val="22"/>
        </w:rPr>
        <w:t>This lower ratio may be attributed to factors</w:t>
      </w:r>
      <w:r>
        <w:rPr>
          <w:rFonts w:ascii="Arial" w:hAnsi="Arial" w:cs="Arial"/>
          <w:color w:val="000000" w:themeColor="text1"/>
          <w:sz w:val="22"/>
          <w:szCs w:val="22"/>
        </w:rPr>
        <w:t xml:space="preserve">. </w:t>
      </w:r>
    </w:p>
    <w:p w14:paraId="215E917B" w14:textId="77777777" w:rsidR="006735DF" w:rsidRDefault="006735DF" w:rsidP="00443189">
      <w:pPr>
        <w:tabs>
          <w:tab w:val="left" w:pos="2520"/>
        </w:tabs>
        <w:spacing w:line="360" w:lineRule="auto"/>
        <w:rPr>
          <w:rFonts w:ascii="Arial" w:hAnsi="Arial" w:cs="Arial"/>
          <w:color w:val="000000" w:themeColor="text1"/>
          <w:sz w:val="22"/>
          <w:szCs w:val="22"/>
        </w:rPr>
      </w:pPr>
    </w:p>
    <w:p w14:paraId="4AA687F1" w14:textId="41AB458C" w:rsidR="006735DF" w:rsidRDefault="001F2C6A" w:rsidP="00443189">
      <w:pPr>
        <w:tabs>
          <w:tab w:val="left" w:pos="2520"/>
        </w:tabs>
        <w:spacing w:line="360" w:lineRule="auto"/>
        <w:rPr>
          <w:rFonts w:ascii="Arial" w:hAnsi="Arial" w:cs="Arial"/>
          <w:color w:val="000000" w:themeColor="text1"/>
          <w:sz w:val="22"/>
          <w:szCs w:val="22"/>
        </w:rPr>
      </w:pPr>
      <w:r w:rsidRPr="001F2C6A">
        <w:rPr>
          <w:rFonts w:ascii="Arial" w:hAnsi="Arial" w:cs="Arial"/>
          <w:color w:val="000000" w:themeColor="text1"/>
          <w:sz w:val="22"/>
          <w:szCs w:val="22"/>
        </w:rPr>
        <w:t>Numerous factors, including the organization's size, industry, and asset management procedures, might have an impact on asset turnover. For example, manufacturing may have a lower Asset Turnover ratio than service-based enterprises since it needs more capital.</w:t>
      </w:r>
      <w:r>
        <w:rPr>
          <w:rFonts w:ascii="Arial" w:hAnsi="Arial" w:cs="Arial"/>
          <w:color w:val="000000" w:themeColor="text1"/>
          <w:sz w:val="22"/>
          <w:szCs w:val="22"/>
        </w:rPr>
        <w:t xml:space="preserve"> Or </w:t>
      </w:r>
      <w:proofErr w:type="gramStart"/>
      <w:r>
        <w:rPr>
          <w:rFonts w:ascii="Arial" w:hAnsi="Arial" w:cs="Arial"/>
          <w:color w:val="000000" w:themeColor="text1"/>
          <w:sz w:val="22"/>
          <w:szCs w:val="22"/>
        </w:rPr>
        <w:t xml:space="preserve">that </w:t>
      </w:r>
      <w:r w:rsidRPr="001F2C6A">
        <w:rPr>
          <w:rFonts w:ascii="Arial" w:hAnsi="Arial" w:cs="Arial"/>
          <w:color w:val="000000" w:themeColor="text1"/>
          <w:sz w:val="22"/>
          <w:szCs w:val="22"/>
        </w:rPr>
        <w:t xml:space="preserve"> a</w:t>
      </w:r>
      <w:proofErr w:type="gramEnd"/>
      <w:r w:rsidRPr="001F2C6A">
        <w:rPr>
          <w:rFonts w:ascii="Arial" w:hAnsi="Arial" w:cs="Arial"/>
          <w:color w:val="000000" w:themeColor="text1"/>
          <w:sz w:val="22"/>
          <w:szCs w:val="22"/>
        </w:rPr>
        <w:t xml:space="preserve"> larger business may have more assets to generate revenue from than a smaller one, which results in a lower asset turnover ratio.</w:t>
      </w:r>
      <w:r w:rsidR="006735DF" w:rsidRPr="006735DF">
        <w:rPr>
          <w:rFonts w:ascii="Arial" w:hAnsi="Arial" w:cs="Arial"/>
          <w:color w:val="000000" w:themeColor="text1"/>
          <w:sz w:val="22"/>
          <w:szCs w:val="22"/>
        </w:rPr>
        <w:t>.</w:t>
      </w:r>
      <w:r w:rsidR="006735DF">
        <w:rPr>
          <w:rFonts w:ascii="Arial" w:hAnsi="Arial" w:cs="Arial"/>
          <w:color w:val="000000" w:themeColor="text1"/>
          <w:sz w:val="22"/>
          <w:szCs w:val="22"/>
        </w:rPr>
        <w:t xml:space="preserve"> (Fastercapital.com 2024) </w:t>
      </w:r>
    </w:p>
    <w:p w14:paraId="2C0F7A29" w14:textId="77777777" w:rsidR="007909A0" w:rsidRDefault="007909A0" w:rsidP="00443189">
      <w:pPr>
        <w:tabs>
          <w:tab w:val="left" w:pos="2520"/>
        </w:tabs>
        <w:spacing w:line="360" w:lineRule="auto"/>
        <w:rPr>
          <w:rFonts w:ascii="Arial" w:hAnsi="Arial" w:cs="Arial"/>
          <w:color w:val="000000" w:themeColor="text1"/>
          <w:sz w:val="22"/>
          <w:szCs w:val="22"/>
        </w:rPr>
      </w:pPr>
    </w:p>
    <w:p w14:paraId="49A0C026" w14:textId="209F0A88" w:rsidR="007909A0" w:rsidRDefault="007909A0" w:rsidP="007909A0">
      <w:pPr>
        <w:tabs>
          <w:tab w:val="left" w:pos="2520"/>
        </w:tabs>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So </w:t>
      </w:r>
      <w:proofErr w:type="gramStart"/>
      <w:r w:rsidRPr="007909A0">
        <w:rPr>
          <w:rFonts w:ascii="Arial" w:hAnsi="Arial" w:cs="Arial"/>
          <w:color w:val="000000" w:themeColor="text1"/>
          <w:sz w:val="22"/>
          <w:szCs w:val="22"/>
        </w:rPr>
        <w:t>Even</w:t>
      </w:r>
      <w:proofErr w:type="gramEnd"/>
      <w:r w:rsidRPr="007909A0">
        <w:rPr>
          <w:rFonts w:ascii="Arial" w:hAnsi="Arial" w:cs="Arial"/>
          <w:color w:val="000000" w:themeColor="text1"/>
          <w:sz w:val="22"/>
          <w:szCs w:val="22"/>
        </w:rPr>
        <w:t xml:space="preserve"> if the </w:t>
      </w:r>
      <w:r>
        <w:rPr>
          <w:rFonts w:ascii="Arial" w:hAnsi="Arial" w:cs="Arial"/>
          <w:color w:val="000000" w:themeColor="text1"/>
          <w:sz w:val="22"/>
          <w:szCs w:val="22"/>
        </w:rPr>
        <w:t>Visa rati</w:t>
      </w:r>
      <w:r w:rsidRPr="007909A0">
        <w:rPr>
          <w:rFonts w:ascii="Arial" w:hAnsi="Arial" w:cs="Arial"/>
          <w:color w:val="000000" w:themeColor="text1"/>
          <w:sz w:val="22"/>
          <w:szCs w:val="22"/>
        </w:rPr>
        <w:t>o is somewhat below 1, meaning that Visa makes less than $1 in net sales for every $1 in average total assets, it's crucial to understand this in light of Visa's business strategy and the dynamics of the industry</w:t>
      </w:r>
      <w:r>
        <w:rPr>
          <w:rFonts w:ascii="Arial" w:hAnsi="Arial" w:cs="Arial"/>
          <w:color w:val="000000" w:themeColor="text1"/>
          <w:sz w:val="22"/>
          <w:szCs w:val="22"/>
        </w:rPr>
        <w:t xml:space="preserve">. </w:t>
      </w:r>
      <w:r w:rsidRPr="007909A0">
        <w:rPr>
          <w:rFonts w:ascii="Arial" w:hAnsi="Arial" w:cs="Arial"/>
          <w:color w:val="000000" w:themeColor="text1"/>
          <w:sz w:val="22"/>
          <w:szCs w:val="22"/>
        </w:rPr>
        <w:t>Visa is</w:t>
      </w:r>
      <w:r>
        <w:rPr>
          <w:rFonts w:ascii="Arial" w:hAnsi="Arial" w:cs="Arial"/>
          <w:color w:val="000000" w:themeColor="text1"/>
          <w:sz w:val="22"/>
          <w:szCs w:val="22"/>
        </w:rPr>
        <w:t xml:space="preserve"> </w:t>
      </w:r>
      <w:r w:rsidRPr="007909A0">
        <w:rPr>
          <w:rFonts w:ascii="Arial" w:hAnsi="Arial" w:cs="Arial"/>
          <w:color w:val="000000" w:themeColor="text1"/>
          <w:sz w:val="22"/>
          <w:szCs w:val="22"/>
        </w:rPr>
        <w:t>operat</w:t>
      </w:r>
      <w:r>
        <w:rPr>
          <w:rFonts w:ascii="Arial" w:hAnsi="Arial" w:cs="Arial"/>
          <w:color w:val="000000" w:themeColor="text1"/>
          <w:sz w:val="22"/>
          <w:szCs w:val="22"/>
        </w:rPr>
        <w:t>ing</w:t>
      </w:r>
      <w:r w:rsidRPr="007909A0">
        <w:rPr>
          <w:rFonts w:ascii="Arial" w:hAnsi="Arial" w:cs="Arial"/>
          <w:color w:val="000000" w:themeColor="text1"/>
          <w:sz w:val="22"/>
          <w:szCs w:val="22"/>
        </w:rPr>
        <w:t xml:space="preserve"> in the payment technology sector, where expansion of the network and large investments in technical infrastructure are necessary for sustained success. These initiatives frequently entail large capital costs, which could not result in increased revenue right away. Therefore, in comparison to businesses with less asset-intensive operations, a slightly lower asset turnover ratio might be anticipated.</w:t>
      </w:r>
      <w:r w:rsidR="0065666E">
        <w:rPr>
          <w:rFonts w:ascii="Arial" w:hAnsi="Arial" w:cs="Arial"/>
          <w:color w:val="000000" w:themeColor="text1"/>
          <w:sz w:val="22"/>
          <w:szCs w:val="22"/>
        </w:rPr>
        <w:t xml:space="preserve"> (Beers, B.,2023)</w:t>
      </w:r>
    </w:p>
    <w:p w14:paraId="3297C014" w14:textId="77777777" w:rsidR="00DF4D62" w:rsidRDefault="00DF4D62" w:rsidP="007909A0">
      <w:pPr>
        <w:tabs>
          <w:tab w:val="left" w:pos="2520"/>
        </w:tabs>
        <w:spacing w:line="360" w:lineRule="auto"/>
        <w:rPr>
          <w:rFonts w:ascii="Arial" w:hAnsi="Arial" w:cs="Arial"/>
          <w:color w:val="000000" w:themeColor="text1"/>
          <w:sz w:val="22"/>
          <w:szCs w:val="22"/>
        </w:rPr>
      </w:pPr>
    </w:p>
    <w:p w14:paraId="4C10F0EE" w14:textId="3D48D5C1" w:rsidR="00DF4D62" w:rsidRDefault="00DF4D62" w:rsidP="000E367E">
      <w:pPr>
        <w:pStyle w:val="Heading2"/>
      </w:pPr>
      <w:bookmarkStart w:id="11" w:name="_Toc164847606"/>
      <w:r w:rsidRPr="00DF4D62">
        <w:t>Conclusion</w:t>
      </w:r>
      <w:bookmarkEnd w:id="11"/>
      <w:r w:rsidRPr="00DF4D62">
        <w:t xml:space="preserve"> </w:t>
      </w:r>
    </w:p>
    <w:p w14:paraId="7CCC9C22" w14:textId="67BEB7B9" w:rsidR="00DF4D62" w:rsidRDefault="00DF4D62" w:rsidP="007909A0">
      <w:pPr>
        <w:tabs>
          <w:tab w:val="left" w:pos="2520"/>
        </w:tabs>
        <w:spacing w:line="360" w:lineRule="auto"/>
        <w:rPr>
          <w:rFonts w:ascii="Arial" w:hAnsi="Arial" w:cs="Arial"/>
          <w:color w:val="000000" w:themeColor="text1"/>
          <w:sz w:val="22"/>
          <w:szCs w:val="22"/>
        </w:rPr>
      </w:pPr>
      <w:r w:rsidRPr="00DF4D62">
        <w:rPr>
          <w:rFonts w:ascii="Arial" w:hAnsi="Arial" w:cs="Arial"/>
          <w:color w:val="000000" w:themeColor="text1"/>
          <w:sz w:val="22"/>
          <w:szCs w:val="22"/>
        </w:rPr>
        <w:t xml:space="preserve">In summary, Visa Inc. has proven to have great financial performance in 2023, as shown by its appropriate asset turnover, strong liquidity position as shown by the current ratio, moderate debt-to-equity ratio, and favourable return on assets (ROA). Visa has positioned itself competitively in the payment market thanks to its effective use of its assets to create profits, as seen by its ROA of 19.1%. Furthermore, the company's solid liquidity, as seen by </w:t>
      </w:r>
      <w:r w:rsidRPr="00DF4D62">
        <w:rPr>
          <w:rFonts w:ascii="Arial" w:hAnsi="Arial" w:cs="Arial"/>
          <w:color w:val="000000" w:themeColor="text1"/>
          <w:sz w:val="22"/>
          <w:szCs w:val="22"/>
        </w:rPr>
        <w:lastRenderedPageBreak/>
        <w:t>its current ratio of 1.5, allows it to effectively meet short-term obligations. Visa has a debt-to-equity ratio that is reasonable, but it also shows responsible financing and controlled financial risk. But there is room for improvement. For example</w:t>
      </w:r>
      <w:r>
        <w:rPr>
          <w:rFonts w:ascii="Arial" w:hAnsi="Arial" w:cs="Arial"/>
          <w:color w:val="000000" w:themeColor="text1"/>
          <w:sz w:val="22"/>
          <w:szCs w:val="22"/>
        </w:rPr>
        <w:t>,</w:t>
      </w:r>
      <w:r w:rsidRPr="00DF4D62">
        <w:t xml:space="preserve"> </w:t>
      </w:r>
      <w:r w:rsidRPr="00DF4D62">
        <w:rPr>
          <w:rFonts w:ascii="Arial" w:hAnsi="Arial" w:cs="Arial"/>
          <w:color w:val="000000" w:themeColor="text1"/>
          <w:sz w:val="22"/>
          <w:szCs w:val="22"/>
        </w:rPr>
        <w:t>such as enhancing asset turnover efficiency, which could further optimize profitability and operational performance.</w:t>
      </w:r>
    </w:p>
    <w:p w14:paraId="53346F3F" w14:textId="77777777" w:rsidR="00DF4D62" w:rsidRDefault="00DF4D62" w:rsidP="007909A0">
      <w:pPr>
        <w:tabs>
          <w:tab w:val="left" w:pos="2520"/>
        </w:tabs>
        <w:spacing w:line="360" w:lineRule="auto"/>
        <w:rPr>
          <w:rFonts w:ascii="Arial" w:hAnsi="Arial" w:cs="Arial"/>
          <w:color w:val="000000" w:themeColor="text1"/>
          <w:sz w:val="22"/>
          <w:szCs w:val="22"/>
        </w:rPr>
      </w:pPr>
    </w:p>
    <w:p w14:paraId="1AEBCACC" w14:textId="5970FE70" w:rsidR="00DF4D62" w:rsidRDefault="00DF4D62" w:rsidP="000E367E">
      <w:pPr>
        <w:pStyle w:val="Heading2"/>
      </w:pPr>
      <w:bookmarkStart w:id="12" w:name="_Toc164847607"/>
      <w:r w:rsidRPr="00DF4D62">
        <w:t>Recommendation</w:t>
      </w:r>
      <w:bookmarkEnd w:id="12"/>
      <w:r w:rsidRPr="00DF4D62">
        <w:t xml:space="preserve"> </w:t>
      </w:r>
    </w:p>
    <w:p w14:paraId="666D6319" w14:textId="6B3318BE" w:rsidR="00F25EE8" w:rsidRDefault="00F25EE8" w:rsidP="007909A0">
      <w:pPr>
        <w:tabs>
          <w:tab w:val="left" w:pos="2520"/>
        </w:tabs>
        <w:spacing w:line="360" w:lineRule="auto"/>
        <w:rPr>
          <w:rFonts w:ascii="Arial" w:hAnsi="Arial" w:cs="Arial"/>
          <w:color w:val="000000" w:themeColor="text1"/>
          <w:sz w:val="22"/>
          <w:szCs w:val="22"/>
        </w:rPr>
      </w:pPr>
      <w:proofErr w:type="gramStart"/>
      <w:r w:rsidRPr="00F25EE8">
        <w:rPr>
          <w:rFonts w:ascii="Arial" w:hAnsi="Arial" w:cs="Arial"/>
          <w:color w:val="000000" w:themeColor="text1"/>
          <w:sz w:val="22"/>
          <w:szCs w:val="22"/>
        </w:rPr>
        <w:t>In order to</w:t>
      </w:r>
      <w:proofErr w:type="gramEnd"/>
      <w:r w:rsidRPr="00F25EE8">
        <w:rPr>
          <w:rFonts w:ascii="Arial" w:hAnsi="Arial" w:cs="Arial"/>
          <w:color w:val="000000" w:themeColor="text1"/>
          <w:sz w:val="22"/>
          <w:szCs w:val="22"/>
        </w:rPr>
        <w:t xml:space="preserve"> promote sustainable growth, Visa Inc. should take advantage of its advantages in size, brand awareness, and technology. The business should optimise asset utilisation and streamline operations </w:t>
      </w:r>
      <w:proofErr w:type="gramStart"/>
      <w:r w:rsidRPr="00F25EE8">
        <w:rPr>
          <w:rFonts w:ascii="Arial" w:hAnsi="Arial" w:cs="Arial"/>
          <w:color w:val="000000" w:themeColor="text1"/>
          <w:sz w:val="22"/>
          <w:szCs w:val="22"/>
        </w:rPr>
        <w:t>in order to</w:t>
      </w:r>
      <w:proofErr w:type="gramEnd"/>
      <w:r w:rsidRPr="00F25EE8">
        <w:rPr>
          <w:rFonts w:ascii="Arial" w:hAnsi="Arial" w:cs="Arial"/>
          <w:color w:val="000000" w:themeColor="text1"/>
          <w:sz w:val="22"/>
          <w:szCs w:val="22"/>
        </w:rPr>
        <w:t xml:space="preserve"> increase asset turnover. To keep a healthy balance between debt and equity funding, disciplined debt management is necessary. Visa can maintain its solid financial performance and provide value to stakeholders and shareholders by focusing on these areas and keeping an eye on market developments.</w:t>
      </w:r>
    </w:p>
    <w:p w14:paraId="67FEA8EC" w14:textId="77777777" w:rsidR="00F25EE8" w:rsidRPr="00F25EE8" w:rsidRDefault="00F25EE8" w:rsidP="007909A0">
      <w:pPr>
        <w:tabs>
          <w:tab w:val="left" w:pos="2520"/>
        </w:tabs>
        <w:spacing w:line="360" w:lineRule="auto"/>
        <w:rPr>
          <w:rFonts w:ascii="Arial" w:hAnsi="Arial" w:cs="Arial"/>
          <w:color w:val="000000" w:themeColor="text1"/>
          <w:sz w:val="22"/>
          <w:szCs w:val="22"/>
        </w:rPr>
      </w:pPr>
    </w:p>
    <w:p w14:paraId="04B1C5C6" w14:textId="77777777" w:rsidR="00DF4D62" w:rsidRPr="00F25EE8" w:rsidRDefault="00DF4D62" w:rsidP="007909A0">
      <w:pPr>
        <w:tabs>
          <w:tab w:val="left" w:pos="2520"/>
        </w:tabs>
        <w:spacing w:line="360" w:lineRule="auto"/>
        <w:rPr>
          <w:rFonts w:ascii="Arial" w:hAnsi="Arial" w:cs="Arial"/>
          <w:b/>
          <w:bCs/>
          <w:color w:val="000000" w:themeColor="text1"/>
          <w:sz w:val="22"/>
          <w:szCs w:val="22"/>
        </w:rPr>
      </w:pPr>
      <w:r w:rsidRPr="00F25EE8">
        <w:rPr>
          <w:rFonts w:ascii="Arial" w:hAnsi="Arial" w:cs="Arial"/>
          <w:b/>
          <w:bCs/>
          <w:color w:val="000000" w:themeColor="text1"/>
          <w:sz w:val="22"/>
          <w:szCs w:val="22"/>
        </w:rPr>
        <w:t>Maximise Return on Asset</w:t>
      </w:r>
    </w:p>
    <w:p w14:paraId="4E283DF9" w14:textId="16FE8824" w:rsidR="00DF4D62" w:rsidRDefault="00DF4D62" w:rsidP="007909A0">
      <w:pPr>
        <w:tabs>
          <w:tab w:val="left" w:pos="2520"/>
        </w:tabs>
        <w:spacing w:line="360" w:lineRule="auto"/>
        <w:rPr>
          <w:rFonts w:ascii="Arial" w:hAnsi="Arial" w:cs="Arial"/>
          <w:color w:val="000000" w:themeColor="text1"/>
          <w:sz w:val="22"/>
          <w:szCs w:val="22"/>
        </w:rPr>
      </w:pPr>
      <w:r w:rsidRPr="00DF4D62">
        <w:rPr>
          <w:rFonts w:ascii="Arial" w:hAnsi="Arial" w:cs="Arial"/>
          <w:color w:val="000000" w:themeColor="text1"/>
          <w:sz w:val="22"/>
          <w:szCs w:val="22"/>
        </w:rPr>
        <w:t xml:space="preserve">Visa should focus on increasing the efficiency of asset turnover </w:t>
      </w:r>
      <w:proofErr w:type="gramStart"/>
      <w:r w:rsidRPr="00DF4D62">
        <w:rPr>
          <w:rFonts w:ascii="Arial" w:hAnsi="Arial" w:cs="Arial"/>
          <w:color w:val="000000" w:themeColor="text1"/>
          <w:sz w:val="22"/>
          <w:szCs w:val="22"/>
        </w:rPr>
        <w:t>in order to</w:t>
      </w:r>
      <w:proofErr w:type="gramEnd"/>
      <w:r w:rsidRPr="00DF4D62">
        <w:rPr>
          <w:rFonts w:ascii="Arial" w:hAnsi="Arial" w:cs="Arial"/>
          <w:color w:val="000000" w:themeColor="text1"/>
          <w:sz w:val="22"/>
          <w:szCs w:val="22"/>
        </w:rPr>
        <w:t xml:space="preserve"> optimise revenue generation from its asset base, even with a strong return on assets as we could see in the analyses - Visa's </w:t>
      </w:r>
      <w:r w:rsidRPr="00DF4D62">
        <w:rPr>
          <w:rFonts w:ascii="Arial" w:hAnsi="Arial" w:cs="Arial"/>
          <w:color w:val="000000" w:themeColor="text1"/>
          <w:sz w:val="22"/>
          <w:szCs w:val="22"/>
        </w:rPr>
        <w:t>competitor Mastercard</w:t>
      </w:r>
      <w:r w:rsidRPr="00DF4D62">
        <w:rPr>
          <w:rFonts w:ascii="Arial" w:hAnsi="Arial" w:cs="Arial"/>
          <w:color w:val="000000" w:themeColor="text1"/>
          <w:sz w:val="22"/>
          <w:szCs w:val="22"/>
        </w:rPr>
        <w:t xml:space="preserve"> is doing better.</w:t>
      </w:r>
      <w:r w:rsidR="00160BB5" w:rsidRPr="00160BB5">
        <w:t xml:space="preserve"> </w:t>
      </w:r>
      <w:r w:rsidR="00160BB5">
        <w:rPr>
          <w:rFonts w:ascii="Arial" w:hAnsi="Arial" w:cs="Arial"/>
          <w:color w:val="000000" w:themeColor="text1"/>
          <w:sz w:val="22"/>
          <w:szCs w:val="22"/>
        </w:rPr>
        <w:t xml:space="preserve">Visa </w:t>
      </w:r>
      <w:r w:rsidR="00160BB5" w:rsidRPr="00160BB5">
        <w:rPr>
          <w:rFonts w:ascii="Arial" w:hAnsi="Arial" w:cs="Arial"/>
          <w:color w:val="000000" w:themeColor="text1"/>
          <w:sz w:val="22"/>
          <w:szCs w:val="22"/>
        </w:rPr>
        <w:t xml:space="preserve">can </w:t>
      </w:r>
      <w:r w:rsidR="00160BB5">
        <w:rPr>
          <w:rFonts w:ascii="Arial" w:hAnsi="Arial" w:cs="Arial"/>
          <w:color w:val="000000" w:themeColor="text1"/>
          <w:sz w:val="22"/>
          <w:szCs w:val="22"/>
        </w:rPr>
        <w:t>achieve</w:t>
      </w:r>
      <w:r w:rsidR="00160BB5" w:rsidRPr="00160BB5">
        <w:rPr>
          <w:rFonts w:ascii="Arial" w:hAnsi="Arial" w:cs="Arial"/>
          <w:color w:val="000000" w:themeColor="text1"/>
          <w:sz w:val="22"/>
          <w:szCs w:val="22"/>
        </w:rPr>
        <w:t xml:space="preserve"> a high ROA either by boosting its profit margin or, more efficiently, by using its assets to increase sales.</w:t>
      </w:r>
      <w:r w:rsidRPr="00DF4D62">
        <w:rPr>
          <w:rFonts w:ascii="Arial" w:hAnsi="Arial" w:cs="Arial"/>
          <w:color w:val="000000" w:themeColor="text1"/>
          <w:sz w:val="22"/>
          <w:szCs w:val="22"/>
        </w:rPr>
        <w:t> </w:t>
      </w:r>
      <w:r w:rsidR="00160BB5">
        <w:rPr>
          <w:rFonts w:ascii="Arial" w:hAnsi="Arial" w:cs="Arial"/>
          <w:color w:val="000000" w:themeColor="text1"/>
          <w:sz w:val="22"/>
          <w:szCs w:val="22"/>
        </w:rPr>
        <w:t xml:space="preserve">As well as </w:t>
      </w:r>
      <w:r w:rsidRPr="00DF4D62">
        <w:rPr>
          <w:rFonts w:ascii="Arial" w:hAnsi="Arial" w:cs="Arial"/>
          <w:color w:val="000000" w:themeColor="text1"/>
          <w:sz w:val="22"/>
          <w:szCs w:val="22"/>
        </w:rPr>
        <w:t>Investing in technology to enable faster transaction processing, optimising network infrastructure, and streamlining operations could all contribute to increased asset turnover and profitability.</w:t>
      </w:r>
      <w:r w:rsidR="00160BB5">
        <w:rPr>
          <w:rFonts w:ascii="Arial" w:hAnsi="Arial" w:cs="Arial"/>
          <w:color w:val="000000" w:themeColor="text1"/>
          <w:sz w:val="22"/>
          <w:szCs w:val="22"/>
        </w:rPr>
        <w:t xml:space="preserve"> (</w:t>
      </w:r>
      <w:proofErr w:type="spellStart"/>
      <w:r w:rsidR="00160BB5">
        <w:rPr>
          <w:rFonts w:ascii="Arial" w:hAnsi="Arial" w:cs="Arial"/>
          <w:color w:val="000000" w:themeColor="text1"/>
          <w:sz w:val="22"/>
          <w:szCs w:val="22"/>
        </w:rPr>
        <w:t>Mcclure</w:t>
      </w:r>
      <w:proofErr w:type="spellEnd"/>
      <w:r w:rsidR="00160BB5">
        <w:rPr>
          <w:rFonts w:ascii="Arial" w:hAnsi="Arial" w:cs="Arial"/>
          <w:color w:val="000000" w:themeColor="text1"/>
          <w:sz w:val="22"/>
          <w:szCs w:val="22"/>
        </w:rPr>
        <w:t xml:space="preserve">. B., 2021) </w:t>
      </w:r>
    </w:p>
    <w:p w14:paraId="2A2733E8" w14:textId="77777777" w:rsidR="00DF4D62" w:rsidRDefault="00DF4D62" w:rsidP="007909A0">
      <w:pPr>
        <w:tabs>
          <w:tab w:val="left" w:pos="2520"/>
        </w:tabs>
        <w:spacing w:line="360" w:lineRule="auto"/>
        <w:rPr>
          <w:rFonts w:ascii="Arial" w:hAnsi="Arial" w:cs="Arial"/>
          <w:color w:val="000000" w:themeColor="text1"/>
          <w:sz w:val="22"/>
          <w:szCs w:val="22"/>
        </w:rPr>
      </w:pPr>
    </w:p>
    <w:p w14:paraId="6A4D204E" w14:textId="77777777" w:rsidR="00DF4D62" w:rsidRPr="00DF4D62" w:rsidRDefault="00DF4D62" w:rsidP="007909A0">
      <w:pPr>
        <w:tabs>
          <w:tab w:val="left" w:pos="2520"/>
        </w:tabs>
        <w:spacing w:line="360" w:lineRule="auto"/>
        <w:rPr>
          <w:rFonts w:ascii="Arial" w:hAnsi="Arial" w:cs="Arial"/>
          <w:b/>
          <w:bCs/>
          <w:color w:val="000000" w:themeColor="text1"/>
          <w:sz w:val="22"/>
          <w:szCs w:val="22"/>
        </w:rPr>
      </w:pPr>
      <w:r w:rsidRPr="00DF4D62">
        <w:rPr>
          <w:rFonts w:ascii="Arial" w:hAnsi="Arial" w:cs="Arial"/>
          <w:b/>
          <w:bCs/>
          <w:color w:val="000000" w:themeColor="text1"/>
          <w:sz w:val="22"/>
          <w:szCs w:val="22"/>
        </w:rPr>
        <w:t>Strategic Debt Management</w:t>
      </w:r>
    </w:p>
    <w:p w14:paraId="716762DA" w14:textId="440C8544" w:rsidR="00DF4D62" w:rsidRDefault="00DF4D62" w:rsidP="007909A0">
      <w:pPr>
        <w:tabs>
          <w:tab w:val="left" w:pos="2520"/>
        </w:tabs>
        <w:spacing w:line="360" w:lineRule="auto"/>
        <w:rPr>
          <w:rFonts w:ascii="Arial" w:hAnsi="Arial" w:cs="Arial"/>
          <w:color w:val="000000" w:themeColor="text1"/>
          <w:sz w:val="22"/>
          <w:szCs w:val="22"/>
        </w:rPr>
      </w:pPr>
      <w:r w:rsidRPr="00DF4D62">
        <w:rPr>
          <w:rFonts w:ascii="Arial" w:hAnsi="Arial" w:cs="Arial"/>
          <w:color w:val="000000" w:themeColor="text1"/>
          <w:sz w:val="22"/>
          <w:szCs w:val="22"/>
        </w:rPr>
        <w:t xml:space="preserve">While maintaining a moderate level of debt can provide tax advantages and leverage for growth, Visa should </w:t>
      </w:r>
      <w:r w:rsidR="00F25EE8" w:rsidRPr="00F25EE8">
        <w:rPr>
          <w:rFonts w:ascii="Arial" w:hAnsi="Arial" w:cs="Arial"/>
          <w:color w:val="000000" w:themeColor="text1"/>
          <w:sz w:val="22"/>
          <w:szCs w:val="22"/>
        </w:rPr>
        <w:t>carefully</w:t>
      </w:r>
      <w:r w:rsidR="00F25EE8">
        <w:rPr>
          <w:rFonts w:ascii="Arial" w:hAnsi="Arial" w:cs="Arial"/>
          <w:color w:val="215E99" w:themeColor="text2" w:themeTint="BF"/>
          <w:sz w:val="22"/>
          <w:szCs w:val="22"/>
        </w:rPr>
        <w:t xml:space="preserve"> </w:t>
      </w:r>
      <w:r w:rsidRPr="00DF4D62">
        <w:rPr>
          <w:rFonts w:ascii="Arial" w:hAnsi="Arial" w:cs="Arial"/>
          <w:color w:val="000000" w:themeColor="text1"/>
          <w:sz w:val="22"/>
          <w:szCs w:val="22"/>
        </w:rPr>
        <w:t>manage its debt levels to minimize financial risk. This includes evaluating the cost of debt, refinancing opportunities, and maintaining a balanced debt-to-equity ratio to ensure sustainable long-term growth.</w:t>
      </w:r>
      <w:r w:rsidR="00160BB5">
        <w:rPr>
          <w:rFonts w:ascii="Arial" w:hAnsi="Arial" w:cs="Arial"/>
          <w:color w:val="000000" w:themeColor="text1"/>
          <w:sz w:val="22"/>
          <w:szCs w:val="22"/>
        </w:rPr>
        <w:t xml:space="preserve"> </w:t>
      </w:r>
      <w:r w:rsidR="00160BB5" w:rsidRPr="00160BB5">
        <w:rPr>
          <w:rFonts w:ascii="Arial" w:hAnsi="Arial" w:cs="Arial"/>
          <w:color w:val="000000" w:themeColor="text1"/>
          <w:sz w:val="22"/>
          <w:szCs w:val="22"/>
        </w:rPr>
        <w:t>To do this, raising revenue is one of the best strategies. The corporation can then utilise its increased equity to settle debts or buy new assets, which will maintain a constant debt-to-equity ratio.</w:t>
      </w:r>
      <w:r w:rsidR="00160BB5">
        <w:rPr>
          <w:rFonts w:ascii="Arial" w:hAnsi="Arial" w:cs="Arial"/>
          <w:color w:val="000000" w:themeColor="text1"/>
          <w:sz w:val="22"/>
          <w:szCs w:val="22"/>
        </w:rPr>
        <w:t xml:space="preserve"> (GoCardless 2022) </w:t>
      </w:r>
    </w:p>
    <w:p w14:paraId="3CC46325" w14:textId="77777777" w:rsidR="00DF4D62" w:rsidRDefault="00DF4D62" w:rsidP="007909A0">
      <w:pPr>
        <w:tabs>
          <w:tab w:val="left" w:pos="2520"/>
        </w:tabs>
        <w:spacing w:line="360" w:lineRule="auto"/>
        <w:rPr>
          <w:rFonts w:ascii="Arial" w:hAnsi="Arial" w:cs="Arial"/>
          <w:color w:val="000000" w:themeColor="text1"/>
          <w:sz w:val="22"/>
          <w:szCs w:val="22"/>
        </w:rPr>
      </w:pPr>
    </w:p>
    <w:p w14:paraId="22684C55" w14:textId="77777777" w:rsidR="00F25EE8" w:rsidRPr="00F25EE8" w:rsidRDefault="00F25EE8" w:rsidP="007909A0">
      <w:pPr>
        <w:tabs>
          <w:tab w:val="left" w:pos="2520"/>
        </w:tabs>
        <w:spacing w:line="360" w:lineRule="auto"/>
        <w:rPr>
          <w:rFonts w:ascii="Arial" w:hAnsi="Arial" w:cs="Arial"/>
          <w:b/>
          <w:bCs/>
          <w:color w:val="000000" w:themeColor="text1"/>
          <w:sz w:val="22"/>
          <w:szCs w:val="22"/>
        </w:rPr>
      </w:pPr>
      <w:r w:rsidRPr="00F25EE8">
        <w:rPr>
          <w:rFonts w:ascii="Arial" w:hAnsi="Arial" w:cs="Arial"/>
          <w:b/>
          <w:bCs/>
          <w:color w:val="000000" w:themeColor="text1"/>
          <w:sz w:val="22"/>
          <w:szCs w:val="22"/>
        </w:rPr>
        <w:t>Continued Innovation</w:t>
      </w:r>
    </w:p>
    <w:p w14:paraId="3A387CE9" w14:textId="02A8724E" w:rsidR="00DF4D62" w:rsidRDefault="00F25EE8" w:rsidP="007909A0">
      <w:pPr>
        <w:tabs>
          <w:tab w:val="left" w:pos="2520"/>
        </w:tabs>
        <w:spacing w:line="360" w:lineRule="auto"/>
        <w:rPr>
          <w:rFonts w:ascii="Arial" w:hAnsi="Arial" w:cs="Arial"/>
          <w:color w:val="000000" w:themeColor="text1"/>
          <w:sz w:val="22"/>
          <w:szCs w:val="22"/>
        </w:rPr>
      </w:pPr>
      <w:proofErr w:type="gramStart"/>
      <w:r w:rsidRPr="00F25EE8">
        <w:rPr>
          <w:rFonts w:ascii="Arial" w:hAnsi="Arial" w:cs="Arial"/>
          <w:color w:val="000000" w:themeColor="text1"/>
          <w:sz w:val="22"/>
          <w:szCs w:val="22"/>
        </w:rPr>
        <w:t>In order to</w:t>
      </w:r>
      <w:proofErr w:type="gramEnd"/>
      <w:r w:rsidRPr="00F25EE8">
        <w:rPr>
          <w:rFonts w:ascii="Arial" w:hAnsi="Arial" w:cs="Arial"/>
          <w:color w:val="000000" w:themeColor="text1"/>
          <w:sz w:val="22"/>
          <w:szCs w:val="22"/>
        </w:rPr>
        <w:t xml:space="preserve"> remain competitive in the quickly changing payments market, Visa needs keep making innovation a top priority. Visa can boost its competitiveness and propel future growth by allocating resources towards research and development, developing relationships with fintech companies, and using innovative technologies like artificial intelligence.</w:t>
      </w:r>
      <w:r w:rsidR="00160BB5">
        <w:rPr>
          <w:rFonts w:ascii="Arial" w:hAnsi="Arial" w:cs="Arial"/>
          <w:color w:val="000000" w:themeColor="text1"/>
          <w:sz w:val="22"/>
          <w:szCs w:val="22"/>
        </w:rPr>
        <w:t xml:space="preserve"> (</w:t>
      </w:r>
      <w:proofErr w:type="spellStart"/>
      <w:r w:rsidR="00160BB5">
        <w:rPr>
          <w:rFonts w:ascii="Arial" w:hAnsi="Arial" w:cs="Arial"/>
          <w:color w:val="000000" w:themeColor="text1"/>
          <w:sz w:val="22"/>
          <w:szCs w:val="22"/>
        </w:rPr>
        <w:t>Samani</w:t>
      </w:r>
      <w:proofErr w:type="spellEnd"/>
      <w:r w:rsidR="00160BB5">
        <w:rPr>
          <w:rFonts w:ascii="Arial" w:hAnsi="Arial" w:cs="Arial"/>
          <w:color w:val="000000" w:themeColor="text1"/>
          <w:sz w:val="22"/>
          <w:szCs w:val="22"/>
        </w:rPr>
        <w:t xml:space="preserve">, N., </w:t>
      </w:r>
      <w:r w:rsidR="00B11A97">
        <w:rPr>
          <w:rFonts w:ascii="Arial" w:hAnsi="Arial" w:cs="Arial"/>
          <w:color w:val="000000" w:themeColor="text1"/>
          <w:sz w:val="22"/>
          <w:szCs w:val="22"/>
        </w:rPr>
        <w:t xml:space="preserve">2023) </w:t>
      </w:r>
    </w:p>
    <w:p w14:paraId="7713B5E2" w14:textId="77777777" w:rsidR="00F25EE8" w:rsidRDefault="00F25EE8" w:rsidP="007909A0">
      <w:pPr>
        <w:tabs>
          <w:tab w:val="left" w:pos="2520"/>
        </w:tabs>
        <w:spacing w:line="360" w:lineRule="auto"/>
        <w:rPr>
          <w:rFonts w:ascii="Arial" w:hAnsi="Arial" w:cs="Arial"/>
          <w:color w:val="000000" w:themeColor="text1"/>
          <w:sz w:val="22"/>
          <w:szCs w:val="22"/>
        </w:rPr>
      </w:pPr>
    </w:p>
    <w:p w14:paraId="57FCD16C" w14:textId="6DADF4DC" w:rsidR="00F25EE8" w:rsidRPr="00F25EE8" w:rsidRDefault="00F25EE8" w:rsidP="007909A0">
      <w:pPr>
        <w:tabs>
          <w:tab w:val="left" w:pos="2520"/>
        </w:tabs>
        <w:spacing w:line="360" w:lineRule="auto"/>
        <w:rPr>
          <w:rFonts w:ascii="Arial" w:hAnsi="Arial" w:cs="Arial"/>
          <w:b/>
          <w:bCs/>
          <w:color w:val="000000" w:themeColor="text1"/>
          <w:sz w:val="22"/>
          <w:szCs w:val="22"/>
        </w:rPr>
      </w:pPr>
      <w:r w:rsidRPr="00F25EE8">
        <w:rPr>
          <w:rFonts w:ascii="Arial" w:hAnsi="Arial" w:cs="Arial"/>
          <w:b/>
          <w:bCs/>
          <w:color w:val="000000" w:themeColor="text1"/>
          <w:sz w:val="22"/>
          <w:szCs w:val="22"/>
        </w:rPr>
        <w:t>Diversification of Revenue Streams</w:t>
      </w:r>
    </w:p>
    <w:p w14:paraId="06D11DA4" w14:textId="7D33BFDD" w:rsidR="00F25EE8" w:rsidRDefault="00F25EE8" w:rsidP="007909A0">
      <w:pPr>
        <w:tabs>
          <w:tab w:val="left" w:pos="2520"/>
        </w:tabs>
        <w:spacing w:line="360" w:lineRule="auto"/>
        <w:rPr>
          <w:rFonts w:ascii="Arial" w:hAnsi="Arial" w:cs="Arial"/>
          <w:color w:val="000000" w:themeColor="text1"/>
          <w:sz w:val="22"/>
          <w:szCs w:val="22"/>
        </w:rPr>
      </w:pPr>
      <w:r w:rsidRPr="00F25EE8">
        <w:rPr>
          <w:rFonts w:ascii="Arial" w:hAnsi="Arial" w:cs="Arial"/>
          <w:color w:val="000000" w:themeColor="text1"/>
          <w:sz w:val="22"/>
          <w:szCs w:val="22"/>
        </w:rPr>
        <w:t>Visa's primary business is still processing payments, but it might benefit from expanding its revenue sources outside of fee revenue to avoid becoming too dependent on a single source of revenue.  This could involve investigating different revenue sources, providing value-added services, or expanding out into new market categories and investing in marketing. </w:t>
      </w:r>
      <w:r w:rsidR="00B11A97">
        <w:rPr>
          <w:rFonts w:ascii="Arial" w:hAnsi="Arial" w:cs="Arial"/>
          <w:color w:val="000000" w:themeColor="text1"/>
          <w:sz w:val="22"/>
          <w:szCs w:val="22"/>
        </w:rPr>
        <w:t xml:space="preserve">(Houston, M., 2021) </w:t>
      </w:r>
    </w:p>
    <w:p w14:paraId="7A8C0377" w14:textId="77777777" w:rsidR="007D1743" w:rsidRDefault="007D1743" w:rsidP="007909A0">
      <w:pPr>
        <w:tabs>
          <w:tab w:val="left" w:pos="2520"/>
        </w:tabs>
        <w:spacing w:line="360" w:lineRule="auto"/>
        <w:rPr>
          <w:rFonts w:ascii="Arial" w:hAnsi="Arial" w:cs="Arial"/>
          <w:color w:val="000000" w:themeColor="text1"/>
          <w:sz w:val="22"/>
          <w:szCs w:val="22"/>
        </w:rPr>
      </w:pPr>
    </w:p>
    <w:p w14:paraId="5B847689" w14:textId="77777777" w:rsidR="007D1743" w:rsidRDefault="007D1743" w:rsidP="007909A0">
      <w:pPr>
        <w:tabs>
          <w:tab w:val="left" w:pos="2520"/>
        </w:tabs>
        <w:spacing w:line="360" w:lineRule="auto"/>
        <w:rPr>
          <w:rFonts w:ascii="Arial" w:hAnsi="Arial" w:cs="Arial"/>
          <w:color w:val="000000" w:themeColor="text1"/>
          <w:sz w:val="22"/>
          <w:szCs w:val="22"/>
        </w:rPr>
      </w:pPr>
    </w:p>
    <w:p w14:paraId="7B8D6B3D" w14:textId="77777777" w:rsidR="00D848DA" w:rsidRDefault="00D848DA" w:rsidP="007909A0">
      <w:pPr>
        <w:tabs>
          <w:tab w:val="left" w:pos="2520"/>
        </w:tabs>
        <w:spacing w:line="360" w:lineRule="auto"/>
        <w:rPr>
          <w:rFonts w:ascii="Arial" w:hAnsi="Arial" w:cs="Arial"/>
          <w:color w:val="000000" w:themeColor="text1"/>
          <w:sz w:val="22"/>
          <w:szCs w:val="22"/>
        </w:rPr>
      </w:pPr>
    </w:p>
    <w:p w14:paraId="79974330" w14:textId="77777777" w:rsidR="00D848DA" w:rsidRDefault="00D848DA" w:rsidP="007909A0">
      <w:pPr>
        <w:tabs>
          <w:tab w:val="left" w:pos="2520"/>
        </w:tabs>
        <w:spacing w:line="360" w:lineRule="auto"/>
        <w:rPr>
          <w:rFonts w:ascii="Arial" w:hAnsi="Arial" w:cs="Arial"/>
          <w:color w:val="000000" w:themeColor="text1"/>
          <w:sz w:val="22"/>
          <w:szCs w:val="22"/>
        </w:rPr>
      </w:pPr>
    </w:p>
    <w:p w14:paraId="1171D389" w14:textId="77777777" w:rsidR="00D848DA" w:rsidRDefault="00D848DA" w:rsidP="007909A0">
      <w:pPr>
        <w:tabs>
          <w:tab w:val="left" w:pos="2520"/>
        </w:tabs>
        <w:spacing w:line="360" w:lineRule="auto"/>
        <w:rPr>
          <w:rFonts w:ascii="Arial" w:hAnsi="Arial" w:cs="Arial"/>
          <w:color w:val="000000" w:themeColor="text1"/>
          <w:sz w:val="22"/>
          <w:szCs w:val="22"/>
        </w:rPr>
      </w:pPr>
    </w:p>
    <w:p w14:paraId="0EF066F7" w14:textId="77777777" w:rsidR="00D848DA" w:rsidRDefault="00D848DA" w:rsidP="007909A0">
      <w:pPr>
        <w:tabs>
          <w:tab w:val="left" w:pos="2520"/>
        </w:tabs>
        <w:spacing w:line="360" w:lineRule="auto"/>
        <w:rPr>
          <w:rFonts w:ascii="Arial" w:hAnsi="Arial" w:cs="Arial"/>
          <w:color w:val="000000" w:themeColor="text1"/>
          <w:sz w:val="22"/>
          <w:szCs w:val="22"/>
        </w:rPr>
      </w:pPr>
    </w:p>
    <w:p w14:paraId="2DA430B2" w14:textId="77777777" w:rsidR="00D848DA" w:rsidRDefault="00D848DA" w:rsidP="007909A0">
      <w:pPr>
        <w:tabs>
          <w:tab w:val="left" w:pos="2520"/>
        </w:tabs>
        <w:spacing w:line="360" w:lineRule="auto"/>
        <w:rPr>
          <w:rFonts w:ascii="Arial" w:hAnsi="Arial" w:cs="Arial"/>
          <w:color w:val="000000" w:themeColor="text1"/>
          <w:sz w:val="22"/>
          <w:szCs w:val="22"/>
        </w:rPr>
      </w:pPr>
    </w:p>
    <w:p w14:paraId="2FB752B5" w14:textId="77777777" w:rsidR="00D848DA" w:rsidRDefault="00D848DA" w:rsidP="007909A0">
      <w:pPr>
        <w:tabs>
          <w:tab w:val="left" w:pos="2520"/>
        </w:tabs>
        <w:spacing w:line="360" w:lineRule="auto"/>
        <w:rPr>
          <w:rFonts w:ascii="Arial" w:hAnsi="Arial" w:cs="Arial"/>
          <w:color w:val="000000" w:themeColor="text1"/>
          <w:sz w:val="22"/>
          <w:szCs w:val="22"/>
        </w:rPr>
      </w:pPr>
    </w:p>
    <w:p w14:paraId="6049FBBB" w14:textId="77777777" w:rsidR="00D848DA" w:rsidRDefault="00D848DA" w:rsidP="007909A0">
      <w:pPr>
        <w:tabs>
          <w:tab w:val="left" w:pos="2520"/>
        </w:tabs>
        <w:spacing w:line="360" w:lineRule="auto"/>
        <w:rPr>
          <w:rFonts w:ascii="Arial" w:hAnsi="Arial" w:cs="Arial"/>
          <w:color w:val="000000" w:themeColor="text1"/>
          <w:sz w:val="22"/>
          <w:szCs w:val="22"/>
        </w:rPr>
      </w:pPr>
    </w:p>
    <w:p w14:paraId="09D598D6" w14:textId="77777777" w:rsidR="00D848DA" w:rsidRDefault="00D848DA" w:rsidP="007909A0">
      <w:pPr>
        <w:tabs>
          <w:tab w:val="left" w:pos="2520"/>
        </w:tabs>
        <w:spacing w:line="360" w:lineRule="auto"/>
        <w:rPr>
          <w:rFonts w:ascii="Arial" w:hAnsi="Arial" w:cs="Arial"/>
          <w:color w:val="000000" w:themeColor="text1"/>
          <w:sz w:val="22"/>
          <w:szCs w:val="22"/>
        </w:rPr>
      </w:pPr>
    </w:p>
    <w:p w14:paraId="70160F70" w14:textId="77777777" w:rsidR="00D848DA" w:rsidRDefault="00D848DA" w:rsidP="007909A0">
      <w:pPr>
        <w:tabs>
          <w:tab w:val="left" w:pos="2520"/>
        </w:tabs>
        <w:spacing w:line="360" w:lineRule="auto"/>
        <w:rPr>
          <w:rFonts w:ascii="Arial" w:hAnsi="Arial" w:cs="Arial"/>
          <w:color w:val="000000" w:themeColor="text1"/>
          <w:sz w:val="22"/>
          <w:szCs w:val="22"/>
        </w:rPr>
      </w:pPr>
    </w:p>
    <w:p w14:paraId="59F62417" w14:textId="77777777" w:rsidR="00D848DA" w:rsidRDefault="00D848DA" w:rsidP="007909A0">
      <w:pPr>
        <w:tabs>
          <w:tab w:val="left" w:pos="2520"/>
        </w:tabs>
        <w:spacing w:line="360" w:lineRule="auto"/>
        <w:rPr>
          <w:rFonts w:ascii="Arial" w:hAnsi="Arial" w:cs="Arial"/>
          <w:color w:val="000000" w:themeColor="text1"/>
          <w:sz w:val="22"/>
          <w:szCs w:val="22"/>
        </w:rPr>
      </w:pPr>
    </w:p>
    <w:p w14:paraId="15E12484" w14:textId="77777777" w:rsidR="00D848DA" w:rsidRDefault="00D848DA" w:rsidP="007909A0">
      <w:pPr>
        <w:tabs>
          <w:tab w:val="left" w:pos="2520"/>
        </w:tabs>
        <w:spacing w:line="360" w:lineRule="auto"/>
        <w:rPr>
          <w:rFonts w:ascii="Arial" w:hAnsi="Arial" w:cs="Arial"/>
          <w:color w:val="000000" w:themeColor="text1"/>
          <w:sz w:val="22"/>
          <w:szCs w:val="22"/>
        </w:rPr>
      </w:pPr>
    </w:p>
    <w:p w14:paraId="09882082" w14:textId="77777777" w:rsidR="00D848DA" w:rsidRDefault="00D848DA" w:rsidP="007909A0">
      <w:pPr>
        <w:tabs>
          <w:tab w:val="left" w:pos="2520"/>
        </w:tabs>
        <w:spacing w:line="360" w:lineRule="auto"/>
        <w:rPr>
          <w:rFonts w:ascii="Arial" w:hAnsi="Arial" w:cs="Arial"/>
          <w:color w:val="000000" w:themeColor="text1"/>
          <w:sz w:val="22"/>
          <w:szCs w:val="22"/>
        </w:rPr>
      </w:pPr>
    </w:p>
    <w:p w14:paraId="178128D3" w14:textId="77777777" w:rsidR="00D848DA" w:rsidRDefault="00D848DA" w:rsidP="007909A0">
      <w:pPr>
        <w:tabs>
          <w:tab w:val="left" w:pos="2520"/>
        </w:tabs>
        <w:spacing w:line="360" w:lineRule="auto"/>
        <w:rPr>
          <w:rFonts w:ascii="Arial" w:hAnsi="Arial" w:cs="Arial"/>
          <w:color w:val="000000" w:themeColor="text1"/>
          <w:sz w:val="22"/>
          <w:szCs w:val="22"/>
        </w:rPr>
      </w:pPr>
    </w:p>
    <w:p w14:paraId="37C618F3" w14:textId="77777777" w:rsidR="00D848DA" w:rsidRDefault="00D848DA" w:rsidP="007909A0">
      <w:pPr>
        <w:tabs>
          <w:tab w:val="left" w:pos="2520"/>
        </w:tabs>
        <w:spacing w:line="360" w:lineRule="auto"/>
        <w:rPr>
          <w:rFonts w:ascii="Arial" w:hAnsi="Arial" w:cs="Arial"/>
          <w:color w:val="000000" w:themeColor="text1"/>
          <w:sz w:val="22"/>
          <w:szCs w:val="22"/>
        </w:rPr>
      </w:pPr>
    </w:p>
    <w:p w14:paraId="3F1ED342" w14:textId="77777777" w:rsidR="00D848DA" w:rsidRDefault="00D848DA" w:rsidP="007909A0">
      <w:pPr>
        <w:tabs>
          <w:tab w:val="left" w:pos="2520"/>
        </w:tabs>
        <w:spacing w:line="360" w:lineRule="auto"/>
        <w:rPr>
          <w:rFonts w:ascii="Arial" w:hAnsi="Arial" w:cs="Arial"/>
          <w:color w:val="000000" w:themeColor="text1"/>
          <w:sz w:val="22"/>
          <w:szCs w:val="22"/>
        </w:rPr>
      </w:pPr>
    </w:p>
    <w:p w14:paraId="11ED26CA" w14:textId="77777777" w:rsidR="00D848DA" w:rsidRDefault="00D848DA" w:rsidP="007909A0">
      <w:pPr>
        <w:tabs>
          <w:tab w:val="left" w:pos="2520"/>
        </w:tabs>
        <w:spacing w:line="360" w:lineRule="auto"/>
        <w:rPr>
          <w:rFonts w:ascii="Arial" w:hAnsi="Arial" w:cs="Arial"/>
          <w:color w:val="000000" w:themeColor="text1"/>
          <w:sz w:val="22"/>
          <w:szCs w:val="22"/>
        </w:rPr>
      </w:pPr>
    </w:p>
    <w:p w14:paraId="5CFD360A" w14:textId="77777777" w:rsidR="00D848DA" w:rsidRDefault="00D848DA" w:rsidP="007909A0">
      <w:pPr>
        <w:tabs>
          <w:tab w:val="left" w:pos="2520"/>
        </w:tabs>
        <w:spacing w:line="360" w:lineRule="auto"/>
        <w:rPr>
          <w:rFonts w:ascii="Arial" w:hAnsi="Arial" w:cs="Arial"/>
          <w:color w:val="000000" w:themeColor="text1"/>
          <w:sz w:val="22"/>
          <w:szCs w:val="22"/>
        </w:rPr>
      </w:pPr>
    </w:p>
    <w:p w14:paraId="523DC054" w14:textId="77777777" w:rsidR="00D848DA" w:rsidRDefault="00D848DA" w:rsidP="007909A0">
      <w:pPr>
        <w:tabs>
          <w:tab w:val="left" w:pos="2520"/>
        </w:tabs>
        <w:spacing w:line="360" w:lineRule="auto"/>
        <w:rPr>
          <w:rFonts w:ascii="Arial" w:hAnsi="Arial" w:cs="Arial"/>
          <w:color w:val="000000" w:themeColor="text1"/>
          <w:sz w:val="22"/>
          <w:szCs w:val="22"/>
        </w:rPr>
      </w:pPr>
    </w:p>
    <w:p w14:paraId="2641C18E" w14:textId="77777777" w:rsidR="00D848DA" w:rsidRDefault="00D848DA" w:rsidP="007909A0">
      <w:pPr>
        <w:tabs>
          <w:tab w:val="left" w:pos="2520"/>
        </w:tabs>
        <w:spacing w:line="360" w:lineRule="auto"/>
        <w:rPr>
          <w:rFonts w:ascii="Arial" w:hAnsi="Arial" w:cs="Arial"/>
          <w:color w:val="000000" w:themeColor="text1"/>
          <w:sz w:val="22"/>
          <w:szCs w:val="22"/>
        </w:rPr>
      </w:pPr>
    </w:p>
    <w:p w14:paraId="1A337C88" w14:textId="77777777" w:rsidR="00D848DA" w:rsidRDefault="00D848DA" w:rsidP="007909A0">
      <w:pPr>
        <w:tabs>
          <w:tab w:val="left" w:pos="2520"/>
        </w:tabs>
        <w:spacing w:line="360" w:lineRule="auto"/>
        <w:rPr>
          <w:rFonts w:ascii="Arial" w:hAnsi="Arial" w:cs="Arial"/>
          <w:color w:val="000000" w:themeColor="text1"/>
          <w:sz w:val="22"/>
          <w:szCs w:val="22"/>
        </w:rPr>
      </w:pPr>
    </w:p>
    <w:p w14:paraId="7BF4A3CD" w14:textId="77777777" w:rsidR="00D848DA" w:rsidRDefault="00D848DA" w:rsidP="007909A0">
      <w:pPr>
        <w:tabs>
          <w:tab w:val="left" w:pos="2520"/>
        </w:tabs>
        <w:spacing w:line="360" w:lineRule="auto"/>
        <w:rPr>
          <w:rFonts w:ascii="Arial" w:hAnsi="Arial" w:cs="Arial"/>
          <w:color w:val="000000" w:themeColor="text1"/>
          <w:sz w:val="22"/>
          <w:szCs w:val="22"/>
        </w:rPr>
      </w:pPr>
    </w:p>
    <w:p w14:paraId="00AFF509" w14:textId="77777777" w:rsidR="00D848DA" w:rsidRDefault="00D848DA" w:rsidP="007909A0">
      <w:pPr>
        <w:tabs>
          <w:tab w:val="left" w:pos="2520"/>
        </w:tabs>
        <w:spacing w:line="360" w:lineRule="auto"/>
        <w:rPr>
          <w:rFonts w:ascii="Arial" w:hAnsi="Arial" w:cs="Arial"/>
          <w:color w:val="000000" w:themeColor="text1"/>
          <w:sz w:val="22"/>
          <w:szCs w:val="22"/>
        </w:rPr>
      </w:pPr>
    </w:p>
    <w:p w14:paraId="3FCF842F" w14:textId="77777777" w:rsidR="00D848DA" w:rsidRDefault="00D848DA" w:rsidP="007909A0">
      <w:pPr>
        <w:tabs>
          <w:tab w:val="left" w:pos="2520"/>
        </w:tabs>
        <w:spacing w:line="360" w:lineRule="auto"/>
        <w:rPr>
          <w:rFonts w:ascii="Arial" w:hAnsi="Arial" w:cs="Arial"/>
          <w:color w:val="000000" w:themeColor="text1"/>
          <w:sz w:val="22"/>
          <w:szCs w:val="22"/>
        </w:rPr>
      </w:pPr>
    </w:p>
    <w:p w14:paraId="2F931B75" w14:textId="77777777" w:rsidR="00D848DA" w:rsidRDefault="00D848DA" w:rsidP="007909A0">
      <w:pPr>
        <w:tabs>
          <w:tab w:val="left" w:pos="2520"/>
        </w:tabs>
        <w:spacing w:line="360" w:lineRule="auto"/>
        <w:rPr>
          <w:rFonts w:ascii="Arial" w:hAnsi="Arial" w:cs="Arial"/>
          <w:color w:val="000000" w:themeColor="text1"/>
          <w:sz w:val="22"/>
          <w:szCs w:val="22"/>
        </w:rPr>
      </w:pPr>
    </w:p>
    <w:p w14:paraId="21124106" w14:textId="77777777" w:rsidR="00DF4D62" w:rsidRDefault="00DF4D62" w:rsidP="007909A0">
      <w:pPr>
        <w:tabs>
          <w:tab w:val="left" w:pos="2520"/>
        </w:tabs>
        <w:spacing w:line="360" w:lineRule="auto"/>
        <w:rPr>
          <w:rFonts w:ascii="Arial" w:hAnsi="Arial" w:cs="Arial"/>
          <w:color w:val="000000" w:themeColor="text1"/>
          <w:sz w:val="22"/>
          <w:szCs w:val="22"/>
        </w:rPr>
      </w:pPr>
    </w:p>
    <w:p w14:paraId="123AD8A1" w14:textId="77777777" w:rsidR="0065666E" w:rsidRDefault="0065666E" w:rsidP="007909A0">
      <w:pPr>
        <w:tabs>
          <w:tab w:val="left" w:pos="2520"/>
        </w:tabs>
        <w:spacing w:line="360" w:lineRule="auto"/>
        <w:rPr>
          <w:rFonts w:ascii="Arial" w:hAnsi="Arial" w:cs="Arial"/>
          <w:color w:val="000000" w:themeColor="text1"/>
          <w:sz w:val="22"/>
          <w:szCs w:val="22"/>
        </w:rPr>
      </w:pPr>
    </w:p>
    <w:p w14:paraId="3A5C2F3D" w14:textId="77777777" w:rsidR="00E3399B" w:rsidRDefault="00E3399B" w:rsidP="000E367E">
      <w:pPr>
        <w:pStyle w:val="Heading1"/>
      </w:pPr>
      <w:bookmarkStart w:id="13" w:name="_Toc164847608"/>
      <w:r>
        <w:lastRenderedPageBreak/>
        <w:t>Part C</w:t>
      </w:r>
      <w:bookmarkEnd w:id="13"/>
    </w:p>
    <w:p w14:paraId="6A34C264" w14:textId="0393060F" w:rsidR="00DF4D62" w:rsidRDefault="007D1743" w:rsidP="000E367E">
      <w:pPr>
        <w:pStyle w:val="Heading1"/>
      </w:pPr>
      <w:bookmarkStart w:id="14" w:name="_Toc164847609"/>
      <w:r>
        <w:t>New Project Calculation</w:t>
      </w:r>
      <w:bookmarkEnd w:id="14"/>
      <w:r>
        <w:t xml:space="preserve"> </w:t>
      </w:r>
    </w:p>
    <w:p w14:paraId="19C2BF38" w14:textId="3819A90F" w:rsidR="007D1743" w:rsidRPr="007D1743" w:rsidRDefault="007D1743" w:rsidP="007D1743">
      <w:pPr>
        <w:pStyle w:val="NormalWeb"/>
        <w:rPr>
          <w:rFonts w:ascii="ArialMT" w:hAnsi="ArialMT"/>
          <w:sz w:val="22"/>
          <w:szCs w:val="22"/>
        </w:rPr>
      </w:pPr>
      <w:r>
        <w:rPr>
          <w:rFonts w:ascii="ArialMT" w:hAnsi="ArialMT"/>
          <w:sz w:val="22"/>
          <w:szCs w:val="22"/>
        </w:rPr>
        <w:t xml:space="preserve">Assuming that the company’s cost of capital is currently at 0.75 per cent. </w:t>
      </w:r>
      <w:r w:rsidR="0065666E">
        <w:rPr>
          <w:rFonts w:ascii="ArialMT" w:hAnsi="ArialMT"/>
          <w:sz w:val="22"/>
          <w:szCs w:val="22"/>
        </w:rPr>
        <w:t>If</w:t>
      </w:r>
      <w:r>
        <w:rPr>
          <w:rFonts w:ascii="ArialMT" w:hAnsi="ArialMT"/>
          <w:sz w:val="22"/>
          <w:szCs w:val="22"/>
        </w:rPr>
        <w:t xml:space="preserve"> all cash flows arise at year ends and ignore taxation and inflation. </w:t>
      </w:r>
    </w:p>
    <w:p w14:paraId="31E30719" w14:textId="36A16F36" w:rsidR="007D1743" w:rsidRDefault="007D1743" w:rsidP="007D1743">
      <w:pPr>
        <w:pStyle w:val="NormalWeb"/>
        <w:rPr>
          <w:rFonts w:ascii="Arial" w:hAnsi="Arial" w:cs="Arial"/>
          <w:b/>
          <w:bCs/>
          <w:sz w:val="22"/>
          <w:szCs w:val="22"/>
        </w:rPr>
      </w:pPr>
      <w:r>
        <w:rPr>
          <w:rFonts w:ascii="Arial" w:hAnsi="Arial" w:cs="Arial"/>
          <w:b/>
          <w:bCs/>
          <w:sz w:val="22"/>
          <w:szCs w:val="22"/>
        </w:rPr>
        <w:t xml:space="preserve">Projected Cash Flows (£m) </w:t>
      </w:r>
    </w:p>
    <w:p w14:paraId="117F0EAD" w14:textId="695454CC" w:rsidR="00200241" w:rsidRPr="00200241" w:rsidRDefault="00200A65" w:rsidP="00200A65">
      <w:pPr>
        <w:pStyle w:val="Caption"/>
        <w:rPr>
          <w:rFonts w:ascii="Arial" w:hAnsi="Arial" w:cs="Arial"/>
          <w:b/>
          <w:bCs/>
          <w:color w:val="000000" w:themeColor="text1"/>
          <w:sz w:val="22"/>
          <w:szCs w:val="22"/>
        </w:rPr>
      </w:pPr>
      <w:bookmarkStart w:id="15" w:name="_Toc164849546"/>
      <w:r>
        <w:t xml:space="preserve">Table </w:t>
      </w:r>
      <w:r>
        <w:fldChar w:fldCharType="begin"/>
      </w:r>
      <w:r>
        <w:instrText xml:space="preserve"> SEQ Table \* ARABIC </w:instrText>
      </w:r>
      <w:r>
        <w:fldChar w:fldCharType="separate"/>
      </w:r>
      <w:r w:rsidR="00083413">
        <w:rPr>
          <w:noProof/>
        </w:rPr>
        <w:t>6</w:t>
      </w:r>
      <w:r>
        <w:fldChar w:fldCharType="end"/>
      </w:r>
      <w:r w:rsidRPr="00C9700B">
        <w:t>Projected Cash Flow (source: UWTSD assignment team)</w:t>
      </w:r>
      <w:bookmarkEnd w:id="15"/>
    </w:p>
    <w:tbl>
      <w:tblPr>
        <w:tblStyle w:val="TableGrid"/>
        <w:tblW w:w="0" w:type="auto"/>
        <w:tblLook w:val="04A0" w:firstRow="1" w:lastRow="0" w:firstColumn="1" w:lastColumn="0" w:noHBand="0" w:noVBand="1"/>
      </w:tblPr>
      <w:tblGrid>
        <w:gridCol w:w="3005"/>
        <w:gridCol w:w="3005"/>
        <w:gridCol w:w="3006"/>
      </w:tblGrid>
      <w:tr w:rsidR="007D1743" w14:paraId="0BBFE669" w14:textId="77777777" w:rsidTr="007D1743">
        <w:tc>
          <w:tcPr>
            <w:tcW w:w="3005" w:type="dxa"/>
          </w:tcPr>
          <w:p w14:paraId="25453AC8" w14:textId="50534E58" w:rsidR="007D1743" w:rsidRDefault="007D1743" w:rsidP="007909A0">
            <w:pPr>
              <w:tabs>
                <w:tab w:val="left" w:pos="2520"/>
              </w:tabs>
              <w:spacing w:line="360" w:lineRule="auto"/>
              <w:rPr>
                <w:rFonts w:ascii="Arial" w:hAnsi="Arial" w:cs="Arial"/>
                <w:b/>
                <w:bCs/>
                <w:color w:val="000000" w:themeColor="text1"/>
                <w:sz w:val="22"/>
                <w:szCs w:val="22"/>
              </w:rPr>
            </w:pPr>
            <w:r>
              <w:rPr>
                <w:rFonts w:ascii="Arial" w:hAnsi="Arial" w:cs="Arial"/>
                <w:b/>
                <w:bCs/>
                <w:color w:val="000000" w:themeColor="text1"/>
                <w:sz w:val="22"/>
                <w:szCs w:val="22"/>
              </w:rPr>
              <w:t xml:space="preserve">Year </w:t>
            </w:r>
          </w:p>
        </w:tc>
        <w:tc>
          <w:tcPr>
            <w:tcW w:w="3005" w:type="dxa"/>
          </w:tcPr>
          <w:p w14:paraId="6BECBF07" w14:textId="5D469171" w:rsidR="007D1743" w:rsidRPr="00502B7C" w:rsidRDefault="007D1743" w:rsidP="007909A0">
            <w:pPr>
              <w:tabs>
                <w:tab w:val="left" w:pos="2520"/>
              </w:tabs>
              <w:spacing w:line="360" w:lineRule="auto"/>
              <w:rPr>
                <w:rFonts w:ascii="Arial" w:hAnsi="Arial" w:cs="Arial"/>
                <w:b/>
                <w:bCs/>
                <w:color w:val="124F1A" w:themeColor="accent3" w:themeShade="BF"/>
                <w:sz w:val="22"/>
                <w:szCs w:val="22"/>
              </w:rPr>
            </w:pPr>
            <w:r w:rsidRPr="00502B7C">
              <w:rPr>
                <w:rFonts w:ascii="Arial" w:hAnsi="Arial" w:cs="Arial"/>
                <w:b/>
                <w:bCs/>
                <w:color w:val="124F1A" w:themeColor="accent3" w:themeShade="BF"/>
                <w:sz w:val="22"/>
                <w:szCs w:val="22"/>
              </w:rPr>
              <w:t>A</w:t>
            </w:r>
          </w:p>
        </w:tc>
        <w:tc>
          <w:tcPr>
            <w:tcW w:w="3006" w:type="dxa"/>
          </w:tcPr>
          <w:p w14:paraId="74696E78" w14:textId="77469548" w:rsidR="007D1743" w:rsidRPr="00502B7C" w:rsidRDefault="007D1743" w:rsidP="007909A0">
            <w:pPr>
              <w:tabs>
                <w:tab w:val="left" w:pos="2520"/>
              </w:tabs>
              <w:spacing w:line="360" w:lineRule="auto"/>
              <w:rPr>
                <w:rFonts w:ascii="Arial" w:hAnsi="Arial" w:cs="Arial"/>
                <w:b/>
                <w:bCs/>
                <w:color w:val="77206D" w:themeColor="accent5" w:themeShade="BF"/>
                <w:sz w:val="22"/>
                <w:szCs w:val="22"/>
              </w:rPr>
            </w:pPr>
            <w:r w:rsidRPr="00502B7C">
              <w:rPr>
                <w:rFonts w:ascii="Arial" w:hAnsi="Arial" w:cs="Arial"/>
                <w:b/>
                <w:bCs/>
                <w:color w:val="77206D" w:themeColor="accent5" w:themeShade="BF"/>
                <w:sz w:val="22"/>
                <w:szCs w:val="22"/>
              </w:rPr>
              <w:t>B</w:t>
            </w:r>
          </w:p>
        </w:tc>
      </w:tr>
      <w:tr w:rsidR="007D1743" w14:paraId="459E3A5C" w14:textId="77777777" w:rsidTr="007D1743">
        <w:tc>
          <w:tcPr>
            <w:tcW w:w="3005" w:type="dxa"/>
          </w:tcPr>
          <w:p w14:paraId="5BF70483" w14:textId="6A342A74" w:rsidR="007D1743" w:rsidRDefault="007D1743" w:rsidP="007909A0">
            <w:pPr>
              <w:tabs>
                <w:tab w:val="left" w:pos="2520"/>
              </w:tabs>
              <w:spacing w:line="360" w:lineRule="auto"/>
              <w:rPr>
                <w:rFonts w:ascii="Arial" w:hAnsi="Arial" w:cs="Arial"/>
                <w:b/>
                <w:bCs/>
                <w:color w:val="000000" w:themeColor="text1"/>
                <w:sz w:val="22"/>
                <w:szCs w:val="22"/>
              </w:rPr>
            </w:pPr>
            <w:r>
              <w:rPr>
                <w:rFonts w:ascii="Arial" w:hAnsi="Arial" w:cs="Arial"/>
                <w:b/>
                <w:bCs/>
                <w:color w:val="000000" w:themeColor="text1"/>
                <w:sz w:val="22"/>
                <w:szCs w:val="22"/>
              </w:rPr>
              <w:t>0</w:t>
            </w:r>
          </w:p>
        </w:tc>
        <w:tc>
          <w:tcPr>
            <w:tcW w:w="3005" w:type="dxa"/>
          </w:tcPr>
          <w:p w14:paraId="2E750289" w14:textId="434B9CAF" w:rsidR="007D1743" w:rsidRPr="00502B7C" w:rsidRDefault="007D1743" w:rsidP="007909A0">
            <w:pPr>
              <w:tabs>
                <w:tab w:val="left" w:pos="2520"/>
              </w:tabs>
              <w:spacing w:line="360" w:lineRule="auto"/>
              <w:rPr>
                <w:rFonts w:ascii="Arial" w:hAnsi="Arial" w:cs="Arial"/>
                <w:b/>
                <w:bCs/>
                <w:color w:val="124F1A" w:themeColor="accent3" w:themeShade="BF"/>
                <w:sz w:val="22"/>
                <w:szCs w:val="22"/>
              </w:rPr>
            </w:pPr>
            <w:r w:rsidRPr="00502B7C">
              <w:rPr>
                <w:rFonts w:ascii="Arial" w:hAnsi="Arial" w:cs="Arial"/>
                <w:b/>
                <w:bCs/>
                <w:color w:val="124F1A" w:themeColor="accent3" w:themeShade="BF"/>
                <w:sz w:val="22"/>
                <w:szCs w:val="22"/>
              </w:rPr>
              <w:t>-5000</w:t>
            </w:r>
          </w:p>
        </w:tc>
        <w:tc>
          <w:tcPr>
            <w:tcW w:w="3006" w:type="dxa"/>
          </w:tcPr>
          <w:p w14:paraId="59EF1FA7" w14:textId="63BFC788" w:rsidR="007D1743" w:rsidRPr="00502B7C" w:rsidRDefault="007D1743" w:rsidP="007909A0">
            <w:pPr>
              <w:tabs>
                <w:tab w:val="left" w:pos="2520"/>
              </w:tabs>
              <w:spacing w:line="360" w:lineRule="auto"/>
              <w:rPr>
                <w:rFonts w:ascii="Arial" w:hAnsi="Arial" w:cs="Arial"/>
                <w:b/>
                <w:bCs/>
                <w:color w:val="77206D" w:themeColor="accent5" w:themeShade="BF"/>
                <w:sz w:val="22"/>
                <w:szCs w:val="22"/>
              </w:rPr>
            </w:pPr>
            <w:r w:rsidRPr="00502B7C">
              <w:rPr>
                <w:rFonts w:ascii="Arial" w:hAnsi="Arial" w:cs="Arial"/>
                <w:b/>
                <w:bCs/>
                <w:color w:val="77206D" w:themeColor="accent5" w:themeShade="BF"/>
                <w:sz w:val="22"/>
                <w:szCs w:val="22"/>
              </w:rPr>
              <w:t>-1000</w:t>
            </w:r>
          </w:p>
        </w:tc>
      </w:tr>
      <w:tr w:rsidR="007D1743" w14:paraId="5D99315F" w14:textId="77777777" w:rsidTr="007D1743">
        <w:tc>
          <w:tcPr>
            <w:tcW w:w="3005" w:type="dxa"/>
          </w:tcPr>
          <w:p w14:paraId="6231BC74" w14:textId="6E4D9B0D" w:rsidR="007D1743" w:rsidRDefault="007D1743" w:rsidP="007909A0">
            <w:pPr>
              <w:tabs>
                <w:tab w:val="left" w:pos="2520"/>
              </w:tabs>
              <w:spacing w:line="360" w:lineRule="auto"/>
              <w:rPr>
                <w:rFonts w:ascii="Arial" w:hAnsi="Arial" w:cs="Arial"/>
                <w:b/>
                <w:bCs/>
                <w:color w:val="000000" w:themeColor="text1"/>
                <w:sz w:val="22"/>
                <w:szCs w:val="22"/>
              </w:rPr>
            </w:pPr>
            <w:r>
              <w:rPr>
                <w:rFonts w:ascii="Arial" w:hAnsi="Arial" w:cs="Arial"/>
                <w:b/>
                <w:bCs/>
                <w:color w:val="000000" w:themeColor="text1"/>
                <w:sz w:val="22"/>
                <w:szCs w:val="22"/>
              </w:rPr>
              <w:t>1</w:t>
            </w:r>
          </w:p>
        </w:tc>
        <w:tc>
          <w:tcPr>
            <w:tcW w:w="3005" w:type="dxa"/>
          </w:tcPr>
          <w:p w14:paraId="29179099" w14:textId="577B61D5" w:rsidR="007D1743" w:rsidRPr="00502B7C" w:rsidRDefault="007D1743" w:rsidP="007909A0">
            <w:pPr>
              <w:tabs>
                <w:tab w:val="left" w:pos="2520"/>
              </w:tabs>
              <w:spacing w:line="360" w:lineRule="auto"/>
              <w:rPr>
                <w:rFonts w:ascii="Arial" w:hAnsi="Arial" w:cs="Arial"/>
                <w:b/>
                <w:bCs/>
                <w:color w:val="124F1A" w:themeColor="accent3" w:themeShade="BF"/>
                <w:sz w:val="22"/>
                <w:szCs w:val="22"/>
              </w:rPr>
            </w:pPr>
            <w:r w:rsidRPr="00502B7C">
              <w:rPr>
                <w:rFonts w:ascii="Arial" w:hAnsi="Arial" w:cs="Arial"/>
                <w:b/>
                <w:bCs/>
                <w:color w:val="124F1A" w:themeColor="accent3" w:themeShade="BF"/>
                <w:sz w:val="22"/>
                <w:szCs w:val="22"/>
              </w:rPr>
              <w:t>2500</w:t>
            </w:r>
          </w:p>
        </w:tc>
        <w:tc>
          <w:tcPr>
            <w:tcW w:w="3006" w:type="dxa"/>
          </w:tcPr>
          <w:p w14:paraId="08130AFD" w14:textId="0B2DE3CD" w:rsidR="007D1743" w:rsidRPr="00502B7C" w:rsidRDefault="007D1743" w:rsidP="007909A0">
            <w:pPr>
              <w:tabs>
                <w:tab w:val="left" w:pos="2520"/>
              </w:tabs>
              <w:spacing w:line="360" w:lineRule="auto"/>
              <w:rPr>
                <w:rFonts w:ascii="Arial" w:hAnsi="Arial" w:cs="Arial"/>
                <w:b/>
                <w:bCs/>
                <w:color w:val="77206D" w:themeColor="accent5" w:themeShade="BF"/>
                <w:sz w:val="22"/>
                <w:szCs w:val="22"/>
              </w:rPr>
            </w:pPr>
            <w:r w:rsidRPr="00502B7C">
              <w:rPr>
                <w:rFonts w:ascii="Arial" w:hAnsi="Arial" w:cs="Arial"/>
                <w:b/>
                <w:bCs/>
                <w:color w:val="77206D" w:themeColor="accent5" w:themeShade="BF"/>
                <w:sz w:val="22"/>
                <w:szCs w:val="22"/>
              </w:rPr>
              <w:t>1500</w:t>
            </w:r>
          </w:p>
        </w:tc>
      </w:tr>
      <w:tr w:rsidR="007D1743" w14:paraId="41549185" w14:textId="77777777" w:rsidTr="007D1743">
        <w:tc>
          <w:tcPr>
            <w:tcW w:w="3005" w:type="dxa"/>
          </w:tcPr>
          <w:p w14:paraId="590802D2" w14:textId="324225AE" w:rsidR="007D1743" w:rsidRDefault="007D1743" w:rsidP="007909A0">
            <w:pPr>
              <w:tabs>
                <w:tab w:val="left" w:pos="2520"/>
              </w:tabs>
              <w:spacing w:line="360" w:lineRule="auto"/>
              <w:rPr>
                <w:rFonts w:ascii="Arial" w:hAnsi="Arial" w:cs="Arial"/>
                <w:b/>
                <w:bCs/>
                <w:color w:val="000000" w:themeColor="text1"/>
                <w:sz w:val="22"/>
                <w:szCs w:val="22"/>
              </w:rPr>
            </w:pPr>
            <w:r>
              <w:rPr>
                <w:rFonts w:ascii="Arial" w:hAnsi="Arial" w:cs="Arial"/>
                <w:b/>
                <w:bCs/>
                <w:color w:val="000000" w:themeColor="text1"/>
                <w:sz w:val="22"/>
                <w:szCs w:val="22"/>
              </w:rPr>
              <w:t>2</w:t>
            </w:r>
          </w:p>
        </w:tc>
        <w:tc>
          <w:tcPr>
            <w:tcW w:w="3005" w:type="dxa"/>
          </w:tcPr>
          <w:p w14:paraId="23610F0D" w14:textId="350A06B2" w:rsidR="007D1743" w:rsidRPr="00502B7C" w:rsidRDefault="007D1743" w:rsidP="007909A0">
            <w:pPr>
              <w:tabs>
                <w:tab w:val="left" w:pos="2520"/>
              </w:tabs>
              <w:spacing w:line="360" w:lineRule="auto"/>
              <w:rPr>
                <w:rFonts w:ascii="Arial" w:hAnsi="Arial" w:cs="Arial"/>
                <w:b/>
                <w:bCs/>
                <w:color w:val="124F1A" w:themeColor="accent3" w:themeShade="BF"/>
                <w:sz w:val="22"/>
                <w:szCs w:val="22"/>
              </w:rPr>
            </w:pPr>
            <w:r w:rsidRPr="00502B7C">
              <w:rPr>
                <w:rFonts w:ascii="Arial" w:hAnsi="Arial" w:cs="Arial"/>
                <w:b/>
                <w:bCs/>
                <w:color w:val="124F1A" w:themeColor="accent3" w:themeShade="BF"/>
                <w:sz w:val="22"/>
                <w:szCs w:val="22"/>
              </w:rPr>
              <w:t>2000</w:t>
            </w:r>
          </w:p>
        </w:tc>
        <w:tc>
          <w:tcPr>
            <w:tcW w:w="3006" w:type="dxa"/>
          </w:tcPr>
          <w:p w14:paraId="5D8B3A9D" w14:textId="0694A02D" w:rsidR="007D1743" w:rsidRPr="00502B7C" w:rsidRDefault="007D1743" w:rsidP="007909A0">
            <w:pPr>
              <w:tabs>
                <w:tab w:val="left" w:pos="2520"/>
              </w:tabs>
              <w:spacing w:line="360" w:lineRule="auto"/>
              <w:rPr>
                <w:rFonts w:ascii="Arial" w:hAnsi="Arial" w:cs="Arial"/>
                <w:b/>
                <w:bCs/>
                <w:color w:val="77206D" w:themeColor="accent5" w:themeShade="BF"/>
                <w:sz w:val="22"/>
                <w:szCs w:val="22"/>
              </w:rPr>
            </w:pPr>
            <w:r w:rsidRPr="00502B7C">
              <w:rPr>
                <w:rFonts w:ascii="Arial" w:hAnsi="Arial" w:cs="Arial"/>
                <w:b/>
                <w:bCs/>
                <w:color w:val="77206D" w:themeColor="accent5" w:themeShade="BF"/>
                <w:sz w:val="22"/>
                <w:szCs w:val="22"/>
              </w:rPr>
              <w:t>1000</w:t>
            </w:r>
          </w:p>
        </w:tc>
      </w:tr>
      <w:tr w:rsidR="007D1743" w14:paraId="53764D7E" w14:textId="77777777" w:rsidTr="007D1743">
        <w:tc>
          <w:tcPr>
            <w:tcW w:w="3005" w:type="dxa"/>
          </w:tcPr>
          <w:p w14:paraId="645F7827" w14:textId="2EAC43AD" w:rsidR="007D1743" w:rsidRDefault="007D1743" w:rsidP="007909A0">
            <w:pPr>
              <w:tabs>
                <w:tab w:val="left" w:pos="2520"/>
              </w:tabs>
              <w:spacing w:line="360" w:lineRule="auto"/>
              <w:rPr>
                <w:rFonts w:ascii="Arial" w:hAnsi="Arial" w:cs="Arial"/>
                <w:b/>
                <w:bCs/>
                <w:color w:val="000000" w:themeColor="text1"/>
                <w:sz w:val="22"/>
                <w:szCs w:val="22"/>
              </w:rPr>
            </w:pPr>
            <w:r>
              <w:rPr>
                <w:rFonts w:ascii="Arial" w:hAnsi="Arial" w:cs="Arial"/>
                <w:b/>
                <w:bCs/>
                <w:color w:val="000000" w:themeColor="text1"/>
                <w:sz w:val="22"/>
                <w:szCs w:val="22"/>
              </w:rPr>
              <w:t>3</w:t>
            </w:r>
          </w:p>
        </w:tc>
        <w:tc>
          <w:tcPr>
            <w:tcW w:w="3005" w:type="dxa"/>
          </w:tcPr>
          <w:p w14:paraId="3D914C08" w14:textId="0F59A070" w:rsidR="007D1743" w:rsidRPr="00502B7C" w:rsidRDefault="007D1743" w:rsidP="007909A0">
            <w:pPr>
              <w:tabs>
                <w:tab w:val="left" w:pos="2520"/>
              </w:tabs>
              <w:spacing w:line="360" w:lineRule="auto"/>
              <w:rPr>
                <w:rFonts w:ascii="Arial" w:hAnsi="Arial" w:cs="Arial"/>
                <w:b/>
                <w:bCs/>
                <w:color w:val="124F1A" w:themeColor="accent3" w:themeShade="BF"/>
                <w:sz w:val="22"/>
                <w:szCs w:val="22"/>
              </w:rPr>
            </w:pPr>
            <w:r w:rsidRPr="00502B7C">
              <w:rPr>
                <w:rFonts w:ascii="Arial" w:hAnsi="Arial" w:cs="Arial"/>
                <w:b/>
                <w:bCs/>
                <w:color w:val="124F1A" w:themeColor="accent3" w:themeShade="BF"/>
                <w:sz w:val="22"/>
                <w:szCs w:val="22"/>
              </w:rPr>
              <w:t>1000</w:t>
            </w:r>
          </w:p>
        </w:tc>
        <w:tc>
          <w:tcPr>
            <w:tcW w:w="3006" w:type="dxa"/>
          </w:tcPr>
          <w:p w14:paraId="0A1E9CE9" w14:textId="097D6E59" w:rsidR="007D1743" w:rsidRPr="00502B7C" w:rsidRDefault="007D1743" w:rsidP="007909A0">
            <w:pPr>
              <w:tabs>
                <w:tab w:val="left" w:pos="2520"/>
              </w:tabs>
              <w:spacing w:line="360" w:lineRule="auto"/>
              <w:rPr>
                <w:rFonts w:ascii="Arial" w:hAnsi="Arial" w:cs="Arial"/>
                <w:b/>
                <w:bCs/>
                <w:color w:val="77206D" w:themeColor="accent5" w:themeShade="BF"/>
                <w:sz w:val="22"/>
                <w:szCs w:val="22"/>
              </w:rPr>
            </w:pPr>
            <w:r w:rsidRPr="00502B7C">
              <w:rPr>
                <w:rFonts w:ascii="Arial" w:hAnsi="Arial" w:cs="Arial"/>
                <w:b/>
                <w:bCs/>
                <w:color w:val="77206D" w:themeColor="accent5" w:themeShade="BF"/>
                <w:sz w:val="22"/>
                <w:szCs w:val="22"/>
              </w:rPr>
              <w:t>1000</w:t>
            </w:r>
          </w:p>
        </w:tc>
      </w:tr>
      <w:tr w:rsidR="007D1743" w14:paraId="4164E66D" w14:textId="77777777" w:rsidTr="007D1743">
        <w:tc>
          <w:tcPr>
            <w:tcW w:w="3005" w:type="dxa"/>
          </w:tcPr>
          <w:p w14:paraId="7C87B31C" w14:textId="21AD17EB" w:rsidR="007D1743" w:rsidRDefault="007D1743" w:rsidP="007909A0">
            <w:pPr>
              <w:tabs>
                <w:tab w:val="left" w:pos="2520"/>
              </w:tabs>
              <w:spacing w:line="360" w:lineRule="auto"/>
              <w:rPr>
                <w:rFonts w:ascii="Arial" w:hAnsi="Arial" w:cs="Arial"/>
                <w:b/>
                <w:bCs/>
                <w:color w:val="000000" w:themeColor="text1"/>
                <w:sz w:val="22"/>
                <w:szCs w:val="22"/>
              </w:rPr>
            </w:pPr>
            <w:r>
              <w:rPr>
                <w:rFonts w:ascii="Arial" w:hAnsi="Arial" w:cs="Arial"/>
                <w:b/>
                <w:bCs/>
                <w:color w:val="000000" w:themeColor="text1"/>
                <w:sz w:val="22"/>
                <w:szCs w:val="22"/>
              </w:rPr>
              <w:t>4</w:t>
            </w:r>
          </w:p>
        </w:tc>
        <w:tc>
          <w:tcPr>
            <w:tcW w:w="3005" w:type="dxa"/>
          </w:tcPr>
          <w:p w14:paraId="7CEF3F4A" w14:textId="71F4142F" w:rsidR="007D1743" w:rsidRPr="00502B7C" w:rsidRDefault="007D1743" w:rsidP="007909A0">
            <w:pPr>
              <w:tabs>
                <w:tab w:val="left" w:pos="2520"/>
              </w:tabs>
              <w:spacing w:line="360" w:lineRule="auto"/>
              <w:rPr>
                <w:rFonts w:ascii="Arial" w:hAnsi="Arial" w:cs="Arial"/>
                <w:b/>
                <w:bCs/>
                <w:color w:val="124F1A" w:themeColor="accent3" w:themeShade="BF"/>
                <w:sz w:val="22"/>
                <w:szCs w:val="22"/>
              </w:rPr>
            </w:pPr>
            <w:r w:rsidRPr="00502B7C">
              <w:rPr>
                <w:rFonts w:ascii="Arial" w:hAnsi="Arial" w:cs="Arial"/>
                <w:b/>
                <w:bCs/>
                <w:color w:val="124F1A" w:themeColor="accent3" w:themeShade="BF"/>
                <w:sz w:val="22"/>
                <w:szCs w:val="22"/>
              </w:rPr>
              <w:t>-442</w:t>
            </w:r>
          </w:p>
        </w:tc>
        <w:tc>
          <w:tcPr>
            <w:tcW w:w="3006" w:type="dxa"/>
          </w:tcPr>
          <w:p w14:paraId="015BFF7C" w14:textId="15269061" w:rsidR="007D1743" w:rsidRPr="00502B7C" w:rsidRDefault="007D1743" w:rsidP="007909A0">
            <w:pPr>
              <w:tabs>
                <w:tab w:val="left" w:pos="2520"/>
              </w:tabs>
              <w:spacing w:line="360" w:lineRule="auto"/>
              <w:rPr>
                <w:rFonts w:ascii="Arial" w:hAnsi="Arial" w:cs="Arial"/>
                <w:b/>
                <w:bCs/>
                <w:color w:val="77206D" w:themeColor="accent5" w:themeShade="BF"/>
                <w:sz w:val="22"/>
                <w:szCs w:val="22"/>
              </w:rPr>
            </w:pPr>
            <w:r w:rsidRPr="00502B7C">
              <w:rPr>
                <w:rFonts w:ascii="Arial" w:hAnsi="Arial" w:cs="Arial"/>
                <w:b/>
                <w:bCs/>
                <w:color w:val="77206D" w:themeColor="accent5" w:themeShade="BF"/>
                <w:sz w:val="22"/>
                <w:szCs w:val="22"/>
              </w:rPr>
              <w:t xml:space="preserve">-470 </w:t>
            </w:r>
          </w:p>
        </w:tc>
      </w:tr>
    </w:tbl>
    <w:p w14:paraId="19605B7A" w14:textId="77777777" w:rsidR="007D1743" w:rsidRDefault="007D1743" w:rsidP="007909A0">
      <w:pPr>
        <w:tabs>
          <w:tab w:val="left" w:pos="2520"/>
        </w:tabs>
        <w:spacing w:line="360" w:lineRule="auto"/>
        <w:rPr>
          <w:rFonts w:ascii="Arial" w:hAnsi="Arial" w:cs="Arial"/>
          <w:b/>
          <w:bCs/>
          <w:color w:val="000000" w:themeColor="text1"/>
          <w:sz w:val="22"/>
          <w:szCs w:val="22"/>
        </w:rPr>
      </w:pPr>
    </w:p>
    <w:p w14:paraId="4E8F789A" w14:textId="77777777" w:rsidR="00FB7FBF" w:rsidRDefault="007D1743" w:rsidP="007D1743">
      <w:pPr>
        <w:pStyle w:val="NormalWeb"/>
        <w:rPr>
          <w:rFonts w:ascii="ArialMT" w:hAnsi="ArialMT"/>
          <w:b/>
          <w:bCs/>
          <w:sz w:val="22"/>
          <w:szCs w:val="22"/>
        </w:rPr>
      </w:pPr>
      <w:r w:rsidRPr="006238F6">
        <w:rPr>
          <w:rFonts w:ascii="ArialMT" w:hAnsi="ArialMT"/>
          <w:b/>
          <w:bCs/>
          <w:sz w:val="22"/>
          <w:szCs w:val="22"/>
        </w:rPr>
        <w:t xml:space="preserve">Payback Period (PBP) </w:t>
      </w:r>
    </w:p>
    <w:p w14:paraId="69666304" w14:textId="77777777" w:rsidR="0017163F" w:rsidRPr="0017163F" w:rsidRDefault="0017163F" w:rsidP="0017163F">
      <w:pPr>
        <w:pStyle w:val="NormalWeb"/>
        <w:rPr>
          <w:rFonts w:ascii="ArialMT" w:hAnsi="ArialMT"/>
          <w:sz w:val="22"/>
          <w:szCs w:val="22"/>
        </w:rPr>
      </w:pPr>
      <w:r w:rsidRPr="0017163F">
        <w:rPr>
          <w:rFonts w:ascii="ArialMT" w:hAnsi="ArialMT"/>
          <w:sz w:val="22"/>
          <w:szCs w:val="22"/>
        </w:rPr>
        <w:t>The Payback Period (PBP) is used to calculate how long it will take an investment to produce sufficient cash flows to recover its initial cost. (T. Harkat, 2020)</w:t>
      </w:r>
    </w:p>
    <w:p w14:paraId="68DBED73" w14:textId="77777777" w:rsidR="0017163F" w:rsidRDefault="0017163F" w:rsidP="0017163F">
      <w:pPr>
        <w:pStyle w:val="NormalWeb"/>
        <w:rPr>
          <w:rFonts w:ascii="ArialMT" w:hAnsi="ArialMT"/>
          <w:sz w:val="22"/>
          <w:szCs w:val="22"/>
        </w:rPr>
      </w:pPr>
      <w:r w:rsidRPr="0017163F">
        <w:rPr>
          <w:rFonts w:ascii="ArialMT" w:hAnsi="ArialMT"/>
          <w:sz w:val="22"/>
          <w:szCs w:val="22"/>
        </w:rPr>
        <w:t xml:space="preserve"> Finding the original investment, keep track of incoming cash, deduct that cash from the initial investment = money equals the initial investment equals reaching the PBP</w:t>
      </w:r>
    </w:p>
    <w:p w14:paraId="749E3F86" w14:textId="2897F698" w:rsidR="00705734" w:rsidRDefault="00705734" w:rsidP="0017163F">
      <w:pPr>
        <w:pStyle w:val="NormalWeb"/>
        <w:rPr>
          <w:rFonts w:ascii="ArialMT" w:hAnsi="ArialMT"/>
          <w:sz w:val="22"/>
          <w:szCs w:val="22"/>
        </w:rPr>
      </w:pPr>
      <w:r>
        <w:rPr>
          <w:rFonts w:ascii="ArialMT" w:hAnsi="ArialMT"/>
          <w:sz w:val="22"/>
          <w:szCs w:val="22"/>
        </w:rPr>
        <w:t>Formula = years + Deficit / (Deficit + Sur</w:t>
      </w:r>
      <w:r w:rsidR="002E56A4">
        <w:rPr>
          <w:rFonts w:ascii="ArialMT" w:hAnsi="ArialMT"/>
          <w:sz w:val="22"/>
          <w:szCs w:val="22"/>
        </w:rPr>
        <w:t xml:space="preserve">plus) (source UWTSD 2024) </w:t>
      </w:r>
    </w:p>
    <w:p w14:paraId="71568D69" w14:textId="7B3CE8B0" w:rsidR="00200241" w:rsidRPr="00275E8E" w:rsidRDefault="00200A65" w:rsidP="00200A65">
      <w:pPr>
        <w:pStyle w:val="Caption"/>
        <w:rPr>
          <w:rFonts w:ascii="Arial" w:hAnsi="Arial" w:cs="Arial"/>
          <w:b/>
          <w:bCs/>
          <w:color w:val="000000" w:themeColor="text1"/>
          <w:sz w:val="22"/>
          <w:szCs w:val="22"/>
        </w:rPr>
      </w:pPr>
      <w:bookmarkStart w:id="16" w:name="_Toc164849547"/>
      <w:r>
        <w:t xml:space="preserve">Table </w:t>
      </w:r>
      <w:r>
        <w:fldChar w:fldCharType="begin"/>
      </w:r>
      <w:r>
        <w:instrText xml:space="preserve"> SEQ Table \* ARABIC </w:instrText>
      </w:r>
      <w:r>
        <w:fldChar w:fldCharType="separate"/>
      </w:r>
      <w:r w:rsidR="00083413">
        <w:rPr>
          <w:noProof/>
        </w:rPr>
        <w:t>7</w:t>
      </w:r>
      <w:r>
        <w:fldChar w:fldCharType="end"/>
      </w:r>
      <w:r w:rsidRPr="00852BB4">
        <w:t>Payback Period calculation (source: author)</w:t>
      </w:r>
      <w:bookmarkEnd w:id="16"/>
    </w:p>
    <w:p w14:paraId="45BCA6C4" w14:textId="77777777" w:rsidR="00200241" w:rsidRDefault="00200241" w:rsidP="007D1743">
      <w:pPr>
        <w:pStyle w:val="NormalWeb"/>
        <w:rPr>
          <w:rFonts w:ascii="ArialMT" w:hAnsi="ArialMT"/>
          <w:sz w:val="22"/>
          <w:szCs w:val="22"/>
        </w:rPr>
      </w:pPr>
    </w:p>
    <w:tbl>
      <w:tblPr>
        <w:tblW w:w="6400" w:type="dxa"/>
        <w:tblLook w:val="04A0" w:firstRow="1" w:lastRow="0" w:firstColumn="1" w:lastColumn="0" w:noHBand="0" w:noVBand="1"/>
      </w:tblPr>
      <w:tblGrid>
        <w:gridCol w:w="2760"/>
        <w:gridCol w:w="1860"/>
        <w:gridCol w:w="1780"/>
      </w:tblGrid>
      <w:tr w:rsidR="007F1607" w14:paraId="46EAF0EF" w14:textId="77777777" w:rsidTr="007F1607">
        <w:trPr>
          <w:trHeight w:val="320"/>
        </w:trPr>
        <w:tc>
          <w:tcPr>
            <w:tcW w:w="2760" w:type="dxa"/>
            <w:tcBorders>
              <w:top w:val="nil"/>
              <w:left w:val="nil"/>
              <w:bottom w:val="nil"/>
              <w:right w:val="nil"/>
            </w:tcBorders>
            <w:shd w:val="clear" w:color="auto" w:fill="auto"/>
            <w:noWrap/>
            <w:vAlign w:val="bottom"/>
            <w:hideMark/>
          </w:tcPr>
          <w:p w14:paraId="4DB10F2A" w14:textId="77777777" w:rsidR="007F1607" w:rsidRDefault="007F1607">
            <w:pPr>
              <w:rPr>
                <w:rFonts w:ascii="Aptos Narrow" w:hAnsi="Aptos Narrow"/>
                <w:color w:val="000000"/>
              </w:rPr>
            </w:pPr>
            <w:r>
              <w:rPr>
                <w:rFonts w:ascii="Aptos Narrow" w:hAnsi="Aptos Narrow"/>
                <w:color w:val="000000"/>
              </w:rPr>
              <w:t xml:space="preserve">Year </w:t>
            </w:r>
          </w:p>
        </w:tc>
        <w:tc>
          <w:tcPr>
            <w:tcW w:w="1860" w:type="dxa"/>
            <w:tcBorders>
              <w:top w:val="nil"/>
              <w:left w:val="nil"/>
              <w:bottom w:val="nil"/>
              <w:right w:val="nil"/>
            </w:tcBorders>
            <w:shd w:val="clear" w:color="000000" w:fill="47D359"/>
            <w:noWrap/>
            <w:vAlign w:val="bottom"/>
            <w:hideMark/>
          </w:tcPr>
          <w:p w14:paraId="1C9FAA4F" w14:textId="77777777" w:rsidR="007F1607" w:rsidRDefault="007F1607">
            <w:pPr>
              <w:rPr>
                <w:rFonts w:ascii="Aptos Narrow" w:hAnsi="Aptos Narrow"/>
                <w:color w:val="000000"/>
              </w:rPr>
            </w:pPr>
            <w:r>
              <w:rPr>
                <w:rFonts w:ascii="Aptos Narrow" w:hAnsi="Aptos Narrow"/>
                <w:color w:val="000000"/>
              </w:rPr>
              <w:t>Project A</w:t>
            </w:r>
          </w:p>
        </w:tc>
        <w:tc>
          <w:tcPr>
            <w:tcW w:w="1780" w:type="dxa"/>
            <w:tcBorders>
              <w:top w:val="nil"/>
              <w:left w:val="nil"/>
              <w:bottom w:val="nil"/>
              <w:right w:val="nil"/>
            </w:tcBorders>
            <w:shd w:val="clear" w:color="000000" w:fill="D86DCD"/>
            <w:noWrap/>
            <w:vAlign w:val="bottom"/>
            <w:hideMark/>
          </w:tcPr>
          <w:p w14:paraId="34554954" w14:textId="77777777" w:rsidR="007F1607" w:rsidRDefault="007F1607">
            <w:pPr>
              <w:rPr>
                <w:rFonts w:ascii="Aptos Narrow" w:hAnsi="Aptos Narrow"/>
                <w:color w:val="000000"/>
              </w:rPr>
            </w:pPr>
            <w:r>
              <w:rPr>
                <w:rFonts w:ascii="Aptos Narrow" w:hAnsi="Aptos Narrow"/>
                <w:color w:val="000000"/>
              </w:rPr>
              <w:t>Project B</w:t>
            </w:r>
          </w:p>
        </w:tc>
      </w:tr>
      <w:tr w:rsidR="007F1607" w14:paraId="68AC9838" w14:textId="77777777" w:rsidTr="007F1607">
        <w:trPr>
          <w:trHeight w:val="320"/>
        </w:trPr>
        <w:tc>
          <w:tcPr>
            <w:tcW w:w="2760" w:type="dxa"/>
            <w:tcBorders>
              <w:top w:val="nil"/>
              <w:left w:val="nil"/>
              <w:bottom w:val="nil"/>
              <w:right w:val="nil"/>
            </w:tcBorders>
            <w:shd w:val="clear" w:color="auto" w:fill="auto"/>
            <w:noWrap/>
            <w:vAlign w:val="bottom"/>
            <w:hideMark/>
          </w:tcPr>
          <w:p w14:paraId="3E29DD5C" w14:textId="77777777" w:rsidR="007F1607" w:rsidRDefault="007F1607">
            <w:pPr>
              <w:jc w:val="right"/>
              <w:rPr>
                <w:rFonts w:ascii="Aptos Narrow" w:hAnsi="Aptos Narrow"/>
                <w:color w:val="000000"/>
              </w:rPr>
            </w:pPr>
            <w:r>
              <w:rPr>
                <w:rFonts w:ascii="Aptos Narrow" w:hAnsi="Aptos Narrow"/>
                <w:color w:val="000000"/>
              </w:rPr>
              <w:t>0</w:t>
            </w:r>
          </w:p>
        </w:tc>
        <w:tc>
          <w:tcPr>
            <w:tcW w:w="1860" w:type="dxa"/>
            <w:tcBorders>
              <w:top w:val="nil"/>
              <w:left w:val="nil"/>
              <w:bottom w:val="nil"/>
              <w:right w:val="nil"/>
            </w:tcBorders>
            <w:shd w:val="clear" w:color="auto" w:fill="auto"/>
            <w:noWrap/>
            <w:vAlign w:val="bottom"/>
            <w:hideMark/>
          </w:tcPr>
          <w:p w14:paraId="671DF8C6" w14:textId="77777777" w:rsidR="007F1607" w:rsidRDefault="007F1607">
            <w:pPr>
              <w:jc w:val="right"/>
              <w:rPr>
                <w:rFonts w:ascii="Aptos Narrow" w:hAnsi="Aptos Narrow"/>
                <w:color w:val="000000"/>
              </w:rPr>
            </w:pPr>
            <w:r>
              <w:rPr>
                <w:rFonts w:ascii="Aptos Narrow" w:hAnsi="Aptos Narrow"/>
                <w:color w:val="000000"/>
              </w:rPr>
              <w:t>-5000</w:t>
            </w:r>
          </w:p>
        </w:tc>
        <w:tc>
          <w:tcPr>
            <w:tcW w:w="1780" w:type="dxa"/>
            <w:tcBorders>
              <w:top w:val="nil"/>
              <w:left w:val="nil"/>
              <w:bottom w:val="nil"/>
              <w:right w:val="nil"/>
            </w:tcBorders>
            <w:shd w:val="clear" w:color="auto" w:fill="auto"/>
            <w:noWrap/>
            <w:vAlign w:val="bottom"/>
            <w:hideMark/>
          </w:tcPr>
          <w:p w14:paraId="03DDA26B" w14:textId="77777777" w:rsidR="007F1607" w:rsidRDefault="007F1607">
            <w:pPr>
              <w:jc w:val="right"/>
              <w:rPr>
                <w:rFonts w:ascii="Aptos Narrow" w:hAnsi="Aptos Narrow"/>
                <w:color w:val="000000"/>
              </w:rPr>
            </w:pPr>
            <w:r>
              <w:rPr>
                <w:rFonts w:ascii="Aptos Narrow" w:hAnsi="Aptos Narrow"/>
                <w:color w:val="000000"/>
              </w:rPr>
              <w:t>-1000</w:t>
            </w:r>
          </w:p>
        </w:tc>
      </w:tr>
      <w:tr w:rsidR="007F1607" w14:paraId="7B0DE494" w14:textId="77777777" w:rsidTr="007F1607">
        <w:trPr>
          <w:trHeight w:val="320"/>
        </w:trPr>
        <w:tc>
          <w:tcPr>
            <w:tcW w:w="2760" w:type="dxa"/>
            <w:tcBorders>
              <w:top w:val="nil"/>
              <w:left w:val="nil"/>
              <w:bottom w:val="nil"/>
              <w:right w:val="nil"/>
            </w:tcBorders>
            <w:shd w:val="clear" w:color="000000" w:fill="F2CEEF"/>
            <w:noWrap/>
            <w:vAlign w:val="bottom"/>
            <w:hideMark/>
          </w:tcPr>
          <w:p w14:paraId="405882C5" w14:textId="77777777" w:rsidR="007F1607" w:rsidRDefault="007F1607">
            <w:pPr>
              <w:jc w:val="right"/>
              <w:rPr>
                <w:rFonts w:ascii="Aptos Narrow" w:hAnsi="Aptos Narrow"/>
                <w:color w:val="000000"/>
              </w:rPr>
            </w:pPr>
            <w:r>
              <w:rPr>
                <w:rFonts w:ascii="Aptos Narrow" w:hAnsi="Aptos Narrow"/>
                <w:color w:val="000000"/>
              </w:rPr>
              <w:t>1</w:t>
            </w:r>
          </w:p>
        </w:tc>
        <w:tc>
          <w:tcPr>
            <w:tcW w:w="1860" w:type="dxa"/>
            <w:tcBorders>
              <w:top w:val="nil"/>
              <w:left w:val="nil"/>
              <w:bottom w:val="nil"/>
              <w:right w:val="nil"/>
            </w:tcBorders>
            <w:shd w:val="clear" w:color="auto" w:fill="auto"/>
            <w:noWrap/>
            <w:vAlign w:val="bottom"/>
            <w:hideMark/>
          </w:tcPr>
          <w:p w14:paraId="1E9DA506" w14:textId="77777777" w:rsidR="007F1607" w:rsidRDefault="007F1607">
            <w:pPr>
              <w:jc w:val="right"/>
              <w:rPr>
                <w:rFonts w:ascii="Aptos Narrow" w:hAnsi="Aptos Narrow"/>
                <w:color w:val="000000"/>
              </w:rPr>
            </w:pPr>
            <w:r>
              <w:rPr>
                <w:rFonts w:ascii="Aptos Narrow" w:hAnsi="Aptos Narrow"/>
                <w:color w:val="000000"/>
              </w:rPr>
              <w:t>2500</w:t>
            </w:r>
          </w:p>
        </w:tc>
        <w:tc>
          <w:tcPr>
            <w:tcW w:w="1780" w:type="dxa"/>
            <w:tcBorders>
              <w:top w:val="nil"/>
              <w:left w:val="nil"/>
              <w:bottom w:val="nil"/>
              <w:right w:val="nil"/>
            </w:tcBorders>
            <w:shd w:val="clear" w:color="000000" w:fill="F2CEEF"/>
            <w:noWrap/>
            <w:vAlign w:val="bottom"/>
            <w:hideMark/>
          </w:tcPr>
          <w:p w14:paraId="20D08869" w14:textId="77777777" w:rsidR="007F1607" w:rsidRDefault="007F1607">
            <w:pPr>
              <w:jc w:val="right"/>
              <w:rPr>
                <w:rFonts w:ascii="Aptos Narrow" w:hAnsi="Aptos Narrow"/>
                <w:color w:val="000000"/>
              </w:rPr>
            </w:pPr>
            <w:r>
              <w:rPr>
                <w:rFonts w:ascii="Aptos Narrow" w:hAnsi="Aptos Narrow"/>
                <w:color w:val="000000"/>
              </w:rPr>
              <w:t>1500</w:t>
            </w:r>
          </w:p>
        </w:tc>
      </w:tr>
      <w:tr w:rsidR="007F1607" w14:paraId="3CBA453C" w14:textId="77777777" w:rsidTr="007F1607">
        <w:trPr>
          <w:trHeight w:val="320"/>
        </w:trPr>
        <w:tc>
          <w:tcPr>
            <w:tcW w:w="2760" w:type="dxa"/>
            <w:tcBorders>
              <w:top w:val="nil"/>
              <w:left w:val="nil"/>
              <w:bottom w:val="nil"/>
              <w:right w:val="nil"/>
            </w:tcBorders>
            <w:shd w:val="clear" w:color="auto" w:fill="auto"/>
            <w:noWrap/>
            <w:vAlign w:val="bottom"/>
            <w:hideMark/>
          </w:tcPr>
          <w:p w14:paraId="5F070A0F" w14:textId="77777777" w:rsidR="007F1607" w:rsidRDefault="007F1607">
            <w:pPr>
              <w:jc w:val="right"/>
              <w:rPr>
                <w:rFonts w:ascii="Aptos Narrow" w:hAnsi="Aptos Narrow"/>
                <w:color w:val="000000"/>
              </w:rPr>
            </w:pPr>
            <w:r>
              <w:rPr>
                <w:rFonts w:ascii="Aptos Narrow" w:hAnsi="Aptos Narrow"/>
                <w:color w:val="000000"/>
              </w:rPr>
              <w:t>2</w:t>
            </w:r>
          </w:p>
        </w:tc>
        <w:tc>
          <w:tcPr>
            <w:tcW w:w="1860" w:type="dxa"/>
            <w:tcBorders>
              <w:top w:val="nil"/>
              <w:left w:val="nil"/>
              <w:bottom w:val="nil"/>
              <w:right w:val="nil"/>
            </w:tcBorders>
            <w:shd w:val="clear" w:color="auto" w:fill="auto"/>
            <w:noWrap/>
            <w:vAlign w:val="bottom"/>
            <w:hideMark/>
          </w:tcPr>
          <w:p w14:paraId="2C19CAE0" w14:textId="77777777" w:rsidR="007F1607" w:rsidRDefault="007F1607">
            <w:pPr>
              <w:jc w:val="right"/>
              <w:rPr>
                <w:rFonts w:ascii="Aptos Narrow" w:hAnsi="Aptos Narrow"/>
                <w:color w:val="000000"/>
              </w:rPr>
            </w:pPr>
            <w:r>
              <w:rPr>
                <w:rFonts w:ascii="Aptos Narrow" w:hAnsi="Aptos Narrow"/>
                <w:color w:val="000000"/>
              </w:rPr>
              <w:t>2000</w:t>
            </w:r>
          </w:p>
        </w:tc>
        <w:tc>
          <w:tcPr>
            <w:tcW w:w="1780" w:type="dxa"/>
            <w:tcBorders>
              <w:top w:val="nil"/>
              <w:left w:val="nil"/>
              <w:bottom w:val="nil"/>
              <w:right w:val="nil"/>
            </w:tcBorders>
            <w:shd w:val="clear" w:color="auto" w:fill="auto"/>
            <w:noWrap/>
            <w:vAlign w:val="bottom"/>
            <w:hideMark/>
          </w:tcPr>
          <w:p w14:paraId="7488BCA7" w14:textId="77777777" w:rsidR="007F1607" w:rsidRDefault="007F1607">
            <w:pPr>
              <w:jc w:val="right"/>
              <w:rPr>
                <w:rFonts w:ascii="Aptos Narrow" w:hAnsi="Aptos Narrow"/>
                <w:color w:val="000000"/>
              </w:rPr>
            </w:pPr>
            <w:r>
              <w:rPr>
                <w:rFonts w:ascii="Aptos Narrow" w:hAnsi="Aptos Narrow"/>
                <w:color w:val="000000"/>
              </w:rPr>
              <w:t>1000</w:t>
            </w:r>
          </w:p>
        </w:tc>
      </w:tr>
      <w:tr w:rsidR="007F1607" w14:paraId="2C1CE2CE" w14:textId="77777777" w:rsidTr="007F1607">
        <w:trPr>
          <w:trHeight w:val="320"/>
        </w:trPr>
        <w:tc>
          <w:tcPr>
            <w:tcW w:w="2760" w:type="dxa"/>
            <w:tcBorders>
              <w:top w:val="nil"/>
              <w:left w:val="nil"/>
              <w:bottom w:val="nil"/>
              <w:right w:val="nil"/>
            </w:tcBorders>
            <w:shd w:val="clear" w:color="000000" w:fill="C1F0C8"/>
            <w:noWrap/>
            <w:vAlign w:val="bottom"/>
            <w:hideMark/>
          </w:tcPr>
          <w:p w14:paraId="50FEDE4C" w14:textId="77777777" w:rsidR="007F1607" w:rsidRDefault="007F1607">
            <w:pPr>
              <w:jc w:val="right"/>
              <w:rPr>
                <w:rFonts w:ascii="Aptos Narrow" w:hAnsi="Aptos Narrow"/>
                <w:color w:val="000000"/>
              </w:rPr>
            </w:pPr>
            <w:r>
              <w:rPr>
                <w:rFonts w:ascii="Aptos Narrow" w:hAnsi="Aptos Narrow"/>
                <w:color w:val="000000"/>
              </w:rPr>
              <w:t>3</w:t>
            </w:r>
          </w:p>
        </w:tc>
        <w:tc>
          <w:tcPr>
            <w:tcW w:w="1860" w:type="dxa"/>
            <w:tcBorders>
              <w:top w:val="nil"/>
              <w:left w:val="nil"/>
              <w:bottom w:val="nil"/>
              <w:right w:val="nil"/>
            </w:tcBorders>
            <w:shd w:val="clear" w:color="000000" w:fill="C1F0C8"/>
            <w:noWrap/>
            <w:vAlign w:val="bottom"/>
            <w:hideMark/>
          </w:tcPr>
          <w:p w14:paraId="5CA2D8BB" w14:textId="77777777" w:rsidR="007F1607" w:rsidRDefault="007F1607">
            <w:pPr>
              <w:jc w:val="right"/>
              <w:rPr>
                <w:rFonts w:ascii="Aptos Narrow" w:hAnsi="Aptos Narrow"/>
                <w:color w:val="000000"/>
              </w:rPr>
            </w:pPr>
            <w:r>
              <w:rPr>
                <w:rFonts w:ascii="Aptos Narrow" w:hAnsi="Aptos Narrow"/>
                <w:color w:val="000000"/>
              </w:rPr>
              <w:t>1000</w:t>
            </w:r>
          </w:p>
        </w:tc>
        <w:tc>
          <w:tcPr>
            <w:tcW w:w="1780" w:type="dxa"/>
            <w:tcBorders>
              <w:top w:val="nil"/>
              <w:left w:val="nil"/>
              <w:bottom w:val="nil"/>
              <w:right w:val="nil"/>
            </w:tcBorders>
            <w:shd w:val="clear" w:color="auto" w:fill="auto"/>
            <w:noWrap/>
            <w:vAlign w:val="bottom"/>
            <w:hideMark/>
          </w:tcPr>
          <w:p w14:paraId="6E6176F1" w14:textId="77777777" w:rsidR="007F1607" w:rsidRDefault="007F1607">
            <w:pPr>
              <w:jc w:val="right"/>
              <w:rPr>
                <w:rFonts w:ascii="Aptos Narrow" w:hAnsi="Aptos Narrow"/>
                <w:color w:val="000000"/>
              </w:rPr>
            </w:pPr>
            <w:r>
              <w:rPr>
                <w:rFonts w:ascii="Aptos Narrow" w:hAnsi="Aptos Narrow"/>
                <w:color w:val="000000"/>
              </w:rPr>
              <w:t>1000</w:t>
            </w:r>
          </w:p>
        </w:tc>
      </w:tr>
      <w:tr w:rsidR="007F1607" w14:paraId="254EB88A" w14:textId="77777777" w:rsidTr="007F1607">
        <w:trPr>
          <w:trHeight w:val="320"/>
        </w:trPr>
        <w:tc>
          <w:tcPr>
            <w:tcW w:w="2760" w:type="dxa"/>
            <w:tcBorders>
              <w:top w:val="nil"/>
              <w:left w:val="nil"/>
              <w:bottom w:val="nil"/>
              <w:right w:val="nil"/>
            </w:tcBorders>
            <w:shd w:val="clear" w:color="auto" w:fill="auto"/>
            <w:noWrap/>
            <w:vAlign w:val="bottom"/>
            <w:hideMark/>
          </w:tcPr>
          <w:p w14:paraId="6B35B800" w14:textId="77777777" w:rsidR="007F1607" w:rsidRDefault="007F1607">
            <w:pPr>
              <w:jc w:val="right"/>
              <w:rPr>
                <w:rFonts w:ascii="Aptos Narrow" w:hAnsi="Aptos Narrow"/>
                <w:color w:val="000000"/>
              </w:rPr>
            </w:pPr>
            <w:r>
              <w:rPr>
                <w:rFonts w:ascii="Aptos Narrow" w:hAnsi="Aptos Narrow"/>
                <w:color w:val="000000"/>
              </w:rPr>
              <w:t>4</w:t>
            </w:r>
          </w:p>
        </w:tc>
        <w:tc>
          <w:tcPr>
            <w:tcW w:w="1860" w:type="dxa"/>
            <w:tcBorders>
              <w:top w:val="nil"/>
              <w:left w:val="nil"/>
              <w:bottom w:val="nil"/>
              <w:right w:val="nil"/>
            </w:tcBorders>
            <w:shd w:val="clear" w:color="auto" w:fill="auto"/>
            <w:noWrap/>
            <w:vAlign w:val="bottom"/>
            <w:hideMark/>
          </w:tcPr>
          <w:p w14:paraId="06E0B690" w14:textId="77777777" w:rsidR="007F1607" w:rsidRDefault="007F1607">
            <w:pPr>
              <w:jc w:val="right"/>
              <w:rPr>
                <w:rFonts w:ascii="Aptos Narrow" w:hAnsi="Aptos Narrow"/>
                <w:color w:val="000000"/>
              </w:rPr>
            </w:pPr>
            <w:r>
              <w:rPr>
                <w:rFonts w:ascii="Aptos Narrow" w:hAnsi="Aptos Narrow"/>
                <w:color w:val="000000"/>
              </w:rPr>
              <w:t>-442</w:t>
            </w:r>
          </w:p>
        </w:tc>
        <w:tc>
          <w:tcPr>
            <w:tcW w:w="1780" w:type="dxa"/>
            <w:tcBorders>
              <w:top w:val="nil"/>
              <w:left w:val="nil"/>
              <w:bottom w:val="nil"/>
              <w:right w:val="nil"/>
            </w:tcBorders>
            <w:shd w:val="clear" w:color="auto" w:fill="auto"/>
            <w:noWrap/>
            <w:vAlign w:val="bottom"/>
            <w:hideMark/>
          </w:tcPr>
          <w:p w14:paraId="75C86EC7" w14:textId="77777777" w:rsidR="007F1607" w:rsidRDefault="007F1607">
            <w:pPr>
              <w:jc w:val="right"/>
              <w:rPr>
                <w:rFonts w:ascii="Aptos Narrow" w:hAnsi="Aptos Narrow"/>
                <w:color w:val="000000"/>
              </w:rPr>
            </w:pPr>
            <w:r>
              <w:rPr>
                <w:rFonts w:ascii="Aptos Narrow" w:hAnsi="Aptos Narrow"/>
                <w:color w:val="000000"/>
              </w:rPr>
              <w:t>-470</w:t>
            </w:r>
          </w:p>
        </w:tc>
      </w:tr>
      <w:tr w:rsidR="007F1607" w14:paraId="02768632" w14:textId="77777777" w:rsidTr="007F1607">
        <w:trPr>
          <w:trHeight w:val="320"/>
        </w:trPr>
        <w:tc>
          <w:tcPr>
            <w:tcW w:w="2760" w:type="dxa"/>
            <w:tcBorders>
              <w:top w:val="nil"/>
              <w:left w:val="nil"/>
              <w:bottom w:val="nil"/>
              <w:right w:val="nil"/>
            </w:tcBorders>
            <w:shd w:val="clear" w:color="auto" w:fill="auto"/>
            <w:noWrap/>
            <w:vAlign w:val="bottom"/>
            <w:hideMark/>
          </w:tcPr>
          <w:p w14:paraId="580A3D81" w14:textId="77777777" w:rsidR="007F1607" w:rsidRDefault="007F1607">
            <w:pPr>
              <w:jc w:val="right"/>
              <w:rPr>
                <w:rFonts w:ascii="Aptos Narrow" w:hAnsi="Aptos Narrow"/>
                <w:color w:val="000000"/>
              </w:rPr>
            </w:pPr>
          </w:p>
        </w:tc>
        <w:tc>
          <w:tcPr>
            <w:tcW w:w="1860" w:type="dxa"/>
            <w:tcBorders>
              <w:top w:val="nil"/>
              <w:left w:val="nil"/>
              <w:bottom w:val="nil"/>
              <w:right w:val="nil"/>
            </w:tcBorders>
            <w:shd w:val="clear" w:color="auto" w:fill="auto"/>
            <w:noWrap/>
            <w:vAlign w:val="bottom"/>
            <w:hideMark/>
          </w:tcPr>
          <w:p w14:paraId="1BE6609F" w14:textId="77777777" w:rsidR="007F1607" w:rsidRDefault="007F1607">
            <w:pPr>
              <w:rPr>
                <w:sz w:val="20"/>
                <w:szCs w:val="20"/>
              </w:rPr>
            </w:pPr>
          </w:p>
        </w:tc>
        <w:tc>
          <w:tcPr>
            <w:tcW w:w="1780" w:type="dxa"/>
            <w:tcBorders>
              <w:top w:val="nil"/>
              <w:left w:val="nil"/>
              <w:bottom w:val="nil"/>
              <w:right w:val="nil"/>
            </w:tcBorders>
            <w:shd w:val="clear" w:color="auto" w:fill="auto"/>
            <w:noWrap/>
            <w:vAlign w:val="bottom"/>
            <w:hideMark/>
          </w:tcPr>
          <w:p w14:paraId="701576AC" w14:textId="77777777" w:rsidR="007F1607" w:rsidRDefault="007F1607">
            <w:pPr>
              <w:rPr>
                <w:sz w:val="20"/>
                <w:szCs w:val="20"/>
              </w:rPr>
            </w:pPr>
          </w:p>
        </w:tc>
      </w:tr>
      <w:tr w:rsidR="007F1607" w14:paraId="472FA380" w14:textId="77777777" w:rsidTr="007F1607">
        <w:trPr>
          <w:trHeight w:val="320"/>
        </w:trPr>
        <w:tc>
          <w:tcPr>
            <w:tcW w:w="2760" w:type="dxa"/>
            <w:tcBorders>
              <w:top w:val="nil"/>
              <w:left w:val="nil"/>
              <w:bottom w:val="nil"/>
              <w:right w:val="nil"/>
            </w:tcBorders>
            <w:shd w:val="clear" w:color="auto" w:fill="auto"/>
            <w:noWrap/>
            <w:vAlign w:val="bottom"/>
            <w:hideMark/>
          </w:tcPr>
          <w:p w14:paraId="1806DA3F" w14:textId="77777777" w:rsidR="007F1607" w:rsidRDefault="007F1607">
            <w:pPr>
              <w:rPr>
                <w:rFonts w:ascii="Aptos Narrow" w:hAnsi="Aptos Narrow"/>
                <w:color w:val="000000"/>
              </w:rPr>
            </w:pPr>
            <w:r>
              <w:rPr>
                <w:rFonts w:ascii="Aptos Narrow" w:hAnsi="Aptos Narrow"/>
                <w:color w:val="000000"/>
              </w:rPr>
              <w:t xml:space="preserve">Profit </w:t>
            </w:r>
          </w:p>
        </w:tc>
        <w:tc>
          <w:tcPr>
            <w:tcW w:w="1860" w:type="dxa"/>
            <w:tcBorders>
              <w:top w:val="nil"/>
              <w:left w:val="nil"/>
              <w:bottom w:val="nil"/>
              <w:right w:val="nil"/>
            </w:tcBorders>
            <w:shd w:val="clear" w:color="auto" w:fill="auto"/>
            <w:noWrap/>
            <w:vAlign w:val="bottom"/>
            <w:hideMark/>
          </w:tcPr>
          <w:p w14:paraId="59EF7190" w14:textId="77777777" w:rsidR="007F1607" w:rsidRDefault="007F1607">
            <w:pPr>
              <w:jc w:val="right"/>
              <w:rPr>
                <w:rFonts w:ascii="Aptos Narrow" w:hAnsi="Aptos Narrow"/>
                <w:color w:val="000000"/>
              </w:rPr>
            </w:pPr>
            <w:r>
              <w:rPr>
                <w:rFonts w:ascii="Aptos Narrow" w:hAnsi="Aptos Narrow"/>
                <w:color w:val="000000"/>
              </w:rPr>
              <w:t>58</w:t>
            </w:r>
          </w:p>
        </w:tc>
        <w:tc>
          <w:tcPr>
            <w:tcW w:w="1780" w:type="dxa"/>
            <w:tcBorders>
              <w:top w:val="nil"/>
              <w:left w:val="nil"/>
              <w:bottom w:val="nil"/>
              <w:right w:val="nil"/>
            </w:tcBorders>
            <w:shd w:val="clear" w:color="auto" w:fill="auto"/>
            <w:noWrap/>
            <w:vAlign w:val="bottom"/>
            <w:hideMark/>
          </w:tcPr>
          <w:p w14:paraId="51E48784" w14:textId="77777777" w:rsidR="007F1607" w:rsidRDefault="007F1607">
            <w:pPr>
              <w:jc w:val="right"/>
              <w:rPr>
                <w:rFonts w:ascii="Aptos Narrow" w:hAnsi="Aptos Narrow"/>
                <w:color w:val="000000"/>
              </w:rPr>
            </w:pPr>
            <w:r>
              <w:rPr>
                <w:rFonts w:ascii="Aptos Narrow" w:hAnsi="Aptos Narrow"/>
                <w:color w:val="000000"/>
              </w:rPr>
              <w:t>2030</w:t>
            </w:r>
          </w:p>
        </w:tc>
      </w:tr>
      <w:tr w:rsidR="00B36F0D" w14:paraId="2148D556" w14:textId="77777777" w:rsidTr="007F1607">
        <w:trPr>
          <w:trHeight w:val="320"/>
        </w:trPr>
        <w:tc>
          <w:tcPr>
            <w:tcW w:w="2760" w:type="dxa"/>
            <w:tcBorders>
              <w:top w:val="nil"/>
              <w:left w:val="nil"/>
              <w:bottom w:val="nil"/>
              <w:right w:val="nil"/>
            </w:tcBorders>
            <w:shd w:val="clear" w:color="auto" w:fill="auto"/>
            <w:noWrap/>
            <w:vAlign w:val="bottom"/>
          </w:tcPr>
          <w:p w14:paraId="14728523" w14:textId="77777777" w:rsidR="00B36F0D" w:rsidRDefault="00B36F0D">
            <w:pPr>
              <w:rPr>
                <w:rFonts w:ascii="Aptos Narrow" w:hAnsi="Aptos Narrow"/>
                <w:color w:val="000000"/>
              </w:rPr>
            </w:pPr>
          </w:p>
          <w:p w14:paraId="3DB674FA" w14:textId="77777777" w:rsidR="00B36F0D" w:rsidRDefault="00B36F0D">
            <w:pPr>
              <w:rPr>
                <w:rFonts w:ascii="Aptos Narrow" w:hAnsi="Aptos Narrow"/>
                <w:color w:val="000000"/>
              </w:rPr>
            </w:pPr>
          </w:p>
          <w:p w14:paraId="59FC8089" w14:textId="77777777" w:rsidR="00B36F0D" w:rsidRDefault="00B36F0D">
            <w:pPr>
              <w:rPr>
                <w:rFonts w:ascii="Aptos Narrow" w:hAnsi="Aptos Narrow"/>
                <w:color w:val="000000"/>
              </w:rPr>
            </w:pPr>
          </w:p>
        </w:tc>
        <w:tc>
          <w:tcPr>
            <w:tcW w:w="1860" w:type="dxa"/>
            <w:tcBorders>
              <w:top w:val="nil"/>
              <w:left w:val="nil"/>
              <w:bottom w:val="nil"/>
              <w:right w:val="nil"/>
            </w:tcBorders>
            <w:shd w:val="clear" w:color="auto" w:fill="auto"/>
            <w:noWrap/>
            <w:vAlign w:val="bottom"/>
          </w:tcPr>
          <w:p w14:paraId="46DBEEA5" w14:textId="77777777" w:rsidR="00B36F0D" w:rsidRDefault="00B36F0D">
            <w:pPr>
              <w:jc w:val="right"/>
              <w:rPr>
                <w:rFonts w:ascii="Aptos Narrow" w:hAnsi="Aptos Narrow"/>
                <w:color w:val="000000"/>
              </w:rPr>
            </w:pPr>
          </w:p>
        </w:tc>
        <w:tc>
          <w:tcPr>
            <w:tcW w:w="1780" w:type="dxa"/>
            <w:tcBorders>
              <w:top w:val="nil"/>
              <w:left w:val="nil"/>
              <w:bottom w:val="nil"/>
              <w:right w:val="nil"/>
            </w:tcBorders>
            <w:shd w:val="clear" w:color="auto" w:fill="auto"/>
            <w:noWrap/>
            <w:vAlign w:val="bottom"/>
          </w:tcPr>
          <w:p w14:paraId="7E5F18D6" w14:textId="77777777" w:rsidR="00B36F0D" w:rsidRDefault="00B36F0D">
            <w:pPr>
              <w:jc w:val="right"/>
              <w:rPr>
                <w:rFonts w:ascii="Aptos Narrow" w:hAnsi="Aptos Narrow"/>
                <w:color w:val="000000"/>
              </w:rPr>
            </w:pPr>
          </w:p>
        </w:tc>
      </w:tr>
    </w:tbl>
    <w:p w14:paraId="1E86A130" w14:textId="5F34699B" w:rsidR="00DA1BF8" w:rsidRDefault="00CB4A6B" w:rsidP="007D1743">
      <w:pPr>
        <w:pStyle w:val="NormalWeb"/>
        <w:rPr>
          <w:rFonts w:ascii="ArialMT" w:hAnsi="ArialMT"/>
          <w:b/>
          <w:bCs/>
          <w:sz w:val="22"/>
          <w:szCs w:val="22"/>
        </w:rPr>
      </w:pPr>
      <w:r>
        <w:rPr>
          <w:rFonts w:ascii="ArialMT" w:hAnsi="ArialMT"/>
          <w:b/>
          <w:bCs/>
          <w:sz w:val="22"/>
          <w:szCs w:val="22"/>
        </w:rPr>
        <w:lastRenderedPageBreak/>
        <w:t xml:space="preserve">Project A </w:t>
      </w:r>
    </w:p>
    <w:p w14:paraId="1D101E9D" w14:textId="7436AEC2" w:rsidR="00CB4A6B" w:rsidRDefault="00CB4A6B" w:rsidP="007D1743">
      <w:pPr>
        <w:pStyle w:val="NormalWeb"/>
        <w:rPr>
          <w:rFonts w:ascii="ArialMT" w:hAnsi="ArialMT"/>
          <w:sz w:val="22"/>
          <w:szCs w:val="22"/>
        </w:rPr>
      </w:pPr>
      <w:r>
        <w:rPr>
          <w:rFonts w:ascii="ArialMT" w:hAnsi="ArialMT"/>
          <w:sz w:val="22"/>
          <w:szCs w:val="22"/>
        </w:rPr>
        <w:t xml:space="preserve">The Payback period is between 2 and 3 years, where the cumulative net cashflow changes from </w:t>
      </w:r>
      <w:r w:rsidR="00A4073C">
        <w:rPr>
          <w:rFonts w:ascii="ArialMT" w:hAnsi="ArialMT"/>
          <w:sz w:val="22"/>
          <w:szCs w:val="22"/>
        </w:rPr>
        <w:t xml:space="preserve">a </w:t>
      </w:r>
      <w:r>
        <w:rPr>
          <w:rFonts w:ascii="ArialMT" w:hAnsi="ArialMT"/>
          <w:sz w:val="22"/>
          <w:szCs w:val="22"/>
        </w:rPr>
        <w:t xml:space="preserve">deficit to </w:t>
      </w:r>
      <w:r w:rsidR="00B36F0D">
        <w:rPr>
          <w:rFonts w:ascii="ArialMT" w:hAnsi="ArialMT"/>
          <w:sz w:val="22"/>
          <w:szCs w:val="22"/>
        </w:rPr>
        <w:t xml:space="preserve">a </w:t>
      </w:r>
      <w:r>
        <w:rPr>
          <w:rFonts w:ascii="ArialMT" w:hAnsi="ArialMT"/>
          <w:sz w:val="22"/>
          <w:szCs w:val="22"/>
        </w:rPr>
        <w:t xml:space="preserve">surplus </w:t>
      </w:r>
    </w:p>
    <w:p w14:paraId="5741E1B9" w14:textId="03CBFA19" w:rsidR="00200241" w:rsidRPr="00D12FD1" w:rsidRDefault="00200A65" w:rsidP="00200A65">
      <w:pPr>
        <w:pStyle w:val="Caption"/>
        <w:rPr>
          <w:rFonts w:ascii="Arial" w:hAnsi="Arial" w:cs="Arial"/>
          <w:b/>
          <w:bCs/>
          <w:color w:val="000000" w:themeColor="text1"/>
          <w:sz w:val="22"/>
          <w:szCs w:val="22"/>
        </w:rPr>
      </w:pPr>
      <w:bookmarkStart w:id="17" w:name="_Toc164849548"/>
      <w:r>
        <w:t xml:space="preserve">Table </w:t>
      </w:r>
      <w:r>
        <w:fldChar w:fldCharType="begin"/>
      </w:r>
      <w:r>
        <w:instrText xml:space="preserve"> SEQ Table \* ARABIC </w:instrText>
      </w:r>
      <w:r>
        <w:fldChar w:fldCharType="separate"/>
      </w:r>
      <w:r w:rsidR="00083413">
        <w:rPr>
          <w:noProof/>
        </w:rPr>
        <w:t>8</w:t>
      </w:r>
      <w:r>
        <w:fldChar w:fldCharType="end"/>
      </w:r>
      <w:r w:rsidRPr="000313DF">
        <w:t>Payback Period Calculation Project A (source: author)</w:t>
      </w:r>
      <w:bookmarkEnd w:id="17"/>
    </w:p>
    <w:tbl>
      <w:tblPr>
        <w:tblW w:w="7200" w:type="dxa"/>
        <w:tblLook w:val="04A0" w:firstRow="1" w:lastRow="0" w:firstColumn="1" w:lastColumn="0" w:noHBand="0" w:noVBand="1"/>
      </w:tblPr>
      <w:tblGrid>
        <w:gridCol w:w="2760"/>
        <w:gridCol w:w="1860"/>
        <w:gridCol w:w="2580"/>
      </w:tblGrid>
      <w:tr w:rsidR="00502B7C" w14:paraId="53D4D99D" w14:textId="77777777" w:rsidTr="00502B7C">
        <w:trPr>
          <w:trHeight w:val="320"/>
        </w:trPr>
        <w:tc>
          <w:tcPr>
            <w:tcW w:w="2760" w:type="dxa"/>
            <w:tcBorders>
              <w:top w:val="nil"/>
              <w:left w:val="nil"/>
              <w:bottom w:val="nil"/>
              <w:right w:val="nil"/>
            </w:tcBorders>
            <w:shd w:val="clear" w:color="000000" w:fill="47D359"/>
            <w:noWrap/>
            <w:vAlign w:val="bottom"/>
            <w:hideMark/>
          </w:tcPr>
          <w:p w14:paraId="6D75FE77" w14:textId="77777777" w:rsidR="00502B7C" w:rsidRDefault="00502B7C">
            <w:pPr>
              <w:rPr>
                <w:rFonts w:ascii="Aptos Narrow" w:hAnsi="Aptos Narrow"/>
                <w:color w:val="000000"/>
              </w:rPr>
            </w:pPr>
            <w:r>
              <w:rPr>
                <w:rFonts w:ascii="Aptos Narrow" w:hAnsi="Aptos Narrow"/>
                <w:color w:val="000000"/>
              </w:rPr>
              <w:t>Project A</w:t>
            </w:r>
          </w:p>
        </w:tc>
        <w:tc>
          <w:tcPr>
            <w:tcW w:w="1860" w:type="dxa"/>
            <w:tcBorders>
              <w:top w:val="nil"/>
              <w:left w:val="nil"/>
              <w:bottom w:val="nil"/>
              <w:right w:val="nil"/>
            </w:tcBorders>
            <w:shd w:val="clear" w:color="000000" w:fill="47D359"/>
            <w:noWrap/>
            <w:vAlign w:val="bottom"/>
            <w:hideMark/>
          </w:tcPr>
          <w:p w14:paraId="62B018E2" w14:textId="77777777" w:rsidR="00502B7C" w:rsidRDefault="00502B7C">
            <w:pPr>
              <w:rPr>
                <w:rFonts w:ascii="Aptos Narrow" w:hAnsi="Aptos Narrow"/>
                <w:color w:val="000000"/>
              </w:rPr>
            </w:pPr>
            <w:r>
              <w:rPr>
                <w:rFonts w:ascii="Aptos Narrow" w:hAnsi="Aptos Narrow"/>
                <w:color w:val="000000"/>
              </w:rPr>
              <w:t> </w:t>
            </w:r>
          </w:p>
        </w:tc>
        <w:tc>
          <w:tcPr>
            <w:tcW w:w="2580" w:type="dxa"/>
            <w:tcBorders>
              <w:top w:val="nil"/>
              <w:left w:val="nil"/>
              <w:bottom w:val="nil"/>
              <w:right w:val="nil"/>
            </w:tcBorders>
            <w:shd w:val="clear" w:color="000000" w:fill="47D359"/>
            <w:noWrap/>
            <w:vAlign w:val="bottom"/>
            <w:hideMark/>
          </w:tcPr>
          <w:p w14:paraId="18B78779" w14:textId="77777777" w:rsidR="00502B7C" w:rsidRDefault="00502B7C">
            <w:pPr>
              <w:rPr>
                <w:rFonts w:ascii="Aptos Narrow" w:hAnsi="Aptos Narrow"/>
                <w:color w:val="000000"/>
              </w:rPr>
            </w:pPr>
            <w:r>
              <w:rPr>
                <w:rFonts w:ascii="Aptos Narrow" w:hAnsi="Aptos Narrow"/>
                <w:color w:val="000000"/>
              </w:rPr>
              <w:t> </w:t>
            </w:r>
          </w:p>
        </w:tc>
      </w:tr>
      <w:tr w:rsidR="00502B7C" w14:paraId="099FA3BE" w14:textId="77777777" w:rsidTr="00502B7C">
        <w:trPr>
          <w:trHeight w:val="320"/>
        </w:trPr>
        <w:tc>
          <w:tcPr>
            <w:tcW w:w="2760" w:type="dxa"/>
            <w:tcBorders>
              <w:top w:val="nil"/>
              <w:left w:val="nil"/>
              <w:bottom w:val="nil"/>
              <w:right w:val="nil"/>
            </w:tcBorders>
            <w:shd w:val="clear" w:color="auto" w:fill="auto"/>
            <w:noWrap/>
            <w:vAlign w:val="bottom"/>
            <w:hideMark/>
          </w:tcPr>
          <w:p w14:paraId="27AD3FC4" w14:textId="77777777" w:rsidR="00502B7C" w:rsidRDefault="00502B7C">
            <w:pPr>
              <w:rPr>
                <w:rFonts w:ascii="Aptos Narrow" w:hAnsi="Aptos Narrow"/>
                <w:color w:val="000000"/>
              </w:rPr>
            </w:pPr>
            <w:r>
              <w:rPr>
                <w:rFonts w:ascii="Aptos Narrow" w:hAnsi="Aptos Narrow"/>
                <w:color w:val="000000"/>
              </w:rPr>
              <w:t>Year</w:t>
            </w:r>
          </w:p>
        </w:tc>
        <w:tc>
          <w:tcPr>
            <w:tcW w:w="1860" w:type="dxa"/>
            <w:tcBorders>
              <w:top w:val="nil"/>
              <w:left w:val="nil"/>
              <w:bottom w:val="nil"/>
              <w:right w:val="nil"/>
            </w:tcBorders>
            <w:shd w:val="clear" w:color="auto" w:fill="auto"/>
            <w:noWrap/>
            <w:vAlign w:val="bottom"/>
            <w:hideMark/>
          </w:tcPr>
          <w:p w14:paraId="3C7412FA" w14:textId="77777777" w:rsidR="00502B7C" w:rsidRDefault="00502B7C">
            <w:pPr>
              <w:rPr>
                <w:rFonts w:ascii="Aptos Narrow" w:hAnsi="Aptos Narrow"/>
                <w:color w:val="000000"/>
              </w:rPr>
            </w:pPr>
            <w:r>
              <w:rPr>
                <w:rFonts w:ascii="Aptos Narrow" w:hAnsi="Aptos Narrow"/>
                <w:color w:val="000000"/>
              </w:rPr>
              <w:t xml:space="preserve">Net cash flow </w:t>
            </w:r>
          </w:p>
        </w:tc>
        <w:tc>
          <w:tcPr>
            <w:tcW w:w="2580" w:type="dxa"/>
            <w:tcBorders>
              <w:top w:val="nil"/>
              <w:left w:val="nil"/>
              <w:bottom w:val="nil"/>
              <w:right w:val="nil"/>
            </w:tcBorders>
            <w:shd w:val="clear" w:color="auto" w:fill="auto"/>
            <w:noWrap/>
            <w:vAlign w:val="bottom"/>
            <w:hideMark/>
          </w:tcPr>
          <w:p w14:paraId="4C08D351" w14:textId="77777777" w:rsidR="00502B7C" w:rsidRDefault="00502B7C">
            <w:pPr>
              <w:rPr>
                <w:rFonts w:ascii="Aptos Narrow" w:hAnsi="Aptos Narrow"/>
                <w:color w:val="000000"/>
              </w:rPr>
            </w:pPr>
            <w:r>
              <w:rPr>
                <w:rFonts w:ascii="Aptos Narrow" w:hAnsi="Aptos Narrow"/>
                <w:color w:val="000000"/>
              </w:rPr>
              <w:t xml:space="preserve">Cumulative Net cash flow </w:t>
            </w:r>
          </w:p>
        </w:tc>
      </w:tr>
      <w:tr w:rsidR="00502B7C" w14:paraId="12DAE2A2" w14:textId="77777777" w:rsidTr="00502B7C">
        <w:trPr>
          <w:trHeight w:val="320"/>
        </w:trPr>
        <w:tc>
          <w:tcPr>
            <w:tcW w:w="2760" w:type="dxa"/>
            <w:tcBorders>
              <w:top w:val="nil"/>
              <w:left w:val="nil"/>
              <w:bottom w:val="nil"/>
              <w:right w:val="nil"/>
            </w:tcBorders>
            <w:shd w:val="clear" w:color="auto" w:fill="auto"/>
            <w:noWrap/>
            <w:vAlign w:val="bottom"/>
            <w:hideMark/>
          </w:tcPr>
          <w:p w14:paraId="4C597748" w14:textId="77777777" w:rsidR="00502B7C" w:rsidRDefault="00502B7C">
            <w:pPr>
              <w:jc w:val="right"/>
              <w:rPr>
                <w:rFonts w:ascii="Aptos Narrow" w:hAnsi="Aptos Narrow"/>
                <w:color w:val="000000"/>
              </w:rPr>
            </w:pPr>
            <w:r>
              <w:rPr>
                <w:rFonts w:ascii="Aptos Narrow" w:hAnsi="Aptos Narrow"/>
                <w:color w:val="000000"/>
              </w:rPr>
              <w:t>0</w:t>
            </w:r>
          </w:p>
        </w:tc>
        <w:tc>
          <w:tcPr>
            <w:tcW w:w="1860" w:type="dxa"/>
            <w:tcBorders>
              <w:top w:val="nil"/>
              <w:left w:val="nil"/>
              <w:bottom w:val="nil"/>
              <w:right w:val="nil"/>
            </w:tcBorders>
            <w:shd w:val="clear" w:color="auto" w:fill="auto"/>
            <w:noWrap/>
            <w:vAlign w:val="bottom"/>
            <w:hideMark/>
          </w:tcPr>
          <w:p w14:paraId="1F41D508" w14:textId="77777777" w:rsidR="00502B7C" w:rsidRDefault="00502B7C">
            <w:pPr>
              <w:jc w:val="right"/>
              <w:rPr>
                <w:rFonts w:ascii="Aptos Narrow" w:hAnsi="Aptos Narrow"/>
                <w:color w:val="000000"/>
              </w:rPr>
            </w:pPr>
            <w:r>
              <w:rPr>
                <w:rFonts w:ascii="Aptos Narrow" w:hAnsi="Aptos Narrow"/>
                <w:color w:val="000000"/>
              </w:rPr>
              <w:t>-5000</w:t>
            </w:r>
          </w:p>
        </w:tc>
        <w:tc>
          <w:tcPr>
            <w:tcW w:w="2580" w:type="dxa"/>
            <w:tcBorders>
              <w:top w:val="nil"/>
              <w:left w:val="nil"/>
              <w:bottom w:val="nil"/>
              <w:right w:val="nil"/>
            </w:tcBorders>
            <w:shd w:val="clear" w:color="auto" w:fill="auto"/>
            <w:noWrap/>
            <w:vAlign w:val="bottom"/>
            <w:hideMark/>
          </w:tcPr>
          <w:p w14:paraId="3B965F82" w14:textId="77777777" w:rsidR="00502B7C" w:rsidRDefault="00502B7C">
            <w:pPr>
              <w:jc w:val="right"/>
              <w:rPr>
                <w:rFonts w:ascii="Aptos Narrow" w:hAnsi="Aptos Narrow"/>
                <w:color w:val="000000"/>
              </w:rPr>
            </w:pPr>
            <w:r>
              <w:rPr>
                <w:rFonts w:ascii="Aptos Narrow" w:hAnsi="Aptos Narrow"/>
                <w:color w:val="000000"/>
              </w:rPr>
              <w:t>-5000</w:t>
            </w:r>
          </w:p>
        </w:tc>
      </w:tr>
      <w:tr w:rsidR="00502B7C" w14:paraId="5B29EA6C" w14:textId="77777777" w:rsidTr="00502B7C">
        <w:trPr>
          <w:trHeight w:val="320"/>
        </w:trPr>
        <w:tc>
          <w:tcPr>
            <w:tcW w:w="2760" w:type="dxa"/>
            <w:tcBorders>
              <w:top w:val="nil"/>
              <w:left w:val="nil"/>
              <w:bottom w:val="nil"/>
              <w:right w:val="nil"/>
            </w:tcBorders>
            <w:shd w:val="clear" w:color="auto" w:fill="auto"/>
            <w:noWrap/>
            <w:vAlign w:val="bottom"/>
            <w:hideMark/>
          </w:tcPr>
          <w:p w14:paraId="7235239C" w14:textId="77777777" w:rsidR="00502B7C" w:rsidRDefault="00502B7C">
            <w:pPr>
              <w:jc w:val="right"/>
              <w:rPr>
                <w:rFonts w:ascii="Aptos Narrow" w:hAnsi="Aptos Narrow"/>
                <w:color w:val="000000"/>
              </w:rPr>
            </w:pPr>
            <w:r>
              <w:rPr>
                <w:rFonts w:ascii="Aptos Narrow" w:hAnsi="Aptos Narrow"/>
                <w:color w:val="000000"/>
              </w:rPr>
              <w:t>1</w:t>
            </w:r>
          </w:p>
        </w:tc>
        <w:tc>
          <w:tcPr>
            <w:tcW w:w="1860" w:type="dxa"/>
            <w:tcBorders>
              <w:top w:val="nil"/>
              <w:left w:val="nil"/>
              <w:bottom w:val="nil"/>
              <w:right w:val="nil"/>
            </w:tcBorders>
            <w:shd w:val="clear" w:color="auto" w:fill="auto"/>
            <w:noWrap/>
            <w:vAlign w:val="bottom"/>
            <w:hideMark/>
          </w:tcPr>
          <w:p w14:paraId="7BA411CD" w14:textId="77777777" w:rsidR="00502B7C" w:rsidRDefault="00502B7C">
            <w:pPr>
              <w:jc w:val="right"/>
              <w:rPr>
                <w:rFonts w:ascii="Aptos Narrow" w:hAnsi="Aptos Narrow"/>
                <w:color w:val="000000"/>
              </w:rPr>
            </w:pPr>
            <w:r>
              <w:rPr>
                <w:rFonts w:ascii="Aptos Narrow" w:hAnsi="Aptos Narrow"/>
                <w:color w:val="000000"/>
              </w:rPr>
              <w:t>2500</w:t>
            </w:r>
          </w:p>
        </w:tc>
        <w:tc>
          <w:tcPr>
            <w:tcW w:w="2580" w:type="dxa"/>
            <w:tcBorders>
              <w:top w:val="nil"/>
              <w:left w:val="nil"/>
              <w:bottom w:val="nil"/>
              <w:right w:val="nil"/>
            </w:tcBorders>
            <w:shd w:val="clear" w:color="auto" w:fill="auto"/>
            <w:noWrap/>
            <w:vAlign w:val="bottom"/>
            <w:hideMark/>
          </w:tcPr>
          <w:p w14:paraId="604BE8AC" w14:textId="77777777" w:rsidR="00502B7C" w:rsidRDefault="00502B7C">
            <w:pPr>
              <w:jc w:val="right"/>
              <w:rPr>
                <w:rFonts w:ascii="Aptos Narrow" w:hAnsi="Aptos Narrow"/>
                <w:color w:val="000000"/>
              </w:rPr>
            </w:pPr>
            <w:r>
              <w:rPr>
                <w:rFonts w:ascii="Aptos Narrow" w:hAnsi="Aptos Narrow"/>
                <w:color w:val="000000"/>
              </w:rPr>
              <w:t>-2500</w:t>
            </w:r>
          </w:p>
        </w:tc>
      </w:tr>
      <w:tr w:rsidR="00502B7C" w14:paraId="1F7ECDAA" w14:textId="77777777" w:rsidTr="00502B7C">
        <w:trPr>
          <w:trHeight w:val="320"/>
        </w:trPr>
        <w:tc>
          <w:tcPr>
            <w:tcW w:w="2760" w:type="dxa"/>
            <w:tcBorders>
              <w:top w:val="nil"/>
              <w:left w:val="nil"/>
              <w:bottom w:val="nil"/>
              <w:right w:val="nil"/>
            </w:tcBorders>
            <w:shd w:val="clear" w:color="000000" w:fill="C1F0C8"/>
            <w:noWrap/>
            <w:vAlign w:val="bottom"/>
            <w:hideMark/>
          </w:tcPr>
          <w:p w14:paraId="72130633" w14:textId="77777777" w:rsidR="00502B7C" w:rsidRDefault="00502B7C">
            <w:pPr>
              <w:jc w:val="right"/>
              <w:rPr>
                <w:rFonts w:ascii="Aptos Narrow" w:hAnsi="Aptos Narrow"/>
                <w:color w:val="000000"/>
              </w:rPr>
            </w:pPr>
            <w:r>
              <w:rPr>
                <w:rFonts w:ascii="Aptos Narrow" w:hAnsi="Aptos Narrow"/>
                <w:color w:val="000000"/>
              </w:rPr>
              <w:t>2</w:t>
            </w:r>
          </w:p>
        </w:tc>
        <w:tc>
          <w:tcPr>
            <w:tcW w:w="1860" w:type="dxa"/>
            <w:tcBorders>
              <w:top w:val="nil"/>
              <w:left w:val="nil"/>
              <w:bottom w:val="nil"/>
              <w:right w:val="nil"/>
            </w:tcBorders>
            <w:shd w:val="clear" w:color="000000" w:fill="C1F0C8"/>
            <w:noWrap/>
            <w:vAlign w:val="bottom"/>
            <w:hideMark/>
          </w:tcPr>
          <w:p w14:paraId="5EE1D1FB" w14:textId="77777777" w:rsidR="00502B7C" w:rsidRDefault="00502B7C">
            <w:pPr>
              <w:jc w:val="right"/>
              <w:rPr>
                <w:rFonts w:ascii="Aptos Narrow" w:hAnsi="Aptos Narrow"/>
                <w:color w:val="000000"/>
              </w:rPr>
            </w:pPr>
            <w:r>
              <w:rPr>
                <w:rFonts w:ascii="Aptos Narrow" w:hAnsi="Aptos Narrow"/>
                <w:color w:val="000000"/>
              </w:rPr>
              <w:t>2000</w:t>
            </w:r>
          </w:p>
        </w:tc>
        <w:tc>
          <w:tcPr>
            <w:tcW w:w="2580" w:type="dxa"/>
            <w:tcBorders>
              <w:top w:val="nil"/>
              <w:left w:val="nil"/>
              <w:bottom w:val="nil"/>
              <w:right w:val="nil"/>
            </w:tcBorders>
            <w:shd w:val="clear" w:color="000000" w:fill="C1F0C8"/>
            <w:noWrap/>
            <w:vAlign w:val="bottom"/>
            <w:hideMark/>
          </w:tcPr>
          <w:p w14:paraId="184162FA" w14:textId="77777777" w:rsidR="00502B7C" w:rsidRDefault="00502B7C">
            <w:pPr>
              <w:jc w:val="right"/>
              <w:rPr>
                <w:rFonts w:ascii="Aptos Narrow" w:hAnsi="Aptos Narrow"/>
                <w:color w:val="000000"/>
              </w:rPr>
            </w:pPr>
            <w:r>
              <w:rPr>
                <w:rFonts w:ascii="Aptos Narrow" w:hAnsi="Aptos Narrow"/>
                <w:color w:val="000000"/>
              </w:rPr>
              <w:t>-500</w:t>
            </w:r>
          </w:p>
        </w:tc>
      </w:tr>
      <w:tr w:rsidR="00502B7C" w14:paraId="63D64DF1" w14:textId="77777777" w:rsidTr="00502B7C">
        <w:trPr>
          <w:trHeight w:val="320"/>
        </w:trPr>
        <w:tc>
          <w:tcPr>
            <w:tcW w:w="2760" w:type="dxa"/>
            <w:tcBorders>
              <w:top w:val="nil"/>
              <w:left w:val="nil"/>
              <w:bottom w:val="nil"/>
              <w:right w:val="nil"/>
            </w:tcBorders>
            <w:shd w:val="clear" w:color="000000" w:fill="C1F0C8"/>
            <w:noWrap/>
            <w:vAlign w:val="bottom"/>
            <w:hideMark/>
          </w:tcPr>
          <w:p w14:paraId="5EA4B91D" w14:textId="77777777" w:rsidR="00502B7C" w:rsidRDefault="00502B7C">
            <w:pPr>
              <w:jc w:val="right"/>
              <w:rPr>
                <w:rFonts w:ascii="Aptos Narrow" w:hAnsi="Aptos Narrow"/>
                <w:color w:val="000000"/>
              </w:rPr>
            </w:pPr>
            <w:r>
              <w:rPr>
                <w:rFonts w:ascii="Aptos Narrow" w:hAnsi="Aptos Narrow"/>
                <w:color w:val="000000"/>
              </w:rPr>
              <w:t>3</w:t>
            </w:r>
          </w:p>
        </w:tc>
        <w:tc>
          <w:tcPr>
            <w:tcW w:w="1860" w:type="dxa"/>
            <w:tcBorders>
              <w:top w:val="nil"/>
              <w:left w:val="nil"/>
              <w:bottom w:val="nil"/>
              <w:right w:val="nil"/>
            </w:tcBorders>
            <w:shd w:val="clear" w:color="000000" w:fill="C1F0C8"/>
            <w:noWrap/>
            <w:vAlign w:val="bottom"/>
            <w:hideMark/>
          </w:tcPr>
          <w:p w14:paraId="705E7CE0" w14:textId="77777777" w:rsidR="00502B7C" w:rsidRDefault="00502B7C">
            <w:pPr>
              <w:jc w:val="right"/>
              <w:rPr>
                <w:rFonts w:ascii="Aptos Narrow" w:hAnsi="Aptos Narrow"/>
                <w:color w:val="000000"/>
              </w:rPr>
            </w:pPr>
            <w:r>
              <w:rPr>
                <w:rFonts w:ascii="Aptos Narrow" w:hAnsi="Aptos Narrow"/>
                <w:color w:val="000000"/>
              </w:rPr>
              <w:t>1000</w:t>
            </w:r>
          </w:p>
        </w:tc>
        <w:tc>
          <w:tcPr>
            <w:tcW w:w="2580" w:type="dxa"/>
            <w:tcBorders>
              <w:top w:val="nil"/>
              <w:left w:val="nil"/>
              <w:bottom w:val="nil"/>
              <w:right w:val="nil"/>
            </w:tcBorders>
            <w:shd w:val="clear" w:color="000000" w:fill="C1F0C8"/>
            <w:noWrap/>
            <w:vAlign w:val="bottom"/>
            <w:hideMark/>
          </w:tcPr>
          <w:p w14:paraId="73E99A6D" w14:textId="77777777" w:rsidR="00502B7C" w:rsidRDefault="00502B7C">
            <w:pPr>
              <w:jc w:val="right"/>
              <w:rPr>
                <w:rFonts w:ascii="Aptos Narrow" w:hAnsi="Aptos Narrow"/>
                <w:color w:val="000000"/>
              </w:rPr>
            </w:pPr>
            <w:r>
              <w:rPr>
                <w:rFonts w:ascii="Aptos Narrow" w:hAnsi="Aptos Narrow"/>
                <w:color w:val="000000"/>
              </w:rPr>
              <w:t>500</w:t>
            </w:r>
          </w:p>
        </w:tc>
      </w:tr>
      <w:tr w:rsidR="00502B7C" w14:paraId="1419B486" w14:textId="77777777" w:rsidTr="00502B7C">
        <w:trPr>
          <w:trHeight w:val="320"/>
        </w:trPr>
        <w:tc>
          <w:tcPr>
            <w:tcW w:w="2760" w:type="dxa"/>
            <w:tcBorders>
              <w:top w:val="nil"/>
              <w:left w:val="nil"/>
              <w:bottom w:val="nil"/>
              <w:right w:val="nil"/>
            </w:tcBorders>
            <w:shd w:val="clear" w:color="auto" w:fill="auto"/>
            <w:noWrap/>
            <w:vAlign w:val="bottom"/>
            <w:hideMark/>
          </w:tcPr>
          <w:p w14:paraId="2F790A9E" w14:textId="77777777" w:rsidR="00502B7C" w:rsidRDefault="00502B7C">
            <w:pPr>
              <w:jc w:val="right"/>
              <w:rPr>
                <w:rFonts w:ascii="Aptos Narrow" w:hAnsi="Aptos Narrow"/>
                <w:color w:val="000000"/>
              </w:rPr>
            </w:pPr>
            <w:r>
              <w:rPr>
                <w:rFonts w:ascii="Aptos Narrow" w:hAnsi="Aptos Narrow"/>
                <w:color w:val="000000"/>
              </w:rPr>
              <w:t>4</w:t>
            </w:r>
          </w:p>
        </w:tc>
        <w:tc>
          <w:tcPr>
            <w:tcW w:w="1860" w:type="dxa"/>
            <w:tcBorders>
              <w:top w:val="nil"/>
              <w:left w:val="nil"/>
              <w:bottom w:val="nil"/>
              <w:right w:val="nil"/>
            </w:tcBorders>
            <w:shd w:val="clear" w:color="auto" w:fill="auto"/>
            <w:noWrap/>
            <w:vAlign w:val="bottom"/>
            <w:hideMark/>
          </w:tcPr>
          <w:p w14:paraId="519910BC" w14:textId="77777777" w:rsidR="00502B7C" w:rsidRDefault="00502B7C">
            <w:pPr>
              <w:jc w:val="right"/>
              <w:rPr>
                <w:rFonts w:ascii="Aptos Narrow" w:hAnsi="Aptos Narrow"/>
                <w:color w:val="000000"/>
              </w:rPr>
            </w:pPr>
            <w:r>
              <w:rPr>
                <w:rFonts w:ascii="Aptos Narrow" w:hAnsi="Aptos Narrow"/>
                <w:color w:val="000000"/>
              </w:rPr>
              <w:t>-442</w:t>
            </w:r>
          </w:p>
        </w:tc>
        <w:tc>
          <w:tcPr>
            <w:tcW w:w="2580" w:type="dxa"/>
            <w:tcBorders>
              <w:top w:val="nil"/>
              <w:left w:val="nil"/>
              <w:bottom w:val="nil"/>
              <w:right w:val="nil"/>
            </w:tcBorders>
            <w:shd w:val="clear" w:color="auto" w:fill="auto"/>
            <w:noWrap/>
            <w:vAlign w:val="bottom"/>
            <w:hideMark/>
          </w:tcPr>
          <w:p w14:paraId="7823E51E" w14:textId="77777777" w:rsidR="00502B7C" w:rsidRDefault="00502B7C">
            <w:pPr>
              <w:jc w:val="right"/>
              <w:rPr>
                <w:rFonts w:ascii="Aptos Narrow" w:hAnsi="Aptos Narrow"/>
                <w:color w:val="000000"/>
              </w:rPr>
            </w:pPr>
            <w:r>
              <w:rPr>
                <w:rFonts w:ascii="Aptos Narrow" w:hAnsi="Aptos Narrow"/>
                <w:color w:val="000000"/>
              </w:rPr>
              <w:t>58</w:t>
            </w:r>
          </w:p>
        </w:tc>
      </w:tr>
    </w:tbl>
    <w:p w14:paraId="06D8309C" w14:textId="77777777" w:rsidR="00502B7C" w:rsidRDefault="00502B7C" w:rsidP="007D1743">
      <w:pPr>
        <w:pStyle w:val="NormalWeb"/>
        <w:rPr>
          <w:rFonts w:ascii="ArialMT" w:hAnsi="ArialMT"/>
          <w:sz w:val="22"/>
          <w:szCs w:val="22"/>
        </w:rPr>
      </w:pPr>
    </w:p>
    <w:p w14:paraId="3F5FBB1A" w14:textId="0CAF855C" w:rsidR="00CB4A6B" w:rsidRDefault="0045263D" w:rsidP="007D1743">
      <w:pPr>
        <w:pStyle w:val="NormalWeb"/>
        <w:rPr>
          <w:rFonts w:ascii="ArialMT" w:hAnsi="ArialMT"/>
          <w:sz w:val="22"/>
          <w:szCs w:val="22"/>
        </w:rPr>
      </w:pPr>
      <w:r>
        <w:rPr>
          <w:rFonts w:ascii="ArialMT" w:hAnsi="ArialMT"/>
          <w:sz w:val="22"/>
          <w:szCs w:val="22"/>
        </w:rPr>
        <w:t xml:space="preserve">A = </w:t>
      </w:r>
      <w:r w:rsidR="00502B7C">
        <w:rPr>
          <w:rFonts w:ascii="ArialMT" w:hAnsi="ArialMT"/>
          <w:sz w:val="22"/>
          <w:szCs w:val="22"/>
        </w:rPr>
        <w:t>2 years + deficit 500 / (</w:t>
      </w:r>
      <w:r>
        <w:rPr>
          <w:rFonts w:ascii="ArialMT" w:hAnsi="ArialMT"/>
          <w:sz w:val="22"/>
          <w:szCs w:val="22"/>
        </w:rPr>
        <w:t xml:space="preserve">deficit </w:t>
      </w:r>
      <w:r w:rsidR="00502B7C">
        <w:rPr>
          <w:rFonts w:ascii="ArialMT" w:hAnsi="ArialMT"/>
          <w:sz w:val="22"/>
          <w:szCs w:val="22"/>
        </w:rPr>
        <w:t>500</w:t>
      </w:r>
      <w:r>
        <w:rPr>
          <w:rFonts w:ascii="ArialMT" w:hAnsi="ArialMT"/>
          <w:sz w:val="22"/>
          <w:szCs w:val="22"/>
        </w:rPr>
        <w:t xml:space="preserve"> + surplus </w:t>
      </w:r>
      <w:r w:rsidR="00502B7C">
        <w:rPr>
          <w:rFonts w:ascii="ArialMT" w:hAnsi="ArialMT"/>
          <w:sz w:val="22"/>
          <w:szCs w:val="22"/>
        </w:rPr>
        <w:t>500)</w:t>
      </w:r>
    </w:p>
    <w:p w14:paraId="7542C32E" w14:textId="70C31D2D" w:rsidR="0045263D" w:rsidRDefault="0045263D" w:rsidP="007D1743">
      <w:pPr>
        <w:pStyle w:val="NormalWeb"/>
        <w:rPr>
          <w:rFonts w:ascii="ArialMT" w:hAnsi="ArialMT"/>
          <w:sz w:val="22"/>
          <w:szCs w:val="22"/>
        </w:rPr>
      </w:pPr>
      <w:r>
        <w:rPr>
          <w:rFonts w:ascii="ArialMT" w:hAnsi="ArialMT"/>
          <w:sz w:val="22"/>
          <w:szCs w:val="22"/>
        </w:rPr>
        <w:t xml:space="preserve">A = 2 years + 500 / 1000 </w:t>
      </w:r>
    </w:p>
    <w:p w14:paraId="179B63DE" w14:textId="36418390" w:rsidR="0045263D" w:rsidRDefault="0045263D" w:rsidP="007D1743">
      <w:pPr>
        <w:pStyle w:val="NormalWeb"/>
        <w:rPr>
          <w:rFonts w:ascii="ArialMT" w:hAnsi="ArialMT"/>
          <w:sz w:val="22"/>
          <w:szCs w:val="22"/>
        </w:rPr>
      </w:pPr>
      <w:r>
        <w:rPr>
          <w:rFonts w:ascii="ArialMT" w:hAnsi="ArialMT"/>
          <w:sz w:val="22"/>
          <w:szCs w:val="22"/>
        </w:rPr>
        <w:t xml:space="preserve">A = </w:t>
      </w:r>
      <w:r w:rsidR="001363F0">
        <w:rPr>
          <w:rFonts w:ascii="ArialMT" w:hAnsi="ArialMT"/>
          <w:sz w:val="22"/>
          <w:szCs w:val="22"/>
        </w:rPr>
        <w:t xml:space="preserve">2 years + </w:t>
      </w:r>
      <w:r>
        <w:rPr>
          <w:rFonts w:ascii="ArialMT" w:hAnsi="ArialMT"/>
          <w:sz w:val="22"/>
          <w:szCs w:val="22"/>
        </w:rPr>
        <w:t xml:space="preserve">0.5 </w:t>
      </w:r>
      <w:r w:rsidR="001363F0">
        <w:rPr>
          <w:rFonts w:ascii="ArialMT" w:hAnsi="ArialMT"/>
          <w:sz w:val="22"/>
          <w:szCs w:val="22"/>
        </w:rPr>
        <w:t xml:space="preserve">years </w:t>
      </w:r>
    </w:p>
    <w:p w14:paraId="5992EE44" w14:textId="770DFA11" w:rsidR="00937DED" w:rsidRPr="001363F0" w:rsidRDefault="00937DED" w:rsidP="007D1743">
      <w:pPr>
        <w:pStyle w:val="NormalWeb"/>
        <w:rPr>
          <w:rFonts w:ascii="ArialMT" w:hAnsi="ArialMT"/>
          <w:sz w:val="22"/>
          <w:szCs w:val="22"/>
        </w:rPr>
      </w:pPr>
      <w:r w:rsidRPr="001363F0">
        <w:rPr>
          <w:rFonts w:ascii="ArialMT" w:hAnsi="ArialMT"/>
          <w:sz w:val="22"/>
          <w:szCs w:val="22"/>
        </w:rPr>
        <w:t>A = 2</w:t>
      </w:r>
      <w:r w:rsidR="001363F0">
        <w:rPr>
          <w:rFonts w:ascii="ArialMT" w:hAnsi="ArialMT"/>
          <w:sz w:val="22"/>
          <w:szCs w:val="22"/>
        </w:rPr>
        <w:t xml:space="preserve"> years</w:t>
      </w:r>
      <w:r w:rsidRPr="001363F0">
        <w:rPr>
          <w:rFonts w:ascii="ArialMT" w:hAnsi="ArialMT"/>
          <w:sz w:val="22"/>
          <w:szCs w:val="22"/>
        </w:rPr>
        <w:t xml:space="preserve"> + </w:t>
      </w:r>
      <w:r w:rsidRPr="001363F0">
        <w:rPr>
          <w:rFonts w:ascii="ArialMT" w:hAnsi="ArialMT"/>
          <w:sz w:val="22"/>
          <w:szCs w:val="22"/>
        </w:rPr>
        <w:t>0.5 x 12</w:t>
      </w:r>
    </w:p>
    <w:p w14:paraId="28AD8B5E" w14:textId="407E6DA0" w:rsidR="001363F0" w:rsidRPr="001363F0" w:rsidRDefault="001363F0" w:rsidP="007D1743">
      <w:pPr>
        <w:pStyle w:val="NormalWeb"/>
        <w:rPr>
          <w:rFonts w:ascii="ArialMT" w:hAnsi="ArialMT"/>
          <w:sz w:val="22"/>
          <w:szCs w:val="22"/>
        </w:rPr>
      </w:pPr>
      <w:r w:rsidRPr="001363F0">
        <w:rPr>
          <w:rFonts w:ascii="ArialMT" w:hAnsi="ArialMT"/>
          <w:sz w:val="22"/>
          <w:szCs w:val="22"/>
        </w:rPr>
        <w:t>A = 2 years + 6</w:t>
      </w:r>
    </w:p>
    <w:p w14:paraId="59727A41" w14:textId="42536D63" w:rsidR="0045263D" w:rsidRPr="00BE2428" w:rsidRDefault="00937DED" w:rsidP="007D1743">
      <w:pPr>
        <w:pStyle w:val="NormalWeb"/>
        <w:rPr>
          <w:rFonts w:ascii="ArialMT" w:hAnsi="ArialMT"/>
          <w:b/>
          <w:bCs/>
          <w:sz w:val="22"/>
          <w:szCs w:val="22"/>
        </w:rPr>
      </w:pPr>
      <w:r>
        <w:rPr>
          <w:rFonts w:ascii="ArialMT" w:hAnsi="ArialMT"/>
          <w:b/>
          <w:bCs/>
          <w:sz w:val="22"/>
          <w:szCs w:val="22"/>
        </w:rPr>
        <w:t>T</w:t>
      </w:r>
      <w:r w:rsidR="0045263D" w:rsidRPr="0045263D">
        <w:rPr>
          <w:rFonts w:ascii="ArialMT" w:hAnsi="ArialMT"/>
          <w:b/>
          <w:bCs/>
          <w:sz w:val="22"/>
          <w:szCs w:val="22"/>
        </w:rPr>
        <w:t xml:space="preserve">he Payback period is </w:t>
      </w:r>
      <w:r w:rsidR="0045263D" w:rsidRPr="001F4C75">
        <w:rPr>
          <w:rFonts w:ascii="ArialMT" w:hAnsi="ArialMT"/>
          <w:b/>
          <w:bCs/>
          <w:color w:val="3A7C22" w:themeColor="accent6" w:themeShade="BF"/>
          <w:sz w:val="22"/>
          <w:szCs w:val="22"/>
        </w:rPr>
        <w:t>2 years and 6 months</w:t>
      </w:r>
      <w:r w:rsidR="001363F0" w:rsidRPr="001F4C75">
        <w:rPr>
          <w:rFonts w:ascii="ArialMT" w:hAnsi="ArialMT"/>
          <w:b/>
          <w:bCs/>
          <w:color w:val="3A7C22" w:themeColor="accent6" w:themeShade="BF"/>
          <w:sz w:val="22"/>
          <w:szCs w:val="22"/>
        </w:rPr>
        <w:t>.</w:t>
      </w:r>
      <w:r w:rsidR="0045263D" w:rsidRPr="001F4C75">
        <w:rPr>
          <w:rFonts w:ascii="ArialMT" w:hAnsi="ArialMT"/>
          <w:b/>
          <w:bCs/>
          <w:color w:val="3A7C22" w:themeColor="accent6" w:themeShade="BF"/>
          <w:sz w:val="22"/>
          <w:szCs w:val="22"/>
        </w:rPr>
        <w:t xml:space="preserve"> </w:t>
      </w:r>
    </w:p>
    <w:p w14:paraId="5F0DCF31" w14:textId="5E5C0DD7" w:rsidR="00502B7C" w:rsidRDefault="00ED6411" w:rsidP="00ED6411">
      <w:pPr>
        <w:pStyle w:val="NormalWeb"/>
        <w:spacing w:line="360" w:lineRule="auto"/>
        <w:rPr>
          <w:rFonts w:ascii="ArialMT" w:hAnsi="ArialMT"/>
          <w:sz w:val="22"/>
          <w:szCs w:val="22"/>
        </w:rPr>
      </w:pPr>
      <w:r w:rsidRPr="00ED6411">
        <w:rPr>
          <w:rFonts w:ascii="ArialMT" w:hAnsi="ArialMT"/>
          <w:sz w:val="22"/>
          <w:szCs w:val="22"/>
        </w:rPr>
        <w:t>The payback period of two years and six months suggests that it will take a while to recover the initial cost.  Considering the short investment horizon of four years, a long payback period could indicate increased risk. Investing $5,000 with a recovery period of two years and six months carries a high degree of risk because there is a limited amount of time to produce returns that go beyond simple capital recovery.</w:t>
      </w:r>
    </w:p>
    <w:p w14:paraId="3703E6E3" w14:textId="77777777" w:rsidR="00502B7C" w:rsidRPr="00CB4A6B" w:rsidRDefault="00502B7C" w:rsidP="007D1743">
      <w:pPr>
        <w:pStyle w:val="NormalWeb"/>
        <w:rPr>
          <w:rFonts w:ascii="ArialMT" w:hAnsi="ArialMT"/>
          <w:sz w:val="22"/>
          <w:szCs w:val="22"/>
        </w:rPr>
      </w:pPr>
    </w:p>
    <w:p w14:paraId="158F3AF6" w14:textId="6A4A91D5" w:rsidR="006238F6" w:rsidRPr="00B36F0D" w:rsidRDefault="00B36F0D" w:rsidP="007D1743">
      <w:pPr>
        <w:pStyle w:val="NormalWeb"/>
        <w:rPr>
          <w:rFonts w:ascii="ArialMT" w:hAnsi="ArialMT"/>
          <w:b/>
          <w:bCs/>
          <w:sz w:val="22"/>
          <w:szCs w:val="22"/>
        </w:rPr>
      </w:pPr>
      <w:r w:rsidRPr="00B36F0D">
        <w:rPr>
          <w:rFonts w:ascii="ArialMT" w:hAnsi="ArialMT"/>
          <w:b/>
          <w:bCs/>
          <w:sz w:val="22"/>
          <w:szCs w:val="22"/>
        </w:rPr>
        <w:t>Project B</w:t>
      </w:r>
    </w:p>
    <w:p w14:paraId="7EEF973B" w14:textId="187EE8B5" w:rsidR="00B36F0D" w:rsidRDefault="00B36F0D" w:rsidP="00B36F0D">
      <w:pPr>
        <w:pStyle w:val="NormalWeb"/>
        <w:rPr>
          <w:rFonts w:ascii="ArialMT" w:hAnsi="ArialMT"/>
          <w:sz w:val="22"/>
          <w:szCs w:val="22"/>
        </w:rPr>
      </w:pPr>
      <w:r>
        <w:rPr>
          <w:rFonts w:ascii="ArialMT" w:hAnsi="ArialMT"/>
          <w:sz w:val="22"/>
          <w:szCs w:val="22"/>
        </w:rPr>
        <w:t xml:space="preserve">The Payback period is </w:t>
      </w:r>
      <w:r w:rsidR="00502B7C">
        <w:rPr>
          <w:rFonts w:ascii="ArialMT" w:hAnsi="ArialMT"/>
          <w:sz w:val="22"/>
          <w:szCs w:val="22"/>
        </w:rPr>
        <w:t>in the first year</w:t>
      </w:r>
      <w:r>
        <w:rPr>
          <w:rFonts w:ascii="ArialMT" w:hAnsi="ArialMT"/>
          <w:sz w:val="22"/>
          <w:szCs w:val="22"/>
        </w:rPr>
        <w:t xml:space="preserve">, where the cumulative net cashflow changes from </w:t>
      </w:r>
      <w:r w:rsidR="00502B7C">
        <w:rPr>
          <w:rFonts w:ascii="ArialMT" w:hAnsi="ArialMT"/>
          <w:sz w:val="22"/>
          <w:szCs w:val="22"/>
        </w:rPr>
        <w:t xml:space="preserve">a </w:t>
      </w:r>
      <w:r>
        <w:rPr>
          <w:rFonts w:ascii="ArialMT" w:hAnsi="ArialMT"/>
          <w:sz w:val="22"/>
          <w:szCs w:val="22"/>
        </w:rPr>
        <w:t>deficit to</w:t>
      </w:r>
      <w:r w:rsidR="00502B7C">
        <w:rPr>
          <w:rFonts w:ascii="ArialMT" w:hAnsi="ArialMT"/>
          <w:sz w:val="22"/>
          <w:szCs w:val="22"/>
        </w:rPr>
        <w:t xml:space="preserve"> </w:t>
      </w:r>
      <w:r w:rsidR="00937DED">
        <w:rPr>
          <w:rFonts w:ascii="ArialMT" w:hAnsi="ArialMT"/>
          <w:sz w:val="22"/>
          <w:szCs w:val="22"/>
        </w:rPr>
        <w:t xml:space="preserve">a </w:t>
      </w:r>
      <w:r>
        <w:rPr>
          <w:rFonts w:ascii="ArialMT" w:hAnsi="ArialMT"/>
          <w:sz w:val="22"/>
          <w:szCs w:val="22"/>
        </w:rPr>
        <w:t xml:space="preserve">surplus </w:t>
      </w:r>
    </w:p>
    <w:p w14:paraId="41434BA3" w14:textId="6C392532" w:rsidR="00D12FD1" w:rsidRPr="00D12FD1" w:rsidRDefault="00200A65" w:rsidP="00200A65">
      <w:pPr>
        <w:pStyle w:val="Caption"/>
        <w:rPr>
          <w:rFonts w:ascii="Arial" w:hAnsi="Arial" w:cs="Arial"/>
          <w:b/>
          <w:bCs/>
          <w:color w:val="000000" w:themeColor="text1"/>
          <w:sz w:val="22"/>
          <w:szCs w:val="22"/>
        </w:rPr>
      </w:pPr>
      <w:bookmarkStart w:id="18" w:name="_Toc164849549"/>
      <w:r>
        <w:t xml:space="preserve">Table </w:t>
      </w:r>
      <w:r>
        <w:fldChar w:fldCharType="begin"/>
      </w:r>
      <w:r>
        <w:instrText xml:space="preserve"> SEQ Table \* ARABIC </w:instrText>
      </w:r>
      <w:r>
        <w:fldChar w:fldCharType="separate"/>
      </w:r>
      <w:r w:rsidR="00083413">
        <w:rPr>
          <w:noProof/>
        </w:rPr>
        <w:t>9</w:t>
      </w:r>
      <w:r>
        <w:fldChar w:fldCharType="end"/>
      </w:r>
      <w:r w:rsidRPr="00CD7151">
        <w:t>Payback Period Calculation Project B (source author)</w:t>
      </w:r>
      <w:bookmarkEnd w:id="18"/>
    </w:p>
    <w:tbl>
      <w:tblPr>
        <w:tblW w:w="7200" w:type="dxa"/>
        <w:tblLook w:val="04A0" w:firstRow="1" w:lastRow="0" w:firstColumn="1" w:lastColumn="0" w:noHBand="0" w:noVBand="1"/>
      </w:tblPr>
      <w:tblGrid>
        <w:gridCol w:w="2580"/>
        <w:gridCol w:w="180"/>
        <w:gridCol w:w="1860"/>
        <w:gridCol w:w="2580"/>
      </w:tblGrid>
      <w:tr w:rsidR="00502B7C" w14:paraId="69AA2279" w14:textId="77777777" w:rsidTr="00502B7C">
        <w:trPr>
          <w:trHeight w:val="320"/>
        </w:trPr>
        <w:tc>
          <w:tcPr>
            <w:tcW w:w="2760" w:type="dxa"/>
            <w:gridSpan w:val="2"/>
            <w:tcBorders>
              <w:top w:val="nil"/>
              <w:left w:val="nil"/>
              <w:bottom w:val="nil"/>
              <w:right w:val="nil"/>
            </w:tcBorders>
            <w:shd w:val="clear" w:color="000000" w:fill="D86DCD"/>
            <w:noWrap/>
            <w:vAlign w:val="bottom"/>
            <w:hideMark/>
          </w:tcPr>
          <w:p w14:paraId="49CA95EF" w14:textId="77777777" w:rsidR="00502B7C" w:rsidRDefault="00502B7C">
            <w:pPr>
              <w:rPr>
                <w:rFonts w:ascii="Aptos Narrow" w:hAnsi="Aptos Narrow"/>
                <w:color w:val="000000"/>
              </w:rPr>
            </w:pPr>
            <w:r>
              <w:rPr>
                <w:rFonts w:ascii="Aptos Narrow" w:hAnsi="Aptos Narrow"/>
                <w:color w:val="000000"/>
              </w:rPr>
              <w:t>Project B</w:t>
            </w:r>
          </w:p>
        </w:tc>
        <w:tc>
          <w:tcPr>
            <w:tcW w:w="1860" w:type="dxa"/>
            <w:tcBorders>
              <w:top w:val="nil"/>
              <w:left w:val="nil"/>
              <w:bottom w:val="nil"/>
              <w:right w:val="nil"/>
            </w:tcBorders>
            <w:shd w:val="clear" w:color="000000" w:fill="D86DCD"/>
            <w:noWrap/>
            <w:vAlign w:val="bottom"/>
            <w:hideMark/>
          </w:tcPr>
          <w:p w14:paraId="7BE6CDAF" w14:textId="77777777" w:rsidR="00502B7C" w:rsidRDefault="00502B7C">
            <w:pPr>
              <w:rPr>
                <w:rFonts w:ascii="Aptos Narrow" w:hAnsi="Aptos Narrow"/>
                <w:color w:val="000000"/>
              </w:rPr>
            </w:pPr>
            <w:r>
              <w:rPr>
                <w:rFonts w:ascii="Aptos Narrow" w:hAnsi="Aptos Narrow"/>
                <w:color w:val="000000"/>
              </w:rPr>
              <w:t> </w:t>
            </w:r>
          </w:p>
        </w:tc>
        <w:tc>
          <w:tcPr>
            <w:tcW w:w="2580" w:type="dxa"/>
            <w:tcBorders>
              <w:top w:val="nil"/>
              <w:left w:val="nil"/>
              <w:bottom w:val="nil"/>
              <w:right w:val="nil"/>
            </w:tcBorders>
            <w:shd w:val="clear" w:color="000000" w:fill="D86DCD"/>
            <w:noWrap/>
            <w:vAlign w:val="bottom"/>
            <w:hideMark/>
          </w:tcPr>
          <w:p w14:paraId="606DA6F0" w14:textId="77777777" w:rsidR="00502B7C" w:rsidRDefault="00502B7C">
            <w:pPr>
              <w:rPr>
                <w:rFonts w:ascii="Aptos Narrow" w:hAnsi="Aptos Narrow"/>
                <w:color w:val="000000"/>
              </w:rPr>
            </w:pPr>
            <w:r>
              <w:rPr>
                <w:rFonts w:ascii="Aptos Narrow" w:hAnsi="Aptos Narrow"/>
                <w:color w:val="000000"/>
              </w:rPr>
              <w:t> </w:t>
            </w:r>
          </w:p>
        </w:tc>
      </w:tr>
      <w:tr w:rsidR="00502B7C" w14:paraId="13FA278A" w14:textId="77777777" w:rsidTr="00502B7C">
        <w:trPr>
          <w:trHeight w:val="320"/>
        </w:trPr>
        <w:tc>
          <w:tcPr>
            <w:tcW w:w="2760" w:type="dxa"/>
            <w:gridSpan w:val="2"/>
            <w:tcBorders>
              <w:top w:val="nil"/>
              <w:left w:val="nil"/>
              <w:bottom w:val="nil"/>
              <w:right w:val="nil"/>
            </w:tcBorders>
            <w:shd w:val="clear" w:color="auto" w:fill="auto"/>
            <w:noWrap/>
            <w:vAlign w:val="bottom"/>
            <w:hideMark/>
          </w:tcPr>
          <w:p w14:paraId="3EF95B44" w14:textId="77777777" w:rsidR="00502B7C" w:rsidRDefault="00502B7C">
            <w:pPr>
              <w:rPr>
                <w:rFonts w:ascii="Aptos Narrow" w:hAnsi="Aptos Narrow"/>
                <w:color w:val="000000"/>
              </w:rPr>
            </w:pPr>
            <w:r>
              <w:rPr>
                <w:rFonts w:ascii="Aptos Narrow" w:hAnsi="Aptos Narrow"/>
                <w:color w:val="000000"/>
              </w:rPr>
              <w:t xml:space="preserve">Year </w:t>
            </w:r>
          </w:p>
        </w:tc>
        <w:tc>
          <w:tcPr>
            <w:tcW w:w="1860" w:type="dxa"/>
            <w:tcBorders>
              <w:top w:val="nil"/>
              <w:left w:val="nil"/>
              <w:bottom w:val="nil"/>
              <w:right w:val="nil"/>
            </w:tcBorders>
            <w:shd w:val="clear" w:color="auto" w:fill="auto"/>
            <w:noWrap/>
            <w:vAlign w:val="bottom"/>
            <w:hideMark/>
          </w:tcPr>
          <w:p w14:paraId="7F2F1B56" w14:textId="77777777" w:rsidR="00502B7C" w:rsidRDefault="00502B7C">
            <w:pPr>
              <w:rPr>
                <w:rFonts w:ascii="Aptos Narrow" w:hAnsi="Aptos Narrow"/>
                <w:color w:val="000000"/>
              </w:rPr>
            </w:pPr>
            <w:r>
              <w:rPr>
                <w:rFonts w:ascii="Aptos Narrow" w:hAnsi="Aptos Narrow"/>
                <w:color w:val="000000"/>
              </w:rPr>
              <w:t xml:space="preserve">Net cash flow </w:t>
            </w:r>
          </w:p>
        </w:tc>
        <w:tc>
          <w:tcPr>
            <w:tcW w:w="2580" w:type="dxa"/>
            <w:tcBorders>
              <w:top w:val="nil"/>
              <w:left w:val="nil"/>
              <w:bottom w:val="nil"/>
              <w:right w:val="nil"/>
            </w:tcBorders>
            <w:shd w:val="clear" w:color="auto" w:fill="auto"/>
            <w:noWrap/>
            <w:vAlign w:val="bottom"/>
            <w:hideMark/>
          </w:tcPr>
          <w:p w14:paraId="4D38B810" w14:textId="77777777" w:rsidR="00502B7C" w:rsidRDefault="00502B7C">
            <w:pPr>
              <w:rPr>
                <w:rFonts w:ascii="Aptos Narrow" w:hAnsi="Aptos Narrow"/>
                <w:color w:val="000000"/>
              </w:rPr>
            </w:pPr>
            <w:r>
              <w:rPr>
                <w:rFonts w:ascii="Aptos Narrow" w:hAnsi="Aptos Narrow"/>
                <w:color w:val="000000"/>
              </w:rPr>
              <w:t>Cumulative Net cash flow</w:t>
            </w:r>
          </w:p>
        </w:tc>
      </w:tr>
      <w:tr w:rsidR="00502B7C" w14:paraId="7C9B0922" w14:textId="77777777" w:rsidTr="00502B7C">
        <w:trPr>
          <w:trHeight w:val="320"/>
        </w:trPr>
        <w:tc>
          <w:tcPr>
            <w:tcW w:w="2760" w:type="dxa"/>
            <w:gridSpan w:val="2"/>
            <w:tcBorders>
              <w:top w:val="nil"/>
              <w:left w:val="nil"/>
              <w:bottom w:val="nil"/>
              <w:right w:val="nil"/>
            </w:tcBorders>
            <w:shd w:val="clear" w:color="000000" w:fill="F2CEEF"/>
            <w:noWrap/>
            <w:vAlign w:val="bottom"/>
            <w:hideMark/>
          </w:tcPr>
          <w:p w14:paraId="7ECB97EB" w14:textId="77777777" w:rsidR="00502B7C" w:rsidRDefault="00502B7C">
            <w:pPr>
              <w:jc w:val="right"/>
              <w:rPr>
                <w:rFonts w:ascii="Aptos Narrow" w:hAnsi="Aptos Narrow"/>
                <w:color w:val="000000"/>
              </w:rPr>
            </w:pPr>
            <w:r>
              <w:rPr>
                <w:rFonts w:ascii="Aptos Narrow" w:hAnsi="Aptos Narrow"/>
                <w:color w:val="000000"/>
              </w:rPr>
              <w:t>0</w:t>
            </w:r>
          </w:p>
        </w:tc>
        <w:tc>
          <w:tcPr>
            <w:tcW w:w="1860" w:type="dxa"/>
            <w:tcBorders>
              <w:top w:val="nil"/>
              <w:left w:val="nil"/>
              <w:bottom w:val="nil"/>
              <w:right w:val="nil"/>
            </w:tcBorders>
            <w:shd w:val="clear" w:color="000000" w:fill="F2CEEF"/>
            <w:noWrap/>
            <w:vAlign w:val="bottom"/>
            <w:hideMark/>
          </w:tcPr>
          <w:p w14:paraId="63901AD0" w14:textId="77777777" w:rsidR="00502B7C" w:rsidRDefault="00502B7C">
            <w:pPr>
              <w:jc w:val="right"/>
              <w:rPr>
                <w:rFonts w:ascii="Aptos Narrow" w:hAnsi="Aptos Narrow"/>
                <w:color w:val="000000"/>
              </w:rPr>
            </w:pPr>
            <w:r>
              <w:rPr>
                <w:rFonts w:ascii="Aptos Narrow" w:hAnsi="Aptos Narrow"/>
                <w:color w:val="000000"/>
              </w:rPr>
              <w:t>-1000</w:t>
            </w:r>
          </w:p>
        </w:tc>
        <w:tc>
          <w:tcPr>
            <w:tcW w:w="2580" w:type="dxa"/>
            <w:tcBorders>
              <w:top w:val="nil"/>
              <w:left w:val="nil"/>
              <w:bottom w:val="nil"/>
              <w:right w:val="nil"/>
            </w:tcBorders>
            <w:shd w:val="clear" w:color="000000" w:fill="F2CEEF"/>
            <w:noWrap/>
            <w:vAlign w:val="bottom"/>
            <w:hideMark/>
          </w:tcPr>
          <w:p w14:paraId="2A6194ED" w14:textId="77777777" w:rsidR="00502B7C" w:rsidRDefault="00502B7C">
            <w:pPr>
              <w:jc w:val="right"/>
              <w:rPr>
                <w:rFonts w:ascii="Aptos Narrow" w:hAnsi="Aptos Narrow"/>
                <w:color w:val="000000"/>
              </w:rPr>
            </w:pPr>
            <w:r>
              <w:rPr>
                <w:rFonts w:ascii="Aptos Narrow" w:hAnsi="Aptos Narrow"/>
                <w:color w:val="000000"/>
              </w:rPr>
              <w:t>-1000</w:t>
            </w:r>
          </w:p>
        </w:tc>
      </w:tr>
      <w:tr w:rsidR="00502B7C" w14:paraId="57F28663" w14:textId="77777777" w:rsidTr="00502B7C">
        <w:trPr>
          <w:trHeight w:val="320"/>
        </w:trPr>
        <w:tc>
          <w:tcPr>
            <w:tcW w:w="2760" w:type="dxa"/>
            <w:gridSpan w:val="2"/>
            <w:tcBorders>
              <w:top w:val="nil"/>
              <w:left w:val="nil"/>
              <w:bottom w:val="nil"/>
              <w:right w:val="nil"/>
            </w:tcBorders>
            <w:shd w:val="clear" w:color="000000" w:fill="F2CEEF"/>
            <w:noWrap/>
            <w:vAlign w:val="bottom"/>
            <w:hideMark/>
          </w:tcPr>
          <w:p w14:paraId="62BA50AA" w14:textId="77777777" w:rsidR="00502B7C" w:rsidRDefault="00502B7C">
            <w:pPr>
              <w:jc w:val="right"/>
              <w:rPr>
                <w:rFonts w:ascii="Aptos Narrow" w:hAnsi="Aptos Narrow"/>
                <w:color w:val="000000"/>
              </w:rPr>
            </w:pPr>
            <w:r>
              <w:rPr>
                <w:rFonts w:ascii="Aptos Narrow" w:hAnsi="Aptos Narrow"/>
                <w:color w:val="000000"/>
              </w:rPr>
              <w:lastRenderedPageBreak/>
              <w:t>1</w:t>
            </w:r>
          </w:p>
        </w:tc>
        <w:tc>
          <w:tcPr>
            <w:tcW w:w="1860" w:type="dxa"/>
            <w:tcBorders>
              <w:top w:val="nil"/>
              <w:left w:val="nil"/>
              <w:bottom w:val="nil"/>
              <w:right w:val="nil"/>
            </w:tcBorders>
            <w:shd w:val="clear" w:color="000000" w:fill="F2CEEF"/>
            <w:noWrap/>
            <w:vAlign w:val="bottom"/>
            <w:hideMark/>
          </w:tcPr>
          <w:p w14:paraId="20B57894" w14:textId="77777777" w:rsidR="00502B7C" w:rsidRDefault="00502B7C">
            <w:pPr>
              <w:jc w:val="right"/>
              <w:rPr>
                <w:rFonts w:ascii="Aptos Narrow" w:hAnsi="Aptos Narrow"/>
                <w:color w:val="000000"/>
              </w:rPr>
            </w:pPr>
            <w:r>
              <w:rPr>
                <w:rFonts w:ascii="Aptos Narrow" w:hAnsi="Aptos Narrow"/>
                <w:color w:val="000000"/>
              </w:rPr>
              <w:t>1500</w:t>
            </w:r>
          </w:p>
        </w:tc>
        <w:tc>
          <w:tcPr>
            <w:tcW w:w="2580" w:type="dxa"/>
            <w:tcBorders>
              <w:top w:val="nil"/>
              <w:left w:val="nil"/>
              <w:bottom w:val="nil"/>
              <w:right w:val="nil"/>
            </w:tcBorders>
            <w:shd w:val="clear" w:color="000000" w:fill="F2CEEF"/>
            <w:noWrap/>
            <w:vAlign w:val="bottom"/>
            <w:hideMark/>
          </w:tcPr>
          <w:p w14:paraId="6CDF920A" w14:textId="77777777" w:rsidR="00502B7C" w:rsidRDefault="00502B7C">
            <w:pPr>
              <w:jc w:val="right"/>
              <w:rPr>
                <w:rFonts w:ascii="Aptos Narrow" w:hAnsi="Aptos Narrow"/>
                <w:color w:val="000000"/>
              </w:rPr>
            </w:pPr>
            <w:r>
              <w:rPr>
                <w:rFonts w:ascii="Aptos Narrow" w:hAnsi="Aptos Narrow"/>
                <w:color w:val="000000"/>
              </w:rPr>
              <w:t>500</w:t>
            </w:r>
          </w:p>
        </w:tc>
      </w:tr>
      <w:tr w:rsidR="00502B7C" w14:paraId="0AF18DA4" w14:textId="77777777" w:rsidTr="00502B7C">
        <w:trPr>
          <w:trHeight w:val="320"/>
        </w:trPr>
        <w:tc>
          <w:tcPr>
            <w:tcW w:w="2760" w:type="dxa"/>
            <w:gridSpan w:val="2"/>
            <w:tcBorders>
              <w:top w:val="nil"/>
              <w:left w:val="nil"/>
              <w:bottom w:val="nil"/>
              <w:right w:val="nil"/>
            </w:tcBorders>
            <w:shd w:val="clear" w:color="auto" w:fill="auto"/>
            <w:noWrap/>
            <w:vAlign w:val="bottom"/>
            <w:hideMark/>
          </w:tcPr>
          <w:p w14:paraId="0E1A6E71" w14:textId="77777777" w:rsidR="00502B7C" w:rsidRDefault="00502B7C">
            <w:pPr>
              <w:jc w:val="right"/>
              <w:rPr>
                <w:rFonts w:ascii="Aptos Narrow" w:hAnsi="Aptos Narrow"/>
                <w:color w:val="000000"/>
              </w:rPr>
            </w:pPr>
            <w:r>
              <w:rPr>
                <w:rFonts w:ascii="Aptos Narrow" w:hAnsi="Aptos Narrow"/>
                <w:color w:val="000000"/>
              </w:rPr>
              <w:t>2</w:t>
            </w:r>
          </w:p>
        </w:tc>
        <w:tc>
          <w:tcPr>
            <w:tcW w:w="1860" w:type="dxa"/>
            <w:tcBorders>
              <w:top w:val="nil"/>
              <w:left w:val="nil"/>
              <w:bottom w:val="nil"/>
              <w:right w:val="nil"/>
            </w:tcBorders>
            <w:shd w:val="clear" w:color="auto" w:fill="auto"/>
            <w:noWrap/>
            <w:vAlign w:val="bottom"/>
            <w:hideMark/>
          </w:tcPr>
          <w:p w14:paraId="270B9CCD" w14:textId="77777777" w:rsidR="00502B7C" w:rsidRDefault="00502B7C">
            <w:pPr>
              <w:jc w:val="right"/>
              <w:rPr>
                <w:rFonts w:ascii="Aptos Narrow" w:hAnsi="Aptos Narrow"/>
                <w:color w:val="000000"/>
              </w:rPr>
            </w:pPr>
            <w:r>
              <w:rPr>
                <w:rFonts w:ascii="Aptos Narrow" w:hAnsi="Aptos Narrow"/>
                <w:color w:val="000000"/>
              </w:rPr>
              <w:t>1000</w:t>
            </w:r>
          </w:p>
        </w:tc>
        <w:tc>
          <w:tcPr>
            <w:tcW w:w="2580" w:type="dxa"/>
            <w:tcBorders>
              <w:top w:val="nil"/>
              <w:left w:val="nil"/>
              <w:bottom w:val="nil"/>
              <w:right w:val="nil"/>
            </w:tcBorders>
            <w:shd w:val="clear" w:color="auto" w:fill="auto"/>
            <w:noWrap/>
            <w:vAlign w:val="bottom"/>
            <w:hideMark/>
          </w:tcPr>
          <w:p w14:paraId="038B1D59" w14:textId="77777777" w:rsidR="00502B7C" w:rsidRDefault="00502B7C">
            <w:pPr>
              <w:jc w:val="right"/>
              <w:rPr>
                <w:rFonts w:ascii="Aptos Narrow" w:hAnsi="Aptos Narrow"/>
                <w:color w:val="000000"/>
              </w:rPr>
            </w:pPr>
            <w:r>
              <w:rPr>
                <w:rFonts w:ascii="Aptos Narrow" w:hAnsi="Aptos Narrow"/>
                <w:color w:val="000000"/>
              </w:rPr>
              <w:t>1500</w:t>
            </w:r>
          </w:p>
        </w:tc>
      </w:tr>
      <w:tr w:rsidR="00502B7C" w14:paraId="21A4663C" w14:textId="77777777" w:rsidTr="00502B7C">
        <w:trPr>
          <w:trHeight w:val="320"/>
        </w:trPr>
        <w:tc>
          <w:tcPr>
            <w:tcW w:w="2760" w:type="dxa"/>
            <w:gridSpan w:val="2"/>
            <w:tcBorders>
              <w:top w:val="nil"/>
              <w:left w:val="nil"/>
              <w:bottom w:val="nil"/>
              <w:right w:val="nil"/>
            </w:tcBorders>
            <w:shd w:val="clear" w:color="auto" w:fill="auto"/>
            <w:noWrap/>
            <w:vAlign w:val="bottom"/>
            <w:hideMark/>
          </w:tcPr>
          <w:p w14:paraId="6FD389CB" w14:textId="77777777" w:rsidR="00502B7C" w:rsidRDefault="00502B7C">
            <w:pPr>
              <w:jc w:val="right"/>
              <w:rPr>
                <w:rFonts w:ascii="Aptos Narrow" w:hAnsi="Aptos Narrow"/>
                <w:color w:val="000000"/>
              </w:rPr>
            </w:pPr>
            <w:r>
              <w:rPr>
                <w:rFonts w:ascii="Aptos Narrow" w:hAnsi="Aptos Narrow"/>
                <w:color w:val="000000"/>
              </w:rPr>
              <w:t>3</w:t>
            </w:r>
          </w:p>
        </w:tc>
        <w:tc>
          <w:tcPr>
            <w:tcW w:w="1860" w:type="dxa"/>
            <w:tcBorders>
              <w:top w:val="nil"/>
              <w:left w:val="nil"/>
              <w:bottom w:val="nil"/>
              <w:right w:val="nil"/>
            </w:tcBorders>
            <w:shd w:val="clear" w:color="auto" w:fill="auto"/>
            <w:noWrap/>
            <w:vAlign w:val="bottom"/>
            <w:hideMark/>
          </w:tcPr>
          <w:p w14:paraId="215A19F3" w14:textId="77777777" w:rsidR="00502B7C" w:rsidRDefault="00502B7C">
            <w:pPr>
              <w:jc w:val="right"/>
              <w:rPr>
                <w:rFonts w:ascii="Aptos Narrow" w:hAnsi="Aptos Narrow"/>
                <w:color w:val="000000"/>
              </w:rPr>
            </w:pPr>
            <w:r>
              <w:rPr>
                <w:rFonts w:ascii="Aptos Narrow" w:hAnsi="Aptos Narrow"/>
                <w:color w:val="000000"/>
              </w:rPr>
              <w:t>1000</w:t>
            </w:r>
          </w:p>
        </w:tc>
        <w:tc>
          <w:tcPr>
            <w:tcW w:w="2580" w:type="dxa"/>
            <w:tcBorders>
              <w:top w:val="nil"/>
              <w:left w:val="nil"/>
              <w:bottom w:val="nil"/>
              <w:right w:val="nil"/>
            </w:tcBorders>
            <w:shd w:val="clear" w:color="auto" w:fill="auto"/>
            <w:noWrap/>
            <w:vAlign w:val="bottom"/>
            <w:hideMark/>
          </w:tcPr>
          <w:p w14:paraId="18A233A8" w14:textId="77777777" w:rsidR="00502B7C" w:rsidRDefault="00502B7C">
            <w:pPr>
              <w:jc w:val="right"/>
              <w:rPr>
                <w:rFonts w:ascii="Aptos Narrow" w:hAnsi="Aptos Narrow"/>
                <w:color w:val="000000"/>
              </w:rPr>
            </w:pPr>
            <w:r>
              <w:rPr>
                <w:rFonts w:ascii="Aptos Narrow" w:hAnsi="Aptos Narrow"/>
                <w:color w:val="000000"/>
              </w:rPr>
              <w:t>2500</w:t>
            </w:r>
          </w:p>
        </w:tc>
      </w:tr>
      <w:tr w:rsidR="00502B7C" w14:paraId="2DC3D08F" w14:textId="77777777" w:rsidTr="00502B7C">
        <w:trPr>
          <w:trHeight w:val="320"/>
        </w:trPr>
        <w:tc>
          <w:tcPr>
            <w:tcW w:w="2760" w:type="dxa"/>
            <w:gridSpan w:val="2"/>
            <w:tcBorders>
              <w:top w:val="nil"/>
              <w:left w:val="nil"/>
              <w:bottom w:val="nil"/>
              <w:right w:val="nil"/>
            </w:tcBorders>
            <w:shd w:val="clear" w:color="auto" w:fill="auto"/>
            <w:noWrap/>
            <w:vAlign w:val="bottom"/>
            <w:hideMark/>
          </w:tcPr>
          <w:p w14:paraId="3AF2DA19" w14:textId="77777777" w:rsidR="00502B7C" w:rsidRDefault="00502B7C">
            <w:pPr>
              <w:jc w:val="right"/>
              <w:rPr>
                <w:rFonts w:ascii="Aptos Narrow" w:hAnsi="Aptos Narrow"/>
                <w:color w:val="000000"/>
              </w:rPr>
            </w:pPr>
            <w:r>
              <w:rPr>
                <w:rFonts w:ascii="Aptos Narrow" w:hAnsi="Aptos Narrow"/>
                <w:color w:val="000000"/>
              </w:rPr>
              <w:t>4</w:t>
            </w:r>
          </w:p>
        </w:tc>
        <w:tc>
          <w:tcPr>
            <w:tcW w:w="1860" w:type="dxa"/>
            <w:tcBorders>
              <w:top w:val="nil"/>
              <w:left w:val="nil"/>
              <w:bottom w:val="nil"/>
              <w:right w:val="nil"/>
            </w:tcBorders>
            <w:shd w:val="clear" w:color="auto" w:fill="auto"/>
            <w:noWrap/>
            <w:vAlign w:val="bottom"/>
            <w:hideMark/>
          </w:tcPr>
          <w:p w14:paraId="11A5C3CE" w14:textId="77777777" w:rsidR="00502B7C" w:rsidRDefault="00502B7C">
            <w:pPr>
              <w:jc w:val="right"/>
              <w:rPr>
                <w:rFonts w:ascii="Aptos Narrow" w:hAnsi="Aptos Narrow"/>
                <w:color w:val="000000"/>
              </w:rPr>
            </w:pPr>
            <w:r>
              <w:rPr>
                <w:rFonts w:ascii="Aptos Narrow" w:hAnsi="Aptos Narrow"/>
                <w:color w:val="000000"/>
              </w:rPr>
              <w:t>-470</w:t>
            </w:r>
          </w:p>
        </w:tc>
        <w:tc>
          <w:tcPr>
            <w:tcW w:w="2580" w:type="dxa"/>
            <w:tcBorders>
              <w:top w:val="nil"/>
              <w:left w:val="nil"/>
              <w:bottom w:val="nil"/>
              <w:right w:val="nil"/>
            </w:tcBorders>
            <w:shd w:val="clear" w:color="auto" w:fill="auto"/>
            <w:noWrap/>
            <w:vAlign w:val="bottom"/>
            <w:hideMark/>
          </w:tcPr>
          <w:p w14:paraId="1F557DB2" w14:textId="77777777" w:rsidR="00502B7C" w:rsidRDefault="00502B7C">
            <w:pPr>
              <w:jc w:val="right"/>
              <w:rPr>
                <w:rFonts w:ascii="Aptos Narrow" w:hAnsi="Aptos Narrow"/>
                <w:color w:val="000000"/>
              </w:rPr>
            </w:pPr>
            <w:r>
              <w:rPr>
                <w:rFonts w:ascii="Aptos Narrow" w:hAnsi="Aptos Narrow"/>
                <w:color w:val="000000"/>
              </w:rPr>
              <w:t>2030</w:t>
            </w:r>
          </w:p>
        </w:tc>
      </w:tr>
      <w:tr w:rsidR="00937DED" w14:paraId="5DBE2F58" w14:textId="77777777" w:rsidTr="00502B7C">
        <w:trPr>
          <w:gridAfter w:val="3"/>
          <w:wAfter w:w="4620" w:type="dxa"/>
          <w:trHeight w:val="320"/>
        </w:trPr>
        <w:tc>
          <w:tcPr>
            <w:tcW w:w="2580" w:type="dxa"/>
            <w:tcBorders>
              <w:top w:val="nil"/>
              <w:left w:val="nil"/>
              <w:bottom w:val="nil"/>
              <w:right w:val="nil"/>
            </w:tcBorders>
            <w:shd w:val="clear" w:color="auto" w:fill="auto"/>
            <w:noWrap/>
            <w:vAlign w:val="bottom"/>
          </w:tcPr>
          <w:p w14:paraId="72E88834" w14:textId="77777777" w:rsidR="00937DED" w:rsidRDefault="00937DED">
            <w:pPr>
              <w:jc w:val="right"/>
              <w:rPr>
                <w:rFonts w:ascii="Aptos Narrow" w:hAnsi="Aptos Narrow"/>
                <w:color w:val="000000"/>
              </w:rPr>
            </w:pPr>
          </w:p>
        </w:tc>
      </w:tr>
      <w:tr w:rsidR="0045263D" w14:paraId="48CEB9F3" w14:textId="77777777" w:rsidTr="00502B7C">
        <w:trPr>
          <w:gridAfter w:val="3"/>
          <w:wAfter w:w="4620" w:type="dxa"/>
          <w:trHeight w:val="320"/>
        </w:trPr>
        <w:tc>
          <w:tcPr>
            <w:tcW w:w="2580" w:type="dxa"/>
            <w:tcBorders>
              <w:top w:val="nil"/>
              <w:left w:val="nil"/>
              <w:bottom w:val="nil"/>
              <w:right w:val="nil"/>
            </w:tcBorders>
            <w:shd w:val="clear" w:color="auto" w:fill="auto"/>
            <w:noWrap/>
            <w:vAlign w:val="bottom"/>
          </w:tcPr>
          <w:p w14:paraId="74E67977" w14:textId="77777777" w:rsidR="0045263D" w:rsidRDefault="0045263D">
            <w:pPr>
              <w:jc w:val="right"/>
              <w:rPr>
                <w:rFonts w:ascii="Aptos Narrow" w:hAnsi="Aptos Narrow"/>
                <w:color w:val="000000"/>
              </w:rPr>
            </w:pPr>
          </w:p>
        </w:tc>
      </w:tr>
      <w:tr w:rsidR="0045263D" w14:paraId="71168DD5" w14:textId="77777777" w:rsidTr="00502B7C">
        <w:trPr>
          <w:trHeight w:val="320"/>
        </w:trPr>
        <w:tc>
          <w:tcPr>
            <w:tcW w:w="2760" w:type="dxa"/>
            <w:gridSpan w:val="2"/>
            <w:tcBorders>
              <w:top w:val="nil"/>
              <w:left w:val="nil"/>
              <w:bottom w:val="nil"/>
              <w:right w:val="nil"/>
            </w:tcBorders>
            <w:shd w:val="clear" w:color="auto" w:fill="auto"/>
            <w:noWrap/>
            <w:vAlign w:val="bottom"/>
          </w:tcPr>
          <w:p w14:paraId="49E4D149" w14:textId="77777777" w:rsidR="0045263D" w:rsidRDefault="0045263D" w:rsidP="0045263D">
            <w:pPr>
              <w:rPr>
                <w:rFonts w:ascii="Aptos Narrow" w:hAnsi="Aptos Narrow"/>
                <w:color w:val="000000"/>
              </w:rPr>
            </w:pPr>
          </w:p>
          <w:p w14:paraId="113B8B91" w14:textId="77777777" w:rsidR="0045263D" w:rsidRDefault="0045263D" w:rsidP="0045263D">
            <w:pPr>
              <w:rPr>
                <w:rFonts w:ascii="Aptos Narrow" w:hAnsi="Aptos Narrow"/>
                <w:color w:val="000000"/>
              </w:rPr>
            </w:pPr>
          </w:p>
        </w:tc>
        <w:tc>
          <w:tcPr>
            <w:tcW w:w="1860" w:type="dxa"/>
            <w:tcBorders>
              <w:top w:val="nil"/>
              <w:left w:val="nil"/>
              <w:bottom w:val="nil"/>
              <w:right w:val="nil"/>
            </w:tcBorders>
            <w:shd w:val="clear" w:color="auto" w:fill="auto"/>
            <w:noWrap/>
            <w:vAlign w:val="bottom"/>
          </w:tcPr>
          <w:p w14:paraId="3465E8CF" w14:textId="77777777" w:rsidR="0045263D" w:rsidRDefault="0045263D">
            <w:pPr>
              <w:jc w:val="right"/>
              <w:rPr>
                <w:rFonts w:ascii="Aptos Narrow" w:hAnsi="Aptos Narrow"/>
                <w:color w:val="000000"/>
              </w:rPr>
            </w:pPr>
          </w:p>
        </w:tc>
        <w:tc>
          <w:tcPr>
            <w:tcW w:w="2580" w:type="dxa"/>
            <w:tcBorders>
              <w:top w:val="nil"/>
              <w:left w:val="nil"/>
              <w:bottom w:val="nil"/>
              <w:right w:val="nil"/>
            </w:tcBorders>
            <w:shd w:val="clear" w:color="auto" w:fill="auto"/>
            <w:noWrap/>
            <w:vAlign w:val="bottom"/>
          </w:tcPr>
          <w:p w14:paraId="44A10A57" w14:textId="77777777" w:rsidR="0045263D" w:rsidRDefault="0045263D">
            <w:pPr>
              <w:jc w:val="right"/>
              <w:rPr>
                <w:rFonts w:ascii="Aptos Narrow" w:hAnsi="Aptos Narrow"/>
                <w:color w:val="000000"/>
              </w:rPr>
            </w:pPr>
          </w:p>
        </w:tc>
      </w:tr>
    </w:tbl>
    <w:p w14:paraId="3D9152AA" w14:textId="558D5929" w:rsidR="006B0CBA" w:rsidRDefault="00937DED" w:rsidP="007D1743">
      <w:pPr>
        <w:pStyle w:val="NormalWeb"/>
        <w:rPr>
          <w:rFonts w:ascii="Arial" w:hAnsi="Arial" w:cs="Arial"/>
          <w:sz w:val="22"/>
          <w:szCs w:val="22"/>
        </w:rPr>
      </w:pPr>
      <w:r>
        <w:rPr>
          <w:rFonts w:ascii="Arial" w:hAnsi="Arial" w:cs="Arial"/>
          <w:sz w:val="22"/>
          <w:szCs w:val="22"/>
        </w:rPr>
        <w:t xml:space="preserve">B = 0 years + deficit 1000 / (deficit 1000 + surplus 500) </w:t>
      </w:r>
    </w:p>
    <w:p w14:paraId="2FF4AAA9" w14:textId="2F4E644F" w:rsidR="00937DED" w:rsidRDefault="00937DED" w:rsidP="007D1743">
      <w:pPr>
        <w:pStyle w:val="NormalWeb"/>
        <w:rPr>
          <w:rFonts w:ascii="Arial" w:hAnsi="Arial" w:cs="Arial"/>
          <w:sz w:val="22"/>
          <w:szCs w:val="22"/>
        </w:rPr>
      </w:pPr>
      <w:r>
        <w:rPr>
          <w:rFonts w:ascii="Arial" w:hAnsi="Arial" w:cs="Arial"/>
          <w:sz w:val="22"/>
          <w:szCs w:val="22"/>
        </w:rPr>
        <w:t>B = 0 years + 1000 / 1500</w:t>
      </w:r>
    </w:p>
    <w:p w14:paraId="55F67E87" w14:textId="2BC7DE55" w:rsidR="001363F0" w:rsidRDefault="00937DED" w:rsidP="007D1743">
      <w:pPr>
        <w:pStyle w:val="NormalWeb"/>
        <w:rPr>
          <w:rFonts w:ascii="Arial" w:hAnsi="Arial" w:cs="Arial"/>
          <w:sz w:val="22"/>
          <w:szCs w:val="22"/>
        </w:rPr>
      </w:pPr>
      <w:r>
        <w:rPr>
          <w:rFonts w:ascii="Arial" w:hAnsi="Arial" w:cs="Arial"/>
          <w:sz w:val="22"/>
          <w:szCs w:val="22"/>
        </w:rPr>
        <w:t>B = 0</w:t>
      </w:r>
      <w:r w:rsidR="001363F0">
        <w:rPr>
          <w:rFonts w:ascii="Arial" w:hAnsi="Arial" w:cs="Arial"/>
          <w:sz w:val="22"/>
          <w:szCs w:val="22"/>
        </w:rPr>
        <w:t xml:space="preserve"> years +</w:t>
      </w:r>
      <w:r>
        <w:rPr>
          <w:rFonts w:ascii="Arial" w:hAnsi="Arial" w:cs="Arial"/>
          <w:sz w:val="22"/>
          <w:szCs w:val="22"/>
        </w:rPr>
        <w:t xml:space="preserve"> 0.</w:t>
      </w:r>
      <w:r w:rsidR="00760007">
        <w:rPr>
          <w:rFonts w:ascii="Arial" w:hAnsi="Arial" w:cs="Arial"/>
          <w:sz w:val="22"/>
          <w:szCs w:val="22"/>
        </w:rPr>
        <w:t>66</w:t>
      </w:r>
      <w:r>
        <w:rPr>
          <w:rFonts w:ascii="Arial" w:hAnsi="Arial" w:cs="Arial"/>
          <w:sz w:val="22"/>
          <w:szCs w:val="22"/>
        </w:rPr>
        <w:t xml:space="preserve"> </w:t>
      </w:r>
      <w:r w:rsidR="001363F0">
        <w:rPr>
          <w:rFonts w:ascii="Arial" w:hAnsi="Arial" w:cs="Arial"/>
          <w:sz w:val="22"/>
          <w:szCs w:val="22"/>
        </w:rPr>
        <w:t xml:space="preserve">years </w:t>
      </w:r>
    </w:p>
    <w:p w14:paraId="198E43C8" w14:textId="1DAB6FA6" w:rsidR="001363F0" w:rsidRDefault="001363F0" w:rsidP="007D1743">
      <w:pPr>
        <w:pStyle w:val="NormalWeb"/>
        <w:rPr>
          <w:rFonts w:ascii="Arial" w:hAnsi="Arial" w:cs="Arial"/>
          <w:sz w:val="22"/>
          <w:szCs w:val="22"/>
        </w:rPr>
      </w:pPr>
      <w:r>
        <w:rPr>
          <w:rFonts w:ascii="Arial" w:hAnsi="Arial" w:cs="Arial"/>
          <w:sz w:val="22"/>
          <w:szCs w:val="22"/>
        </w:rPr>
        <w:t xml:space="preserve">B = 0 years + </w:t>
      </w:r>
      <w:r w:rsidRPr="001363F0">
        <w:rPr>
          <w:rFonts w:ascii="Arial" w:hAnsi="Arial" w:cs="Arial"/>
          <w:sz w:val="22"/>
          <w:szCs w:val="22"/>
        </w:rPr>
        <w:t>0.</w:t>
      </w:r>
      <w:r w:rsidR="001F4C75">
        <w:rPr>
          <w:rFonts w:ascii="Arial" w:hAnsi="Arial" w:cs="Arial"/>
          <w:sz w:val="22"/>
          <w:szCs w:val="22"/>
        </w:rPr>
        <w:t>66</w:t>
      </w:r>
      <w:r w:rsidRPr="001363F0">
        <w:rPr>
          <w:rFonts w:ascii="Arial" w:hAnsi="Arial" w:cs="Arial"/>
          <w:sz w:val="22"/>
          <w:szCs w:val="22"/>
        </w:rPr>
        <w:t xml:space="preserve"> x 12 = 8</w:t>
      </w:r>
    </w:p>
    <w:p w14:paraId="1187503B" w14:textId="245D9ED1" w:rsidR="001363F0" w:rsidRDefault="001363F0" w:rsidP="007D1743">
      <w:pPr>
        <w:pStyle w:val="NormalWeb"/>
        <w:rPr>
          <w:rFonts w:ascii="Arial" w:hAnsi="Arial" w:cs="Arial"/>
          <w:sz w:val="22"/>
          <w:szCs w:val="22"/>
        </w:rPr>
      </w:pPr>
      <w:r>
        <w:rPr>
          <w:rFonts w:ascii="Arial" w:hAnsi="Arial" w:cs="Arial"/>
          <w:sz w:val="22"/>
          <w:szCs w:val="22"/>
        </w:rPr>
        <w:t>B = 8</w:t>
      </w:r>
      <w:r w:rsidR="001F4C75">
        <w:rPr>
          <w:rFonts w:ascii="Arial" w:hAnsi="Arial" w:cs="Arial"/>
          <w:sz w:val="22"/>
          <w:szCs w:val="22"/>
        </w:rPr>
        <w:t xml:space="preserve"> </w:t>
      </w:r>
      <w:r>
        <w:rPr>
          <w:rFonts w:ascii="Arial" w:hAnsi="Arial" w:cs="Arial"/>
          <w:sz w:val="22"/>
          <w:szCs w:val="22"/>
        </w:rPr>
        <w:t xml:space="preserve">months </w:t>
      </w:r>
    </w:p>
    <w:p w14:paraId="1A5850D8" w14:textId="4F048BE1" w:rsidR="00937DED" w:rsidRPr="00937DED" w:rsidRDefault="00937DED" w:rsidP="007D1743">
      <w:pPr>
        <w:pStyle w:val="NormalWeb"/>
        <w:rPr>
          <w:rFonts w:ascii="Arial" w:hAnsi="Arial" w:cs="Arial"/>
          <w:b/>
          <w:bCs/>
          <w:sz w:val="22"/>
          <w:szCs w:val="22"/>
        </w:rPr>
      </w:pPr>
      <w:r w:rsidRPr="00937DED">
        <w:rPr>
          <w:rFonts w:ascii="Arial" w:hAnsi="Arial" w:cs="Arial"/>
          <w:b/>
          <w:bCs/>
          <w:sz w:val="22"/>
          <w:szCs w:val="22"/>
        </w:rPr>
        <w:t>The Payback period is</w:t>
      </w:r>
      <w:r w:rsidR="001363F0">
        <w:rPr>
          <w:rFonts w:ascii="Arial" w:hAnsi="Arial" w:cs="Arial"/>
          <w:b/>
          <w:bCs/>
          <w:sz w:val="22"/>
          <w:szCs w:val="22"/>
        </w:rPr>
        <w:t xml:space="preserve"> approximately</w:t>
      </w:r>
      <w:r w:rsidRPr="00937DED">
        <w:rPr>
          <w:rFonts w:ascii="Arial" w:hAnsi="Arial" w:cs="Arial"/>
          <w:b/>
          <w:bCs/>
          <w:sz w:val="22"/>
          <w:szCs w:val="22"/>
        </w:rPr>
        <w:t xml:space="preserve"> </w:t>
      </w:r>
      <w:r w:rsidRPr="001F4C75">
        <w:rPr>
          <w:rFonts w:ascii="Arial" w:hAnsi="Arial" w:cs="Arial"/>
          <w:b/>
          <w:bCs/>
          <w:color w:val="77206D" w:themeColor="accent5" w:themeShade="BF"/>
          <w:sz w:val="22"/>
          <w:szCs w:val="22"/>
        </w:rPr>
        <w:t>8 months</w:t>
      </w:r>
      <w:r w:rsidR="001363F0" w:rsidRPr="001F4C75">
        <w:rPr>
          <w:rFonts w:ascii="Arial" w:hAnsi="Arial" w:cs="Arial"/>
          <w:b/>
          <w:bCs/>
          <w:color w:val="77206D" w:themeColor="accent5" w:themeShade="BF"/>
          <w:sz w:val="22"/>
          <w:szCs w:val="22"/>
        </w:rPr>
        <w:t xml:space="preserve">. </w:t>
      </w:r>
      <w:r w:rsidRPr="001F4C75">
        <w:rPr>
          <w:rFonts w:ascii="Arial" w:hAnsi="Arial" w:cs="Arial"/>
          <w:b/>
          <w:bCs/>
          <w:color w:val="77206D" w:themeColor="accent5" w:themeShade="BF"/>
          <w:sz w:val="22"/>
          <w:szCs w:val="22"/>
        </w:rPr>
        <w:t xml:space="preserve"> </w:t>
      </w:r>
    </w:p>
    <w:p w14:paraId="593F11E0" w14:textId="68325363" w:rsidR="00937DED" w:rsidRDefault="00047614" w:rsidP="00ED6411">
      <w:pPr>
        <w:pStyle w:val="NormalWeb"/>
        <w:spacing w:line="360" w:lineRule="auto"/>
        <w:rPr>
          <w:rFonts w:ascii="Arial" w:hAnsi="Arial" w:cs="Arial"/>
          <w:sz w:val="22"/>
          <w:szCs w:val="22"/>
        </w:rPr>
      </w:pPr>
      <w:r>
        <w:rPr>
          <w:rFonts w:ascii="Arial" w:hAnsi="Arial" w:cs="Arial"/>
          <w:sz w:val="22"/>
          <w:szCs w:val="22"/>
        </w:rPr>
        <w:t>In Conclusion p</w:t>
      </w:r>
      <w:r w:rsidRPr="00047614">
        <w:rPr>
          <w:rFonts w:ascii="Arial" w:hAnsi="Arial" w:cs="Arial"/>
          <w:sz w:val="22"/>
          <w:szCs w:val="22"/>
        </w:rPr>
        <w:t xml:space="preserve">roject A's payback period of 2 years and 6 months is less </w:t>
      </w:r>
      <w:r w:rsidR="00ED6411" w:rsidRPr="00047614">
        <w:rPr>
          <w:rFonts w:ascii="Arial" w:hAnsi="Arial" w:cs="Arial"/>
          <w:sz w:val="22"/>
          <w:szCs w:val="22"/>
        </w:rPr>
        <w:t>favourable</w:t>
      </w:r>
      <w:r w:rsidRPr="00047614">
        <w:rPr>
          <w:rFonts w:ascii="Arial" w:hAnsi="Arial" w:cs="Arial"/>
          <w:sz w:val="22"/>
          <w:szCs w:val="22"/>
        </w:rPr>
        <w:t xml:space="preserve"> compared to Project B's payback period of 8 months. A longer payback period is associated with higher risk of recovering investment and making </w:t>
      </w:r>
      <w:r w:rsidR="00ED6411">
        <w:rPr>
          <w:rFonts w:ascii="Arial" w:hAnsi="Arial" w:cs="Arial"/>
          <w:sz w:val="22"/>
          <w:szCs w:val="22"/>
        </w:rPr>
        <w:t xml:space="preserve">a </w:t>
      </w:r>
      <w:r w:rsidRPr="00047614">
        <w:rPr>
          <w:rFonts w:ascii="Arial" w:hAnsi="Arial" w:cs="Arial"/>
          <w:sz w:val="22"/>
          <w:szCs w:val="22"/>
        </w:rPr>
        <w:t>profit, increased opportunity cost (investors must wait longer for the payback to recover), and potentially lower competitiveness in the market, investor prefer mostly shorter returns on investment.</w:t>
      </w:r>
    </w:p>
    <w:p w14:paraId="79DEDB6E" w14:textId="77777777" w:rsidR="001363F0" w:rsidRPr="00DF076F" w:rsidRDefault="001363F0" w:rsidP="00ED6411">
      <w:pPr>
        <w:pStyle w:val="NormalWeb"/>
        <w:spacing w:line="360" w:lineRule="auto"/>
        <w:rPr>
          <w:rFonts w:ascii="Arial" w:hAnsi="Arial" w:cs="Arial"/>
          <w:color w:val="FF0000"/>
          <w:sz w:val="22"/>
          <w:szCs w:val="22"/>
        </w:rPr>
      </w:pPr>
    </w:p>
    <w:p w14:paraId="5E15AF9C" w14:textId="77777777" w:rsidR="007D1743" w:rsidRPr="00FB7FBF" w:rsidRDefault="007D1743" w:rsidP="00ED6411">
      <w:pPr>
        <w:pStyle w:val="NormalWeb"/>
        <w:spacing w:line="360" w:lineRule="auto"/>
        <w:rPr>
          <w:rFonts w:ascii="ArialMT" w:hAnsi="ArialMT"/>
          <w:b/>
          <w:bCs/>
          <w:sz w:val="22"/>
          <w:szCs w:val="22"/>
        </w:rPr>
      </w:pPr>
      <w:r w:rsidRPr="00FB7FBF">
        <w:rPr>
          <w:rFonts w:ascii="ArialMT" w:hAnsi="ArialMT"/>
          <w:b/>
          <w:bCs/>
          <w:sz w:val="22"/>
          <w:szCs w:val="22"/>
        </w:rPr>
        <w:t xml:space="preserve">Accounting Rate of Return (ARR) </w:t>
      </w:r>
    </w:p>
    <w:p w14:paraId="7C7449EF" w14:textId="10B03759" w:rsidR="00FB7FBF" w:rsidRDefault="0017163F" w:rsidP="00ED6411">
      <w:pPr>
        <w:pStyle w:val="NormalWeb"/>
        <w:spacing w:line="360" w:lineRule="auto"/>
        <w:rPr>
          <w:rFonts w:ascii="ArialMT" w:hAnsi="ArialMT"/>
          <w:sz w:val="22"/>
          <w:szCs w:val="22"/>
        </w:rPr>
      </w:pPr>
      <w:r w:rsidRPr="0017163F">
        <w:rPr>
          <w:rFonts w:ascii="ArialMT" w:hAnsi="ArialMT"/>
          <w:sz w:val="22"/>
          <w:szCs w:val="22"/>
        </w:rPr>
        <w:t xml:space="preserve">Accounting Rate of Return (ARR) is used to assess how profitable a project or investment is. It determines an investment's average yearly profit or return as a percentage of the initial investment cost. </w:t>
      </w:r>
      <w:r w:rsidR="00FB7FBF">
        <w:rPr>
          <w:rFonts w:ascii="ArialMT" w:hAnsi="ArialMT"/>
          <w:sz w:val="22"/>
          <w:szCs w:val="22"/>
        </w:rPr>
        <w:t xml:space="preserve"> </w:t>
      </w:r>
      <w:r w:rsidR="00ED6411">
        <w:rPr>
          <w:rFonts w:ascii="ArialMT" w:hAnsi="ArialMT"/>
          <w:sz w:val="22"/>
          <w:szCs w:val="22"/>
        </w:rPr>
        <w:t xml:space="preserve">(Murphy, Ch., 2023) </w:t>
      </w:r>
    </w:p>
    <w:p w14:paraId="6FCF3A6B" w14:textId="4CFEADC0" w:rsidR="00DA1BF8" w:rsidRPr="007F1607" w:rsidRDefault="00FB7FBF" w:rsidP="00FB7FBF">
      <w:pPr>
        <w:pStyle w:val="NormalWeb"/>
        <w:rPr>
          <w:rFonts w:ascii="ArialMT" w:hAnsi="ArialMT"/>
          <w:b/>
          <w:bCs/>
          <w:sz w:val="22"/>
          <w:szCs w:val="22"/>
        </w:rPr>
      </w:pPr>
      <w:r w:rsidRPr="007F1607">
        <w:rPr>
          <w:rFonts w:ascii="ArialMT" w:hAnsi="ArialMT"/>
          <w:b/>
          <w:bCs/>
          <w:sz w:val="22"/>
          <w:szCs w:val="22"/>
        </w:rPr>
        <w:t xml:space="preserve">ARR </w:t>
      </w:r>
      <w:r w:rsidR="00DA1BF8" w:rsidRPr="007F1607">
        <w:rPr>
          <w:rFonts w:ascii="ArialMT" w:hAnsi="ArialMT"/>
          <w:b/>
          <w:bCs/>
          <w:sz w:val="22"/>
          <w:szCs w:val="22"/>
        </w:rPr>
        <w:t xml:space="preserve">calculation formula </w:t>
      </w:r>
    </w:p>
    <w:p w14:paraId="52DC162F" w14:textId="54CCA01A" w:rsidR="00FB7FBF" w:rsidRDefault="00FB7FBF" w:rsidP="00FB7FBF">
      <w:pPr>
        <w:pStyle w:val="NormalWeb"/>
        <w:rPr>
          <w:rStyle w:val="mord"/>
          <w:rFonts w:ascii="Arial" w:eastAsiaTheme="majorEastAsia" w:hAnsi="Arial" w:cs="Arial"/>
          <w:sz w:val="22"/>
          <w:szCs w:val="22"/>
        </w:rPr>
      </w:pPr>
      <w:r>
        <w:rPr>
          <w:rFonts w:ascii="ArialMT" w:hAnsi="ArialMT"/>
          <w:sz w:val="22"/>
          <w:szCs w:val="22"/>
        </w:rPr>
        <w:t xml:space="preserve"> </w:t>
      </w:r>
      <w:r w:rsidR="00DA1BF8" w:rsidRPr="00DA1BF8">
        <w:rPr>
          <w:rStyle w:val="mord"/>
          <w:rFonts w:ascii="Arial" w:eastAsiaTheme="majorEastAsia" w:hAnsi="Arial" w:cs="Arial"/>
          <w:sz w:val="22"/>
          <w:szCs w:val="22"/>
        </w:rPr>
        <w:t>ARR</w:t>
      </w:r>
      <w:r w:rsidR="00DA1BF8" w:rsidRPr="00DA1BF8">
        <w:rPr>
          <w:rStyle w:val="mrel"/>
          <w:rFonts w:ascii="Arial" w:eastAsiaTheme="majorEastAsia" w:hAnsi="Arial" w:cs="Arial"/>
          <w:sz w:val="22"/>
          <w:szCs w:val="22"/>
        </w:rPr>
        <w:t>=</w:t>
      </w:r>
      <w:r w:rsidR="00DA1BF8">
        <w:rPr>
          <w:rStyle w:val="mord"/>
          <w:rFonts w:ascii="Arial" w:eastAsiaTheme="majorEastAsia" w:hAnsi="Arial" w:cs="Arial"/>
          <w:sz w:val="22"/>
          <w:szCs w:val="22"/>
        </w:rPr>
        <w:t xml:space="preserve"> Average Annual Profit / Initial Investment </w:t>
      </w:r>
    </w:p>
    <w:p w14:paraId="6A876C55" w14:textId="0416E060" w:rsidR="007F1607" w:rsidRDefault="007F1607" w:rsidP="00FB7FBF">
      <w:pPr>
        <w:pStyle w:val="NormalWeb"/>
        <w:rPr>
          <w:rStyle w:val="mord"/>
          <w:rFonts w:ascii="Arial" w:eastAsiaTheme="majorEastAsia" w:hAnsi="Arial" w:cs="Arial"/>
          <w:b/>
          <w:bCs/>
          <w:color w:val="000000" w:themeColor="text1"/>
          <w:sz w:val="22"/>
          <w:szCs w:val="22"/>
        </w:rPr>
      </w:pPr>
      <w:r w:rsidRPr="00294F39">
        <w:rPr>
          <w:rStyle w:val="mord"/>
          <w:rFonts w:ascii="Arial" w:eastAsiaTheme="majorEastAsia" w:hAnsi="Arial" w:cs="Arial"/>
          <w:b/>
          <w:bCs/>
          <w:color w:val="000000" w:themeColor="text1"/>
          <w:sz w:val="22"/>
          <w:szCs w:val="22"/>
        </w:rPr>
        <w:t xml:space="preserve">Project A </w:t>
      </w:r>
    </w:p>
    <w:p w14:paraId="658A53D3" w14:textId="77777777" w:rsidR="00294F39" w:rsidRDefault="00294F39" w:rsidP="00FB7FBF">
      <w:pPr>
        <w:pStyle w:val="NormalWeb"/>
        <w:rPr>
          <w:rStyle w:val="mord"/>
          <w:rFonts w:ascii="Arial" w:eastAsiaTheme="majorEastAsia" w:hAnsi="Arial" w:cs="Arial"/>
          <w:b/>
          <w:bCs/>
          <w:color w:val="000000" w:themeColor="text1"/>
          <w:sz w:val="22"/>
          <w:szCs w:val="22"/>
        </w:rPr>
      </w:pPr>
    </w:p>
    <w:p w14:paraId="4A9FC46B" w14:textId="7FF20948" w:rsidR="00294F39" w:rsidRDefault="00200A65" w:rsidP="00200A65">
      <w:pPr>
        <w:pStyle w:val="Caption"/>
        <w:rPr>
          <w:rFonts w:ascii="Arial Narrow" w:hAnsi="Arial Narrow"/>
          <w:i w:val="0"/>
          <w:iCs w:val="0"/>
          <w:color w:val="000000" w:themeColor="text1"/>
          <w:sz w:val="20"/>
          <w:szCs w:val="20"/>
        </w:rPr>
      </w:pPr>
      <w:bookmarkStart w:id="19" w:name="_Toc164849550"/>
      <w:r>
        <w:t xml:space="preserve">Table </w:t>
      </w:r>
      <w:r>
        <w:fldChar w:fldCharType="begin"/>
      </w:r>
      <w:r>
        <w:instrText xml:space="preserve"> SEQ Table \* ARABIC </w:instrText>
      </w:r>
      <w:r>
        <w:fldChar w:fldCharType="separate"/>
      </w:r>
      <w:r w:rsidR="00083413">
        <w:rPr>
          <w:noProof/>
        </w:rPr>
        <w:t>10</w:t>
      </w:r>
      <w:r>
        <w:fldChar w:fldCharType="end"/>
      </w:r>
      <w:r w:rsidRPr="00D00513">
        <w:t>Accounting Rate of Return Calculation Project A (Source: author)</w:t>
      </w:r>
      <w:bookmarkEnd w:id="19"/>
    </w:p>
    <w:tbl>
      <w:tblPr>
        <w:tblW w:w="4620" w:type="dxa"/>
        <w:tblLook w:val="04A0" w:firstRow="1" w:lastRow="0" w:firstColumn="1" w:lastColumn="0" w:noHBand="0" w:noVBand="1"/>
      </w:tblPr>
      <w:tblGrid>
        <w:gridCol w:w="2760"/>
        <w:gridCol w:w="1860"/>
      </w:tblGrid>
      <w:tr w:rsidR="00646FF2" w14:paraId="1DA026A0" w14:textId="77777777" w:rsidTr="00646FF2">
        <w:trPr>
          <w:trHeight w:val="320"/>
        </w:trPr>
        <w:tc>
          <w:tcPr>
            <w:tcW w:w="2760" w:type="dxa"/>
            <w:tcBorders>
              <w:top w:val="nil"/>
              <w:left w:val="nil"/>
              <w:bottom w:val="nil"/>
              <w:right w:val="nil"/>
            </w:tcBorders>
            <w:shd w:val="clear" w:color="000000" w:fill="47D359"/>
            <w:noWrap/>
            <w:vAlign w:val="bottom"/>
            <w:hideMark/>
          </w:tcPr>
          <w:p w14:paraId="27DCB464" w14:textId="77777777" w:rsidR="00646FF2" w:rsidRDefault="00646FF2">
            <w:pPr>
              <w:rPr>
                <w:rFonts w:ascii="Aptos Narrow" w:hAnsi="Aptos Narrow"/>
                <w:color w:val="000000"/>
              </w:rPr>
            </w:pPr>
            <w:r>
              <w:rPr>
                <w:rFonts w:ascii="Aptos Narrow" w:hAnsi="Aptos Narrow"/>
                <w:color w:val="000000"/>
              </w:rPr>
              <w:t>Project A</w:t>
            </w:r>
          </w:p>
        </w:tc>
        <w:tc>
          <w:tcPr>
            <w:tcW w:w="1860" w:type="dxa"/>
            <w:tcBorders>
              <w:top w:val="nil"/>
              <w:left w:val="nil"/>
              <w:bottom w:val="nil"/>
              <w:right w:val="nil"/>
            </w:tcBorders>
            <w:shd w:val="clear" w:color="000000" w:fill="47D359"/>
            <w:noWrap/>
            <w:vAlign w:val="bottom"/>
            <w:hideMark/>
          </w:tcPr>
          <w:p w14:paraId="59013020" w14:textId="77777777" w:rsidR="00646FF2" w:rsidRDefault="00646FF2">
            <w:pPr>
              <w:rPr>
                <w:rFonts w:ascii="Aptos Narrow" w:hAnsi="Aptos Narrow"/>
                <w:color w:val="000000"/>
              </w:rPr>
            </w:pPr>
            <w:r>
              <w:rPr>
                <w:rFonts w:ascii="Aptos Narrow" w:hAnsi="Aptos Narrow"/>
                <w:color w:val="000000"/>
              </w:rPr>
              <w:t> </w:t>
            </w:r>
          </w:p>
        </w:tc>
      </w:tr>
      <w:tr w:rsidR="00646FF2" w14:paraId="336B5D5C" w14:textId="77777777" w:rsidTr="00646FF2">
        <w:trPr>
          <w:trHeight w:val="320"/>
        </w:trPr>
        <w:tc>
          <w:tcPr>
            <w:tcW w:w="2760" w:type="dxa"/>
            <w:tcBorders>
              <w:top w:val="nil"/>
              <w:left w:val="nil"/>
              <w:bottom w:val="nil"/>
              <w:right w:val="nil"/>
            </w:tcBorders>
            <w:shd w:val="clear" w:color="auto" w:fill="auto"/>
            <w:noWrap/>
            <w:vAlign w:val="bottom"/>
            <w:hideMark/>
          </w:tcPr>
          <w:p w14:paraId="23F68A4A" w14:textId="77777777" w:rsidR="00646FF2" w:rsidRDefault="00646FF2">
            <w:pPr>
              <w:rPr>
                <w:rFonts w:ascii="Aptos Narrow" w:hAnsi="Aptos Narrow"/>
                <w:color w:val="000000"/>
              </w:rPr>
            </w:pPr>
            <w:r>
              <w:rPr>
                <w:rFonts w:ascii="Aptos Narrow" w:hAnsi="Aptos Narrow"/>
                <w:color w:val="000000"/>
              </w:rPr>
              <w:lastRenderedPageBreak/>
              <w:t>Year</w:t>
            </w:r>
          </w:p>
        </w:tc>
        <w:tc>
          <w:tcPr>
            <w:tcW w:w="1860" w:type="dxa"/>
            <w:tcBorders>
              <w:top w:val="nil"/>
              <w:left w:val="nil"/>
              <w:bottom w:val="nil"/>
              <w:right w:val="nil"/>
            </w:tcBorders>
            <w:shd w:val="clear" w:color="auto" w:fill="auto"/>
            <w:noWrap/>
            <w:vAlign w:val="bottom"/>
            <w:hideMark/>
          </w:tcPr>
          <w:p w14:paraId="4423FB45" w14:textId="77777777" w:rsidR="00646FF2" w:rsidRDefault="00646FF2">
            <w:pPr>
              <w:rPr>
                <w:rFonts w:ascii="Aptos Narrow" w:hAnsi="Aptos Narrow"/>
                <w:color w:val="000000"/>
              </w:rPr>
            </w:pPr>
            <w:r>
              <w:rPr>
                <w:rFonts w:ascii="Aptos Narrow" w:hAnsi="Aptos Narrow"/>
                <w:color w:val="000000"/>
              </w:rPr>
              <w:t xml:space="preserve">Net cash flow </w:t>
            </w:r>
          </w:p>
        </w:tc>
      </w:tr>
      <w:tr w:rsidR="00646FF2" w14:paraId="3648B43D" w14:textId="77777777" w:rsidTr="00646FF2">
        <w:trPr>
          <w:trHeight w:val="320"/>
        </w:trPr>
        <w:tc>
          <w:tcPr>
            <w:tcW w:w="2760" w:type="dxa"/>
            <w:tcBorders>
              <w:top w:val="nil"/>
              <w:left w:val="nil"/>
              <w:bottom w:val="nil"/>
              <w:right w:val="nil"/>
            </w:tcBorders>
            <w:shd w:val="clear" w:color="auto" w:fill="auto"/>
            <w:noWrap/>
            <w:vAlign w:val="bottom"/>
            <w:hideMark/>
          </w:tcPr>
          <w:p w14:paraId="38E95D5A" w14:textId="77777777" w:rsidR="00646FF2" w:rsidRDefault="00646FF2">
            <w:pPr>
              <w:jc w:val="right"/>
              <w:rPr>
                <w:rFonts w:ascii="Aptos Narrow" w:hAnsi="Aptos Narrow"/>
                <w:color w:val="000000"/>
              </w:rPr>
            </w:pPr>
            <w:r>
              <w:rPr>
                <w:rFonts w:ascii="Aptos Narrow" w:hAnsi="Aptos Narrow"/>
                <w:color w:val="000000"/>
              </w:rPr>
              <w:t>0</w:t>
            </w:r>
          </w:p>
        </w:tc>
        <w:tc>
          <w:tcPr>
            <w:tcW w:w="1860" w:type="dxa"/>
            <w:tcBorders>
              <w:top w:val="nil"/>
              <w:left w:val="nil"/>
              <w:bottom w:val="nil"/>
              <w:right w:val="nil"/>
            </w:tcBorders>
            <w:shd w:val="clear" w:color="auto" w:fill="auto"/>
            <w:noWrap/>
            <w:vAlign w:val="bottom"/>
            <w:hideMark/>
          </w:tcPr>
          <w:p w14:paraId="6BAF11BF" w14:textId="77777777" w:rsidR="00646FF2" w:rsidRDefault="00646FF2">
            <w:pPr>
              <w:jc w:val="right"/>
              <w:rPr>
                <w:rFonts w:ascii="Aptos Narrow" w:hAnsi="Aptos Narrow"/>
                <w:color w:val="000000"/>
              </w:rPr>
            </w:pPr>
            <w:r>
              <w:rPr>
                <w:rFonts w:ascii="Aptos Narrow" w:hAnsi="Aptos Narrow"/>
                <w:color w:val="000000"/>
              </w:rPr>
              <w:t>-5000</w:t>
            </w:r>
          </w:p>
        </w:tc>
      </w:tr>
      <w:tr w:rsidR="00646FF2" w14:paraId="268F346F" w14:textId="77777777" w:rsidTr="00646FF2">
        <w:trPr>
          <w:trHeight w:val="320"/>
        </w:trPr>
        <w:tc>
          <w:tcPr>
            <w:tcW w:w="2760" w:type="dxa"/>
            <w:tcBorders>
              <w:top w:val="nil"/>
              <w:left w:val="nil"/>
              <w:bottom w:val="nil"/>
              <w:right w:val="nil"/>
            </w:tcBorders>
            <w:shd w:val="clear" w:color="auto" w:fill="auto"/>
            <w:noWrap/>
            <w:vAlign w:val="bottom"/>
            <w:hideMark/>
          </w:tcPr>
          <w:p w14:paraId="1E3758B6" w14:textId="77777777" w:rsidR="00646FF2" w:rsidRDefault="00646FF2">
            <w:pPr>
              <w:jc w:val="right"/>
              <w:rPr>
                <w:rFonts w:ascii="Aptos Narrow" w:hAnsi="Aptos Narrow"/>
                <w:color w:val="000000"/>
              </w:rPr>
            </w:pPr>
            <w:r>
              <w:rPr>
                <w:rFonts w:ascii="Aptos Narrow" w:hAnsi="Aptos Narrow"/>
                <w:color w:val="000000"/>
              </w:rPr>
              <w:t>1</w:t>
            </w:r>
          </w:p>
        </w:tc>
        <w:tc>
          <w:tcPr>
            <w:tcW w:w="1860" w:type="dxa"/>
            <w:tcBorders>
              <w:top w:val="nil"/>
              <w:left w:val="nil"/>
              <w:bottom w:val="nil"/>
              <w:right w:val="nil"/>
            </w:tcBorders>
            <w:shd w:val="clear" w:color="auto" w:fill="auto"/>
            <w:noWrap/>
            <w:vAlign w:val="bottom"/>
            <w:hideMark/>
          </w:tcPr>
          <w:p w14:paraId="4C52FBB5" w14:textId="77777777" w:rsidR="00646FF2" w:rsidRDefault="00646FF2">
            <w:pPr>
              <w:jc w:val="right"/>
              <w:rPr>
                <w:rFonts w:ascii="Aptos Narrow" w:hAnsi="Aptos Narrow"/>
                <w:color w:val="000000"/>
              </w:rPr>
            </w:pPr>
            <w:r>
              <w:rPr>
                <w:rFonts w:ascii="Aptos Narrow" w:hAnsi="Aptos Narrow"/>
                <w:color w:val="000000"/>
              </w:rPr>
              <w:t>2500</w:t>
            </w:r>
          </w:p>
        </w:tc>
      </w:tr>
      <w:tr w:rsidR="00646FF2" w14:paraId="0D11469C" w14:textId="77777777" w:rsidTr="00646FF2">
        <w:trPr>
          <w:trHeight w:val="320"/>
        </w:trPr>
        <w:tc>
          <w:tcPr>
            <w:tcW w:w="2760" w:type="dxa"/>
            <w:tcBorders>
              <w:top w:val="nil"/>
              <w:left w:val="nil"/>
              <w:bottom w:val="nil"/>
              <w:right w:val="nil"/>
            </w:tcBorders>
            <w:shd w:val="clear" w:color="auto" w:fill="auto"/>
            <w:noWrap/>
            <w:vAlign w:val="bottom"/>
            <w:hideMark/>
          </w:tcPr>
          <w:p w14:paraId="5EDB4C75" w14:textId="77777777" w:rsidR="00646FF2" w:rsidRDefault="00646FF2">
            <w:pPr>
              <w:jc w:val="right"/>
              <w:rPr>
                <w:rFonts w:ascii="Aptos Narrow" w:hAnsi="Aptos Narrow"/>
                <w:color w:val="000000"/>
              </w:rPr>
            </w:pPr>
            <w:r>
              <w:rPr>
                <w:rFonts w:ascii="Aptos Narrow" w:hAnsi="Aptos Narrow"/>
                <w:color w:val="000000"/>
              </w:rPr>
              <w:t>2</w:t>
            </w:r>
          </w:p>
        </w:tc>
        <w:tc>
          <w:tcPr>
            <w:tcW w:w="1860" w:type="dxa"/>
            <w:tcBorders>
              <w:top w:val="nil"/>
              <w:left w:val="nil"/>
              <w:bottom w:val="nil"/>
              <w:right w:val="nil"/>
            </w:tcBorders>
            <w:shd w:val="clear" w:color="auto" w:fill="auto"/>
            <w:noWrap/>
            <w:vAlign w:val="bottom"/>
            <w:hideMark/>
          </w:tcPr>
          <w:p w14:paraId="1E10FEF2" w14:textId="77777777" w:rsidR="00646FF2" w:rsidRDefault="00646FF2">
            <w:pPr>
              <w:jc w:val="right"/>
              <w:rPr>
                <w:rFonts w:ascii="Aptos Narrow" w:hAnsi="Aptos Narrow"/>
                <w:color w:val="000000"/>
              </w:rPr>
            </w:pPr>
            <w:r>
              <w:rPr>
                <w:rFonts w:ascii="Aptos Narrow" w:hAnsi="Aptos Narrow"/>
                <w:color w:val="000000"/>
              </w:rPr>
              <w:t>2000</w:t>
            </w:r>
          </w:p>
        </w:tc>
      </w:tr>
      <w:tr w:rsidR="00646FF2" w14:paraId="6E90177E" w14:textId="77777777" w:rsidTr="00646FF2">
        <w:trPr>
          <w:trHeight w:val="320"/>
        </w:trPr>
        <w:tc>
          <w:tcPr>
            <w:tcW w:w="2760" w:type="dxa"/>
            <w:tcBorders>
              <w:top w:val="nil"/>
              <w:left w:val="nil"/>
              <w:bottom w:val="nil"/>
              <w:right w:val="nil"/>
            </w:tcBorders>
            <w:shd w:val="clear" w:color="auto" w:fill="auto"/>
            <w:noWrap/>
            <w:vAlign w:val="bottom"/>
            <w:hideMark/>
          </w:tcPr>
          <w:p w14:paraId="6ACE8717" w14:textId="77777777" w:rsidR="00646FF2" w:rsidRDefault="00646FF2">
            <w:pPr>
              <w:jc w:val="right"/>
              <w:rPr>
                <w:rFonts w:ascii="Aptos Narrow" w:hAnsi="Aptos Narrow"/>
                <w:color w:val="000000"/>
              </w:rPr>
            </w:pPr>
            <w:r>
              <w:rPr>
                <w:rFonts w:ascii="Aptos Narrow" w:hAnsi="Aptos Narrow"/>
                <w:color w:val="000000"/>
              </w:rPr>
              <w:t>3</w:t>
            </w:r>
          </w:p>
        </w:tc>
        <w:tc>
          <w:tcPr>
            <w:tcW w:w="1860" w:type="dxa"/>
            <w:tcBorders>
              <w:top w:val="nil"/>
              <w:left w:val="nil"/>
              <w:bottom w:val="nil"/>
              <w:right w:val="nil"/>
            </w:tcBorders>
            <w:shd w:val="clear" w:color="auto" w:fill="auto"/>
            <w:noWrap/>
            <w:vAlign w:val="bottom"/>
            <w:hideMark/>
          </w:tcPr>
          <w:p w14:paraId="102174F2" w14:textId="77777777" w:rsidR="00646FF2" w:rsidRDefault="00646FF2">
            <w:pPr>
              <w:jc w:val="right"/>
              <w:rPr>
                <w:rFonts w:ascii="Aptos Narrow" w:hAnsi="Aptos Narrow"/>
                <w:color w:val="000000"/>
              </w:rPr>
            </w:pPr>
            <w:r>
              <w:rPr>
                <w:rFonts w:ascii="Aptos Narrow" w:hAnsi="Aptos Narrow"/>
                <w:color w:val="000000"/>
              </w:rPr>
              <w:t>1000</w:t>
            </w:r>
          </w:p>
        </w:tc>
      </w:tr>
      <w:tr w:rsidR="00646FF2" w14:paraId="2C5559C1" w14:textId="77777777" w:rsidTr="00646FF2">
        <w:trPr>
          <w:trHeight w:val="320"/>
        </w:trPr>
        <w:tc>
          <w:tcPr>
            <w:tcW w:w="2760" w:type="dxa"/>
            <w:tcBorders>
              <w:top w:val="nil"/>
              <w:left w:val="nil"/>
              <w:bottom w:val="nil"/>
              <w:right w:val="nil"/>
            </w:tcBorders>
            <w:shd w:val="clear" w:color="auto" w:fill="auto"/>
            <w:noWrap/>
            <w:vAlign w:val="bottom"/>
            <w:hideMark/>
          </w:tcPr>
          <w:p w14:paraId="28E223BA" w14:textId="77777777" w:rsidR="00646FF2" w:rsidRDefault="00646FF2">
            <w:pPr>
              <w:jc w:val="right"/>
              <w:rPr>
                <w:rFonts w:ascii="Aptos Narrow" w:hAnsi="Aptos Narrow"/>
                <w:color w:val="000000"/>
              </w:rPr>
            </w:pPr>
            <w:r>
              <w:rPr>
                <w:rFonts w:ascii="Aptos Narrow" w:hAnsi="Aptos Narrow"/>
                <w:color w:val="000000"/>
              </w:rPr>
              <w:t>4</w:t>
            </w:r>
          </w:p>
        </w:tc>
        <w:tc>
          <w:tcPr>
            <w:tcW w:w="1860" w:type="dxa"/>
            <w:tcBorders>
              <w:top w:val="nil"/>
              <w:left w:val="nil"/>
              <w:bottom w:val="nil"/>
              <w:right w:val="nil"/>
            </w:tcBorders>
            <w:shd w:val="clear" w:color="auto" w:fill="auto"/>
            <w:noWrap/>
            <w:vAlign w:val="bottom"/>
            <w:hideMark/>
          </w:tcPr>
          <w:p w14:paraId="0681603B" w14:textId="77777777" w:rsidR="00646FF2" w:rsidRDefault="00646FF2">
            <w:pPr>
              <w:jc w:val="right"/>
              <w:rPr>
                <w:rFonts w:ascii="Aptos Narrow" w:hAnsi="Aptos Narrow"/>
                <w:color w:val="000000"/>
              </w:rPr>
            </w:pPr>
            <w:r>
              <w:rPr>
                <w:rFonts w:ascii="Aptos Narrow" w:hAnsi="Aptos Narrow"/>
                <w:color w:val="000000"/>
              </w:rPr>
              <w:t>-442</w:t>
            </w:r>
          </w:p>
        </w:tc>
      </w:tr>
      <w:tr w:rsidR="00646FF2" w14:paraId="06259BB9" w14:textId="77777777" w:rsidTr="00646FF2">
        <w:trPr>
          <w:trHeight w:val="320"/>
        </w:trPr>
        <w:tc>
          <w:tcPr>
            <w:tcW w:w="2760" w:type="dxa"/>
            <w:tcBorders>
              <w:top w:val="nil"/>
              <w:left w:val="nil"/>
              <w:bottom w:val="nil"/>
              <w:right w:val="nil"/>
            </w:tcBorders>
            <w:shd w:val="clear" w:color="000000" w:fill="DAF2D0"/>
            <w:noWrap/>
            <w:vAlign w:val="bottom"/>
            <w:hideMark/>
          </w:tcPr>
          <w:p w14:paraId="6160FBEE" w14:textId="77777777" w:rsidR="00646FF2" w:rsidRDefault="00646FF2">
            <w:pPr>
              <w:rPr>
                <w:rFonts w:ascii="Aptos Narrow" w:hAnsi="Aptos Narrow"/>
                <w:color w:val="000000"/>
              </w:rPr>
            </w:pPr>
            <w:r>
              <w:rPr>
                <w:rFonts w:ascii="Aptos Narrow" w:hAnsi="Aptos Narrow"/>
                <w:color w:val="000000"/>
              </w:rPr>
              <w:t>ARR</w:t>
            </w:r>
          </w:p>
        </w:tc>
        <w:tc>
          <w:tcPr>
            <w:tcW w:w="1860" w:type="dxa"/>
            <w:tcBorders>
              <w:top w:val="nil"/>
              <w:left w:val="nil"/>
              <w:bottom w:val="nil"/>
              <w:right w:val="nil"/>
            </w:tcBorders>
            <w:shd w:val="clear" w:color="000000" w:fill="DAF2D0"/>
            <w:noWrap/>
            <w:vAlign w:val="bottom"/>
            <w:hideMark/>
          </w:tcPr>
          <w:p w14:paraId="60ADC9DA" w14:textId="77777777" w:rsidR="00646FF2" w:rsidRDefault="00646FF2">
            <w:pPr>
              <w:jc w:val="right"/>
              <w:rPr>
                <w:rFonts w:ascii="Aptos Narrow" w:hAnsi="Aptos Narrow"/>
                <w:color w:val="000000"/>
              </w:rPr>
            </w:pPr>
            <w:r>
              <w:rPr>
                <w:rFonts w:ascii="Aptos Narrow" w:hAnsi="Aptos Narrow"/>
                <w:color w:val="000000"/>
              </w:rPr>
              <w:t>25.28%</w:t>
            </w:r>
          </w:p>
        </w:tc>
      </w:tr>
    </w:tbl>
    <w:p w14:paraId="643FC88B" w14:textId="33975082" w:rsidR="002519A8" w:rsidRDefault="00E3399B" w:rsidP="00FB7FBF">
      <w:pPr>
        <w:pStyle w:val="NormalWeb"/>
        <w:rPr>
          <w:rStyle w:val="mord"/>
          <w:rFonts w:ascii="Arial" w:eastAsiaTheme="majorEastAsia" w:hAnsi="Arial" w:cs="Arial"/>
          <w:sz w:val="22"/>
          <w:szCs w:val="22"/>
        </w:rPr>
      </w:pPr>
      <w:r w:rsidRPr="00E3399B">
        <w:rPr>
          <w:rStyle w:val="mord"/>
          <w:rFonts w:ascii="Arial" w:eastAsiaTheme="majorEastAsia" w:hAnsi="Arial" w:cs="Arial"/>
          <w:sz w:val="22"/>
          <w:szCs w:val="22"/>
        </w:rPr>
        <w:t>Total</w:t>
      </w:r>
      <w:r>
        <w:rPr>
          <w:rStyle w:val="mord"/>
          <w:rFonts w:ascii="Arial" w:eastAsiaTheme="majorEastAsia" w:hAnsi="Arial" w:cs="Arial"/>
          <w:sz w:val="22"/>
          <w:szCs w:val="22"/>
        </w:rPr>
        <w:t xml:space="preserve"> profit = Sum of Cash flows from year 1 to year 4 </w:t>
      </w:r>
    </w:p>
    <w:p w14:paraId="27840ECB" w14:textId="249CAF87" w:rsidR="00E3399B" w:rsidRDefault="00E3399B" w:rsidP="00FB7FBF">
      <w:pPr>
        <w:pStyle w:val="NormalWeb"/>
        <w:rPr>
          <w:rStyle w:val="mord"/>
          <w:rFonts w:ascii="Arial" w:eastAsiaTheme="majorEastAsia" w:hAnsi="Arial" w:cs="Arial"/>
          <w:sz w:val="22"/>
          <w:szCs w:val="22"/>
        </w:rPr>
      </w:pPr>
      <w:r>
        <w:rPr>
          <w:rStyle w:val="mord"/>
          <w:rFonts w:ascii="Arial" w:eastAsiaTheme="majorEastAsia" w:hAnsi="Arial" w:cs="Arial"/>
          <w:sz w:val="22"/>
          <w:szCs w:val="22"/>
        </w:rPr>
        <w:t xml:space="preserve">Total profit = 2500 + 2000 + 1000 </w:t>
      </w:r>
      <w:r w:rsidR="00294F39">
        <w:rPr>
          <w:rStyle w:val="mord"/>
          <w:rFonts w:ascii="Arial" w:eastAsiaTheme="majorEastAsia" w:hAnsi="Arial" w:cs="Arial"/>
          <w:sz w:val="22"/>
          <w:szCs w:val="22"/>
        </w:rPr>
        <w:t xml:space="preserve">+ </w:t>
      </w:r>
      <w:r>
        <w:rPr>
          <w:rStyle w:val="mord"/>
          <w:rFonts w:ascii="Arial" w:eastAsiaTheme="majorEastAsia" w:hAnsi="Arial" w:cs="Arial"/>
          <w:sz w:val="22"/>
          <w:szCs w:val="22"/>
        </w:rPr>
        <w:t>(-442) = 5058</w:t>
      </w:r>
    </w:p>
    <w:p w14:paraId="738128FC" w14:textId="553E7E70" w:rsidR="00294F39" w:rsidRDefault="00294F39" w:rsidP="00FB7FBF">
      <w:pPr>
        <w:pStyle w:val="NormalWeb"/>
        <w:rPr>
          <w:rStyle w:val="mord"/>
          <w:rFonts w:ascii="Arial" w:eastAsiaTheme="majorEastAsia" w:hAnsi="Arial" w:cs="Arial"/>
          <w:sz w:val="22"/>
          <w:szCs w:val="22"/>
        </w:rPr>
      </w:pPr>
      <w:r>
        <w:rPr>
          <w:rStyle w:val="mord"/>
          <w:rFonts w:ascii="Arial" w:eastAsiaTheme="majorEastAsia" w:hAnsi="Arial" w:cs="Arial"/>
          <w:sz w:val="22"/>
          <w:szCs w:val="22"/>
        </w:rPr>
        <w:t xml:space="preserve">Average annual profit = Total profit/number of years </w:t>
      </w:r>
    </w:p>
    <w:p w14:paraId="248EA45C" w14:textId="1478D708" w:rsidR="00294F39" w:rsidRDefault="00294F39" w:rsidP="00FB7FBF">
      <w:pPr>
        <w:pStyle w:val="NormalWeb"/>
        <w:rPr>
          <w:rStyle w:val="mord"/>
          <w:rFonts w:ascii="Arial" w:eastAsiaTheme="majorEastAsia" w:hAnsi="Arial" w:cs="Arial"/>
          <w:sz w:val="22"/>
          <w:szCs w:val="22"/>
        </w:rPr>
      </w:pPr>
      <w:r>
        <w:rPr>
          <w:rStyle w:val="mord"/>
          <w:rFonts w:ascii="Arial" w:eastAsiaTheme="majorEastAsia" w:hAnsi="Arial" w:cs="Arial"/>
          <w:sz w:val="22"/>
          <w:szCs w:val="22"/>
        </w:rPr>
        <w:t xml:space="preserve">Average annual profit = 5058 / 4 = 1264.5 </w:t>
      </w:r>
    </w:p>
    <w:p w14:paraId="330D1C96" w14:textId="282AFA38" w:rsidR="00294F39" w:rsidRDefault="00294F39" w:rsidP="00FB7FBF">
      <w:pPr>
        <w:pStyle w:val="NormalWeb"/>
        <w:rPr>
          <w:rStyle w:val="mord"/>
          <w:rFonts w:ascii="Arial" w:eastAsiaTheme="majorEastAsia" w:hAnsi="Arial" w:cs="Arial"/>
          <w:sz w:val="22"/>
          <w:szCs w:val="22"/>
        </w:rPr>
      </w:pPr>
      <w:r>
        <w:rPr>
          <w:rStyle w:val="mord"/>
          <w:rFonts w:ascii="Arial" w:eastAsiaTheme="majorEastAsia" w:hAnsi="Arial" w:cs="Arial"/>
          <w:sz w:val="22"/>
          <w:szCs w:val="22"/>
        </w:rPr>
        <w:t xml:space="preserve">ARR = 1264.5 / 5000 </w:t>
      </w:r>
    </w:p>
    <w:p w14:paraId="6110C69C" w14:textId="3CDE2740" w:rsidR="00294F39" w:rsidRDefault="00294F39" w:rsidP="00FB7FBF">
      <w:pPr>
        <w:pStyle w:val="NormalWeb"/>
        <w:rPr>
          <w:rStyle w:val="mord"/>
          <w:rFonts w:ascii="Arial" w:eastAsiaTheme="majorEastAsia" w:hAnsi="Arial" w:cs="Arial"/>
          <w:sz w:val="22"/>
          <w:szCs w:val="22"/>
        </w:rPr>
      </w:pPr>
      <w:r>
        <w:rPr>
          <w:rStyle w:val="mord"/>
          <w:rFonts w:ascii="Arial" w:eastAsiaTheme="majorEastAsia" w:hAnsi="Arial" w:cs="Arial"/>
          <w:sz w:val="22"/>
          <w:szCs w:val="22"/>
        </w:rPr>
        <w:t>ARR = 0.252</w:t>
      </w:r>
      <w:r w:rsidR="00AF7E9B">
        <w:rPr>
          <w:rStyle w:val="mord"/>
          <w:rFonts w:ascii="Arial" w:eastAsiaTheme="majorEastAsia" w:hAnsi="Arial" w:cs="Arial"/>
          <w:sz w:val="22"/>
          <w:szCs w:val="22"/>
        </w:rPr>
        <w:t>9</w:t>
      </w:r>
    </w:p>
    <w:p w14:paraId="02EA641D" w14:textId="494776CE" w:rsidR="002519A8" w:rsidRDefault="00294F39" w:rsidP="00FB7FBF">
      <w:pPr>
        <w:pStyle w:val="NormalWeb"/>
        <w:rPr>
          <w:rStyle w:val="mord"/>
          <w:rFonts w:ascii="Arial" w:eastAsiaTheme="majorEastAsia" w:hAnsi="Arial" w:cs="Arial"/>
          <w:b/>
          <w:bCs/>
          <w:sz w:val="22"/>
          <w:szCs w:val="22"/>
        </w:rPr>
      </w:pPr>
      <w:r w:rsidRPr="001F4C75">
        <w:rPr>
          <w:rStyle w:val="mord"/>
          <w:rFonts w:ascii="Arial" w:eastAsiaTheme="majorEastAsia" w:hAnsi="Arial" w:cs="Arial"/>
          <w:b/>
          <w:bCs/>
          <w:sz w:val="22"/>
          <w:szCs w:val="22"/>
        </w:rPr>
        <w:t>As a result, Project A's average accounting rate of return (ARR) is roughly</w:t>
      </w:r>
      <w:r w:rsidRPr="001F4C75">
        <w:rPr>
          <w:rStyle w:val="mord"/>
          <w:rFonts w:ascii="Arial" w:eastAsiaTheme="majorEastAsia" w:hAnsi="Arial" w:cs="Arial"/>
          <w:b/>
          <w:bCs/>
          <w:color w:val="77206D" w:themeColor="accent5" w:themeShade="BF"/>
          <w:sz w:val="22"/>
          <w:szCs w:val="22"/>
        </w:rPr>
        <w:t xml:space="preserve"> </w:t>
      </w:r>
      <w:proofErr w:type="gramStart"/>
      <w:r w:rsidRPr="001F4C75">
        <w:rPr>
          <w:rStyle w:val="mord"/>
          <w:rFonts w:ascii="Arial" w:eastAsiaTheme="majorEastAsia" w:hAnsi="Arial" w:cs="Arial"/>
          <w:b/>
          <w:bCs/>
          <w:color w:val="3A7C22" w:themeColor="accent6" w:themeShade="BF"/>
          <w:sz w:val="22"/>
          <w:szCs w:val="22"/>
        </w:rPr>
        <w:t>25.</w:t>
      </w:r>
      <w:r w:rsidR="00AF7E9B" w:rsidRPr="001F4C75">
        <w:rPr>
          <w:rStyle w:val="mord"/>
          <w:rFonts w:ascii="Arial" w:eastAsiaTheme="majorEastAsia" w:hAnsi="Arial" w:cs="Arial"/>
          <w:b/>
          <w:bCs/>
          <w:color w:val="3A7C22" w:themeColor="accent6" w:themeShade="BF"/>
          <w:sz w:val="22"/>
          <w:szCs w:val="22"/>
        </w:rPr>
        <w:t>29</w:t>
      </w:r>
      <w:r w:rsidRPr="001F4C75">
        <w:rPr>
          <w:rStyle w:val="mord"/>
          <w:rFonts w:ascii="Arial" w:eastAsiaTheme="majorEastAsia" w:hAnsi="Arial" w:cs="Arial"/>
          <w:b/>
          <w:bCs/>
          <w:color w:val="3A7C22" w:themeColor="accent6" w:themeShade="BF"/>
          <w:sz w:val="22"/>
          <w:szCs w:val="22"/>
        </w:rPr>
        <w:t>%</w:t>
      </w:r>
      <w:proofErr w:type="gramEnd"/>
    </w:p>
    <w:p w14:paraId="4CD4708C" w14:textId="0CF7C84C" w:rsidR="00F60350" w:rsidRPr="00F60350" w:rsidRDefault="00F60350" w:rsidP="00F60350">
      <w:pPr>
        <w:pStyle w:val="NormalWeb"/>
        <w:spacing w:line="360" w:lineRule="auto"/>
        <w:rPr>
          <w:rStyle w:val="mord"/>
          <w:rFonts w:ascii="Arial" w:eastAsiaTheme="majorEastAsia" w:hAnsi="Arial" w:cs="Arial"/>
          <w:sz w:val="22"/>
          <w:szCs w:val="22"/>
        </w:rPr>
      </w:pPr>
      <w:r w:rsidRPr="00F60350">
        <w:rPr>
          <w:rStyle w:val="mord"/>
          <w:rFonts w:ascii="Arial" w:eastAsiaTheme="majorEastAsia" w:hAnsi="Arial" w:cs="Arial"/>
          <w:sz w:val="22"/>
          <w:szCs w:val="22"/>
        </w:rPr>
        <w:t xml:space="preserve">For Project A, the average accounting rate of return (ARR) is roughly 25.29%, which suggests a comparatively good degree of profitability. This ARR indicates that during the duration of the project's lifetime, returns equal to roughly 25.29% of the initial investment should be generated on average. With an ARR this high, Project A appears to have a good chance of generating profitable returns on </w:t>
      </w:r>
      <w:proofErr w:type="gramStart"/>
      <w:r w:rsidRPr="00F60350">
        <w:rPr>
          <w:rStyle w:val="mord"/>
          <w:rFonts w:ascii="Arial" w:eastAsiaTheme="majorEastAsia" w:hAnsi="Arial" w:cs="Arial"/>
          <w:sz w:val="22"/>
          <w:szCs w:val="22"/>
        </w:rPr>
        <w:t>investment</w:t>
      </w:r>
      <w:proofErr w:type="gramEnd"/>
    </w:p>
    <w:p w14:paraId="715EB6EC" w14:textId="7B8ED3BE" w:rsidR="002519A8" w:rsidRDefault="002519A8" w:rsidP="00FB7FBF">
      <w:pPr>
        <w:pStyle w:val="NormalWeb"/>
        <w:rPr>
          <w:rStyle w:val="mord"/>
          <w:rFonts w:ascii="Arial" w:eastAsiaTheme="majorEastAsia" w:hAnsi="Arial" w:cs="Arial"/>
          <w:b/>
          <w:bCs/>
          <w:color w:val="000000" w:themeColor="text1"/>
          <w:sz w:val="22"/>
          <w:szCs w:val="22"/>
        </w:rPr>
      </w:pPr>
      <w:r>
        <w:rPr>
          <w:rStyle w:val="mord"/>
          <w:rFonts w:ascii="Arial" w:eastAsiaTheme="majorEastAsia" w:hAnsi="Arial" w:cs="Arial"/>
          <w:b/>
          <w:bCs/>
          <w:color w:val="000000" w:themeColor="text1"/>
          <w:sz w:val="22"/>
          <w:szCs w:val="22"/>
        </w:rPr>
        <w:t>Project B</w:t>
      </w:r>
    </w:p>
    <w:p w14:paraId="3AB96B55" w14:textId="025AF4BC" w:rsidR="00083413" w:rsidRPr="00083413" w:rsidRDefault="00200A65" w:rsidP="00083413">
      <w:pPr>
        <w:pStyle w:val="Caption"/>
      </w:pPr>
      <w:bookmarkStart w:id="20" w:name="_Toc164849551"/>
      <w:r>
        <w:t xml:space="preserve">Table </w:t>
      </w:r>
      <w:r>
        <w:fldChar w:fldCharType="begin"/>
      </w:r>
      <w:r>
        <w:instrText xml:space="preserve"> SEQ Table \* ARABIC </w:instrText>
      </w:r>
      <w:r>
        <w:fldChar w:fldCharType="separate"/>
      </w:r>
      <w:r w:rsidR="00083413">
        <w:rPr>
          <w:noProof/>
        </w:rPr>
        <w:t>11</w:t>
      </w:r>
      <w:r>
        <w:fldChar w:fldCharType="end"/>
      </w:r>
      <w:r w:rsidRPr="004E6449">
        <w:t>Accounting Rate of Return Calculation Project B (Source: author)</w:t>
      </w:r>
      <w:bookmarkEnd w:id="20"/>
    </w:p>
    <w:tbl>
      <w:tblPr>
        <w:tblW w:w="4620" w:type="dxa"/>
        <w:tblLook w:val="04A0" w:firstRow="1" w:lastRow="0" w:firstColumn="1" w:lastColumn="0" w:noHBand="0" w:noVBand="1"/>
      </w:tblPr>
      <w:tblGrid>
        <w:gridCol w:w="2760"/>
        <w:gridCol w:w="1860"/>
      </w:tblGrid>
      <w:tr w:rsidR="00AF7E9B" w14:paraId="5F393413" w14:textId="77777777" w:rsidTr="00AF7E9B">
        <w:trPr>
          <w:trHeight w:val="320"/>
        </w:trPr>
        <w:tc>
          <w:tcPr>
            <w:tcW w:w="2760" w:type="dxa"/>
            <w:tcBorders>
              <w:top w:val="nil"/>
              <w:left w:val="nil"/>
              <w:bottom w:val="nil"/>
              <w:right w:val="nil"/>
            </w:tcBorders>
            <w:shd w:val="clear" w:color="000000" w:fill="D86DCD"/>
            <w:noWrap/>
            <w:vAlign w:val="bottom"/>
            <w:hideMark/>
          </w:tcPr>
          <w:p w14:paraId="7C2B5B75" w14:textId="77777777" w:rsidR="00AF7E9B" w:rsidRDefault="00AF7E9B">
            <w:pPr>
              <w:rPr>
                <w:rFonts w:ascii="Aptos Narrow" w:hAnsi="Aptos Narrow"/>
                <w:color w:val="000000"/>
              </w:rPr>
            </w:pPr>
            <w:r>
              <w:rPr>
                <w:rFonts w:ascii="Aptos Narrow" w:hAnsi="Aptos Narrow"/>
                <w:color w:val="000000"/>
              </w:rPr>
              <w:t>Project B</w:t>
            </w:r>
          </w:p>
        </w:tc>
        <w:tc>
          <w:tcPr>
            <w:tcW w:w="1860" w:type="dxa"/>
            <w:tcBorders>
              <w:top w:val="nil"/>
              <w:left w:val="nil"/>
              <w:bottom w:val="nil"/>
              <w:right w:val="nil"/>
            </w:tcBorders>
            <w:shd w:val="clear" w:color="000000" w:fill="D86DCD"/>
            <w:noWrap/>
            <w:vAlign w:val="bottom"/>
            <w:hideMark/>
          </w:tcPr>
          <w:p w14:paraId="266080C8" w14:textId="77777777" w:rsidR="00AF7E9B" w:rsidRDefault="00AF7E9B">
            <w:pPr>
              <w:rPr>
                <w:rFonts w:ascii="Aptos Narrow" w:hAnsi="Aptos Narrow"/>
                <w:color w:val="000000"/>
              </w:rPr>
            </w:pPr>
            <w:r>
              <w:rPr>
                <w:rFonts w:ascii="Aptos Narrow" w:hAnsi="Aptos Narrow"/>
                <w:color w:val="000000"/>
              </w:rPr>
              <w:t> </w:t>
            </w:r>
          </w:p>
        </w:tc>
      </w:tr>
      <w:tr w:rsidR="00AF7E9B" w14:paraId="3264DDC2" w14:textId="77777777" w:rsidTr="00AF7E9B">
        <w:trPr>
          <w:trHeight w:val="320"/>
        </w:trPr>
        <w:tc>
          <w:tcPr>
            <w:tcW w:w="2760" w:type="dxa"/>
            <w:tcBorders>
              <w:top w:val="nil"/>
              <w:left w:val="nil"/>
              <w:bottom w:val="nil"/>
              <w:right w:val="nil"/>
            </w:tcBorders>
            <w:shd w:val="clear" w:color="auto" w:fill="auto"/>
            <w:noWrap/>
            <w:vAlign w:val="bottom"/>
            <w:hideMark/>
          </w:tcPr>
          <w:p w14:paraId="308F9851" w14:textId="77777777" w:rsidR="00AF7E9B" w:rsidRDefault="00AF7E9B">
            <w:pPr>
              <w:rPr>
                <w:rFonts w:ascii="Aptos Narrow" w:hAnsi="Aptos Narrow"/>
                <w:color w:val="000000"/>
              </w:rPr>
            </w:pPr>
            <w:r>
              <w:rPr>
                <w:rFonts w:ascii="Aptos Narrow" w:hAnsi="Aptos Narrow"/>
                <w:color w:val="000000"/>
              </w:rPr>
              <w:t xml:space="preserve">Year </w:t>
            </w:r>
          </w:p>
        </w:tc>
        <w:tc>
          <w:tcPr>
            <w:tcW w:w="1860" w:type="dxa"/>
            <w:tcBorders>
              <w:top w:val="nil"/>
              <w:left w:val="nil"/>
              <w:bottom w:val="nil"/>
              <w:right w:val="nil"/>
            </w:tcBorders>
            <w:shd w:val="clear" w:color="auto" w:fill="auto"/>
            <w:noWrap/>
            <w:vAlign w:val="bottom"/>
            <w:hideMark/>
          </w:tcPr>
          <w:p w14:paraId="0FD325FC" w14:textId="77777777" w:rsidR="00AF7E9B" w:rsidRDefault="00AF7E9B">
            <w:pPr>
              <w:rPr>
                <w:rFonts w:ascii="Aptos Narrow" w:hAnsi="Aptos Narrow"/>
                <w:color w:val="000000"/>
              </w:rPr>
            </w:pPr>
            <w:r>
              <w:rPr>
                <w:rFonts w:ascii="Aptos Narrow" w:hAnsi="Aptos Narrow"/>
                <w:color w:val="000000"/>
              </w:rPr>
              <w:t xml:space="preserve">Net cash flow </w:t>
            </w:r>
          </w:p>
        </w:tc>
      </w:tr>
      <w:tr w:rsidR="00AF7E9B" w14:paraId="688587F0" w14:textId="77777777" w:rsidTr="00AF7E9B">
        <w:trPr>
          <w:trHeight w:val="320"/>
        </w:trPr>
        <w:tc>
          <w:tcPr>
            <w:tcW w:w="2760" w:type="dxa"/>
            <w:tcBorders>
              <w:top w:val="nil"/>
              <w:left w:val="nil"/>
              <w:bottom w:val="nil"/>
              <w:right w:val="nil"/>
            </w:tcBorders>
            <w:shd w:val="clear" w:color="auto" w:fill="auto"/>
            <w:noWrap/>
            <w:vAlign w:val="bottom"/>
            <w:hideMark/>
          </w:tcPr>
          <w:p w14:paraId="629C3191" w14:textId="77777777" w:rsidR="00AF7E9B" w:rsidRDefault="00AF7E9B">
            <w:pPr>
              <w:jc w:val="right"/>
              <w:rPr>
                <w:rFonts w:ascii="Aptos Narrow" w:hAnsi="Aptos Narrow"/>
                <w:color w:val="000000"/>
              </w:rPr>
            </w:pPr>
            <w:r>
              <w:rPr>
                <w:rFonts w:ascii="Aptos Narrow" w:hAnsi="Aptos Narrow"/>
                <w:color w:val="000000"/>
              </w:rPr>
              <w:t>0</w:t>
            </w:r>
          </w:p>
        </w:tc>
        <w:tc>
          <w:tcPr>
            <w:tcW w:w="1860" w:type="dxa"/>
            <w:tcBorders>
              <w:top w:val="nil"/>
              <w:left w:val="nil"/>
              <w:bottom w:val="nil"/>
              <w:right w:val="nil"/>
            </w:tcBorders>
            <w:shd w:val="clear" w:color="auto" w:fill="auto"/>
            <w:noWrap/>
            <w:vAlign w:val="bottom"/>
            <w:hideMark/>
          </w:tcPr>
          <w:p w14:paraId="1D267C91" w14:textId="77777777" w:rsidR="00AF7E9B" w:rsidRDefault="00AF7E9B">
            <w:pPr>
              <w:jc w:val="right"/>
              <w:rPr>
                <w:rFonts w:ascii="Aptos Narrow" w:hAnsi="Aptos Narrow"/>
                <w:color w:val="000000"/>
              </w:rPr>
            </w:pPr>
            <w:r>
              <w:rPr>
                <w:rFonts w:ascii="Aptos Narrow" w:hAnsi="Aptos Narrow"/>
                <w:color w:val="000000"/>
              </w:rPr>
              <w:t>-1000</w:t>
            </w:r>
          </w:p>
        </w:tc>
      </w:tr>
      <w:tr w:rsidR="00AF7E9B" w14:paraId="0935BBAD" w14:textId="77777777" w:rsidTr="00AF7E9B">
        <w:trPr>
          <w:trHeight w:val="320"/>
        </w:trPr>
        <w:tc>
          <w:tcPr>
            <w:tcW w:w="2760" w:type="dxa"/>
            <w:tcBorders>
              <w:top w:val="nil"/>
              <w:left w:val="nil"/>
              <w:bottom w:val="nil"/>
              <w:right w:val="nil"/>
            </w:tcBorders>
            <w:shd w:val="clear" w:color="auto" w:fill="auto"/>
            <w:noWrap/>
            <w:vAlign w:val="bottom"/>
            <w:hideMark/>
          </w:tcPr>
          <w:p w14:paraId="65BCE40B" w14:textId="77777777" w:rsidR="00AF7E9B" w:rsidRDefault="00AF7E9B">
            <w:pPr>
              <w:jc w:val="right"/>
              <w:rPr>
                <w:rFonts w:ascii="Aptos Narrow" w:hAnsi="Aptos Narrow"/>
                <w:color w:val="000000"/>
              </w:rPr>
            </w:pPr>
            <w:r>
              <w:rPr>
                <w:rFonts w:ascii="Aptos Narrow" w:hAnsi="Aptos Narrow"/>
                <w:color w:val="000000"/>
              </w:rPr>
              <w:t>1</w:t>
            </w:r>
          </w:p>
        </w:tc>
        <w:tc>
          <w:tcPr>
            <w:tcW w:w="1860" w:type="dxa"/>
            <w:tcBorders>
              <w:top w:val="nil"/>
              <w:left w:val="nil"/>
              <w:bottom w:val="nil"/>
              <w:right w:val="nil"/>
            </w:tcBorders>
            <w:shd w:val="clear" w:color="auto" w:fill="auto"/>
            <w:noWrap/>
            <w:vAlign w:val="bottom"/>
            <w:hideMark/>
          </w:tcPr>
          <w:p w14:paraId="1A855C61" w14:textId="77777777" w:rsidR="00AF7E9B" w:rsidRDefault="00AF7E9B">
            <w:pPr>
              <w:jc w:val="right"/>
              <w:rPr>
                <w:rFonts w:ascii="Aptos Narrow" w:hAnsi="Aptos Narrow"/>
                <w:color w:val="000000"/>
              </w:rPr>
            </w:pPr>
            <w:r>
              <w:rPr>
                <w:rFonts w:ascii="Aptos Narrow" w:hAnsi="Aptos Narrow"/>
                <w:color w:val="000000"/>
              </w:rPr>
              <w:t>1500</w:t>
            </w:r>
          </w:p>
        </w:tc>
      </w:tr>
      <w:tr w:rsidR="00AF7E9B" w14:paraId="5548C2A0" w14:textId="77777777" w:rsidTr="00AF7E9B">
        <w:trPr>
          <w:trHeight w:val="320"/>
        </w:trPr>
        <w:tc>
          <w:tcPr>
            <w:tcW w:w="2760" w:type="dxa"/>
            <w:tcBorders>
              <w:top w:val="nil"/>
              <w:left w:val="nil"/>
              <w:bottom w:val="nil"/>
              <w:right w:val="nil"/>
            </w:tcBorders>
            <w:shd w:val="clear" w:color="auto" w:fill="auto"/>
            <w:noWrap/>
            <w:vAlign w:val="bottom"/>
            <w:hideMark/>
          </w:tcPr>
          <w:p w14:paraId="6D6D856E" w14:textId="77777777" w:rsidR="00AF7E9B" w:rsidRDefault="00AF7E9B">
            <w:pPr>
              <w:jc w:val="right"/>
              <w:rPr>
                <w:rFonts w:ascii="Aptos Narrow" w:hAnsi="Aptos Narrow"/>
                <w:color w:val="000000"/>
              </w:rPr>
            </w:pPr>
            <w:r>
              <w:rPr>
                <w:rFonts w:ascii="Aptos Narrow" w:hAnsi="Aptos Narrow"/>
                <w:color w:val="000000"/>
              </w:rPr>
              <w:t>2</w:t>
            </w:r>
          </w:p>
        </w:tc>
        <w:tc>
          <w:tcPr>
            <w:tcW w:w="1860" w:type="dxa"/>
            <w:tcBorders>
              <w:top w:val="nil"/>
              <w:left w:val="nil"/>
              <w:bottom w:val="nil"/>
              <w:right w:val="nil"/>
            </w:tcBorders>
            <w:shd w:val="clear" w:color="auto" w:fill="auto"/>
            <w:noWrap/>
            <w:vAlign w:val="bottom"/>
            <w:hideMark/>
          </w:tcPr>
          <w:p w14:paraId="1DA4C5E6" w14:textId="77777777" w:rsidR="00AF7E9B" w:rsidRDefault="00AF7E9B">
            <w:pPr>
              <w:jc w:val="right"/>
              <w:rPr>
                <w:rFonts w:ascii="Aptos Narrow" w:hAnsi="Aptos Narrow"/>
                <w:color w:val="000000"/>
              </w:rPr>
            </w:pPr>
            <w:r>
              <w:rPr>
                <w:rFonts w:ascii="Aptos Narrow" w:hAnsi="Aptos Narrow"/>
                <w:color w:val="000000"/>
              </w:rPr>
              <w:t>1000</w:t>
            </w:r>
          </w:p>
        </w:tc>
      </w:tr>
      <w:tr w:rsidR="00AF7E9B" w14:paraId="5052B999" w14:textId="77777777" w:rsidTr="00AF7E9B">
        <w:trPr>
          <w:trHeight w:val="320"/>
        </w:trPr>
        <w:tc>
          <w:tcPr>
            <w:tcW w:w="2760" w:type="dxa"/>
            <w:tcBorders>
              <w:top w:val="nil"/>
              <w:left w:val="nil"/>
              <w:bottom w:val="nil"/>
              <w:right w:val="nil"/>
            </w:tcBorders>
            <w:shd w:val="clear" w:color="auto" w:fill="auto"/>
            <w:noWrap/>
            <w:vAlign w:val="bottom"/>
            <w:hideMark/>
          </w:tcPr>
          <w:p w14:paraId="635F4532" w14:textId="77777777" w:rsidR="00AF7E9B" w:rsidRDefault="00AF7E9B">
            <w:pPr>
              <w:jc w:val="right"/>
              <w:rPr>
                <w:rFonts w:ascii="Aptos Narrow" w:hAnsi="Aptos Narrow"/>
                <w:color w:val="000000"/>
              </w:rPr>
            </w:pPr>
            <w:r>
              <w:rPr>
                <w:rFonts w:ascii="Aptos Narrow" w:hAnsi="Aptos Narrow"/>
                <w:color w:val="000000"/>
              </w:rPr>
              <w:t>3</w:t>
            </w:r>
          </w:p>
        </w:tc>
        <w:tc>
          <w:tcPr>
            <w:tcW w:w="1860" w:type="dxa"/>
            <w:tcBorders>
              <w:top w:val="nil"/>
              <w:left w:val="nil"/>
              <w:bottom w:val="nil"/>
              <w:right w:val="nil"/>
            </w:tcBorders>
            <w:shd w:val="clear" w:color="auto" w:fill="auto"/>
            <w:noWrap/>
            <w:vAlign w:val="bottom"/>
            <w:hideMark/>
          </w:tcPr>
          <w:p w14:paraId="58EE7D88" w14:textId="77777777" w:rsidR="00AF7E9B" w:rsidRDefault="00AF7E9B">
            <w:pPr>
              <w:jc w:val="right"/>
              <w:rPr>
                <w:rFonts w:ascii="Aptos Narrow" w:hAnsi="Aptos Narrow"/>
                <w:color w:val="000000"/>
              </w:rPr>
            </w:pPr>
            <w:r>
              <w:rPr>
                <w:rFonts w:ascii="Aptos Narrow" w:hAnsi="Aptos Narrow"/>
                <w:color w:val="000000"/>
              </w:rPr>
              <w:t>1000</w:t>
            </w:r>
          </w:p>
        </w:tc>
      </w:tr>
      <w:tr w:rsidR="00AF7E9B" w14:paraId="77FDF29E" w14:textId="77777777" w:rsidTr="00AF7E9B">
        <w:trPr>
          <w:trHeight w:val="320"/>
        </w:trPr>
        <w:tc>
          <w:tcPr>
            <w:tcW w:w="2760" w:type="dxa"/>
            <w:tcBorders>
              <w:top w:val="nil"/>
              <w:left w:val="nil"/>
              <w:bottom w:val="nil"/>
              <w:right w:val="nil"/>
            </w:tcBorders>
            <w:shd w:val="clear" w:color="auto" w:fill="auto"/>
            <w:noWrap/>
            <w:vAlign w:val="bottom"/>
            <w:hideMark/>
          </w:tcPr>
          <w:p w14:paraId="10A711B4" w14:textId="77777777" w:rsidR="00AF7E9B" w:rsidRDefault="00AF7E9B">
            <w:pPr>
              <w:jc w:val="right"/>
              <w:rPr>
                <w:rFonts w:ascii="Aptos Narrow" w:hAnsi="Aptos Narrow"/>
                <w:color w:val="000000"/>
              </w:rPr>
            </w:pPr>
            <w:r>
              <w:rPr>
                <w:rFonts w:ascii="Aptos Narrow" w:hAnsi="Aptos Narrow"/>
                <w:color w:val="000000"/>
              </w:rPr>
              <w:t>4</w:t>
            </w:r>
          </w:p>
        </w:tc>
        <w:tc>
          <w:tcPr>
            <w:tcW w:w="1860" w:type="dxa"/>
            <w:tcBorders>
              <w:top w:val="nil"/>
              <w:left w:val="nil"/>
              <w:bottom w:val="nil"/>
              <w:right w:val="nil"/>
            </w:tcBorders>
            <w:shd w:val="clear" w:color="auto" w:fill="auto"/>
            <w:noWrap/>
            <w:vAlign w:val="bottom"/>
            <w:hideMark/>
          </w:tcPr>
          <w:p w14:paraId="745EE82D" w14:textId="77777777" w:rsidR="00AF7E9B" w:rsidRDefault="00AF7E9B">
            <w:pPr>
              <w:jc w:val="right"/>
              <w:rPr>
                <w:rFonts w:ascii="Aptos Narrow" w:hAnsi="Aptos Narrow"/>
                <w:color w:val="000000"/>
              </w:rPr>
            </w:pPr>
            <w:r>
              <w:rPr>
                <w:rFonts w:ascii="Aptos Narrow" w:hAnsi="Aptos Narrow"/>
                <w:color w:val="000000"/>
              </w:rPr>
              <w:t>-470</w:t>
            </w:r>
          </w:p>
        </w:tc>
      </w:tr>
      <w:tr w:rsidR="00AF7E9B" w14:paraId="2676782E" w14:textId="77777777" w:rsidTr="00AF7E9B">
        <w:trPr>
          <w:trHeight w:val="320"/>
        </w:trPr>
        <w:tc>
          <w:tcPr>
            <w:tcW w:w="2760" w:type="dxa"/>
            <w:tcBorders>
              <w:top w:val="nil"/>
              <w:left w:val="nil"/>
              <w:bottom w:val="nil"/>
              <w:right w:val="nil"/>
            </w:tcBorders>
            <w:shd w:val="clear" w:color="000000" w:fill="F2CEEF"/>
            <w:noWrap/>
            <w:vAlign w:val="bottom"/>
            <w:hideMark/>
          </w:tcPr>
          <w:p w14:paraId="6451835E" w14:textId="77777777" w:rsidR="00AF7E9B" w:rsidRDefault="00AF7E9B">
            <w:pPr>
              <w:rPr>
                <w:rFonts w:ascii="Aptos Narrow" w:hAnsi="Aptos Narrow"/>
                <w:color w:val="000000"/>
              </w:rPr>
            </w:pPr>
            <w:r>
              <w:rPr>
                <w:rFonts w:ascii="Aptos Narrow" w:hAnsi="Aptos Narrow"/>
                <w:color w:val="000000"/>
              </w:rPr>
              <w:t>ARR</w:t>
            </w:r>
          </w:p>
        </w:tc>
        <w:tc>
          <w:tcPr>
            <w:tcW w:w="1860" w:type="dxa"/>
            <w:tcBorders>
              <w:top w:val="nil"/>
              <w:left w:val="nil"/>
              <w:bottom w:val="nil"/>
              <w:right w:val="nil"/>
            </w:tcBorders>
            <w:shd w:val="clear" w:color="000000" w:fill="F2CEEF"/>
            <w:noWrap/>
            <w:vAlign w:val="bottom"/>
            <w:hideMark/>
          </w:tcPr>
          <w:p w14:paraId="2629A39D" w14:textId="77777777" w:rsidR="00AF7E9B" w:rsidRDefault="00AF7E9B">
            <w:pPr>
              <w:jc w:val="right"/>
              <w:rPr>
                <w:rFonts w:ascii="Aptos Narrow" w:hAnsi="Aptos Narrow"/>
                <w:color w:val="000000"/>
              </w:rPr>
            </w:pPr>
            <w:r>
              <w:rPr>
                <w:rFonts w:ascii="Aptos Narrow" w:hAnsi="Aptos Narrow"/>
                <w:color w:val="000000"/>
              </w:rPr>
              <w:t>75.75%</w:t>
            </w:r>
          </w:p>
        </w:tc>
      </w:tr>
    </w:tbl>
    <w:p w14:paraId="11200BA4" w14:textId="77777777" w:rsidR="00AF7E9B" w:rsidRDefault="00AF7E9B" w:rsidP="00AF7E9B">
      <w:pPr>
        <w:pStyle w:val="NormalWeb"/>
        <w:rPr>
          <w:rStyle w:val="mord"/>
          <w:rFonts w:ascii="Arial" w:eastAsiaTheme="majorEastAsia" w:hAnsi="Arial" w:cs="Arial"/>
          <w:sz w:val="22"/>
          <w:szCs w:val="22"/>
        </w:rPr>
      </w:pPr>
      <w:r w:rsidRPr="00E3399B">
        <w:rPr>
          <w:rStyle w:val="mord"/>
          <w:rFonts w:ascii="Arial" w:eastAsiaTheme="majorEastAsia" w:hAnsi="Arial" w:cs="Arial"/>
          <w:sz w:val="22"/>
          <w:szCs w:val="22"/>
        </w:rPr>
        <w:t>Total</w:t>
      </w:r>
      <w:r>
        <w:rPr>
          <w:rStyle w:val="mord"/>
          <w:rFonts w:ascii="Arial" w:eastAsiaTheme="majorEastAsia" w:hAnsi="Arial" w:cs="Arial"/>
          <w:sz w:val="22"/>
          <w:szCs w:val="22"/>
        </w:rPr>
        <w:t xml:space="preserve"> profit = Sum of Cash flows from year 1 to year 4 </w:t>
      </w:r>
    </w:p>
    <w:p w14:paraId="156B3DAA" w14:textId="5B45EDAB" w:rsidR="00AF7E9B" w:rsidRDefault="00AF7E9B" w:rsidP="00AF7E9B">
      <w:pPr>
        <w:pStyle w:val="NormalWeb"/>
        <w:rPr>
          <w:rStyle w:val="mord"/>
          <w:rFonts w:ascii="Arial" w:eastAsiaTheme="majorEastAsia" w:hAnsi="Arial" w:cs="Arial"/>
          <w:sz w:val="22"/>
          <w:szCs w:val="22"/>
        </w:rPr>
      </w:pPr>
      <w:r>
        <w:rPr>
          <w:rStyle w:val="mord"/>
          <w:rFonts w:ascii="Arial" w:eastAsiaTheme="majorEastAsia" w:hAnsi="Arial" w:cs="Arial"/>
          <w:sz w:val="22"/>
          <w:szCs w:val="22"/>
        </w:rPr>
        <w:t xml:space="preserve">Total profit = </w:t>
      </w:r>
      <w:r>
        <w:rPr>
          <w:rStyle w:val="mord"/>
          <w:rFonts w:ascii="Arial" w:eastAsiaTheme="majorEastAsia" w:hAnsi="Arial" w:cs="Arial"/>
          <w:sz w:val="22"/>
          <w:szCs w:val="22"/>
        </w:rPr>
        <w:t>1500</w:t>
      </w:r>
      <w:r>
        <w:rPr>
          <w:rStyle w:val="mord"/>
          <w:rFonts w:ascii="Arial" w:eastAsiaTheme="majorEastAsia" w:hAnsi="Arial" w:cs="Arial"/>
          <w:sz w:val="22"/>
          <w:szCs w:val="22"/>
        </w:rPr>
        <w:t xml:space="preserve"> + </w:t>
      </w:r>
      <w:r>
        <w:rPr>
          <w:rStyle w:val="mord"/>
          <w:rFonts w:ascii="Arial" w:eastAsiaTheme="majorEastAsia" w:hAnsi="Arial" w:cs="Arial"/>
          <w:sz w:val="22"/>
          <w:szCs w:val="22"/>
        </w:rPr>
        <w:t>1000</w:t>
      </w:r>
      <w:r>
        <w:rPr>
          <w:rStyle w:val="mord"/>
          <w:rFonts w:ascii="Arial" w:eastAsiaTheme="majorEastAsia" w:hAnsi="Arial" w:cs="Arial"/>
          <w:sz w:val="22"/>
          <w:szCs w:val="22"/>
        </w:rPr>
        <w:t xml:space="preserve"> + 1000 + (-4</w:t>
      </w:r>
      <w:r>
        <w:rPr>
          <w:rStyle w:val="mord"/>
          <w:rFonts w:ascii="Arial" w:eastAsiaTheme="majorEastAsia" w:hAnsi="Arial" w:cs="Arial"/>
          <w:sz w:val="22"/>
          <w:szCs w:val="22"/>
        </w:rPr>
        <w:t>70</w:t>
      </w:r>
      <w:r>
        <w:rPr>
          <w:rStyle w:val="mord"/>
          <w:rFonts w:ascii="Arial" w:eastAsiaTheme="majorEastAsia" w:hAnsi="Arial" w:cs="Arial"/>
          <w:sz w:val="22"/>
          <w:szCs w:val="22"/>
        </w:rPr>
        <w:t xml:space="preserve">) = </w:t>
      </w:r>
      <w:r>
        <w:rPr>
          <w:rStyle w:val="mord"/>
          <w:rFonts w:ascii="Arial" w:eastAsiaTheme="majorEastAsia" w:hAnsi="Arial" w:cs="Arial"/>
          <w:sz w:val="22"/>
          <w:szCs w:val="22"/>
        </w:rPr>
        <w:t>3030</w:t>
      </w:r>
    </w:p>
    <w:p w14:paraId="4E29673E" w14:textId="77777777" w:rsidR="00AF7E9B" w:rsidRDefault="00AF7E9B" w:rsidP="00AF7E9B">
      <w:pPr>
        <w:pStyle w:val="NormalWeb"/>
        <w:rPr>
          <w:rStyle w:val="mord"/>
          <w:rFonts w:ascii="Arial" w:eastAsiaTheme="majorEastAsia" w:hAnsi="Arial" w:cs="Arial"/>
          <w:sz w:val="22"/>
          <w:szCs w:val="22"/>
        </w:rPr>
      </w:pPr>
      <w:r>
        <w:rPr>
          <w:rStyle w:val="mord"/>
          <w:rFonts w:ascii="Arial" w:eastAsiaTheme="majorEastAsia" w:hAnsi="Arial" w:cs="Arial"/>
          <w:sz w:val="22"/>
          <w:szCs w:val="22"/>
        </w:rPr>
        <w:t xml:space="preserve">Average annual profit = Total profit/number of years </w:t>
      </w:r>
    </w:p>
    <w:p w14:paraId="256A901D" w14:textId="23B1FEA2" w:rsidR="00AF7E9B" w:rsidRDefault="00AF7E9B" w:rsidP="00AF7E9B">
      <w:pPr>
        <w:pStyle w:val="NormalWeb"/>
        <w:rPr>
          <w:rStyle w:val="mord"/>
          <w:rFonts w:ascii="Arial" w:eastAsiaTheme="majorEastAsia" w:hAnsi="Arial" w:cs="Arial"/>
          <w:sz w:val="22"/>
          <w:szCs w:val="22"/>
        </w:rPr>
      </w:pPr>
      <w:r>
        <w:rPr>
          <w:rStyle w:val="mord"/>
          <w:rFonts w:ascii="Arial" w:eastAsiaTheme="majorEastAsia" w:hAnsi="Arial" w:cs="Arial"/>
          <w:sz w:val="22"/>
          <w:szCs w:val="22"/>
        </w:rPr>
        <w:lastRenderedPageBreak/>
        <w:t xml:space="preserve">Average annual profit = </w:t>
      </w:r>
      <w:r>
        <w:rPr>
          <w:rStyle w:val="mord"/>
          <w:rFonts w:ascii="Arial" w:eastAsiaTheme="majorEastAsia" w:hAnsi="Arial" w:cs="Arial"/>
          <w:sz w:val="22"/>
          <w:szCs w:val="22"/>
        </w:rPr>
        <w:t>3030</w:t>
      </w:r>
      <w:r>
        <w:rPr>
          <w:rStyle w:val="mord"/>
          <w:rFonts w:ascii="Arial" w:eastAsiaTheme="majorEastAsia" w:hAnsi="Arial" w:cs="Arial"/>
          <w:sz w:val="22"/>
          <w:szCs w:val="22"/>
        </w:rPr>
        <w:t xml:space="preserve"> / 4 = </w:t>
      </w:r>
      <w:r>
        <w:rPr>
          <w:rStyle w:val="mord"/>
          <w:rFonts w:ascii="Arial" w:eastAsiaTheme="majorEastAsia" w:hAnsi="Arial" w:cs="Arial"/>
          <w:sz w:val="22"/>
          <w:szCs w:val="22"/>
        </w:rPr>
        <w:t>757.5</w:t>
      </w:r>
      <w:r>
        <w:rPr>
          <w:rStyle w:val="mord"/>
          <w:rFonts w:ascii="Arial" w:eastAsiaTheme="majorEastAsia" w:hAnsi="Arial" w:cs="Arial"/>
          <w:sz w:val="22"/>
          <w:szCs w:val="22"/>
        </w:rPr>
        <w:t xml:space="preserve"> </w:t>
      </w:r>
    </w:p>
    <w:p w14:paraId="334CD4A8" w14:textId="2586EFE6" w:rsidR="00AF7E9B" w:rsidRDefault="00AF7E9B" w:rsidP="00AF7E9B">
      <w:pPr>
        <w:pStyle w:val="NormalWeb"/>
        <w:rPr>
          <w:rStyle w:val="mord"/>
          <w:rFonts w:ascii="Arial" w:eastAsiaTheme="majorEastAsia" w:hAnsi="Arial" w:cs="Arial"/>
          <w:sz w:val="22"/>
          <w:szCs w:val="22"/>
        </w:rPr>
      </w:pPr>
      <w:r>
        <w:rPr>
          <w:rStyle w:val="mord"/>
          <w:rFonts w:ascii="Arial" w:eastAsiaTheme="majorEastAsia" w:hAnsi="Arial" w:cs="Arial"/>
          <w:sz w:val="22"/>
          <w:szCs w:val="22"/>
        </w:rPr>
        <w:t xml:space="preserve">ARR = </w:t>
      </w:r>
      <w:r>
        <w:rPr>
          <w:rStyle w:val="mord"/>
          <w:rFonts w:ascii="Arial" w:eastAsiaTheme="majorEastAsia" w:hAnsi="Arial" w:cs="Arial"/>
          <w:sz w:val="22"/>
          <w:szCs w:val="22"/>
        </w:rPr>
        <w:t xml:space="preserve">757.5 </w:t>
      </w:r>
      <w:r>
        <w:rPr>
          <w:rStyle w:val="mord"/>
          <w:rFonts w:ascii="Arial" w:eastAsiaTheme="majorEastAsia" w:hAnsi="Arial" w:cs="Arial"/>
          <w:sz w:val="22"/>
          <w:szCs w:val="22"/>
        </w:rPr>
        <w:t xml:space="preserve">/ </w:t>
      </w:r>
      <w:r>
        <w:rPr>
          <w:rStyle w:val="mord"/>
          <w:rFonts w:ascii="Arial" w:eastAsiaTheme="majorEastAsia" w:hAnsi="Arial" w:cs="Arial"/>
          <w:sz w:val="22"/>
          <w:szCs w:val="22"/>
        </w:rPr>
        <w:t>1000</w:t>
      </w:r>
    </w:p>
    <w:p w14:paraId="7879E8CC" w14:textId="5B984F1A" w:rsidR="00AF7E9B" w:rsidRDefault="00AF7E9B" w:rsidP="00AF7E9B">
      <w:pPr>
        <w:pStyle w:val="NormalWeb"/>
        <w:rPr>
          <w:rStyle w:val="mord"/>
          <w:rFonts w:ascii="Arial" w:eastAsiaTheme="majorEastAsia" w:hAnsi="Arial" w:cs="Arial"/>
          <w:sz w:val="22"/>
          <w:szCs w:val="22"/>
        </w:rPr>
      </w:pPr>
      <w:r>
        <w:rPr>
          <w:rStyle w:val="mord"/>
          <w:rFonts w:ascii="Arial" w:eastAsiaTheme="majorEastAsia" w:hAnsi="Arial" w:cs="Arial"/>
          <w:sz w:val="22"/>
          <w:szCs w:val="22"/>
        </w:rPr>
        <w:t>ARR = 0.</w:t>
      </w:r>
      <w:r>
        <w:rPr>
          <w:rStyle w:val="mord"/>
          <w:rFonts w:ascii="Arial" w:eastAsiaTheme="majorEastAsia" w:hAnsi="Arial" w:cs="Arial"/>
          <w:sz w:val="22"/>
          <w:szCs w:val="22"/>
        </w:rPr>
        <w:t>7575</w:t>
      </w:r>
    </w:p>
    <w:p w14:paraId="3358B4D4" w14:textId="18CBCEF9" w:rsidR="001F4C75" w:rsidRDefault="00AF7E9B" w:rsidP="00646FF2">
      <w:pPr>
        <w:tabs>
          <w:tab w:val="left" w:pos="2520"/>
        </w:tabs>
        <w:spacing w:line="360" w:lineRule="auto"/>
        <w:rPr>
          <w:rStyle w:val="mord"/>
          <w:rFonts w:ascii="Arial" w:hAnsi="Arial" w:cs="Arial"/>
          <w:b/>
          <w:bCs/>
          <w:color w:val="77206D" w:themeColor="accent5" w:themeShade="BF"/>
          <w:sz w:val="22"/>
          <w:szCs w:val="22"/>
        </w:rPr>
      </w:pPr>
      <w:r w:rsidRPr="001F4C75">
        <w:rPr>
          <w:rStyle w:val="mord"/>
          <w:rFonts w:ascii="Arial" w:hAnsi="Arial" w:cs="Arial"/>
          <w:b/>
          <w:bCs/>
          <w:color w:val="000000" w:themeColor="text1"/>
          <w:sz w:val="22"/>
          <w:szCs w:val="22"/>
        </w:rPr>
        <w:t xml:space="preserve">For Project B, this means that the average accounting rate of return (ARR) is roughly </w:t>
      </w:r>
      <w:r w:rsidRPr="001F4C75">
        <w:rPr>
          <w:rStyle w:val="mord"/>
          <w:rFonts w:ascii="Arial" w:hAnsi="Arial" w:cs="Arial"/>
          <w:b/>
          <w:bCs/>
          <w:color w:val="77206D" w:themeColor="accent5" w:themeShade="BF"/>
          <w:sz w:val="22"/>
          <w:szCs w:val="22"/>
        </w:rPr>
        <w:t>75.75%.</w:t>
      </w:r>
    </w:p>
    <w:p w14:paraId="34FCCE67" w14:textId="5CBE60D0" w:rsidR="00F60350" w:rsidRPr="00F60350" w:rsidRDefault="00F60350" w:rsidP="00646FF2">
      <w:pPr>
        <w:tabs>
          <w:tab w:val="left" w:pos="2520"/>
        </w:tabs>
        <w:spacing w:line="360" w:lineRule="auto"/>
        <w:rPr>
          <w:rFonts w:ascii="Arial" w:hAnsi="Arial" w:cs="Arial"/>
          <w:color w:val="000000" w:themeColor="text1"/>
          <w:sz w:val="22"/>
          <w:szCs w:val="22"/>
        </w:rPr>
      </w:pPr>
      <w:r w:rsidRPr="00F60350">
        <w:rPr>
          <w:rFonts w:ascii="Arial" w:hAnsi="Arial" w:cs="Arial"/>
          <w:color w:val="000000" w:themeColor="text1"/>
          <w:sz w:val="22"/>
          <w:szCs w:val="22"/>
        </w:rPr>
        <w:t xml:space="preserve">With an ARR of 75.75%, the alternative project has </w:t>
      </w:r>
      <w:r>
        <w:rPr>
          <w:rFonts w:ascii="Arial" w:hAnsi="Arial" w:cs="Arial"/>
          <w:color w:val="000000" w:themeColor="text1"/>
          <w:sz w:val="22"/>
          <w:szCs w:val="22"/>
        </w:rPr>
        <w:t xml:space="preserve">a </w:t>
      </w:r>
      <w:r w:rsidRPr="00F60350">
        <w:rPr>
          <w:rFonts w:ascii="Arial" w:hAnsi="Arial" w:cs="Arial"/>
          <w:color w:val="000000" w:themeColor="text1"/>
          <w:sz w:val="22"/>
          <w:szCs w:val="22"/>
        </w:rPr>
        <w:t>much higher average annual return relative to its initial investment, indicating a more profitable prospect.</w:t>
      </w:r>
    </w:p>
    <w:p w14:paraId="23DADBB1" w14:textId="394B66BB" w:rsidR="00565E33" w:rsidRDefault="00565E33" w:rsidP="00646FF2">
      <w:pPr>
        <w:tabs>
          <w:tab w:val="left" w:pos="2520"/>
        </w:tabs>
        <w:spacing w:line="360" w:lineRule="auto"/>
        <w:rPr>
          <w:rFonts w:ascii="Arial" w:hAnsi="Arial" w:cs="Arial"/>
          <w:color w:val="000000" w:themeColor="text1"/>
          <w:sz w:val="22"/>
          <w:szCs w:val="22"/>
        </w:rPr>
      </w:pPr>
      <w:r w:rsidRPr="00565E33">
        <w:rPr>
          <w:rFonts w:ascii="Arial" w:hAnsi="Arial" w:cs="Arial"/>
          <w:color w:val="000000" w:themeColor="text1"/>
          <w:sz w:val="22"/>
          <w:szCs w:val="22"/>
        </w:rPr>
        <w:t xml:space="preserve">In conclusion, Project B is appealing to investors seeking rapid profits because </w:t>
      </w:r>
      <w:r>
        <w:rPr>
          <w:rFonts w:ascii="Arial" w:hAnsi="Arial" w:cs="Arial"/>
          <w:color w:val="000000" w:themeColor="text1"/>
          <w:sz w:val="22"/>
          <w:szCs w:val="22"/>
        </w:rPr>
        <w:t>of</w:t>
      </w:r>
      <w:r w:rsidRPr="00565E33">
        <w:rPr>
          <w:rFonts w:ascii="Arial" w:hAnsi="Arial" w:cs="Arial"/>
          <w:color w:val="000000" w:themeColor="text1"/>
          <w:sz w:val="22"/>
          <w:szCs w:val="22"/>
        </w:rPr>
        <w:t xml:space="preserve"> its high average accounting rate of return (ARR) of approximately 75.75%, which implies good profitability and efficiency. It might, however, ignore elements like risk.</w:t>
      </w:r>
      <w:r w:rsidRPr="00565E33">
        <w:t xml:space="preserve"> </w:t>
      </w:r>
      <w:r w:rsidRPr="00565E33">
        <w:rPr>
          <w:rFonts w:ascii="Arial" w:hAnsi="Arial" w:cs="Arial"/>
          <w:color w:val="000000" w:themeColor="text1"/>
          <w:sz w:val="22"/>
          <w:szCs w:val="22"/>
        </w:rPr>
        <w:t>Project A's lower ARR of roughly 25.29% can highlight a more conservative approach, potentially offering stability and long-term sustainability, but it may miss out on higher returns and competitiveness. As we can see on previous Payback calculations.</w:t>
      </w:r>
    </w:p>
    <w:p w14:paraId="00B8B787" w14:textId="77777777" w:rsidR="00F60350" w:rsidRPr="00565E33" w:rsidRDefault="00F60350" w:rsidP="00646FF2">
      <w:pPr>
        <w:tabs>
          <w:tab w:val="left" w:pos="2520"/>
        </w:tabs>
        <w:spacing w:line="360" w:lineRule="auto"/>
        <w:rPr>
          <w:rFonts w:ascii="Arial" w:hAnsi="Arial" w:cs="Arial"/>
          <w:color w:val="000000" w:themeColor="text1"/>
          <w:sz w:val="22"/>
          <w:szCs w:val="22"/>
        </w:rPr>
      </w:pPr>
    </w:p>
    <w:p w14:paraId="260B5F8F" w14:textId="556BD53F" w:rsidR="007D1743" w:rsidRPr="00E320FF" w:rsidRDefault="007D1743" w:rsidP="007D1743">
      <w:pPr>
        <w:pStyle w:val="NormalWeb"/>
        <w:rPr>
          <w:rFonts w:ascii="Arial" w:hAnsi="Arial" w:cs="Arial"/>
          <w:sz w:val="22"/>
          <w:szCs w:val="22"/>
        </w:rPr>
      </w:pPr>
      <w:r w:rsidRPr="00FB7FBF">
        <w:rPr>
          <w:rFonts w:ascii="ArialMT" w:hAnsi="ArialMT"/>
          <w:b/>
          <w:bCs/>
          <w:sz w:val="22"/>
          <w:szCs w:val="22"/>
        </w:rPr>
        <w:t xml:space="preserve">Net Present Value (NPV) </w:t>
      </w:r>
      <w:r w:rsidR="00E320FF">
        <w:rPr>
          <w:rFonts w:ascii="Arial" w:hAnsi="Arial" w:cs="Arial"/>
          <w:sz w:val="22"/>
          <w:szCs w:val="22"/>
        </w:rPr>
        <w:t xml:space="preserve">The discount rate (cost of capital) is </w:t>
      </w:r>
      <w:proofErr w:type="gramStart"/>
      <w:r w:rsidR="00E320FF" w:rsidRPr="00ED4D26">
        <w:rPr>
          <w:rFonts w:ascii="Arial" w:hAnsi="Arial" w:cs="Arial"/>
          <w:b/>
          <w:bCs/>
          <w:sz w:val="22"/>
          <w:szCs w:val="22"/>
        </w:rPr>
        <w:t>0.75%</w:t>
      </w:r>
      <w:proofErr w:type="gramEnd"/>
      <w:r w:rsidR="00E320FF">
        <w:rPr>
          <w:rFonts w:ascii="Arial" w:hAnsi="Arial" w:cs="Arial"/>
          <w:sz w:val="22"/>
          <w:szCs w:val="22"/>
        </w:rPr>
        <w:t xml:space="preserve"> </w:t>
      </w:r>
    </w:p>
    <w:p w14:paraId="413DFF18" w14:textId="06DDB52E" w:rsidR="00B45A91" w:rsidRDefault="00F52C89" w:rsidP="00B45A91">
      <w:pPr>
        <w:pStyle w:val="NormalWeb"/>
        <w:spacing w:line="360" w:lineRule="auto"/>
        <w:rPr>
          <w:rFonts w:ascii="Arial" w:hAnsi="Arial" w:cs="Arial"/>
          <w:sz w:val="22"/>
          <w:szCs w:val="22"/>
        </w:rPr>
      </w:pPr>
      <w:r>
        <w:rPr>
          <w:rFonts w:ascii="Arial" w:hAnsi="Arial" w:cs="Arial"/>
          <w:sz w:val="22"/>
          <w:szCs w:val="22"/>
        </w:rPr>
        <w:t xml:space="preserve"> </w:t>
      </w:r>
      <w:r w:rsidR="00083413" w:rsidRPr="00083413">
        <w:rPr>
          <w:rFonts w:ascii="Arial" w:hAnsi="Arial" w:cs="Arial"/>
          <w:sz w:val="22"/>
          <w:szCs w:val="22"/>
        </w:rPr>
        <w:t xml:space="preserve">NPV determines the present value of all future cash flows produced by a project or investment and applies a predetermined discount rate to bring the value back to the present. If the net present value (NPV) is positive, it means that there will be more cash inflows than outflows from the investment, meaning a profit. On the other hand, since the present value of the money taken out is higher than the present value of the cash inflows, a negative net present value (NPV) indicates that the investment may not be successful. </w:t>
      </w:r>
      <w:r>
        <w:rPr>
          <w:rFonts w:ascii="Arial" w:hAnsi="Arial" w:cs="Arial"/>
          <w:sz w:val="22"/>
          <w:szCs w:val="22"/>
        </w:rPr>
        <w:t xml:space="preserve">(Fernando, J., 2024) </w:t>
      </w:r>
    </w:p>
    <w:p w14:paraId="7670C3E0" w14:textId="77777777" w:rsidR="00083413" w:rsidRDefault="00083413" w:rsidP="00B45A91">
      <w:pPr>
        <w:pStyle w:val="NormalWeb"/>
        <w:spacing w:line="360" w:lineRule="auto"/>
        <w:rPr>
          <w:rFonts w:ascii="Arial" w:hAnsi="Arial" w:cs="Arial"/>
          <w:sz w:val="22"/>
          <w:szCs w:val="22"/>
        </w:rPr>
      </w:pPr>
    </w:p>
    <w:p w14:paraId="1EB80E2B" w14:textId="77777777" w:rsidR="00083413" w:rsidRDefault="00083413" w:rsidP="00B45A91">
      <w:pPr>
        <w:pStyle w:val="NormalWeb"/>
        <w:spacing w:line="360" w:lineRule="auto"/>
        <w:rPr>
          <w:rFonts w:ascii="Arial" w:hAnsi="Arial" w:cs="Arial"/>
          <w:sz w:val="22"/>
          <w:szCs w:val="22"/>
        </w:rPr>
      </w:pPr>
    </w:p>
    <w:p w14:paraId="3AF76448" w14:textId="77777777" w:rsidR="00083413" w:rsidRDefault="00083413" w:rsidP="00B45A91">
      <w:pPr>
        <w:pStyle w:val="NormalWeb"/>
        <w:spacing w:line="360" w:lineRule="auto"/>
        <w:rPr>
          <w:rFonts w:ascii="Arial" w:hAnsi="Arial" w:cs="Arial"/>
          <w:sz w:val="22"/>
          <w:szCs w:val="22"/>
        </w:rPr>
      </w:pPr>
    </w:p>
    <w:p w14:paraId="0099F3FF" w14:textId="77777777" w:rsidR="00083413" w:rsidRDefault="00083413" w:rsidP="00B45A91">
      <w:pPr>
        <w:pStyle w:val="NormalWeb"/>
        <w:spacing w:line="360" w:lineRule="auto"/>
        <w:rPr>
          <w:rFonts w:ascii="Arial" w:hAnsi="Arial" w:cs="Arial"/>
          <w:sz w:val="22"/>
          <w:szCs w:val="22"/>
        </w:rPr>
      </w:pPr>
    </w:p>
    <w:p w14:paraId="6D1AF305" w14:textId="4D226EE8" w:rsidR="00F52C89" w:rsidRPr="00F52C89" w:rsidRDefault="00F52C89" w:rsidP="00B45A91">
      <w:pPr>
        <w:pStyle w:val="NormalWeb"/>
        <w:spacing w:line="360" w:lineRule="auto"/>
        <w:rPr>
          <w:rFonts w:ascii="Arial" w:hAnsi="Arial" w:cs="Arial"/>
          <w:b/>
          <w:bCs/>
          <w:sz w:val="22"/>
          <w:szCs w:val="22"/>
        </w:rPr>
      </w:pPr>
      <w:r w:rsidRPr="00F52C89">
        <w:rPr>
          <w:rFonts w:ascii="Arial" w:hAnsi="Arial" w:cs="Arial"/>
          <w:b/>
          <w:bCs/>
          <w:sz w:val="22"/>
          <w:szCs w:val="22"/>
        </w:rPr>
        <w:t xml:space="preserve">NPV Long-term Project Formula </w:t>
      </w:r>
    </w:p>
    <w:p w14:paraId="37B73C1A" w14:textId="0A455F05" w:rsidR="00ED4D26" w:rsidRDefault="00200A65" w:rsidP="00200A65">
      <w:pPr>
        <w:pStyle w:val="Caption"/>
        <w:rPr>
          <w:rFonts w:ascii="Arial Narrow" w:hAnsi="Arial Narrow" w:cs="Arial"/>
          <w:i w:val="0"/>
          <w:iCs w:val="0"/>
          <w:sz w:val="22"/>
          <w:szCs w:val="22"/>
        </w:rPr>
      </w:pPr>
      <w:bookmarkStart w:id="21" w:name="_Toc164849552"/>
      <w:r>
        <w:t xml:space="preserve">Table </w:t>
      </w:r>
      <w:r>
        <w:fldChar w:fldCharType="begin"/>
      </w:r>
      <w:r>
        <w:instrText xml:space="preserve"> SEQ Table \* ARABIC </w:instrText>
      </w:r>
      <w:r>
        <w:fldChar w:fldCharType="separate"/>
      </w:r>
      <w:r w:rsidR="00083413">
        <w:rPr>
          <w:noProof/>
        </w:rPr>
        <w:t>13</w:t>
      </w:r>
      <w:r>
        <w:fldChar w:fldCharType="end"/>
      </w:r>
      <w:r w:rsidRPr="00207502">
        <w:t>NPV Formula for long-term project (source Coker, D., 2024)</w:t>
      </w:r>
      <w:bookmarkEnd w:id="21"/>
    </w:p>
    <w:p w14:paraId="7425A498" w14:textId="5FEB0251" w:rsidR="00E320FF" w:rsidRPr="00E320FF" w:rsidRDefault="00E320FF" w:rsidP="00E320FF">
      <w:pPr>
        <w:pStyle w:val="NormalWeb"/>
        <w:spacing w:line="360" w:lineRule="auto"/>
        <w:rPr>
          <w:rFonts w:ascii="Arial Narrow" w:hAnsi="Arial Narrow" w:cs="Arial"/>
          <w:i/>
          <w:iCs/>
          <w:sz w:val="22"/>
          <w:szCs w:val="22"/>
        </w:rPr>
      </w:pPr>
      <w:r>
        <w:rPr>
          <w:rFonts w:ascii="Arial Narrow" w:hAnsi="Arial Narrow" w:cs="Arial"/>
          <w:i/>
          <w:iCs/>
          <w:noProof/>
          <w:sz w:val="22"/>
          <w:szCs w:val="22"/>
          <w14:ligatures w14:val="standardContextual"/>
        </w:rPr>
        <w:lastRenderedPageBreak/>
        <w:drawing>
          <wp:inline distT="0" distB="0" distL="0" distR="0" wp14:anchorId="499D267D" wp14:editId="7363B8C2">
            <wp:extent cx="5012267" cy="1409065"/>
            <wp:effectExtent l="0" t="0" r="4445" b="635"/>
            <wp:docPr id="9313162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1316215" name="Picture 931316215"/>
                    <pic:cNvPicPr/>
                  </pic:nvPicPr>
                  <pic:blipFill>
                    <a:blip r:embed="rId9" cstate="print">
                      <a:extLst>
                        <a:ext uri="{28A0092B-C50C-407E-A947-70E740481C1C}">
                          <a14:useLocalDpi xmlns:a14="http://schemas.microsoft.com/office/drawing/2010/main" val="0"/>
                        </a:ext>
                      </a:extLst>
                    </a:blip>
                    <a:stretch>
                      <a:fillRect/>
                    </a:stretch>
                  </pic:blipFill>
                  <pic:spPr>
                    <a:xfrm>
                      <a:off x="0" y="0"/>
                      <a:ext cx="5012267" cy="1409065"/>
                    </a:xfrm>
                    <a:prstGeom prst="rect">
                      <a:avLst/>
                    </a:prstGeom>
                  </pic:spPr>
                </pic:pic>
              </a:graphicData>
            </a:graphic>
          </wp:inline>
        </w:drawing>
      </w:r>
    </w:p>
    <w:p w14:paraId="1305B270" w14:textId="24E0B17F" w:rsidR="00F52C89" w:rsidRDefault="00ED4D26" w:rsidP="00F52C89">
      <w:pPr>
        <w:pStyle w:val="NormalWeb"/>
        <w:rPr>
          <w:rFonts w:ascii="Arial" w:hAnsi="Arial" w:cs="Arial"/>
          <w:b/>
          <w:bCs/>
          <w:sz w:val="22"/>
          <w:szCs w:val="22"/>
        </w:rPr>
      </w:pPr>
      <w:r w:rsidRPr="00ED4D26">
        <w:rPr>
          <w:rFonts w:ascii="Arial" w:hAnsi="Arial" w:cs="Arial"/>
          <w:b/>
          <w:bCs/>
          <w:sz w:val="22"/>
          <w:szCs w:val="22"/>
        </w:rPr>
        <w:t>Project A</w:t>
      </w:r>
    </w:p>
    <w:p w14:paraId="084FA7EC" w14:textId="256CC444" w:rsidR="00187ED7" w:rsidRDefault="00200A65" w:rsidP="00200A65">
      <w:pPr>
        <w:pStyle w:val="Caption"/>
        <w:rPr>
          <w:rFonts w:ascii="Arial" w:hAnsi="Arial" w:cs="Arial"/>
          <w:b/>
          <w:bCs/>
          <w:sz w:val="22"/>
          <w:szCs w:val="22"/>
        </w:rPr>
      </w:pPr>
      <w:bookmarkStart w:id="22" w:name="_Toc164849553"/>
      <w:r>
        <w:t xml:space="preserve">Table </w:t>
      </w:r>
      <w:r>
        <w:fldChar w:fldCharType="begin"/>
      </w:r>
      <w:r>
        <w:instrText xml:space="preserve"> SEQ Table \* ARABIC </w:instrText>
      </w:r>
      <w:r>
        <w:fldChar w:fldCharType="separate"/>
      </w:r>
      <w:r w:rsidR="00083413">
        <w:rPr>
          <w:noProof/>
        </w:rPr>
        <w:t>14</w:t>
      </w:r>
      <w:r>
        <w:fldChar w:fldCharType="end"/>
      </w:r>
      <w:r w:rsidRPr="00FD35FF">
        <w:t>NPV Project A (Source: Author)</w:t>
      </w:r>
      <w:bookmarkEnd w:id="22"/>
    </w:p>
    <w:tbl>
      <w:tblPr>
        <w:tblW w:w="7940" w:type="dxa"/>
        <w:tblLook w:val="04A0" w:firstRow="1" w:lastRow="0" w:firstColumn="1" w:lastColumn="0" w:noHBand="0" w:noVBand="1"/>
      </w:tblPr>
      <w:tblGrid>
        <w:gridCol w:w="642"/>
        <w:gridCol w:w="2020"/>
        <w:gridCol w:w="2780"/>
        <w:gridCol w:w="2580"/>
      </w:tblGrid>
      <w:tr w:rsidR="002164CA" w14:paraId="40FFC699" w14:textId="77777777" w:rsidTr="002164CA">
        <w:trPr>
          <w:trHeight w:val="320"/>
        </w:trPr>
        <w:tc>
          <w:tcPr>
            <w:tcW w:w="560" w:type="dxa"/>
            <w:tcBorders>
              <w:top w:val="nil"/>
              <w:left w:val="nil"/>
              <w:bottom w:val="nil"/>
              <w:right w:val="nil"/>
            </w:tcBorders>
            <w:shd w:val="clear" w:color="000000" w:fill="DAF2D0"/>
            <w:noWrap/>
            <w:vAlign w:val="bottom"/>
            <w:hideMark/>
          </w:tcPr>
          <w:p w14:paraId="26D6DA7C" w14:textId="77777777" w:rsidR="002164CA" w:rsidRDefault="002164CA">
            <w:pPr>
              <w:rPr>
                <w:rFonts w:ascii="Aptos Narrow" w:hAnsi="Aptos Narrow"/>
                <w:color w:val="000000"/>
              </w:rPr>
            </w:pPr>
            <w:r>
              <w:rPr>
                <w:rFonts w:ascii="Aptos Narrow" w:hAnsi="Aptos Narrow"/>
                <w:color w:val="000000"/>
              </w:rPr>
              <w:t>Year</w:t>
            </w:r>
          </w:p>
        </w:tc>
        <w:tc>
          <w:tcPr>
            <w:tcW w:w="2020" w:type="dxa"/>
            <w:tcBorders>
              <w:top w:val="nil"/>
              <w:left w:val="nil"/>
              <w:bottom w:val="nil"/>
              <w:right w:val="nil"/>
            </w:tcBorders>
            <w:shd w:val="clear" w:color="000000" w:fill="DAF2D0"/>
            <w:noWrap/>
            <w:vAlign w:val="bottom"/>
            <w:hideMark/>
          </w:tcPr>
          <w:p w14:paraId="1B889A72" w14:textId="77777777" w:rsidR="002164CA" w:rsidRDefault="002164CA">
            <w:pPr>
              <w:rPr>
                <w:rFonts w:ascii="Aptos Narrow" w:hAnsi="Aptos Narrow"/>
                <w:color w:val="000000"/>
              </w:rPr>
            </w:pPr>
            <w:r>
              <w:rPr>
                <w:rFonts w:ascii="Aptos Narrow" w:hAnsi="Aptos Narrow"/>
                <w:color w:val="000000"/>
              </w:rPr>
              <w:t>Project A</w:t>
            </w:r>
          </w:p>
        </w:tc>
        <w:tc>
          <w:tcPr>
            <w:tcW w:w="2780" w:type="dxa"/>
            <w:tcBorders>
              <w:top w:val="nil"/>
              <w:left w:val="nil"/>
              <w:bottom w:val="nil"/>
              <w:right w:val="nil"/>
            </w:tcBorders>
            <w:shd w:val="clear" w:color="000000" w:fill="DAF2D0"/>
            <w:noWrap/>
            <w:vAlign w:val="bottom"/>
            <w:hideMark/>
          </w:tcPr>
          <w:p w14:paraId="6299C142" w14:textId="77777777" w:rsidR="002164CA" w:rsidRDefault="002164CA">
            <w:pPr>
              <w:rPr>
                <w:rFonts w:ascii="Aptos Narrow" w:hAnsi="Aptos Narrow"/>
                <w:color w:val="000000"/>
              </w:rPr>
            </w:pPr>
            <w:r>
              <w:rPr>
                <w:rFonts w:ascii="Aptos Narrow" w:hAnsi="Aptos Narrow"/>
                <w:color w:val="000000"/>
              </w:rPr>
              <w:t>Discount factor 0.75%</w:t>
            </w:r>
          </w:p>
        </w:tc>
        <w:tc>
          <w:tcPr>
            <w:tcW w:w="2580" w:type="dxa"/>
            <w:tcBorders>
              <w:top w:val="nil"/>
              <w:left w:val="nil"/>
              <w:bottom w:val="nil"/>
              <w:right w:val="nil"/>
            </w:tcBorders>
            <w:shd w:val="clear" w:color="000000" w:fill="DAF2D0"/>
            <w:noWrap/>
            <w:vAlign w:val="bottom"/>
            <w:hideMark/>
          </w:tcPr>
          <w:p w14:paraId="3F97E382" w14:textId="77777777" w:rsidR="002164CA" w:rsidRDefault="002164CA">
            <w:pPr>
              <w:rPr>
                <w:rFonts w:ascii="Aptos Narrow" w:hAnsi="Aptos Narrow"/>
                <w:color w:val="000000"/>
              </w:rPr>
            </w:pPr>
            <w:r>
              <w:rPr>
                <w:rFonts w:ascii="Aptos Narrow" w:hAnsi="Aptos Narrow"/>
                <w:color w:val="000000"/>
              </w:rPr>
              <w:t>NP</w:t>
            </w:r>
          </w:p>
        </w:tc>
      </w:tr>
      <w:tr w:rsidR="002164CA" w14:paraId="436D48B9" w14:textId="77777777" w:rsidTr="002164CA">
        <w:trPr>
          <w:trHeight w:val="320"/>
        </w:trPr>
        <w:tc>
          <w:tcPr>
            <w:tcW w:w="560" w:type="dxa"/>
            <w:tcBorders>
              <w:top w:val="nil"/>
              <w:left w:val="nil"/>
              <w:bottom w:val="nil"/>
              <w:right w:val="nil"/>
            </w:tcBorders>
            <w:shd w:val="clear" w:color="000000" w:fill="DAF2D0"/>
            <w:noWrap/>
            <w:vAlign w:val="bottom"/>
            <w:hideMark/>
          </w:tcPr>
          <w:p w14:paraId="2F72A34A" w14:textId="77777777" w:rsidR="002164CA" w:rsidRDefault="002164CA">
            <w:pPr>
              <w:jc w:val="right"/>
              <w:rPr>
                <w:rFonts w:ascii="Aptos Narrow" w:hAnsi="Aptos Narrow"/>
                <w:color w:val="000000"/>
              </w:rPr>
            </w:pPr>
            <w:r>
              <w:rPr>
                <w:rFonts w:ascii="Aptos Narrow" w:hAnsi="Aptos Narrow"/>
                <w:color w:val="000000"/>
              </w:rPr>
              <w:t>0</w:t>
            </w:r>
          </w:p>
        </w:tc>
        <w:tc>
          <w:tcPr>
            <w:tcW w:w="2020" w:type="dxa"/>
            <w:tcBorders>
              <w:top w:val="nil"/>
              <w:left w:val="nil"/>
              <w:bottom w:val="nil"/>
              <w:right w:val="nil"/>
            </w:tcBorders>
            <w:shd w:val="clear" w:color="000000" w:fill="DAF2D0"/>
            <w:noWrap/>
            <w:vAlign w:val="bottom"/>
            <w:hideMark/>
          </w:tcPr>
          <w:p w14:paraId="5BEF2134" w14:textId="77777777" w:rsidR="002164CA" w:rsidRDefault="002164CA">
            <w:pPr>
              <w:jc w:val="right"/>
              <w:rPr>
                <w:rFonts w:ascii="Aptos Narrow" w:hAnsi="Aptos Narrow"/>
                <w:color w:val="000000"/>
              </w:rPr>
            </w:pPr>
            <w:r>
              <w:rPr>
                <w:rFonts w:ascii="Aptos Narrow" w:hAnsi="Aptos Narrow"/>
                <w:color w:val="000000"/>
              </w:rPr>
              <w:t>-5000</w:t>
            </w:r>
          </w:p>
        </w:tc>
        <w:tc>
          <w:tcPr>
            <w:tcW w:w="2780" w:type="dxa"/>
            <w:tcBorders>
              <w:top w:val="nil"/>
              <w:left w:val="nil"/>
              <w:bottom w:val="nil"/>
              <w:right w:val="nil"/>
            </w:tcBorders>
            <w:shd w:val="clear" w:color="000000" w:fill="DAF2D0"/>
            <w:noWrap/>
            <w:vAlign w:val="bottom"/>
            <w:hideMark/>
          </w:tcPr>
          <w:p w14:paraId="7FD9A120" w14:textId="77777777" w:rsidR="002164CA" w:rsidRDefault="002164CA">
            <w:pPr>
              <w:jc w:val="right"/>
              <w:rPr>
                <w:rFonts w:ascii="Aptos Narrow" w:hAnsi="Aptos Narrow"/>
                <w:color w:val="000000"/>
              </w:rPr>
            </w:pPr>
            <w:r>
              <w:rPr>
                <w:rFonts w:ascii="Aptos Narrow" w:hAnsi="Aptos Narrow"/>
                <w:color w:val="000000"/>
              </w:rPr>
              <w:t>1</w:t>
            </w:r>
          </w:p>
        </w:tc>
        <w:tc>
          <w:tcPr>
            <w:tcW w:w="2580" w:type="dxa"/>
            <w:tcBorders>
              <w:top w:val="nil"/>
              <w:left w:val="nil"/>
              <w:bottom w:val="nil"/>
              <w:right w:val="nil"/>
            </w:tcBorders>
            <w:shd w:val="clear" w:color="000000" w:fill="DAF2D0"/>
            <w:noWrap/>
            <w:vAlign w:val="bottom"/>
            <w:hideMark/>
          </w:tcPr>
          <w:p w14:paraId="5B0755A4" w14:textId="77777777" w:rsidR="002164CA" w:rsidRDefault="002164CA">
            <w:pPr>
              <w:jc w:val="right"/>
              <w:rPr>
                <w:rFonts w:ascii="Aptos Narrow" w:hAnsi="Aptos Narrow"/>
                <w:color w:val="000000"/>
              </w:rPr>
            </w:pPr>
            <w:r>
              <w:rPr>
                <w:rFonts w:ascii="Aptos Narrow" w:hAnsi="Aptos Narrow"/>
                <w:color w:val="000000"/>
              </w:rPr>
              <w:t>-5000</w:t>
            </w:r>
          </w:p>
        </w:tc>
      </w:tr>
      <w:tr w:rsidR="002164CA" w14:paraId="0882452D" w14:textId="77777777" w:rsidTr="002164CA">
        <w:trPr>
          <w:trHeight w:val="320"/>
        </w:trPr>
        <w:tc>
          <w:tcPr>
            <w:tcW w:w="560" w:type="dxa"/>
            <w:tcBorders>
              <w:top w:val="nil"/>
              <w:left w:val="nil"/>
              <w:bottom w:val="nil"/>
              <w:right w:val="nil"/>
            </w:tcBorders>
            <w:shd w:val="clear" w:color="000000" w:fill="DAF2D0"/>
            <w:noWrap/>
            <w:vAlign w:val="bottom"/>
            <w:hideMark/>
          </w:tcPr>
          <w:p w14:paraId="528BBA5F" w14:textId="77777777" w:rsidR="002164CA" w:rsidRDefault="002164CA">
            <w:pPr>
              <w:jc w:val="right"/>
              <w:rPr>
                <w:rFonts w:ascii="Aptos Narrow" w:hAnsi="Aptos Narrow"/>
                <w:color w:val="000000"/>
              </w:rPr>
            </w:pPr>
            <w:r>
              <w:rPr>
                <w:rFonts w:ascii="Aptos Narrow" w:hAnsi="Aptos Narrow"/>
                <w:color w:val="000000"/>
              </w:rPr>
              <w:t>1</w:t>
            </w:r>
          </w:p>
        </w:tc>
        <w:tc>
          <w:tcPr>
            <w:tcW w:w="2020" w:type="dxa"/>
            <w:tcBorders>
              <w:top w:val="nil"/>
              <w:left w:val="nil"/>
              <w:bottom w:val="nil"/>
              <w:right w:val="nil"/>
            </w:tcBorders>
            <w:shd w:val="clear" w:color="000000" w:fill="DAF2D0"/>
            <w:noWrap/>
            <w:vAlign w:val="bottom"/>
            <w:hideMark/>
          </w:tcPr>
          <w:p w14:paraId="5579AE32" w14:textId="77777777" w:rsidR="002164CA" w:rsidRDefault="002164CA">
            <w:pPr>
              <w:jc w:val="right"/>
              <w:rPr>
                <w:rFonts w:ascii="Aptos Narrow" w:hAnsi="Aptos Narrow"/>
                <w:color w:val="000000"/>
              </w:rPr>
            </w:pPr>
            <w:r>
              <w:rPr>
                <w:rFonts w:ascii="Aptos Narrow" w:hAnsi="Aptos Narrow"/>
                <w:color w:val="000000"/>
              </w:rPr>
              <w:t>2500</w:t>
            </w:r>
          </w:p>
        </w:tc>
        <w:tc>
          <w:tcPr>
            <w:tcW w:w="2780" w:type="dxa"/>
            <w:tcBorders>
              <w:top w:val="nil"/>
              <w:left w:val="nil"/>
              <w:bottom w:val="nil"/>
              <w:right w:val="nil"/>
            </w:tcBorders>
            <w:shd w:val="clear" w:color="000000" w:fill="DAF2D0"/>
            <w:noWrap/>
            <w:vAlign w:val="bottom"/>
            <w:hideMark/>
          </w:tcPr>
          <w:p w14:paraId="381C8C48" w14:textId="77777777" w:rsidR="002164CA" w:rsidRDefault="002164CA">
            <w:pPr>
              <w:jc w:val="right"/>
              <w:rPr>
                <w:rFonts w:ascii="Aptos Narrow" w:hAnsi="Aptos Narrow"/>
                <w:color w:val="000000"/>
              </w:rPr>
            </w:pPr>
            <w:r>
              <w:rPr>
                <w:rFonts w:ascii="Aptos Narrow" w:hAnsi="Aptos Narrow"/>
                <w:color w:val="000000"/>
              </w:rPr>
              <w:t>0.993555831</w:t>
            </w:r>
          </w:p>
        </w:tc>
        <w:tc>
          <w:tcPr>
            <w:tcW w:w="2580" w:type="dxa"/>
            <w:tcBorders>
              <w:top w:val="nil"/>
              <w:left w:val="nil"/>
              <w:bottom w:val="nil"/>
              <w:right w:val="nil"/>
            </w:tcBorders>
            <w:shd w:val="clear" w:color="000000" w:fill="DAF2D0"/>
            <w:noWrap/>
            <w:vAlign w:val="bottom"/>
            <w:hideMark/>
          </w:tcPr>
          <w:p w14:paraId="3A3E7103" w14:textId="77777777" w:rsidR="002164CA" w:rsidRDefault="002164CA">
            <w:pPr>
              <w:jc w:val="right"/>
              <w:rPr>
                <w:rFonts w:ascii="Aptos Narrow" w:hAnsi="Aptos Narrow"/>
                <w:color w:val="000000"/>
              </w:rPr>
            </w:pPr>
            <w:r>
              <w:rPr>
                <w:rFonts w:ascii="Aptos Narrow" w:hAnsi="Aptos Narrow"/>
                <w:color w:val="000000"/>
              </w:rPr>
              <w:t>2483.89</w:t>
            </w:r>
          </w:p>
        </w:tc>
      </w:tr>
      <w:tr w:rsidR="002164CA" w14:paraId="2F319942" w14:textId="77777777" w:rsidTr="002164CA">
        <w:trPr>
          <w:trHeight w:val="320"/>
        </w:trPr>
        <w:tc>
          <w:tcPr>
            <w:tcW w:w="560" w:type="dxa"/>
            <w:tcBorders>
              <w:top w:val="nil"/>
              <w:left w:val="nil"/>
              <w:bottom w:val="nil"/>
              <w:right w:val="nil"/>
            </w:tcBorders>
            <w:shd w:val="clear" w:color="000000" w:fill="DAF2D0"/>
            <w:noWrap/>
            <w:vAlign w:val="bottom"/>
            <w:hideMark/>
          </w:tcPr>
          <w:p w14:paraId="08A494F6" w14:textId="77777777" w:rsidR="002164CA" w:rsidRDefault="002164CA">
            <w:pPr>
              <w:jc w:val="right"/>
              <w:rPr>
                <w:rFonts w:ascii="Aptos Narrow" w:hAnsi="Aptos Narrow"/>
                <w:color w:val="000000"/>
              </w:rPr>
            </w:pPr>
            <w:r>
              <w:rPr>
                <w:rFonts w:ascii="Aptos Narrow" w:hAnsi="Aptos Narrow"/>
                <w:color w:val="000000"/>
              </w:rPr>
              <w:t>2</w:t>
            </w:r>
          </w:p>
        </w:tc>
        <w:tc>
          <w:tcPr>
            <w:tcW w:w="2020" w:type="dxa"/>
            <w:tcBorders>
              <w:top w:val="nil"/>
              <w:left w:val="nil"/>
              <w:bottom w:val="nil"/>
              <w:right w:val="nil"/>
            </w:tcBorders>
            <w:shd w:val="clear" w:color="000000" w:fill="DAF2D0"/>
            <w:noWrap/>
            <w:vAlign w:val="bottom"/>
            <w:hideMark/>
          </w:tcPr>
          <w:p w14:paraId="2CF34B07" w14:textId="77777777" w:rsidR="002164CA" w:rsidRDefault="002164CA">
            <w:pPr>
              <w:jc w:val="right"/>
              <w:rPr>
                <w:rFonts w:ascii="Aptos Narrow" w:hAnsi="Aptos Narrow"/>
                <w:color w:val="000000"/>
              </w:rPr>
            </w:pPr>
            <w:r>
              <w:rPr>
                <w:rFonts w:ascii="Aptos Narrow" w:hAnsi="Aptos Narrow"/>
                <w:color w:val="000000"/>
              </w:rPr>
              <w:t>2000</w:t>
            </w:r>
          </w:p>
        </w:tc>
        <w:tc>
          <w:tcPr>
            <w:tcW w:w="2780" w:type="dxa"/>
            <w:tcBorders>
              <w:top w:val="nil"/>
              <w:left w:val="nil"/>
              <w:bottom w:val="nil"/>
              <w:right w:val="nil"/>
            </w:tcBorders>
            <w:shd w:val="clear" w:color="000000" w:fill="DAF2D0"/>
            <w:noWrap/>
            <w:vAlign w:val="bottom"/>
            <w:hideMark/>
          </w:tcPr>
          <w:p w14:paraId="0C922516" w14:textId="77777777" w:rsidR="002164CA" w:rsidRDefault="002164CA">
            <w:pPr>
              <w:jc w:val="right"/>
              <w:rPr>
                <w:rFonts w:ascii="Aptos Narrow" w:hAnsi="Aptos Narrow"/>
                <w:color w:val="000000"/>
              </w:rPr>
            </w:pPr>
            <w:r>
              <w:rPr>
                <w:rFonts w:ascii="Aptos Narrow" w:hAnsi="Aptos Narrow"/>
                <w:color w:val="000000"/>
              </w:rPr>
              <w:t>0.985167078</w:t>
            </w:r>
          </w:p>
        </w:tc>
        <w:tc>
          <w:tcPr>
            <w:tcW w:w="2580" w:type="dxa"/>
            <w:tcBorders>
              <w:top w:val="nil"/>
              <w:left w:val="nil"/>
              <w:bottom w:val="nil"/>
              <w:right w:val="nil"/>
            </w:tcBorders>
            <w:shd w:val="clear" w:color="000000" w:fill="DAF2D0"/>
            <w:noWrap/>
            <w:vAlign w:val="bottom"/>
            <w:hideMark/>
          </w:tcPr>
          <w:p w14:paraId="5DA572CA" w14:textId="77777777" w:rsidR="002164CA" w:rsidRDefault="002164CA">
            <w:pPr>
              <w:jc w:val="right"/>
              <w:rPr>
                <w:rFonts w:ascii="Aptos Narrow" w:hAnsi="Aptos Narrow"/>
                <w:color w:val="000000"/>
              </w:rPr>
            </w:pPr>
            <w:r>
              <w:rPr>
                <w:rFonts w:ascii="Aptos Narrow" w:hAnsi="Aptos Narrow"/>
                <w:color w:val="000000"/>
              </w:rPr>
              <w:t>1970.33</w:t>
            </w:r>
          </w:p>
        </w:tc>
      </w:tr>
      <w:tr w:rsidR="002164CA" w14:paraId="3237C8D4" w14:textId="77777777" w:rsidTr="002164CA">
        <w:trPr>
          <w:trHeight w:val="320"/>
        </w:trPr>
        <w:tc>
          <w:tcPr>
            <w:tcW w:w="560" w:type="dxa"/>
            <w:tcBorders>
              <w:top w:val="nil"/>
              <w:left w:val="nil"/>
              <w:bottom w:val="nil"/>
              <w:right w:val="nil"/>
            </w:tcBorders>
            <w:shd w:val="clear" w:color="000000" w:fill="DAF2D0"/>
            <w:noWrap/>
            <w:vAlign w:val="bottom"/>
            <w:hideMark/>
          </w:tcPr>
          <w:p w14:paraId="1CD145B5" w14:textId="77777777" w:rsidR="002164CA" w:rsidRDefault="002164CA">
            <w:pPr>
              <w:jc w:val="right"/>
              <w:rPr>
                <w:rFonts w:ascii="Aptos Narrow" w:hAnsi="Aptos Narrow"/>
                <w:color w:val="000000"/>
              </w:rPr>
            </w:pPr>
            <w:r>
              <w:rPr>
                <w:rFonts w:ascii="Aptos Narrow" w:hAnsi="Aptos Narrow"/>
                <w:color w:val="000000"/>
              </w:rPr>
              <w:t>3</w:t>
            </w:r>
          </w:p>
        </w:tc>
        <w:tc>
          <w:tcPr>
            <w:tcW w:w="2020" w:type="dxa"/>
            <w:tcBorders>
              <w:top w:val="nil"/>
              <w:left w:val="nil"/>
              <w:bottom w:val="nil"/>
              <w:right w:val="nil"/>
            </w:tcBorders>
            <w:shd w:val="clear" w:color="000000" w:fill="DAF2D0"/>
            <w:noWrap/>
            <w:vAlign w:val="bottom"/>
            <w:hideMark/>
          </w:tcPr>
          <w:p w14:paraId="236BE43B" w14:textId="77777777" w:rsidR="002164CA" w:rsidRDefault="002164CA">
            <w:pPr>
              <w:jc w:val="right"/>
              <w:rPr>
                <w:rFonts w:ascii="Aptos Narrow" w:hAnsi="Aptos Narrow"/>
                <w:color w:val="000000"/>
              </w:rPr>
            </w:pPr>
            <w:r>
              <w:rPr>
                <w:rFonts w:ascii="Aptos Narrow" w:hAnsi="Aptos Narrow"/>
                <w:color w:val="000000"/>
              </w:rPr>
              <w:t>1000</w:t>
            </w:r>
          </w:p>
        </w:tc>
        <w:tc>
          <w:tcPr>
            <w:tcW w:w="2780" w:type="dxa"/>
            <w:tcBorders>
              <w:top w:val="nil"/>
              <w:left w:val="nil"/>
              <w:bottom w:val="nil"/>
              <w:right w:val="nil"/>
            </w:tcBorders>
            <w:shd w:val="clear" w:color="000000" w:fill="DAF2D0"/>
            <w:noWrap/>
            <w:vAlign w:val="bottom"/>
            <w:hideMark/>
          </w:tcPr>
          <w:p w14:paraId="7D1F7D1A" w14:textId="77777777" w:rsidR="002164CA" w:rsidRDefault="002164CA">
            <w:pPr>
              <w:jc w:val="right"/>
              <w:rPr>
                <w:rFonts w:ascii="Aptos Narrow" w:hAnsi="Aptos Narrow"/>
                <w:color w:val="000000"/>
              </w:rPr>
            </w:pPr>
            <w:r>
              <w:rPr>
                <w:rFonts w:ascii="Aptos Narrow" w:hAnsi="Aptos Narrow"/>
                <w:color w:val="000000"/>
              </w:rPr>
              <w:t>0.977833328</w:t>
            </w:r>
          </w:p>
        </w:tc>
        <w:tc>
          <w:tcPr>
            <w:tcW w:w="2580" w:type="dxa"/>
            <w:tcBorders>
              <w:top w:val="nil"/>
              <w:left w:val="nil"/>
              <w:bottom w:val="nil"/>
              <w:right w:val="nil"/>
            </w:tcBorders>
            <w:shd w:val="clear" w:color="000000" w:fill="DAF2D0"/>
            <w:noWrap/>
            <w:vAlign w:val="bottom"/>
            <w:hideMark/>
          </w:tcPr>
          <w:p w14:paraId="3C0F4E33" w14:textId="77777777" w:rsidR="002164CA" w:rsidRDefault="002164CA">
            <w:pPr>
              <w:jc w:val="right"/>
              <w:rPr>
                <w:rFonts w:ascii="Aptos Narrow" w:hAnsi="Aptos Narrow"/>
                <w:color w:val="000000"/>
              </w:rPr>
            </w:pPr>
            <w:r>
              <w:rPr>
                <w:rFonts w:ascii="Aptos Narrow" w:hAnsi="Aptos Narrow"/>
                <w:color w:val="000000"/>
              </w:rPr>
              <w:t>977.83</w:t>
            </w:r>
          </w:p>
        </w:tc>
      </w:tr>
      <w:tr w:rsidR="002164CA" w14:paraId="0366182E" w14:textId="77777777" w:rsidTr="002164CA">
        <w:trPr>
          <w:trHeight w:val="320"/>
        </w:trPr>
        <w:tc>
          <w:tcPr>
            <w:tcW w:w="560" w:type="dxa"/>
            <w:tcBorders>
              <w:top w:val="nil"/>
              <w:left w:val="nil"/>
              <w:bottom w:val="nil"/>
              <w:right w:val="nil"/>
            </w:tcBorders>
            <w:shd w:val="clear" w:color="000000" w:fill="DAF2D0"/>
            <w:noWrap/>
            <w:vAlign w:val="bottom"/>
            <w:hideMark/>
          </w:tcPr>
          <w:p w14:paraId="21203FBD" w14:textId="77777777" w:rsidR="002164CA" w:rsidRDefault="002164CA">
            <w:pPr>
              <w:jc w:val="right"/>
              <w:rPr>
                <w:rFonts w:ascii="Aptos Narrow" w:hAnsi="Aptos Narrow"/>
                <w:color w:val="000000"/>
              </w:rPr>
            </w:pPr>
            <w:r>
              <w:rPr>
                <w:rFonts w:ascii="Aptos Narrow" w:hAnsi="Aptos Narrow"/>
                <w:color w:val="000000"/>
              </w:rPr>
              <w:t>4</w:t>
            </w:r>
          </w:p>
        </w:tc>
        <w:tc>
          <w:tcPr>
            <w:tcW w:w="2020" w:type="dxa"/>
            <w:tcBorders>
              <w:top w:val="nil"/>
              <w:left w:val="nil"/>
              <w:bottom w:val="nil"/>
              <w:right w:val="nil"/>
            </w:tcBorders>
            <w:shd w:val="clear" w:color="000000" w:fill="DAF2D0"/>
            <w:noWrap/>
            <w:vAlign w:val="bottom"/>
            <w:hideMark/>
          </w:tcPr>
          <w:p w14:paraId="6D39FD84" w14:textId="77777777" w:rsidR="002164CA" w:rsidRDefault="002164CA">
            <w:pPr>
              <w:jc w:val="right"/>
              <w:rPr>
                <w:rFonts w:ascii="Aptos Narrow" w:hAnsi="Aptos Narrow"/>
                <w:color w:val="000000"/>
              </w:rPr>
            </w:pPr>
            <w:r>
              <w:rPr>
                <w:rFonts w:ascii="Aptos Narrow" w:hAnsi="Aptos Narrow"/>
                <w:color w:val="000000"/>
              </w:rPr>
              <w:t>-442</w:t>
            </w:r>
          </w:p>
        </w:tc>
        <w:tc>
          <w:tcPr>
            <w:tcW w:w="2780" w:type="dxa"/>
            <w:tcBorders>
              <w:top w:val="nil"/>
              <w:left w:val="nil"/>
              <w:bottom w:val="nil"/>
              <w:right w:val="nil"/>
            </w:tcBorders>
            <w:shd w:val="clear" w:color="000000" w:fill="DAF2D0"/>
            <w:noWrap/>
            <w:vAlign w:val="bottom"/>
            <w:hideMark/>
          </w:tcPr>
          <w:p w14:paraId="64BF9235" w14:textId="77777777" w:rsidR="002164CA" w:rsidRDefault="002164CA">
            <w:pPr>
              <w:jc w:val="right"/>
              <w:rPr>
                <w:rFonts w:ascii="Aptos Narrow" w:hAnsi="Aptos Narrow"/>
                <w:color w:val="000000"/>
              </w:rPr>
            </w:pPr>
            <w:r>
              <w:rPr>
                <w:rFonts w:ascii="Aptos Narrow" w:hAnsi="Aptos Narrow"/>
                <w:color w:val="000000"/>
              </w:rPr>
              <w:t>0.970554172</w:t>
            </w:r>
          </w:p>
        </w:tc>
        <w:tc>
          <w:tcPr>
            <w:tcW w:w="2580" w:type="dxa"/>
            <w:tcBorders>
              <w:top w:val="nil"/>
              <w:left w:val="nil"/>
              <w:bottom w:val="nil"/>
              <w:right w:val="nil"/>
            </w:tcBorders>
            <w:shd w:val="clear" w:color="000000" w:fill="DAF2D0"/>
            <w:noWrap/>
            <w:vAlign w:val="bottom"/>
            <w:hideMark/>
          </w:tcPr>
          <w:p w14:paraId="2458F2C4" w14:textId="77777777" w:rsidR="002164CA" w:rsidRDefault="002164CA">
            <w:pPr>
              <w:jc w:val="right"/>
              <w:rPr>
                <w:rFonts w:ascii="Aptos Narrow" w:hAnsi="Aptos Narrow"/>
                <w:color w:val="000000"/>
              </w:rPr>
            </w:pPr>
            <w:r>
              <w:rPr>
                <w:rFonts w:ascii="Aptos Narrow" w:hAnsi="Aptos Narrow"/>
                <w:color w:val="000000"/>
              </w:rPr>
              <w:t>-428.98</w:t>
            </w:r>
          </w:p>
        </w:tc>
      </w:tr>
      <w:tr w:rsidR="002164CA" w14:paraId="1F3494C2" w14:textId="77777777" w:rsidTr="002164CA">
        <w:trPr>
          <w:trHeight w:val="320"/>
        </w:trPr>
        <w:tc>
          <w:tcPr>
            <w:tcW w:w="560" w:type="dxa"/>
            <w:tcBorders>
              <w:top w:val="nil"/>
              <w:left w:val="nil"/>
              <w:bottom w:val="nil"/>
              <w:right w:val="nil"/>
            </w:tcBorders>
            <w:shd w:val="clear" w:color="000000" w:fill="DAF2D0"/>
            <w:noWrap/>
            <w:vAlign w:val="bottom"/>
            <w:hideMark/>
          </w:tcPr>
          <w:p w14:paraId="7EBA616B" w14:textId="77777777" w:rsidR="002164CA" w:rsidRDefault="002164CA">
            <w:pPr>
              <w:rPr>
                <w:rFonts w:ascii="Aptos Narrow" w:hAnsi="Aptos Narrow"/>
                <w:color w:val="000000"/>
              </w:rPr>
            </w:pPr>
            <w:r>
              <w:rPr>
                <w:rFonts w:ascii="Aptos Narrow" w:hAnsi="Aptos Narrow"/>
                <w:color w:val="000000"/>
              </w:rPr>
              <w:t> </w:t>
            </w:r>
          </w:p>
        </w:tc>
        <w:tc>
          <w:tcPr>
            <w:tcW w:w="2020" w:type="dxa"/>
            <w:tcBorders>
              <w:top w:val="nil"/>
              <w:left w:val="nil"/>
              <w:bottom w:val="nil"/>
              <w:right w:val="nil"/>
            </w:tcBorders>
            <w:shd w:val="clear" w:color="000000" w:fill="DAF2D0"/>
            <w:noWrap/>
            <w:vAlign w:val="bottom"/>
            <w:hideMark/>
          </w:tcPr>
          <w:p w14:paraId="4F38355D" w14:textId="77777777" w:rsidR="002164CA" w:rsidRDefault="002164CA">
            <w:pPr>
              <w:rPr>
                <w:rFonts w:ascii="Aptos Narrow" w:hAnsi="Aptos Narrow"/>
                <w:color w:val="000000"/>
              </w:rPr>
            </w:pPr>
            <w:r>
              <w:rPr>
                <w:rFonts w:ascii="Aptos Narrow" w:hAnsi="Aptos Narrow"/>
                <w:color w:val="000000"/>
              </w:rPr>
              <w:t> </w:t>
            </w:r>
          </w:p>
        </w:tc>
        <w:tc>
          <w:tcPr>
            <w:tcW w:w="2780" w:type="dxa"/>
            <w:tcBorders>
              <w:top w:val="nil"/>
              <w:left w:val="nil"/>
              <w:bottom w:val="nil"/>
              <w:right w:val="nil"/>
            </w:tcBorders>
            <w:shd w:val="clear" w:color="000000" w:fill="DAF2D0"/>
            <w:noWrap/>
            <w:vAlign w:val="bottom"/>
            <w:hideMark/>
          </w:tcPr>
          <w:p w14:paraId="3A64156A" w14:textId="77777777" w:rsidR="002164CA" w:rsidRDefault="002164CA">
            <w:pPr>
              <w:jc w:val="right"/>
              <w:rPr>
                <w:rFonts w:ascii="Aptos Narrow" w:hAnsi="Aptos Narrow"/>
                <w:color w:val="000000"/>
              </w:rPr>
            </w:pPr>
            <w:r>
              <w:rPr>
                <w:rFonts w:ascii="Aptos Narrow" w:hAnsi="Aptos Narrow"/>
                <w:color w:val="000000"/>
              </w:rPr>
              <w:t>NPV</w:t>
            </w:r>
          </w:p>
        </w:tc>
        <w:tc>
          <w:tcPr>
            <w:tcW w:w="2580" w:type="dxa"/>
            <w:tcBorders>
              <w:top w:val="nil"/>
              <w:left w:val="nil"/>
              <w:bottom w:val="nil"/>
              <w:right w:val="nil"/>
            </w:tcBorders>
            <w:shd w:val="clear" w:color="000000" w:fill="DAF2D0"/>
            <w:noWrap/>
            <w:vAlign w:val="bottom"/>
            <w:hideMark/>
          </w:tcPr>
          <w:p w14:paraId="2C965B2D" w14:textId="77777777" w:rsidR="002164CA" w:rsidRDefault="002164CA">
            <w:pPr>
              <w:jc w:val="right"/>
              <w:rPr>
                <w:rFonts w:ascii="Aptos Narrow" w:hAnsi="Aptos Narrow"/>
                <w:color w:val="000000"/>
              </w:rPr>
            </w:pPr>
            <w:r>
              <w:rPr>
                <w:rFonts w:ascii="Aptos Narrow" w:hAnsi="Aptos Narrow"/>
                <w:color w:val="000000"/>
              </w:rPr>
              <w:t>3.07</w:t>
            </w:r>
          </w:p>
        </w:tc>
      </w:tr>
    </w:tbl>
    <w:p w14:paraId="7715EB3A" w14:textId="36333A84" w:rsidR="004C4F7B" w:rsidRDefault="001F4C75" w:rsidP="00F52C89">
      <w:pPr>
        <w:pStyle w:val="NormalWeb"/>
        <w:rPr>
          <w:rFonts w:ascii="Arial" w:hAnsi="Arial" w:cs="Arial"/>
          <w:b/>
          <w:bCs/>
          <w:sz w:val="22"/>
          <w:szCs w:val="22"/>
        </w:rPr>
      </w:pPr>
      <w:r>
        <w:rPr>
          <w:rFonts w:ascii="Arial" w:hAnsi="Arial" w:cs="Arial"/>
          <w:b/>
          <w:bCs/>
          <w:sz w:val="22"/>
          <w:szCs w:val="22"/>
        </w:rPr>
        <w:t>The NPV for project A is 3.07</w:t>
      </w:r>
    </w:p>
    <w:p w14:paraId="67F72288" w14:textId="35C88A60" w:rsidR="004C4F7B" w:rsidRPr="00083413" w:rsidRDefault="00083413" w:rsidP="00083413">
      <w:pPr>
        <w:pStyle w:val="NormalWeb"/>
        <w:spacing w:line="360" w:lineRule="auto"/>
        <w:rPr>
          <w:rFonts w:ascii="Arial" w:hAnsi="Arial" w:cs="Arial"/>
          <w:sz w:val="22"/>
          <w:szCs w:val="22"/>
        </w:rPr>
      </w:pPr>
      <w:r w:rsidRPr="00083413">
        <w:rPr>
          <w:rFonts w:ascii="Arial" w:hAnsi="Arial" w:cs="Arial"/>
          <w:sz w:val="22"/>
          <w:szCs w:val="22"/>
        </w:rPr>
        <w:t>After discounting future cash flows to their present value, Project A's Net Present Value (NPV) of 3.07 shows a positive value in terms of the present. Despite being positive, the NPV is not very high. This implies that Project A might produce some value in addition to the initial expenditure. The project's profitability may be constrained by the NPV's size, and its overall financial impact may be minimal in comparison to higher NPV values.</w:t>
      </w:r>
    </w:p>
    <w:p w14:paraId="75631F1A" w14:textId="2DB570C0" w:rsidR="00E320FF" w:rsidRDefault="00E320FF" w:rsidP="00F52C89">
      <w:pPr>
        <w:pStyle w:val="NormalWeb"/>
        <w:rPr>
          <w:rFonts w:ascii="Arial" w:hAnsi="Arial" w:cs="Arial"/>
          <w:b/>
          <w:bCs/>
          <w:sz w:val="22"/>
          <w:szCs w:val="22"/>
        </w:rPr>
      </w:pPr>
      <w:r>
        <w:rPr>
          <w:rFonts w:ascii="Arial" w:hAnsi="Arial" w:cs="Arial"/>
          <w:b/>
          <w:bCs/>
          <w:sz w:val="22"/>
          <w:szCs w:val="22"/>
        </w:rPr>
        <w:t>Project B</w:t>
      </w:r>
    </w:p>
    <w:p w14:paraId="17D2B9CD" w14:textId="7E6F372B" w:rsidR="00A27CE4" w:rsidRDefault="00200A65" w:rsidP="00200A65">
      <w:pPr>
        <w:pStyle w:val="Caption"/>
        <w:rPr>
          <w:rFonts w:ascii="Arial" w:hAnsi="Arial" w:cs="Arial"/>
          <w:b/>
          <w:bCs/>
          <w:sz w:val="22"/>
          <w:szCs w:val="22"/>
        </w:rPr>
      </w:pPr>
      <w:bookmarkStart w:id="23" w:name="_Toc164849554"/>
      <w:r>
        <w:t xml:space="preserve">Table </w:t>
      </w:r>
      <w:r>
        <w:fldChar w:fldCharType="begin"/>
      </w:r>
      <w:r>
        <w:instrText xml:space="preserve"> SEQ Table \* ARABIC </w:instrText>
      </w:r>
      <w:r>
        <w:fldChar w:fldCharType="separate"/>
      </w:r>
      <w:r w:rsidR="00083413">
        <w:rPr>
          <w:noProof/>
        </w:rPr>
        <w:t>15</w:t>
      </w:r>
      <w:r>
        <w:fldChar w:fldCharType="end"/>
      </w:r>
      <w:r w:rsidRPr="00FA2A2E">
        <w:t xml:space="preserve">NPV Project </w:t>
      </w:r>
      <w:proofErr w:type="gramStart"/>
      <w:r w:rsidRPr="00FA2A2E">
        <w:t>B  (</w:t>
      </w:r>
      <w:proofErr w:type="gramEnd"/>
      <w:r w:rsidRPr="00FA2A2E">
        <w:t>Source: Author)</w:t>
      </w:r>
      <w:bookmarkEnd w:id="23"/>
    </w:p>
    <w:tbl>
      <w:tblPr>
        <w:tblW w:w="8460" w:type="dxa"/>
        <w:tblLook w:val="04A0" w:firstRow="1" w:lastRow="0" w:firstColumn="1" w:lastColumn="0" w:noHBand="0" w:noVBand="1"/>
      </w:tblPr>
      <w:tblGrid>
        <w:gridCol w:w="642"/>
        <w:gridCol w:w="2160"/>
        <w:gridCol w:w="2780"/>
        <w:gridCol w:w="2920"/>
      </w:tblGrid>
      <w:tr w:rsidR="00600A49" w14:paraId="07978B8C" w14:textId="77777777" w:rsidTr="00600A49">
        <w:trPr>
          <w:trHeight w:val="320"/>
        </w:trPr>
        <w:tc>
          <w:tcPr>
            <w:tcW w:w="600" w:type="dxa"/>
            <w:tcBorders>
              <w:top w:val="nil"/>
              <w:left w:val="nil"/>
              <w:bottom w:val="nil"/>
              <w:right w:val="nil"/>
            </w:tcBorders>
            <w:shd w:val="clear" w:color="000000" w:fill="F2CEEF"/>
            <w:noWrap/>
            <w:vAlign w:val="bottom"/>
            <w:hideMark/>
          </w:tcPr>
          <w:p w14:paraId="1C16469D" w14:textId="77777777" w:rsidR="00600A49" w:rsidRDefault="00600A49">
            <w:pPr>
              <w:rPr>
                <w:rFonts w:ascii="Aptos Narrow" w:hAnsi="Aptos Narrow"/>
                <w:color w:val="000000"/>
              </w:rPr>
            </w:pPr>
            <w:r>
              <w:rPr>
                <w:rFonts w:ascii="Aptos Narrow" w:hAnsi="Aptos Narrow"/>
                <w:color w:val="000000"/>
              </w:rPr>
              <w:t>Year</w:t>
            </w:r>
          </w:p>
        </w:tc>
        <w:tc>
          <w:tcPr>
            <w:tcW w:w="2160" w:type="dxa"/>
            <w:tcBorders>
              <w:top w:val="nil"/>
              <w:left w:val="nil"/>
              <w:bottom w:val="nil"/>
              <w:right w:val="nil"/>
            </w:tcBorders>
            <w:shd w:val="clear" w:color="000000" w:fill="F2CEEF"/>
            <w:noWrap/>
            <w:vAlign w:val="bottom"/>
            <w:hideMark/>
          </w:tcPr>
          <w:p w14:paraId="1D9FAD75" w14:textId="77777777" w:rsidR="00600A49" w:rsidRDefault="00600A49">
            <w:pPr>
              <w:rPr>
                <w:rFonts w:ascii="Aptos Narrow" w:hAnsi="Aptos Narrow"/>
                <w:color w:val="000000"/>
              </w:rPr>
            </w:pPr>
            <w:r>
              <w:rPr>
                <w:rFonts w:ascii="Aptos Narrow" w:hAnsi="Aptos Narrow"/>
                <w:color w:val="000000"/>
              </w:rPr>
              <w:t>Project B</w:t>
            </w:r>
          </w:p>
        </w:tc>
        <w:tc>
          <w:tcPr>
            <w:tcW w:w="2780" w:type="dxa"/>
            <w:tcBorders>
              <w:top w:val="nil"/>
              <w:left w:val="nil"/>
              <w:bottom w:val="nil"/>
              <w:right w:val="nil"/>
            </w:tcBorders>
            <w:shd w:val="clear" w:color="000000" w:fill="F2CEEF"/>
            <w:noWrap/>
            <w:vAlign w:val="bottom"/>
            <w:hideMark/>
          </w:tcPr>
          <w:p w14:paraId="11CE32BB" w14:textId="77777777" w:rsidR="00600A49" w:rsidRDefault="00600A49">
            <w:pPr>
              <w:rPr>
                <w:rFonts w:ascii="Aptos Narrow" w:hAnsi="Aptos Narrow"/>
                <w:color w:val="000000"/>
              </w:rPr>
            </w:pPr>
            <w:r>
              <w:rPr>
                <w:rFonts w:ascii="Aptos Narrow" w:hAnsi="Aptos Narrow"/>
                <w:color w:val="000000"/>
              </w:rPr>
              <w:t>Discount factor 0.75%</w:t>
            </w:r>
          </w:p>
        </w:tc>
        <w:tc>
          <w:tcPr>
            <w:tcW w:w="2920" w:type="dxa"/>
            <w:tcBorders>
              <w:top w:val="nil"/>
              <w:left w:val="nil"/>
              <w:bottom w:val="nil"/>
              <w:right w:val="nil"/>
            </w:tcBorders>
            <w:shd w:val="clear" w:color="000000" w:fill="F2CEEF"/>
            <w:noWrap/>
            <w:vAlign w:val="bottom"/>
            <w:hideMark/>
          </w:tcPr>
          <w:p w14:paraId="2E7CDF84" w14:textId="6D854E1F" w:rsidR="00600A49" w:rsidRDefault="00600A49">
            <w:pPr>
              <w:rPr>
                <w:rFonts w:ascii="Aptos Narrow" w:hAnsi="Aptos Narrow"/>
                <w:color w:val="000000"/>
              </w:rPr>
            </w:pPr>
            <w:r>
              <w:rPr>
                <w:rFonts w:ascii="Aptos Narrow" w:hAnsi="Aptos Narrow"/>
                <w:color w:val="000000"/>
              </w:rPr>
              <w:t>PV</w:t>
            </w:r>
          </w:p>
        </w:tc>
      </w:tr>
      <w:tr w:rsidR="00600A49" w14:paraId="002093DC" w14:textId="77777777" w:rsidTr="00600A49">
        <w:trPr>
          <w:trHeight w:val="320"/>
        </w:trPr>
        <w:tc>
          <w:tcPr>
            <w:tcW w:w="600" w:type="dxa"/>
            <w:tcBorders>
              <w:top w:val="nil"/>
              <w:left w:val="nil"/>
              <w:bottom w:val="nil"/>
              <w:right w:val="nil"/>
            </w:tcBorders>
            <w:shd w:val="clear" w:color="000000" w:fill="F2CEEF"/>
            <w:noWrap/>
            <w:vAlign w:val="bottom"/>
            <w:hideMark/>
          </w:tcPr>
          <w:p w14:paraId="5BD11D00" w14:textId="77777777" w:rsidR="00600A49" w:rsidRDefault="00600A49">
            <w:pPr>
              <w:jc w:val="right"/>
              <w:rPr>
                <w:rFonts w:ascii="Aptos Narrow" w:hAnsi="Aptos Narrow"/>
                <w:color w:val="000000"/>
              </w:rPr>
            </w:pPr>
            <w:r>
              <w:rPr>
                <w:rFonts w:ascii="Aptos Narrow" w:hAnsi="Aptos Narrow"/>
                <w:color w:val="000000"/>
              </w:rPr>
              <w:t>0</w:t>
            </w:r>
          </w:p>
        </w:tc>
        <w:tc>
          <w:tcPr>
            <w:tcW w:w="2160" w:type="dxa"/>
            <w:tcBorders>
              <w:top w:val="nil"/>
              <w:left w:val="nil"/>
              <w:bottom w:val="nil"/>
              <w:right w:val="nil"/>
            </w:tcBorders>
            <w:shd w:val="clear" w:color="000000" w:fill="F2CEEF"/>
            <w:noWrap/>
            <w:vAlign w:val="bottom"/>
            <w:hideMark/>
          </w:tcPr>
          <w:p w14:paraId="00526A1C" w14:textId="77777777" w:rsidR="00600A49" w:rsidRDefault="00600A49">
            <w:pPr>
              <w:jc w:val="right"/>
              <w:rPr>
                <w:rFonts w:ascii="Aptos Narrow" w:hAnsi="Aptos Narrow"/>
                <w:color w:val="000000"/>
              </w:rPr>
            </w:pPr>
            <w:r>
              <w:rPr>
                <w:rFonts w:ascii="Aptos Narrow" w:hAnsi="Aptos Narrow"/>
                <w:color w:val="000000"/>
              </w:rPr>
              <w:t>-1000</w:t>
            </w:r>
          </w:p>
        </w:tc>
        <w:tc>
          <w:tcPr>
            <w:tcW w:w="2780" w:type="dxa"/>
            <w:tcBorders>
              <w:top w:val="nil"/>
              <w:left w:val="nil"/>
              <w:bottom w:val="nil"/>
              <w:right w:val="nil"/>
            </w:tcBorders>
            <w:shd w:val="clear" w:color="000000" w:fill="F2CEEF"/>
            <w:noWrap/>
            <w:vAlign w:val="bottom"/>
            <w:hideMark/>
          </w:tcPr>
          <w:p w14:paraId="74BD773B" w14:textId="77777777" w:rsidR="00600A49" w:rsidRDefault="00600A49">
            <w:pPr>
              <w:jc w:val="right"/>
              <w:rPr>
                <w:rFonts w:ascii="Aptos Narrow" w:hAnsi="Aptos Narrow"/>
                <w:color w:val="000000"/>
              </w:rPr>
            </w:pPr>
            <w:r>
              <w:rPr>
                <w:rFonts w:ascii="Aptos Narrow" w:hAnsi="Aptos Narrow"/>
                <w:color w:val="000000"/>
              </w:rPr>
              <w:t>1</w:t>
            </w:r>
          </w:p>
        </w:tc>
        <w:tc>
          <w:tcPr>
            <w:tcW w:w="2920" w:type="dxa"/>
            <w:tcBorders>
              <w:top w:val="nil"/>
              <w:left w:val="nil"/>
              <w:bottom w:val="nil"/>
              <w:right w:val="nil"/>
            </w:tcBorders>
            <w:shd w:val="clear" w:color="000000" w:fill="F2CEEF"/>
            <w:noWrap/>
            <w:vAlign w:val="bottom"/>
            <w:hideMark/>
          </w:tcPr>
          <w:p w14:paraId="23940215" w14:textId="77777777" w:rsidR="00600A49" w:rsidRDefault="00600A49">
            <w:pPr>
              <w:jc w:val="right"/>
              <w:rPr>
                <w:rFonts w:ascii="Aptos Narrow" w:hAnsi="Aptos Narrow"/>
                <w:color w:val="000000"/>
              </w:rPr>
            </w:pPr>
            <w:r>
              <w:rPr>
                <w:rFonts w:ascii="Aptos Narrow" w:hAnsi="Aptos Narrow"/>
                <w:color w:val="000000"/>
              </w:rPr>
              <w:t>-1000</w:t>
            </w:r>
          </w:p>
        </w:tc>
      </w:tr>
      <w:tr w:rsidR="00600A49" w14:paraId="35FA6B1D" w14:textId="77777777" w:rsidTr="00600A49">
        <w:trPr>
          <w:trHeight w:val="320"/>
        </w:trPr>
        <w:tc>
          <w:tcPr>
            <w:tcW w:w="600" w:type="dxa"/>
            <w:tcBorders>
              <w:top w:val="nil"/>
              <w:left w:val="nil"/>
              <w:bottom w:val="nil"/>
              <w:right w:val="nil"/>
            </w:tcBorders>
            <w:shd w:val="clear" w:color="000000" w:fill="F2CEEF"/>
            <w:noWrap/>
            <w:vAlign w:val="bottom"/>
            <w:hideMark/>
          </w:tcPr>
          <w:p w14:paraId="7CD5032F" w14:textId="77777777" w:rsidR="00600A49" w:rsidRDefault="00600A49">
            <w:pPr>
              <w:jc w:val="right"/>
              <w:rPr>
                <w:rFonts w:ascii="Aptos Narrow" w:hAnsi="Aptos Narrow"/>
                <w:color w:val="000000"/>
              </w:rPr>
            </w:pPr>
            <w:r>
              <w:rPr>
                <w:rFonts w:ascii="Aptos Narrow" w:hAnsi="Aptos Narrow"/>
                <w:color w:val="000000"/>
              </w:rPr>
              <w:t>1</w:t>
            </w:r>
          </w:p>
        </w:tc>
        <w:tc>
          <w:tcPr>
            <w:tcW w:w="2160" w:type="dxa"/>
            <w:tcBorders>
              <w:top w:val="nil"/>
              <w:left w:val="nil"/>
              <w:bottom w:val="nil"/>
              <w:right w:val="nil"/>
            </w:tcBorders>
            <w:shd w:val="clear" w:color="000000" w:fill="F2CEEF"/>
            <w:noWrap/>
            <w:vAlign w:val="bottom"/>
            <w:hideMark/>
          </w:tcPr>
          <w:p w14:paraId="12E81EFC" w14:textId="77777777" w:rsidR="00600A49" w:rsidRDefault="00600A49">
            <w:pPr>
              <w:jc w:val="right"/>
              <w:rPr>
                <w:rFonts w:ascii="Aptos Narrow" w:hAnsi="Aptos Narrow"/>
                <w:color w:val="000000"/>
              </w:rPr>
            </w:pPr>
            <w:r>
              <w:rPr>
                <w:rFonts w:ascii="Aptos Narrow" w:hAnsi="Aptos Narrow"/>
                <w:color w:val="000000"/>
              </w:rPr>
              <w:t>1500</w:t>
            </w:r>
          </w:p>
        </w:tc>
        <w:tc>
          <w:tcPr>
            <w:tcW w:w="2780" w:type="dxa"/>
            <w:tcBorders>
              <w:top w:val="nil"/>
              <w:left w:val="nil"/>
              <w:bottom w:val="nil"/>
              <w:right w:val="nil"/>
            </w:tcBorders>
            <w:shd w:val="clear" w:color="000000" w:fill="F2CEEF"/>
            <w:noWrap/>
            <w:vAlign w:val="bottom"/>
            <w:hideMark/>
          </w:tcPr>
          <w:p w14:paraId="6DF9639D" w14:textId="77777777" w:rsidR="00600A49" w:rsidRDefault="00600A49">
            <w:pPr>
              <w:jc w:val="right"/>
              <w:rPr>
                <w:rFonts w:ascii="Aptos Narrow" w:hAnsi="Aptos Narrow"/>
                <w:color w:val="000000"/>
              </w:rPr>
            </w:pPr>
            <w:r>
              <w:rPr>
                <w:rFonts w:ascii="Aptos Narrow" w:hAnsi="Aptos Narrow"/>
                <w:color w:val="000000"/>
              </w:rPr>
              <w:t>0.993555831</w:t>
            </w:r>
          </w:p>
        </w:tc>
        <w:tc>
          <w:tcPr>
            <w:tcW w:w="2920" w:type="dxa"/>
            <w:tcBorders>
              <w:top w:val="nil"/>
              <w:left w:val="nil"/>
              <w:bottom w:val="nil"/>
              <w:right w:val="nil"/>
            </w:tcBorders>
            <w:shd w:val="clear" w:color="000000" w:fill="F2CEEF"/>
            <w:noWrap/>
            <w:vAlign w:val="bottom"/>
            <w:hideMark/>
          </w:tcPr>
          <w:p w14:paraId="136F7579" w14:textId="77777777" w:rsidR="00600A49" w:rsidRDefault="00600A49">
            <w:pPr>
              <w:jc w:val="right"/>
              <w:rPr>
                <w:rFonts w:ascii="Aptos Narrow" w:hAnsi="Aptos Narrow"/>
                <w:color w:val="000000"/>
              </w:rPr>
            </w:pPr>
            <w:r>
              <w:rPr>
                <w:rFonts w:ascii="Aptos Narrow" w:hAnsi="Aptos Narrow"/>
                <w:color w:val="000000"/>
              </w:rPr>
              <w:t>1490.33</w:t>
            </w:r>
          </w:p>
        </w:tc>
      </w:tr>
      <w:tr w:rsidR="00600A49" w14:paraId="2A49A005" w14:textId="77777777" w:rsidTr="00600A49">
        <w:trPr>
          <w:trHeight w:val="320"/>
        </w:trPr>
        <w:tc>
          <w:tcPr>
            <w:tcW w:w="600" w:type="dxa"/>
            <w:tcBorders>
              <w:top w:val="nil"/>
              <w:left w:val="nil"/>
              <w:bottom w:val="nil"/>
              <w:right w:val="nil"/>
            </w:tcBorders>
            <w:shd w:val="clear" w:color="000000" w:fill="F2CEEF"/>
            <w:noWrap/>
            <w:vAlign w:val="bottom"/>
            <w:hideMark/>
          </w:tcPr>
          <w:p w14:paraId="62EC0E4D" w14:textId="77777777" w:rsidR="00600A49" w:rsidRDefault="00600A49">
            <w:pPr>
              <w:jc w:val="right"/>
              <w:rPr>
                <w:rFonts w:ascii="Aptos Narrow" w:hAnsi="Aptos Narrow"/>
                <w:color w:val="000000"/>
              </w:rPr>
            </w:pPr>
            <w:r>
              <w:rPr>
                <w:rFonts w:ascii="Aptos Narrow" w:hAnsi="Aptos Narrow"/>
                <w:color w:val="000000"/>
              </w:rPr>
              <w:t>2</w:t>
            </w:r>
          </w:p>
        </w:tc>
        <w:tc>
          <w:tcPr>
            <w:tcW w:w="2160" w:type="dxa"/>
            <w:tcBorders>
              <w:top w:val="nil"/>
              <w:left w:val="nil"/>
              <w:bottom w:val="nil"/>
              <w:right w:val="nil"/>
            </w:tcBorders>
            <w:shd w:val="clear" w:color="000000" w:fill="F2CEEF"/>
            <w:noWrap/>
            <w:vAlign w:val="bottom"/>
            <w:hideMark/>
          </w:tcPr>
          <w:p w14:paraId="14ED86DA" w14:textId="77777777" w:rsidR="00600A49" w:rsidRDefault="00600A49">
            <w:pPr>
              <w:jc w:val="right"/>
              <w:rPr>
                <w:rFonts w:ascii="Aptos Narrow" w:hAnsi="Aptos Narrow"/>
                <w:color w:val="000000"/>
              </w:rPr>
            </w:pPr>
            <w:r>
              <w:rPr>
                <w:rFonts w:ascii="Aptos Narrow" w:hAnsi="Aptos Narrow"/>
                <w:color w:val="000000"/>
              </w:rPr>
              <w:t>1000</w:t>
            </w:r>
          </w:p>
        </w:tc>
        <w:tc>
          <w:tcPr>
            <w:tcW w:w="2780" w:type="dxa"/>
            <w:tcBorders>
              <w:top w:val="nil"/>
              <w:left w:val="nil"/>
              <w:bottom w:val="nil"/>
              <w:right w:val="nil"/>
            </w:tcBorders>
            <w:shd w:val="clear" w:color="000000" w:fill="F2CEEF"/>
            <w:noWrap/>
            <w:vAlign w:val="bottom"/>
            <w:hideMark/>
          </w:tcPr>
          <w:p w14:paraId="775B1BBB" w14:textId="77777777" w:rsidR="00600A49" w:rsidRDefault="00600A49">
            <w:pPr>
              <w:jc w:val="right"/>
              <w:rPr>
                <w:rFonts w:ascii="Aptos Narrow" w:hAnsi="Aptos Narrow"/>
                <w:color w:val="000000"/>
              </w:rPr>
            </w:pPr>
            <w:r>
              <w:rPr>
                <w:rFonts w:ascii="Aptos Narrow" w:hAnsi="Aptos Narrow"/>
                <w:color w:val="000000"/>
              </w:rPr>
              <w:t>0.985167078</w:t>
            </w:r>
          </w:p>
        </w:tc>
        <w:tc>
          <w:tcPr>
            <w:tcW w:w="2920" w:type="dxa"/>
            <w:tcBorders>
              <w:top w:val="nil"/>
              <w:left w:val="nil"/>
              <w:bottom w:val="nil"/>
              <w:right w:val="nil"/>
            </w:tcBorders>
            <w:shd w:val="clear" w:color="000000" w:fill="F2CEEF"/>
            <w:noWrap/>
            <w:vAlign w:val="bottom"/>
            <w:hideMark/>
          </w:tcPr>
          <w:p w14:paraId="7D43BA29" w14:textId="77777777" w:rsidR="00600A49" w:rsidRDefault="00600A49">
            <w:pPr>
              <w:jc w:val="right"/>
              <w:rPr>
                <w:rFonts w:ascii="Aptos Narrow" w:hAnsi="Aptos Narrow"/>
                <w:color w:val="000000"/>
              </w:rPr>
            </w:pPr>
            <w:r>
              <w:rPr>
                <w:rFonts w:ascii="Aptos Narrow" w:hAnsi="Aptos Narrow"/>
                <w:color w:val="000000"/>
              </w:rPr>
              <w:t>985.17</w:t>
            </w:r>
          </w:p>
        </w:tc>
      </w:tr>
      <w:tr w:rsidR="00600A49" w14:paraId="5DA72B55" w14:textId="77777777" w:rsidTr="00600A49">
        <w:trPr>
          <w:trHeight w:val="320"/>
        </w:trPr>
        <w:tc>
          <w:tcPr>
            <w:tcW w:w="600" w:type="dxa"/>
            <w:tcBorders>
              <w:top w:val="nil"/>
              <w:left w:val="nil"/>
              <w:bottom w:val="nil"/>
              <w:right w:val="nil"/>
            </w:tcBorders>
            <w:shd w:val="clear" w:color="000000" w:fill="F2CEEF"/>
            <w:noWrap/>
            <w:vAlign w:val="bottom"/>
            <w:hideMark/>
          </w:tcPr>
          <w:p w14:paraId="658CB3A9" w14:textId="77777777" w:rsidR="00600A49" w:rsidRDefault="00600A49">
            <w:pPr>
              <w:jc w:val="right"/>
              <w:rPr>
                <w:rFonts w:ascii="Aptos Narrow" w:hAnsi="Aptos Narrow"/>
                <w:color w:val="000000"/>
              </w:rPr>
            </w:pPr>
            <w:r>
              <w:rPr>
                <w:rFonts w:ascii="Aptos Narrow" w:hAnsi="Aptos Narrow"/>
                <w:color w:val="000000"/>
              </w:rPr>
              <w:t>3</w:t>
            </w:r>
          </w:p>
        </w:tc>
        <w:tc>
          <w:tcPr>
            <w:tcW w:w="2160" w:type="dxa"/>
            <w:tcBorders>
              <w:top w:val="nil"/>
              <w:left w:val="nil"/>
              <w:bottom w:val="nil"/>
              <w:right w:val="nil"/>
            </w:tcBorders>
            <w:shd w:val="clear" w:color="000000" w:fill="F2CEEF"/>
            <w:noWrap/>
            <w:vAlign w:val="bottom"/>
            <w:hideMark/>
          </w:tcPr>
          <w:p w14:paraId="61D53E0C" w14:textId="77777777" w:rsidR="00600A49" w:rsidRDefault="00600A49">
            <w:pPr>
              <w:jc w:val="right"/>
              <w:rPr>
                <w:rFonts w:ascii="Aptos Narrow" w:hAnsi="Aptos Narrow"/>
                <w:color w:val="000000"/>
              </w:rPr>
            </w:pPr>
            <w:r>
              <w:rPr>
                <w:rFonts w:ascii="Aptos Narrow" w:hAnsi="Aptos Narrow"/>
                <w:color w:val="000000"/>
              </w:rPr>
              <w:t>1000</w:t>
            </w:r>
          </w:p>
        </w:tc>
        <w:tc>
          <w:tcPr>
            <w:tcW w:w="2780" w:type="dxa"/>
            <w:tcBorders>
              <w:top w:val="nil"/>
              <w:left w:val="nil"/>
              <w:bottom w:val="nil"/>
              <w:right w:val="nil"/>
            </w:tcBorders>
            <w:shd w:val="clear" w:color="000000" w:fill="F2CEEF"/>
            <w:noWrap/>
            <w:vAlign w:val="bottom"/>
            <w:hideMark/>
          </w:tcPr>
          <w:p w14:paraId="4CBA4287" w14:textId="77777777" w:rsidR="00600A49" w:rsidRDefault="00600A49">
            <w:pPr>
              <w:jc w:val="right"/>
              <w:rPr>
                <w:rFonts w:ascii="Aptos Narrow" w:hAnsi="Aptos Narrow"/>
                <w:color w:val="000000"/>
              </w:rPr>
            </w:pPr>
            <w:r>
              <w:rPr>
                <w:rFonts w:ascii="Aptos Narrow" w:hAnsi="Aptos Narrow"/>
                <w:color w:val="000000"/>
              </w:rPr>
              <w:t>0.977833328</w:t>
            </w:r>
          </w:p>
        </w:tc>
        <w:tc>
          <w:tcPr>
            <w:tcW w:w="2920" w:type="dxa"/>
            <w:tcBorders>
              <w:top w:val="nil"/>
              <w:left w:val="nil"/>
              <w:bottom w:val="nil"/>
              <w:right w:val="nil"/>
            </w:tcBorders>
            <w:shd w:val="clear" w:color="000000" w:fill="F2CEEF"/>
            <w:noWrap/>
            <w:vAlign w:val="bottom"/>
            <w:hideMark/>
          </w:tcPr>
          <w:p w14:paraId="20970BAA" w14:textId="77777777" w:rsidR="00600A49" w:rsidRDefault="00600A49">
            <w:pPr>
              <w:jc w:val="right"/>
              <w:rPr>
                <w:rFonts w:ascii="Aptos Narrow" w:hAnsi="Aptos Narrow"/>
                <w:color w:val="000000"/>
              </w:rPr>
            </w:pPr>
            <w:r>
              <w:rPr>
                <w:rFonts w:ascii="Aptos Narrow" w:hAnsi="Aptos Narrow"/>
                <w:color w:val="000000"/>
              </w:rPr>
              <w:t>977.83</w:t>
            </w:r>
          </w:p>
        </w:tc>
      </w:tr>
      <w:tr w:rsidR="00600A49" w14:paraId="2BDF3F91" w14:textId="77777777" w:rsidTr="00600A49">
        <w:trPr>
          <w:trHeight w:val="320"/>
        </w:trPr>
        <w:tc>
          <w:tcPr>
            <w:tcW w:w="600" w:type="dxa"/>
            <w:tcBorders>
              <w:top w:val="nil"/>
              <w:left w:val="nil"/>
              <w:bottom w:val="nil"/>
              <w:right w:val="nil"/>
            </w:tcBorders>
            <w:shd w:val="clear" w:color="000000" w:fill="F2CEEF"/>
            <w:noWrap/>
            <w:vAlign w:val="bottom"/>
            <w:hideMark/>
          </w:tcPr>
          <w:p w14:paraId="71364D05" w14:textId="77777777" w:rsidR="00600A49" w:rsidRDefault="00600A49">
            <w:pPr>
              <w:jc w:val="right"/>
              <w:rPr>
                <w:rFonts w:ascii="Aptos Narrow" w:hAnsi="Aptos Narrow"/>
                <w:color w:val="000000"/>
              </w:rPr>
            </w:pPr>
            <w:r>
              <w:rPr>
                <w:rFonts w:ascii="Aptos Narrow" w:hAnsi="Aptos Narrow"/>
                <w:color w:val="000000"/>
              </w:rPr>
              <w:t>4</w:t>
            </w:r>
          </w:p>
        </w:tc>
        <w:tc>
          <w:tcPr>
            <w:tcW w:w="2160" w:type="dxa"/>
            <w:tcBorders>
              <w:top w:val="nil"/>
              <w:left w:val="nil"/>
              <w:bottom w:val="nil"/>
              <w:right w:val="nil"/>
            </w:tcBorders>
            <w:shd w:val="clear" w:color="000000" w:fill="F2CEEF"/>
            <w:noWrap/>
            <w:vAlign w:val="bottom"/>
            <w:hideMark/>
          </w:tcPr>
          <w:p w14:paraId="4B359D4B" w14:textId="77777777" w:rsidR="00600A49" w:rsidRDefault="00600A49">
            <w:pPr>
              <w:jc w:val="right"/>
              <w:rPr>
                <w:rFonts w:ascii="Aptos Narrow" w:hAnsi="Aptos Narrow"/>
                <w:color w:val="000000"/>
              </w:rPr>
            </w:pPr>
            <w:r>
              <w:rPr>
                <w:rFonts w:ascii="Aptos Narrow" w:hAnsi="Aptos Narrow"/>
                <w:color w:val="000000"/>
              </w:rPr>
              <w:t>-470</w:t>
            </w:r>
          </w:p>
        </w:tc>
        <w:tc>
          <w:tcPr>
            <w:tcW w:w="2780" w:type="dxa"/>
            <w:tcBorders>
              <w:top w:val="nil"/>
              <w:left w:val="nil"/>
              <w:bottom w:val="nil"/>
              <w:right w:val="nil"/>
            </w:tcBorders>
            <w:shd w:val="clear" w:color="000000" w:fill="F2CEEF"/>
            <w:noWrap/>
            <w:vAlign w:val="bottom"/>
            <w:hideMark/>
          </w:tcPr>
          <w:p w14:paraId="62E03669" w14:textId="77777777" w:rsidR="00600A49" w:rsidRDefault="00600A49">
            <w:pPr>
              <w:jc w:val="right"/>
              <w:rPr>
                <w:rFonts w:ascii="Aptos Narrow" w:hAnsi="Aptos Narrow"/>
                <w:color w:val="000000"/>
              </w:rPr>
            </w:pPr>
            <w:r>
              <w:rPr>
                <w:rFonts w:ascii="Aptos Narrow" w:hAnsi="Aptos Narrow"/>
                <w:color w:val="000000"/>
              </w:rPr>
              <w:t>0.970554172</w:t>
            </w:r>
          </w:p>
        </w:tc>
        <w:tc>
          <w:tcPr>
            <w:tcW w:w="2920" w:type="dxa"/>
            <w:tcBorders>
              <w:top w:val="nil"/>
              <w:left w:val="nil"/>
              <w:bottom w:val="nil"/>
              <w:right w:val="nil"/>
            </w:tcBorders>
            <w:shd w:val="clear" w:color="000000" w:fill="F2CEEF"/>
            <w:noWrap/>
            <w:vAlign w:val="bottom"/>
            <w:hideMark/>
          </w:tcPr>
          <w:p w14:paraId="4E945720" w14:textId="77777777" w:rsidR="00600A49" w:rsidRDefault="00600A49">
            <w:pPr>
              <w:jc w:val="right"/>
              <w:rPr>
                <w:rFonts w:ascii="Aptos Narrow" w:hAnsi="Aptos Narrow"/>
                <w:color w:val="000000"/>
              </w:rPr>
            </w:pPr>
            <w:r>
              <w:rPr>
                <w:rFonts w:ascii="Aptos Narrow" w:hAnsi="Aptos Narrow"/>
                <w:color w:val="000000"/>
              </w:rPr>
              <w:t>-456.16</w:t>
            </w:r>
          </w:p>
        </w:tc>
      </w:tr>
      <w:tr w:rsidR="00600A49" w14:paraId="1178E44C" w14:textId="77777777" w:rsidTr="00600A49">
        <w:trPr>
          <w:trHeight w:val="320"/>
        </w:trPr>
        <w:tc>
          <w:tcPr>
            <w:tcW w:w="600" w:type="dxa"/>
            <w:tcBorders>
              <w:top w:val="nil"/>
              <w:left w:val="nil"/>
              <w:bottom w:val="nil"/>
              <w:right w:val="nil"/>
            </w:tcBorders>
            <w:shd w:val="clear" w:color="000000" w:fill="F2CEEF"/>
            <w:noWrap/>
            <w:vAlign w:val="bottom"/>
            <w:hideMark/>
          </w:tcPr>
          <w:p w14:paraId="2E966875" w14:textId="77777777" w:rsidR="00600A49" w:rsidRDefault="00600A49">
            <w:pPr>
              <w:rPr>
                <w:rFonts w:ascii="Aptos Narrow" w:hAnsi="Aptos Narrow"/>
                <w:color w:val="000000"/>
              </w:rPr>
            </w:pPr>
            <w:r>
              <w:rPr>
                <w:rFonts w:ascii="Aptos Narrow" w:hAnsi="Aptos Narrow"/>
                <w:color w:val="000000"/>
              </w:rPr>
              <w:t> </w:t>
            </w:r>
          </w:p>
        </w:tc>
        <w:tc>
          <w:tcPr>
            <w:tcW w:w="2160" w:type="dxa"/>
            <w:tcBorders>
              <w:top w:val="nil"/>
              <w:left w:val="nil"/>
              <w:bottom w:val="nil"/>
              <w:right w:val="nil"/>
            </w:tcBorders>
            <w:shd w:val="clear" w:color="000000" w:fill="F2CEEF"/>
            <w:noWrap/>
            <w:vAlign w:val="bottom"/>
            <w:hideMark/>
          </w:tcPr>
          <w:p w14:paraId="5B320E9E" w14:textId="77777777" w:rsidR="00600A49" w:rsidRDefault="00600A49">
            <w:pPr>
              <w:rPr>
                <w:rFonts w:ascii="Aptos Narrow" w:hAnsi="Aptos Narrow"/>
                <w:color w:val="000000"/>
              </w:rPr>
            </w:pPr>
            <w:r>
              <w:rPr>
                <w:rFonts w:ascii="Aptos Narrow" w:hAnsi="Aptos Narrow"/>
                <w:color w:val="000000"/>
              </w:rPr>
              <w:t> </w:t>
            </w:r>
          </w:p>
        </w:tc>
        <w:tc>
          <w:tcPr>
            <w:tcW w:w="2780" w:type="dxa"/>
            <w:tcBorders>
              <w:top w:val="nil"/>
              <w:left w:val="nil"/>
              <w:bottom w:val="nil"/>
              <w:right w:val="nil"/>
            </w:tcBorders>
            <w:shd w:val="clear" w:color="000000" w:fill="F2CEEF"/>
            <w:noWrap/>
            <w:vAlign w:val="bottom"/>
            <w:hideMark/>
          </w:tcPr>
          <w:p w14:paraId="2A67B37E" w14:textId="77777777" w:rsidR="00600A49" w:rsidRDefault="00600A49">
            <w:pPr>
              <w:jc w:val="right"/>
              <w:rPr>
                <w:rFonts w:ascii="Aptos Narrow" w:hAnsi="Aptos Narrow"/>
                <w:color w:val="000000"/>
              </w:rPr>
            </w:pPr>
            <w:r>
              <w:rPr>
                <w:rFonts w:ascii="Aptos Narrow" w:hAnsi="Aptos Narrow"/>
                <w:color w:val="000000"/>
              </w:rPr>
              <w:t>NPV</w:t>
            </w:r>
          </w:p>
        </w:tc>
        <w:tc>
          <w:tcPr>
            <w:tcW w:w="2920" w:type="dxa"/>
            <w:tcBorders>
              <w:top w:val="nil"/>
              <w:left w:val="nil"/>
              <w:bottom w:val="nil"/>
              <w:right w:val="nil"/>
            </w:tcBorders>
            <w:shd w:val="clear" w:color="000000" w:fill="F2CEEF"/>
            <w:noWrap/>
            <w:vAlign w:val="bottom"/>
            <w:hideMark/>
          </w:tcPr>
          <w:p w14:paraId="675DB86C" w14:textId="77777777" w:rsidR="00600A49" w:rsidRDefault="00600A49">
            <w:pPr>
              <w:jc w:val="right"/>
              <w:rPr>
                <w:rFonts w:ascii="Aptos Narrow" w:hAnsi="Aptos Narrow"/>
                <w:color w:val="000000"/>
              </w:rPr>
            </w:pPr>
            <w:r>
              <w:rPr>
                <w:rFonts w:ascii="Aptos Narrow" w:hAnsi="Aptos Narrow"/>
                <w:color w:val="000000"/>
              </w:rPr>
              <w:t>1997.17</w:t>
            </w:r>
          </w:p>
        </w:tc>
      </w:tr>
    </w:tbl>
    <w:p w14:paraId="526DE942" w14:textId="06FBED30" w:rsidR="00E320FF" w:rsidRDefault="001F4C75" w:rsidP="00F52C89">
      <w:pPr>
        <w:pStyle w:val="NormalWeb"/>
        <w:rPr>
          <w:rFonts w:ascii="Arial" w:hAnsi="Arial" w:cs="Arial"/>
          <w:b/>
          <w:bCs/>
          <w:sz w:val="22"/>
          <w:szCs w:val="22"/>
        </w:rPr>
      </w:pPr>
      <w:r>
        <w:rPr>
          <w:rFonts w:ascii="Arial" w:hAnsi="Arial" w:cs="Arial"/>
          <w:b/>
          <w:bCs/>
          <w:sz w:val="22"/>
          <w:szCs w:val="22"/>
        </w:rPr>
        <w:t>The NPV for project B is 1997.17</w:t>
      </w:r>
    </w:p>
    <w:p w14:paraId="54A72B03" w14:textId="3825FC16" w:rsidR="000E367E" w:rsidRPr="000E367E" w:rsidRDefault="000E367E" w:rsidP="000E367E">
      <w:pPr>
        <w:pStyle w:val="NormalWeb"/>
        <w:spacing w:line="360" w:lineRule="auto"/>
        <w:rPr>
          <w:rFonts w:ascii="Arial" w:hAnsi="Arial" w:cs="Arial"/>
          <w:sz w:val="22"/>
          <w:szCs w:val="22"/>
        </w:rPr>
      </w:pPr>
      <w:r w:rsidRPr="000E367E">
        <w:rPr>
          <w:rFonts w:ascii="Arial" w:hAnsi="Arial" w:cs="Arial"/>
          <w:sz w:val="22"/>
          <w:szCs w:val="22"/>
        </w:rPr>
        <w:t xml:space="preserve">Project B has a Net Present Value (NPV) of 1997.17, which, after discounting future cash flows to their present value, shows a highly positive value in present values.  This high net </w:t>
      </w:r>
      <w:r w:rsidRPr="000E367E">
        <w:rPr>
          <w:rFonts w:ascii="Arial" w:hAnsi="Arial" w:cs="Arial"/>
          <w:sz w:val="22"/>
          <w:szCs w:val="22"/>
        </w:rPr>
        <w:lastRenderedPageBreak/>
        <w:t>present value (NPV) indicates that Project B could produce significant returns on investment in addition to the initial investment.</w:t>
      </w:r>
    </w:p>
    <w:p w14:paraId="324CC894" w14:textId="77777777" w:rsidR="001F4C75" w:rsidRDefault="001F4C75" w:rsidP="00F52C89">
      <w:pPr>
        <w:pStyle w:val="NormalWeb"/>
        <w:rPr>
          <w:rFonts w:ascii="Arial" w:hAnsi="Arial" w:cs="Arial"/>
          <w:b/>
          <w:bCs/>
          <w:sz w:val="22"/>
          <w:szCs w:val="22"/>
        </w:rPr>
      </w:pPr>
    </w:p>
    <w:p w14:paraId="1BDB3854" w14:textId="0729CC7A" w:rsidR="00E320FF" w:rsidRDefault="00E320FF" w:rsidP="00E320FF">
      <w:pPr>
        <w:pStyle w:val="NormalWeb"/>
        <w:rPr>
          <w:rFonts w:ascii="Arial" w:hAnsi="Arial" w:cs="Arial"/>
          <w:b/>
          <w:bCs/>
          <w:sz w:val="22"/>
          <w:szCs w:val="22"/>
        </w:rPr>
      </w:pPr>
      <w:r>
        <w:rPr>
          <w:rFonts w:ascii="Arial" w:hAnsi="Arial" w:cs="Arial"/>
          <w:b/>
          <w:bCs/>
          <w:sz w:val="22"/>
          <w:szCs w:val="22"/>
        </w:rPr>
        <w:t xml:space="preserve">Project A </w:t>
      </w:r>
      <w:r w:rsidR="001F4C75">
        <w:rPr>
          <w:rFonts w:ascii="Arial" w:hAnsi="Arial" w:cs="Arial"/>
          <w:b/>
          <w:bCs/>
          <w:sz w:val="22"/>
          <w:szCs w:val="22"/>
        </w:rPr>
        <w:t xml:space="preserve">investment </w:t>
      </w:r>
      <w:r>
        <w:rPr>
          <w:rFonts w:ascii="Arial" w:hAnsi="Arial" w:cs="Arial"/>
          <w:b/>
          <w:bCs/>
          <w:sz w:val="22"/>
          <w:szCs w:val="22"/>
        </w:rPr>
        <w:t>increase</w:t>
      </w:r>
      <w:r>
        <w:rPr>
          <w:rFonts w:ascii="Arial" w:hAnsi="Arial" w:cs="Arial"/>
          <w:b/>
          <w:bCs/>
          <w:sz w:val="22"/>
          <w:szCs w:val="22"/>
        </w:rPr>
        <w:t>d</w:t>
      </w:r>
      <w:r>
        <w:rPr>
          <w:rFonts w:ascii="Arial" w:hAnsi="Arial" w:cs="Arial"/>
          <w:b/>
          <w:bCs/>
          <w:sz w:val="22"/>
          <w:szCs w:val="22"/>
        </w:rPr>
        <w:t xml:space="preserve"> by 10%, and all cash flows f</w:t>
      </w:r>
      <w:r>
        <w:rPr>
          <w:rFonts w:ascii="Arial" w:hAnsi="Arial" w:cs="Arial"/>
          <w:b/>
          <w:bCs/>
          <w:sz w:val="22"/>
          <w:szCs w:val="22"/>
        </w:rPr>
        <w:t>e</w:t>
      </w:r>
      <w:r>
        <w:rPr>
          <w:rFonts w:ascii="Arial" w:hAnsi="Arial" w:cs="Arial"/>
          <w:b/>
          <w:bCs/>
          <w:sz w:val="22"/>
          <w:szCs w:val="22"/>
        </w:rPr>
        <w:t xml:space="preserve">ll by 10% </w:t>
      </w:r>
      <w:proofErr w:type="gramStart"/>
      <w:r>
        <w:rPr>
          <w:rFonts w:ascii="Arial" w:hAnsi="Arial" w:cs="Arial"/>
          <w:b/>
          <w:bCs/>
          <w:sz w:val="22"/>
          <w:szCs w:val="22"/>
        </w:rPr>
        <w:t>NPV</w:t>
      </w:r>
      <w:proofErr w:type="gramEnd"/>
      <w:r>
        <w:rPr>
          <w:rFonts w:ascii="Arial" w:hAnsi="Arial" w:cs="Arial"/>
          <w:b/>
          <w:bCs/>
          <w:sz w:val="22"/>
          <w:szCs w:val="22"/>
        </w:rPr>
        <w:t xml:space="preserve"> </w:t>
      </w:r>
    </w:p>
    <w:p w14:paraId="09C49B76" w14:textId="0B07B0D1" w:rsidR="00E320FF" w:rsidRDefault="00200A65" w:rsidP="00200A65">
      <w:pPr>
        <w:pStyle w:val="Caption"/>
        <w:rPr>
          <w:rFonts w:ascii="Arial Narrow" w:hAnsi="Arial Narrow" w:cs="Arial"/>
          <w:i w:val="0"/>
          <w:iCs w:val="0"/>
          <w:sz w:val="22"/>
          <w:szCs w:val="22"/>
        </w:rPr>
      </w:pPr>
      <w:bookmarkStart w:id="24" w:name="_Toc164849555"/>
      <w:r>
        <w:t xml:space="preserve">Table </w:t>
      </w:r>
      <w:r>
        <w:fldChar w:fldCharType="begin"/>
      </w:r>
      <w:r>
        <w:instrText xml:space="preserve"> SEQ Table \* ARABIC </w:instrText>
      </w:r>
      <w:r>
        <w:fldChar w:fldCharType="separate"/>
      </w:r>
      <w:r w:rsidR="00083413">
        <w:rPr>
          <w:noProof/>
        </w:rPr>
        <w:t>16</w:t>
      </w:r>
      <w:r>
        <w:fldChar w:fldCharType="end"/>
      </w:r>
      <w:r w:rsidRPr="002E7BA4">
        <w:t>NPV Project A increased by 10%, and all cash flows fell by 10% NPV (Source: Autor)</w:t>
      </w:r>
      <w:bookmarkEnd w:id="24"/>
    </w:p>
    <w:tbl>
      <w:tblPr>
        <w:tblW w:w="9660" w:type="dxa"/>
        <w:tblLook w:val="04A0" w:firstRow="1" w:lastRow="0" w:firstColumn="1" w:lastColumn="0" w:noHBand="0" w:noVBand="1"/>
      </w:tblPr>
      <w:tblGrid>
        <w:gridCol w:w="1800"/>
        <w:gridCol w:w="2020"/>
        <w:gridCol w:w="2780"/>
        <w:gridCol w:w="3060"/>
      </w:tblGrid>
      <w:tr w:rsidR="00760007" w14:paraId="122E37BC" w14:textId="77777777" w:rsidTr="00760007">
        <w:trPr>
          <w:trHeight w:val="320"/>
        </w:trPr>
        <w:tc>
          <w:tcPr>
            <w:tcW w:w="1800" w:type="dxa"/>
            <w:tcBorders>
              <w:top w:val="nil"/>
              <w:left w:val="nil"/>
              <w:bottom w:val="nil"/>
              <w:right w:val="nil"/>
            </w:tcBorders>
            <w:shd w:val="clear" w:color="000000" w:fill="47D359"/>
            <w:noWrap/>
            <w:vAlign w:val="bottom"/>
            <w:hideMark/>
          </w:tcPr>
          <w:p w14:paraId="31933C74" w14:textId="77777777" w:rsidR="00760007" w:rsidRDefault="00760007">
            <w:pPr>
              <w:rPr>
                <w:rFonts w:ascii="Aptos Narrow" w:hAnsi="Aptos Narrow"/>
                <w:color w:val="000000"/>
              </w:rPr>
            </w:pPr>
            <w:r>
              <w:rPr>
                <w:rFonts w:ascii="Aptos Narrow" w:hAnsi="Aptos Narrow"/>
                <w:color w:val="000000"/>
              </w:rPr>
              <w:t>Year</w:t>
            </w:r>
          </w:p>
        </w:tc>
        <w:tc>
          <w:tcPr>
            <w:tcW w:w="2020" w:type="dxa"/>
            <w:tcBorders>
              <w:top w:val="nil"/>
              <w:left w:val="nil"/>
              <w:bottom w:val="nil"/>
              <w:right w:val="nil"/>
            </w:tcBorders>
            <w:shd w:val="clear" w:color="000000" w:fill="47D359"/>
            <w:noWrap/>
            <w:vAlign w:val="bottom"/>
            <w:hideMark/>
          </w:tcPr>
          <w:p w14:paraId="7883098D" w14:textId="77777777" w:rsidR="00760007" w:rsidRDefault="00760007">
            <w:pPr>
              <w:rPr>
                <w:rFonts w:ascii="Aptos Narrow" w:hAnsi="Aptos Narrow"/>
                <w:color w:val="000000"/>
              </w:rPr>
            </w:pPr>
            <w:r>
              <w:rPr>
                <w:rFonts w:ascii="Aptos Narrow" w:hAnsi="Aptos Narrow"/>
                <w:color w:val="000000"/>
              </w:rPr>
              <w:t>Project A</w:t>
            </w:r>
          </w:p>
        </w:tc>
        <w:tc>
          <w:tcPr>
            <w:tcW w:w="2780" w:type="dxa"/>
            <w:tcBorders>
              <w:top w:val="nil"/>
              <w:left w:val="nil"/>
              <w:bottom w:val="nil"/>
              <w:right w:val="nil"/>
            </w:tcBorders>
            <w:shd w:val="clear" w:color="000000" w:fill="47D359"/>
            <w:noWrap/>
            <w:vAlign w:val="bottom"/>
            <w:hideMark/>
          </w:tcPr>
          <w:p w14:paraId="561264C7" w14:textId="77777777" w:rsidR="00760007" w:rsidRDefault="00760007">
            <w:pPr>
              <w:rPr>
                <w:rFonts w:ascii="Aptos Narrow" w:hAnsi="Aptos Narrow"/>
                <w:color w:val="000000"/>
              </w:rPr>
            </w:pPr>
            <w:r>
              <w:rPr>
                <w:rFonts w:ascii="Aptos Narrow" w:hAnsi="Aptos Narrow"/>
                <w:color w:val="000000"/>
              </w:rPr>
              <w:t>Discount factor 0.75%</w:t>
            </w:r>
          </w:p>
        </w:tc>
        <w:tc>
          <w:tcPr>
            <w:tcW w:w="3060" w:type="dxa"/>
            <w:tcBorders>
              <w:top w:val="nil"/>
              <w:left w:val="nil"/>
              <w:bottom w:val="nil"/>
              <w:right w:val="nil"/>
            </w:tcBorders>
            <w:shd w:val="clear" w:color="000000" w:fill="47D359"/>
            <w:noWrap/>
            <w:vAlign w:val="bottom"/>
            <w:hideMark/>
          </w:tcPr>
          <w:p w14:paraId="1AB0F831" w14:textId="77777777" w:rsidR="00760007" w:rsidRDefault="00760007">
            <w:pPr>
              <w:rPr>
                <w:rFonts w:ascii="Aptos Narrow" w:hAnsi="Aptos Narrow"/>
                <w:color w:val="000000"/>
              </w:rPr>
            </w:pPr>
            <w:r>
              <w:rPr>
                <w:rFonts w:ascii="Aptos Narrow" w:hAnsi="Aptos Narrow"/>
                <w:color w:val="000000"/>
              </w:rPr>
              <w:t>NP</w:t>
            </w:r>
          </w:p>
        </w:tc>
      </w:tr>
      <w:tr w:rsidR="00760007" w14:paraId="4A4CFB10" w14:textId="77777777" w:rsidTr="00760007">
        <w:trPr>
          <w:trHeight w:val="320"/>
        </w:trPr>
        <w:tc>
          <w:tcPr>
            <w:tcW w:w="1800" w:type="dxa"/>
            <w:tcBorders>
              <w:top w:val="nil"/>
              <w:left w:val="nil"/>
              <w:bottom w:val="nil"/>
              <w:right w:val="nil"/>
            </w:tcBorders>
            <w:shd w:val="clear" w:color="000000" w:fill="DAF2D0"/>
            <w:noWrap/>
            <w:vAlign w:val="bottom"/>
            <w:hideMark/>
          </w:tcPr>
          <w:p w14:paraId="121CE929" w14:textId="77777777" w:rsidR="00760007" w:rsidRDefault="00760007">
            <w:pPr>
              <w:jc w:val="right"/>
              <w:rPr>
                <w:rFonts w:ascii="Aptos Narrow" w:hAnsi="Aptos Narrow"/>
                <w:color w:val="000000"/>
              </w:rPr>
            </w:pPr>
            <w:r>
              <w:rPr>
                <w:rFonts w:ascii="Aptos Narrow" w:hAnsi="Aptos Narrow"/>
                <w:color w:val="000000"/>
              </w:rPr>
              <w:t>0</w:t>
            </w:r>
          </w:p>
        </w:tc>
        <w:tc>
          <w:tcPr>
            <w:tcW w:w="2020" w:type="dxa"/>
            <w:tcBorders>
              <w:top w:val="nil"/>
              <w:left w:val="nil"/>
              <w:bottom w:val="nil"/>
              <w:right w:val="nil"/>
            </w:tcBorders>
            <w:shd w:val="clear" w:color="000000" w:fill="DAF2D0"/>
            <w:noWrap/>
            <w:vAlign w:val="bottom"/>
            <w:hideMark/>
          </w:tcPr>
          <w:p w14:paraId="7A2996C5" w14:textId="77777777" w:rsidR="00760007" w:rsidRDefault="00760007">
            <w:pPr>
              <w:jc w:val="right"/>
              <w:rPr>
                <w:rFonts w:ascii="Aptos Narrow" w:hAnsi="Aptos Narrow"/>
                <w:color w:val="000000"/>
              </w:rPr>
            </w:pPr>
            <w:r>
              <w:rPr>
                <w:rFonts w:ascii="Aptos Narrow" w:hAnsi="Aptos Narrow"/>
                <w:color w:val="000000"/>
              </w:rPr>
              <w:t>-5500</w:t>
            </w:r>
          </w:p>
        </w:tc>
        <w:tc>
          <w:tcPr>
            <w:tcW w:w="2780" w:type="dxa"/>
            <w:tcBorders>
              <w:top w:val="nil"/>
              <w:left w:val="nil"/>
              <w:bottom w:val="nil"/>
              <w:right w:val="nil"/>
            </w:tcBorders>
            <w:shd w:val="clear" w:color="000000" w:fill="DAF2D0"/>
            <w:noWrap/>
            <w:vAlign w:val="bottom"/>
            <w:hideMark/>
          </w:tcPr>
          <w:p w14:paraId="2889EB58" w14:textId="77777777" w:rsidR="00760007" w:rsidRDefault="00760007">
            <w:pPr>
              <w:jc w:val="right"/>
              <w:rPr>
                <w:rFonts w:ascii="Aptos Narrow" w:hAnsi="Aptos Narrow"/>
                <w:color w:val="000000"/>
              </w:rPr>
            </w:pPr>
            <w:r>
              <w:rPr>
                <w:rFonts w:ascii="Aptos Narrow" w:hAnsi="Aptos Narrow"/>
                <w:color w:val="000000"/>
              </w:rPr>
              <w:t>1</w:t>
            </w:r>
          </w:p>
        </w:tc>
        <w:tc>
          <w:tcPr>
            <w:tcW w:w="3060" w:type="dxa"/>
            <w:tcBorders>
              <w:top w:val="nil"/>
              <w:left w:val="nil"/>
              <w:bottom w:val="nil"/>
              <w:right w:val="nil"/>
            </w:tcBorders>
            <w:shd w:val="clear" w:color="000000" w:fill="DAF2D0"/>
            <w:noWrap/>
            <w:vAlign w:val="bottom"/>
            <w:hideMark/>
          </w:tcPr>
          <w:p w14:paraId="4E165879" w14:textId="77777777" w:rsidR="00760007" w:rsidRDefault="00760007">
            <w:pPr>
              <w:jc w:val="right"/>
              <w:rPr>
                <w:rFonts w:ascii="Aptos Narrow" w:hAnsi="Aptos Narrow"/>
                <w:color w:val="000000"/>
              </w:rPr>
            </w:pPr>
            <w:r>
              <w:rPr>
                <w:rFonts w:ascii="Aptos Narrow" w:hAnsi="Aptos Narrow"/>
                <w:color w:val="000000"/>
              </w:rPr>
              <w:t>-5500</w:t>
            </w:r>
          </w:p>
        </w:tc>
      </w:tr>
      <w:tr w:rsidR="00760007" w14:paraId="190AD2CB" w14:textId="77777777" w:rsidTr="00760007">
        <w:trPr>
          <w:trHeight w:val="320"/>
        </w:trPr>
        <w:tc>
          <w:tcPr>
            <w:tcW w:w="1800" w:type="dxa"/>
            <w:tcBorders>
              <w:top w:val="nil"/>
              <w:left w:val="nil"/>
              <w:bottom w:val="nil"/>
              <w:right w:val="nil"/>
            </w:tcBorders>
            <w:shd w:val="clear" w:color="000000" w:fill="DAF2D0"/>
            <w:noWrap/>
            <w:vAlign w:val="bottom"/>
            <w:hideMark/>
          </w:tcPr>
          <w:p w14:paraId="06487E3E" w14:textId="77777777" w:rsidR="00760007" w:rsidRDefault="00760007">
            <w:pPr>
              <w:jc w:val="right"/>
              <w:rPr>
                <w:rFonts w:ascii="Aptos Narrow" w:hAnsi="Aptos Narrow"/>
                <w:color w:val="000000"/>
              </w:rPr>
            </w:pPr>
            <w:r>
              <w:rPr>
                <w:rFonts w:ascii="Aptos Narrow" w:hAnsi="Aptos Narrow"/>
                <w:color w:val="000000"/>
              </w:rPr>
              <w:t>1</w:t>
            </w:r>
          </w:p>
        </w:tc>
        <w:tc>
          <w:tcPr>
            <w:tcW w:w="2020" w:type="dxa"/>
            <w:tcBorders>
              <w:top w:val="nil"/>
              <w:left w:val="nil"/>
              <w:bottom w:val="nil"/>
              <w:right w:val="nil"/>
            </w:tcBorders>
            <w:shd w:val="clear" w:color="000000" w:fill="DAF2D0"/>
            <w:noWrap/>
            <w:vAlign w:val="bottom"/>
            <w:hideMark/>
          </w:tcPr>
          <w:p w14:paraId="261FB371" w14:textId="77777777" w:rsidR="00760007" w:rsidRDefault="00760007">
            <w:pPr>
              <w:jc w:val="right"/>
              <w:rPr>
                <w:rFonts w:ascii="Aptos Narrow" w:hAnsi="Aptos Narrow"/>
                <w:color w:val="000000"/>
              </w:rPr>
            </w:pPr>
            <w:r>
              <w:rPr>
                <w:rFonts w:ascii="Aptos Narrow" w:hAnsi="Aptos Narrow"/>
                <w:color w:val="000000"/>
              </w:rPr>
              <w:t>2250</w:t>
            </w:r>
          </w:p>
        </w:tc>
        <w:tc>
          <w:tcPr>
            <w:tcW w:w="2780" w:type="dxa"/>
            <w:tcBorders>
              <w:top w:val="nil"/>
              <w:left w:val="nil"/>
              <w:bottom w:val="nil"/>
              <w:right w:val="nil"/>
            </w:tcBorders>
            <w:shd w:val="clear" w:color="000000" w:fill="DAF2D0"/>
            <w:noWrap/>
            <w:vAlign w:val="bottom"/>
            <w:hideMark/>
          </w:tcPr>
          <w:p w14:paraId="2933C241" w14:textId="77777777" w:rsidR="00760007" w:rsidRDefault="00760007">
            <w:pPr>
              <w:jc w:val="right"/>
              <w:rPr>
                <w:rFonts w:ascii="Aptos Narrow" w:hAnsi="Aptos Narrow"/>
                <w:color w:val="000000"/>
              </w:rPr>
            </w:pPr>
            <w:r>
              <w:rPr>
                <w:rFonts w:ascii="Aptos Narrow" w:hAnsi="Aptos Narrow"/>
                <w:color w:val="000000"/>
              </w:rPr>
              <w:t>0.993555831</w:t>
            </w:r>
          </w:p>
        </w:tc>
        <w:tc>
          <w:tcPr>
            <w:tcW w:w="3060" w:type="dxa"/>
            <w:tcBorders>
              <w:top w:val="nil"/>
              <w:left w:val="nil"/>
              <w:bottom w:val="nil"/>
              <w:right w:val="nil"/>
            </w:tcBorders>
            <w:shd w:val="clear" w:color="000000" w:fill="DAF2D0"/>
            <w:noWrap/>
            <w:vAlign w:val="bottom"/>
            <w:hideMark/>
          </w:tcPr>
          <w:p w14:paraId="41B0070A" w14:textId="77777777" w:rsidR="00760007" w:rsidRDefault="00760007">
            <w:pPr>
              <w:jc w:val="right"/>
              <w:rPr>
                <w:rFonts w:ascii="Aptos Narrow" w:hAnsi="Aptos Narrow"/>
                <w:color w:val="000000"/>
              </w:rPr>
            </w:pPr>
            <w:r>
              <w:rPr>
                <w:rFonts w:ascii="Aptos Narrow" w:hAnsi="Aptos Narrow"/>
                <w:color w:val="000000"/>
              </w:rPr>
              <w:t>2235.50</w:t>
            </w:r>
          </w:p>
        </w:tc>
      </w:tr>
      <w:tr w:rsidR="00760007" w14:paraId="5132A71A" w14:textId="77777777" w:rsidTr="00760007">
        <w:trPr>
          <w:trHeight w:val="320"/>
        </w:trPr>
        <w:tc>
          <w:tcPr>
            <w:tcW w:w="1800" w:type="dxa"/>
            <w:tcBorders>
              <w:top w:val="nil"/>
              <w:left w:val="nil"/>
              <w:bottom w:val="nil"/>
              <w:right w:val="nil"/>
            </w:tcBorders>
            <w:shd w:val="clear" w:color="000000" w:fill="DAF2D0"/>
            <w:noWrap/>
            <w:vAlign w:val="bottom"/>
            <w:hideMark/>
          </w:tcPr>
          <w:p w14:paraId="4F456626" w14:textId="77777777" w:rsidR="00760007" w:rsidRDefault="00760007">
            <w:pPr>
              <w:jc w:val="right"/>
              <w:rPr>
                <w:rFonts w:ascii="Aptos Narrow" w:hAnsi="Aptos Narrow"/>
                <w:color w:val="000000"/>
              </w:rPr>
            </w:pPr>
            <w:r>
              <w:rPr>
                <w:rFonts w:ascii="Aptos Narrow" w:hAnsi="Aptos Narrow"/>
                <w:color w:val="000000"/>
              </w:rPr>
              <w:t>2</w:t>
            </w:r>
          </w:p>
        </w:tc>
        <w:tc>
          <w:tcPr>
            <w:tcW w:w="2020" w:type="dxa"/>
            <w:tcBorders>
              <w:top w:val="nil"/>
              <w:left w:val="nil"/>
              <w:bottom w:val="nil"/>
              <w:right w:val="nil"/>
            </w:tcBorders>
            <w:shd w:val="clear" w:color="000000" w:fill="DAF2D0"/>
            <w:noWrap/>
            <w:vAlign w:val="bottom"/>
            <w:hideMark/>
          </w:tcPr>
          <w:p w14:paraId="346CA6AF" w14:textId="77777777" w:rsidR="00760007" w:rsidRDefault="00760007">
            <w:pPr>
              <w:jc w:val="right"/>
              <w:rPr>
                <w:rFonts w:ascii="Aptos Narrow" w:hAnsi="Aptos Narrow"/>
                <w:color w:val="000000"/>
              </w:rPr>
            </w:pPr>
            <w:r>
              <w:rPr>
                <w:rFonts w:ascii="Aptos Narrow" w:hAnsi="Aptos Narrow"/>
                <w:color w:val="000000"/>
              </w:rPr>
              <w:t>1800</w:t>
            </w:r>
          </w:p>
        </w:tc>
        <w:tc>
          <w:tcPr>
            <w:tcW w:w="2780" w:type="dxa"/>
            <w:tcBorders>
              <w:top w:val="nil"/>
              <w:left w:val="nil"/>
              <w:bottom w:val="nil"/>
              <w:right w:val="nil"/>
            </w:tcBorders>
            <w:shd w:val="clear" w:color="000000" w:fill="DAF2D0"/>
            <w:noWrap/>
            <w:vAlign w:val="bottom"/>
            <w:hideMark/>
          </w:tcPr>
          <w:p w14:paraId="47434A1C" w14:textId="77777777" w:rsidR="00760007" w:rsidRDefault="00760007">
            <w:pPr>
              <w:jc w:val="right"/>
              <w:rPr>
                <w:rFonts w:ascii="Aptos Narrow" w:hAnsi="Aptos Narrow"/>
                <w:color w:val="000000"/>
              </w:rPr>
            </w:pPr>
            <w:r>
              <w:rPr>
                <w:rFonts w:ascii="Aptos Narrow" w:hAnsi="Aptos Narrow"/>
                <w:color w:val="000000"/>
              </w:rPr>
              <w:t>0.985167078</w:t>
            </w:r>
          </w:p>
        </w:tc>
        <w:tc>
          <w:tcPr>
            <w:tcW w:w="3060" w:type="dxa"/>
            <w:tcBorders>
              <w:top w:val="nil"/>
              <w:left w:val="nil"/>
              <w:bottom w:val="nil"/>
              <w:right w:val="nil"/>
            </w:tcBorders>
            <w:shd w:val="clear" w:color="000000" w:fill="DAF2D0"/>
            <w:noWrap/>
            <w:vAlign w:val="bottom"/>
            <w:hideMark/>
          </w:tcPr>
          <w:p w14:paraId="7B7EF966" w14:textId="77777777" w:rsidR="00760007" w:rsidRDefault="00760007">
            <w:pPr>
              <w:jc w:val="right"/>
              <w:rPr>
                <w:rFonts w:ascii="Aptos Narrow" w:hAnsi="Aptos Narrow"/>
                <w:color w:val="000000"/>
              </w:rPr>
            </w:pPr>
            <w:r>
              <w:rPr>
                <w:rFonts w:ascii="Aptos Narrow" w:hAnsi="Aptos Narrow"/>
                <w:color w:val="000000"/>
              </w:rPr>
              <w:t>1773.30</w:t>
            </w:r>
          </w:p>
        </w:tc>
      </w:tr>
      <w:tr w:rsidR="00760007" w14:paraId="09BD7CC2" w14:textId="77777777" w:rsidTr="00760007">
        <w:trPr>
          <w:trHeight w:val="320"/>
        </w:trPr>
        <w:tc>
          <w:tcPr>
            <w:tcW w:w="1800" w:type="dxa"/>
            <w:tcBorders>
              <w:top w:val="nil"/>
              <w:left w:val="nil"/>
              <w:bottom w:val="nil"/>
              <w:right w:val="nil"/>
            </w:tcBorders>
            <w:shd w:val="clear" w:color="000000" w:fill="DAF2D0"/>
            <w:noWrap/>
            <w:vAlign w:val="bottom"/>
            <w:hideMark/>
          </w:tcPr>
          <w:p w14:paraId="1F4183C3" w14:textId="77777777" w:rsidR="00760007" w:rsidRDefault="00760007">
            <w:pPr>
              <w:jc w:val="right"/>
              <w:rPr>
                <w:rFonts w:ascii="Aptos Narrow" w:hAnsi="Aptos Narrow"/>
                <w:color w:val="000000"/>
              </w:rPr>
            </w:pPr>
            <w:r>
              <w:rPr>
                <w:rFonts w:ascii="Aptos Narrow" w:hAnsi="Aptos Narrow"/>
                <w:color w:val="000000"/>
              </w:rPr>
              <w:t>3</w:t>
            </w:r>
          </w:p>
        </w:tc>
        <w:tc>
          <w:tcPr>
            <w:tcW w:w="2020" w:type="dxa"/>
            <w:tcBorders>
              <w:top w:val="nil"/>
              <w:left w:val="nil"/>
              <w:bottom w:val="nil"/>
              <w:right w:val="nil"/>
            </w:tcBorders>
            <w:shd w:val="clear" w:color="000000" w:fill="DAF2D0"/>
            <w:noWrap/>
            <w:vAlign w:val="bottom"/>
            <w:hideMark/>
          </w:tcPr>
          <w:p w14:paraId="2F689839" w14:textId="77777777" w:rsidR="00760007" w:rsidRDefault="00760007">
            <w:pPr>
              <w:jc w:val="right"/>
              <w:rPr>
                <w:rFonts w:ascii="Aptos Narrow" w:hAnsi="Aptos Narrow"/>
                <w:color w:val="000000"/>
              </w:rPr>
            </w:pPr>
            <w:r>
              <w:rPr>
                <w:rFonts w:ascii="Aptos Narrow" w:hAnsi="Aptos Narrow"/>
                <w:color w:val="000000"/>
              </w:rPr>
              <w:t>900</w:t>
            </w:r>
          </w:p>
        </w:tc>
        <w:tc>
          <w:tcPr>
            <w:tcW w:w="2780" w:type="dxa"/>
            <w:tcBorders>
              <w:top w:val="nil"/>
              <w:left w:val="nil"/>
              <w:bottom w:val="nil"/>
              <w:right w:val="nil"/>
            </w:tcBorders>
            <w:shd w:val="clear" w:color="000000" w:fill="DAF2D0"/>
            <w:noWrap/>
            <w:vAlign w:val="bottom"/>
            <w:hideMark/>
          </w:tcPr>
          <w:p w14:paraId="5AA48804" w14:textId="77777777" w:rsidR="00760007" w:rsidRDefault="00760007">
            <w:pPr>
              <w:jc w:val="right"/>
              <w:rPr>
                <w:rFonts w:ascii="Aptos Narrow" w:hAnsi="Aptos Narrow"/>
                <w:color w:val="000000"/>
              </w:rPr>
            </w:pPr>
            <w:r>
              <w:rPr>
                <w:rFonts w:ascii="Aptos Narrow" w:hAnsi="Aptos Narrow"/>
                <w:color w:val="000000"/>
              </w:rPr>
              <w:t>0.977833328</w:t>
            </w:r>
          </w:p>
        </w:tc>
        <w:tc>
          <w:tcPr>
            <w:tcW w:w="3060" w:type="dxa"/>
            <w:tcBorders>
              <w:top w:val="nil"/>
              <w:left w:val="nil"/>
              <w:bottom w:val="nil"/>
              <w:right w:val="nil"/>
            </w:tcBorders>
            <w:shd w:val="clear" w:color="000000" w:fill="DAF2D0"/>
            <w:noWrap/>
            <w:vAlign w:val="bottom"/>
            <w:hideMark/>
          </w:tcPr>
          <w:p w14:paraId="7502DBF7" w14:textId="77777777" w:rsidR="00760007" w:rsidRDefault="00760007">
            <w:pPr>
              <w:jc w:val="right"/>
              <w:rPr>
                <w:rFonts w:ascii="Aptos Narrow" w:hAnsi="Aptos Narrow"/>
                <w:color w:val="000000"/>
              </w:rPr>
            </w:pPr>
            <w:r>
              <w:rPr>
                <w:rFonts w:ascii="Aptos Narrow" w:hAnsi="Aptos Narrow"/>
                <w:color w:val="000000"/>
              </w:rPr>
              <w:t>880.05</w:t>
            </w:r>
          </w:p>
        </w:tc>
      </w:tr>
      <w:tr w:rsidR="00760007" w14:paraId="7799FB53" w14:textId="77777777" w:rsidTr="00760007">
        <w:trPr>
          <w:trHeight w:val="320"/>
        </w:trPr>
        <w:tc>
          <w:tcPr>
            <w:tcW w:w="1800" w:type="dxa"/>
            <w:tcBorders>
              <w:top w:val="nil"/>
              <w:left w:val="nil"/>
              <w:bottom w:val="nil"/>
              <w:right w:val="nil"/>
            </w:tcBorders>
            <w:shd w:val="clear" w:color="000000" w:fill="DAF2D0"/>
            <w:noWrap/>
            <w:vAlign w:val="bottom"/>
            <w:hideMark/>
          </w:tcPr>
          <w:p w14:paraId="4567D2DA" w14:textId="77777777" w:rsidR="00760007" w:rsidRDefault="00760007">
            <w:pPr>
              <w:jc w:val="right"/>
              <w:rPr>
                <w:rFonts w:ascii="Aptos Narrow" w:hAnsi="Aptos Narrow"/>
                <w:color w:val="000000"/>
              </w:rPr>
            </w:pPr>
            <w:r>
              <w:rPr>
                <w:rFonts w:ascii="Aptos Narrow" w:hAnsi="Aptos Narrow"/>
                <w:color w:val="000000"/>
              </w:rPr>
              <w:t>4</w:t>
            </w:r>
          </w:p>
        </w:tc>
        <w:tc>
          <w:tcPr>
            <w:tcW w:w="2020" w:type="dxa"/>
            <w:tcBorders>
              <w:top w:val="nil"/>
              <w:left w:val="nil"/>
              <w:bottom w:val="nil"/>
              <w:right w:val="nil"/>
            </w:tcBorders>
            <w:shd w:val="clear" w:color="000000" w:fill="DAF2D0"/>
            <w:noWrap/>
            <w:vAlign w:val="bottom"/>
            <w:hideMark/>
          </w:tcPr>
          <w:p w14:paraId="3B10CDC3" w14:textId="77777777" w:rsidR="00760007" w:rsidRDefault="00760007">
            <w:pPr>
              <w:jc w:val="right"/>
              <w:rPr>
                <w:rFonts w:ascii="Aptos Narrow" w:hAnsi="Aptos Narrow"/>
                <w:color w:val="000000"/>
              </w:rPr>
            </w:pPr>
            <w:r>
              <w:rPr>
                <w:rFonts w:ascii="Aptos Narrow" w:hAnsi="Aptos Narrow"/>
                <w:color w:val="000000"/>
              </w:rPr>
              <w:t>-397.8</w:t>
            </w:r>
          </w:p>
        </w:tc>
        <w:tc>
          <w:tcPr>
            <w:tcW w:w="2780" w:type="dxa"/>
            <w:tcBorders>
              <w:top w:val="nil"/>
              <w:left w:val="nil"/>
              <w:bottom w:val="nil"/>
              <w:right w:val="nil"/>
            </w:tcBorders>
            <w:shd w:val="clear" w:color="000000" w:fill="DAF2D0"/>
            <w:noWrap/>
            <w:vAlign w:val="bottom"/>
            <w:hideMark/>
          </w:tcPr>
          <w:p w14:paraId="0EB28025" w14:textId="77777777" w:rsidR="00760007" w:rsidRDefault="00760007">
            <w:pPr>
              <w:jc w:val="right"/>
              <w:rPr>
                <w:rFonts w:ascii="Aptos Narrow" w:hAnsi="Aptos Narrow"/>
                <w:color w:val="000000"/>
              </w:rPr>
            </w:pPr>
            <w:r>
              <w:rPr>
                <w:rFonts w:ascii="Aptos Narrow" w:hAnsi="Aptos Narrow"/>
                <w:color w:val="000000"/>
              </w:rPr>
              <w:t>0.970554172</w:t>
            </w:r>
          </w:p>
        </w:tc>
        <w:tc>
          <w:tcPr>
            <w:tcW w:w="3060" w:type="dxa"/>
            <w:tcBorders>
              <w:top w:val="nil"/>
              <w:left w:val="nil"/>
              <w:bottom w:val="nil"/>
              <w:right w:val="nil"/>
            </w:tcBorders>
            <w:shd w:val="clear" w:color="000000" w:fill="DAF2D0"/>
            <w:noWrap/>
            <w:vAlign w:val="bottom"/>
            <w:hideMark/>
          </w:tcPr>
          <w:p w14:paraId="70EAB7CC" w14:textId="77777777" w:rsidR="00760007" w:rsidRDefault="00760007">
            <w:pPr>
              <w:jc w:val="right"/>
              <w:rPr>
                <w:rFonts w:ascii="Aptos Narrow" w:hAnsi="Aptos Narrow"/>
                <w:color w:val="000000"/>
              </w:rPr>
            </w:pPr>
            <w:r>
              <w:rPr>
                <w:rFonts w:ascii="Aptos Narrow" w:hAnsi="Aptos Narrow"/>
                <w:color w:val="000000"/>
              </w:rPr>
              <w:t>-386.09</w:t>
            </w:r>
          </w:p>
        </w:tc>
      </w:tr>
      <w:tr w:rsidR="00760007" w14:paraId="3F2F7618" w14:textId="77777777" w:rsidTr="00760007">
        <w:trPr>
          <w:trHeight w:val="320"/>
        </w:trPr>
        <w:tc>
          <w:tcPr>
            <w:tcW w:w="1800" w:type="dxa"/>
            <w:tcBorders>
              <w:top w:val="nil"/>
              <w:left w:val="nil"/>
              <w:bottom w:val="nil"/>
              <w:right w:val="nil"/>
            </w:tcBorders>
            <w:shd w:val="clear" w:color="000000" w:fill="DAF2D0"/>
            <w:noWrap/>
            <w:vAlign w:val="bottom"/>
            <w:hideMark/>
          </w:tcPr>
          <w:p w14:paraId="694BA6D8" w14:textId="77777777" w:rsidR="00760007" w:rsidRDefault="00760007">
            <w:pPr>
              <w:rPr>
                <w:rFonts w:ascii="Aptos Narrow" w:hAnsi="Aptos Narrow"/>
                <w:color w:val="000000"/>
              </w:rPr>
            </w:pPr>
            <w:r>
              <w:rPr>
                <w:rFonts w:ascii="Aptos Narrow" w:hAnsi="Aptos Narrow"/>
                <w:color w:val="000000"/>
              </w:rPr>
              <w:t> </w:t>
            </w:r>
          </w:p>
        </w:tc>
        <w:tc>
          <w:tcPr>
            <w:tcW w:w="2020" w:type="dxa"/>
            <w:tcBorders>
              <w:top w:val="nil"/>
              <w:left w:val="nil"/>
              <w:bottom w:val="nil"/>
              <w:right w:val="nil"/>
            </w:tcBorders>
            <w:shd w:val="clear" w:color="000000" w:fill="DAF2D0"/>
            <w:noWrap/>
            <w:vAlign w:val="bottom"/>
            <w:hideMark/>
          </w:tcPr>
          <w:p w14:paraId="164CAAE0" w14:textId="77777777" w:rsidR="00760007" w:rsidRDefault="00760007">
            <w:pPr>
              <w:rPr>
                <w:rFonts w:ascii="Aptos Narrow" w:hAnsi="Aptos Narrow"/>
                <w:color w:val="000000"/>
              </w:rPr>
            </w:pPr>
            <w:r>
              <w:rPr>
                <w:rFonts w:ascii="Aptos Narrow" w:hAnsi="Aptos Narrow"/>
                <w:color w:val="000000"/>
              </w:rPr>
              <w:t> </w:t>
            </w:r>
          </w:p>
        </w:tc>
        <w:tc>
          <w:tcPr>
            <w:tcW w:w="2780" w:type="dxa"/>
            <w:tcBorders>
              <w:top w:val="nil"/>
              <w:left w:val="nil"/>
              <w:bottom w:val="nil"/>
              <w:right w:val="nil"/>
            </w:tcBorders>
            <w:shd w:val="clear" w:color="000000" w:fill="B5E6A2"/>
            <w:noWrap/>
            <w:vAlign w:val="bottom"/>
            <w:hideMark/>
          </w:tcPr>
          <w:p w14:paraId="16441743" w14:textId="77777777" w:rsidR="00760007" w:rsidRDefault="00760007">
            <w:pPr>
              <w:jc w:val="right"/>
              <w:rPr>
                <w:rFonts w:ascii="Aptos Narrow" w:hAnsi="Aptos Narrow"/>
                <w:color w:val="000000"/>
              </w:rPr>
            </w:pPr>
            <w:r>
              <w:rPr>
                <w:rFonts w:ascii="Aptos Narrow" w:hAnsi="Aptos Narrow"/>
                <w:color w:val="000000"/>
              </w:rPr>
              <w:t>NPV</w:t>
            </w:r>
          </w:p>
        </w:tc>
        <w:tc>
          <w:tcPr>
            <w:tcW w:w="3060" w:type="dxa"/>
            <w:tcBorders>
              <w:top w:val="nil"/>
              <w:left w:val="nil"/>
              <w:bottom w:val="nil"/>
              <w:right w:val="nil"/>
            </w:tcBorders>
            <w:shd w:val="clear" w:color="000000" w:fill="B5E6A2"/>
            <w:noWrap/>
            <w:vAlign w:val="bottom"/>
            <w:hideMark/>
          </w:tcPr>
          <w:p w14:paraId="4D3D2E8B" w14:textId="77777777" w:rsidR="00760007" w:rsidRDefault="00760007">
            <w:pPr>
              <w:jc w:val="right"/>
              <w:rPr>
                <w:rFonts w:ascii="Aptos Narrow" w:hAnsi="Aptos Narrow"/>
                <w:color w:val="000000"/>
              </w:rPr>
            </w:pPr>
            <w:r>
              <w:rPr>
                <w:rFonts w:ascii="Aptos Narrow" w:hAnsi="Aptos Narrow"/>
                <w:color w:val="000000"/>
              </w:rPr>
              <w:t>-997.24</w:t>
            </w:r>
          </w:p>
        </w:tc>
      </w:tr>
    </w:tbl>
    <w:p w14:paraId="19172E13" w14:textId="75E88D28" w:rsidR="002164CA" w:rsidRDefault="001F4C75" w:rsidP="00E320FF">
      <w:pPr>
        <w:pStyle w:val="NormalWeb"/>
        <w:spacing w:line="360" w:lineRule="auto"/>
        <w:rPr>
          <w:rFonts w:ascii="Arial" w:hAnsi="Arial" w:cs="Arial"/>
          <w:b/>
          <w:bCs/>
          <w:sz w:val="22"/>
          <w:szCs w:val="22"/>
        </w:rPr>
      </w:pPr>
      <w:r w:rsidRPr="001F4C75">
        <w:rPr>
          <w:rFonts w:ascii="Arial" w:hAnsi="Arial" w:cs="Arial"/>
          <w:b/>
          <w:bCs/>
          <w:sz w:val="22"/>
          <w:szCs w:val="22"/>
        </w:rPr>
        <w:t xml:space="preserve">Project A </w:t>
      </w:r>
      <w:r w:rsidRPr="001F4C75">
        <w:rPr>
          <w:rFonts w:ascii="Arial" w:hAnsi="Arial" w:cs="Arial"/>
          <w:b/>
          <w:bCs/>
          <w:sz w:val="22"/>
          <w:szCs w:val="22"/>
        </w:rPr>
        <w:t xml:space="preserve">initial investment </w:t>
      </w:r>
      <w:r w:rsidRPr="001F4C75">
        <w:rPr>
          <w:rFonts w:ascii="Arial" w:hAnsi="Arial" w:cs="Arial"/>
          <w:b/>
          <w:bCs/>
          <w:sz w:val="22"/>
          <w:szCs w:val="22"/>
        </w:rPr>
        <w:t>increased by 10%, and all cash flows fell by 10%</w:t>
      </w:r>
      <w:r w:rsidRPr="001F4C75">
        <w:rPr>
          <w:rFonts w:ascii="Arial" w:hAnsi="Arial" w:cs="Arial"/>
          <w:b/>
          <w:bCs/>
          <w:sz w:val="22"/>
          <w:szCs w:val="22"/>
        </w:rPr>
        <w:t xml:space="preserve"> NPV is -997.24 </w:t>
      </w:r>
    </w:p>
    <w:p w14:paraId="73D38D7E" w14:textId="23838608" w:rsidR="00565E33" w:rsidRPr="00475CE2" w:rsidRDefault="00475CE2" w:rsidP="00E320FF">
      <w:pPr>
        <w:pStyle w:val="NormalWeb"/>
        <w:spacing w:line="360" w:lineRule="auto"/>
        <w:rPr>
          <w:rFonts w:ascii="Arial" w:hAnsi="Arial" w:cs="Arial"/>
          <w:sz w:val="22"/>
          <w:szCs w:val="22"/>
        </w:rPr>
      </w:pPr>
      <w:r w:rsidRPr="00475CE2">
        <w:rPr>
          <w:rFonts w:ascii="Arial" w:hAnsi="Arial" w:cs="Arial"/>
          <w:sz w:val="22"/>
          <w:szCs w:val="22"/>
        </w:rPr>
        <w:t xml:space="preserve">A negative NPV indicates that Project A may not generate enough returns to cover its investment due to changes in the project's initial investment and cash flows. This analysis emphasises how important it is to thoroughly consider the financial </w:t>
      </w:r>
      <w:proofErr w:type="gramStart"/>
      <w:r w:rsidRPr="00475CE2">
        <w:rPr>
          <w:rFonts w:ascii="Arial" w:hAnsi="Arial" w:cs="Arial"/>
          <w:sz w:val="22"/>
          <w:szCs w:val="22"/>
        </w:rPr>
        <w:t>consequences  of</w:t>
      </w:r>
      <w:proofErr w:type="gramEnd"/>
      <w:r w:rsidRPr="00475CE2">
        <w:rPr>
          <w:rFonts w:ascii="Arial" w:hAnsi="Arial" w:cs="Arial"/>
          <w:sz w:val="22"/>
          <w:szCs w:val="22"/>
        </w:rPr>
        <w:t xml:space="preserve"> project variable changes and assess how they will affect the generation of value and project profitability. It also shows how important thorough financial analysis and scenario planning are to making wise investment choices and reducing potential hazards related to capital projects.</w:t>
      </w:r>
    </w:p>
    <w:p w14:paraId="0AB05EA2" w14:textId="1E86B0A7" w:rsidR="002533F4" w:rsidRDefault="002533F4" w:rsidP="002533F4">
      <w:pPr>
        <w:pStyle w:val="NormalWeb"/>
        <w:rPr>
          <w:rFonts w:ascii="Arial" w:hAnsi="Arial" w:cs="Arial"/>
          <w:b/>
          <w:bCs/>
          <w:sz w:val="22"/>
          <w:szCs w:val="22"/>
        </w:rPr>
      </w:pPr>
      <w:r>
        <w:rPr>
          <w:rFonts w:ascii="Arial" w:hAnsi="Arial" w:cs="Arial"/>
          <w:b/>
          <w:bCs/>
          <w:sz w:val="22"/>
          <w:szCs w:val="22"/>
        </w:rPr>
        <w:t xml:space="preserve">Project </w:t>
      </w:r>
      <w:r>
        <w:rPr>
          <w:rFonts w:ascii="Arial" w:hAnsi="Arial" w:cs="Arial"/>
          <w:b/>
          <w:bCs/>
          <w:sz w:val="22"/>
          <w:szCs w:val="22"/>
        </w:rPr>
        <w:t>B</w:t>
      </w:r>
      <w:r w:rsidR="001F4C75">
        <w:rPr>
          <w:rFonts w:ascii="Arial" w:hAnsi="Arial" w:cs="Arial"/>
          <w:b/>
          <w:bCs/>
          <w:sz w:val="22"/>
          <w:szCs w:val="22"/>
        </w:rPr>
        <w:t xml:space="preserve"> investment</w:t>
      </w:r>
      <w:r>
        <w:rPr>
          <w:rFonts w:ascii="Arial" w:hAnsi="Arial" w:cs="Arial"/>
          <w:b/>
          <w:bCs/>
          <w:sz w:val="22"/>
          <w:szCs w:val="22"/>
        </w:rPr>
        <w:t xml:space="preserve"> increased by 10%, and all cash flows fell by 10% </w:t>
      </w:r>
      <w:proofErr w:type="gramStart"/>
      <w:r>
        <w:rPr>
          <w:rFonts w:ascii="Arial" w:hAnsi="Arial" w:cs="Arial"/>
          <w:b/>
          <w:bCs/>
          <w:sz w:val="22"/>
          <w:szCs w:val="22"/>
        </w:rPr>
        <w:t>NPV</w:t>
      </w:r>
      <w:proofErr w:type="gramEnd"/>
      <w:r>
        <w:rPr>
          <w:rFonts w:ascii="Arial" w:hAnsi="Arial" w:cs="Arial"/>
          <w:b/>
          <w:bCs/>
          <w:sz w:val="22"/>
          <w:szCs w:val="22"/>
        </w:rPr>
        <w:t xml:space="preserve"> </w:t>
      </w:r>
    </w:p>
    <w:p w14:paraId="2B2B1D1B" w14:textId="0CF2BDC4" w:rsidR="002533F4" w:rsidRDefault="00200A65" w:rsidP="00200A65">
      <w:pPr>
        <w:pStyle w:val="Caption"/>
        <w:rPr>
          <w:rFonts w:ascii="Arial Narrow" w:hAnsi="Arial Narrow" w:cs="Arial"/>
          <w:i w:val="0"/>
          <w:iCs w:val="0"/>
          <w:sz w:val="22"/>
          <w:szCs w:val="22"/>
        </w:rPr>
      </w:pPr>
      <w:bookmarkStart w:id="25" w:name="_Toc164849556"/>
      <w:r>
        <w:t xml:space="preserve">Table </w:t>
      </w:r>
      <w:r>
        <w:fldChar w:fldCharType="begin"/>
      </w:r>
      <w:r>
        <w:instrText xml:space="preserve"> SEQ Table \* ARABIC </w:instrText>
      </w:r>
      <w:r>
        <w:fldChar w:fldCharType="separate"/>
      </w:r>
      <w:r w:rsidR="00083413">
        <w:rPr>
          <w:noProof/>
        </w:rPr>
        <w:t>17</w:t>
      </w:r>
      <w:r>
        <w:fldChar w:fldCharType="end"/>
      </w:r>
      <w:r w:rsidRPr="00143908">
        <w:t>NPV Project A increased by 10%, and all cash flows fell by 10% NPV (Source: Autor)</w:t>
      </w:r>
      <w:bookmarkEnd w:id="25"/>
    </w:p>
    <w:tbl>
      <w:tblPr>
        <w:tblW w:w="9660" w:type="dxa"/>
        <w:tblLook w:val="04A0" w:firstRow="1" w:lastRow="0" w:firstColumn="1" w:lastColumn="0" w:noHBand="0" w:noVBand="1"/>
      </w:tblPr>
      <w:tblGrid>
        <w:gridCol w:w="1800"/>
        <w:gridCol w:w="2020"/>
        <w:gridCol w:w="2780"/>
        <w:gridCol w:w="3060"/>
      </w:tblGrid>
      <w:tr w:rsidR="00760007" w14:paraId="01E46D95" w14:textId="77777777" w:rsidTr="00760007">
        <w:trPr>
          <w:trHeight w:val="320"/>
        </w:trPr>
        <w:tc>
          <w:tcPr>
            <w:tcW w:w="1800" w:type="dxa"/>
            <w:tcBorders>
              <w:top w:val="nil"/>
              <w:left w:val="nil"/>
              <w:bottom w:val="nil"/>
              <w:right w:val="nil"/>
            </w:tcBorders>
            <w:shd w:val="clear" w:color="000000" w:fill="D86DCD"/>
            <w:noWrap/>
            <w:vAlign w:val="bottom"/>
            <w:hideMark/>
          </w:tcPr>
          <w:p w14:paraId="0684AFA2" w14:textId="77777777" w:rsidR="00760007" w:rsidRDefault="00760007">
            <w:pPr>
              <w:rPr>
                <w:rFonts w:ascii="Aptos Narrow" w:hAnsi="Aptos Narrow"/>
                <w:color w:val="000000"/>
              </w:rPr>
            </w:pPr>
            <w:r>
              <w:rPr>
                <w:rFonts w:ascii="Aptos Narrow" w:hAnsi="Aptos Narrow"/>
                <w:color w:val="000000"/>
              </w:rPr>
              <w:t>Year</w:t>
            </w:r>
          </w:p>
        </w:tc>
        <w:tc>
          <w:tcPr>
            <w:tcW w:w="2020" w:type="dxa"/>
            <w:tcBorders>
              <w:top w:val="nil"/>
              <w:left w:val="nil"/>
              <w:bottom w:val="nil"/>
              <w:right w:val="nil"/>
            </w:tcBorders>
            <w:shd w:val="clear" w:color="000000" w:fill="D86DCD"/>
            <w:noWrap/>
            <w:vAlign w:val="bottom"/>
            <w:hideMark/>
          </w:tcPr>
          <w:p w14:paraId="2B527B59" w14:textId="5AFDFE37" w:rsidR="00760007" w:rsidRDefault="00760007">
            <w:pPr>
              <w:rPr>
                <w:rFonts w:ascii="Aptos Narrow" w:hAnsi="Aptos Narrow"/>
                <w:color w:val="000000"/>
              </w:rPr>
            </w:pPr>
            <w:r>
              <w:rPr>
                <w:rFonts w:ascii="Aptos Narrow" w:hAnsi="Aptos Narrow"/>
                <w:color w:val="000000"/>
              </w:rPr>
              <w:t xml:space="preserve">Project </w:t>
            </w:r>
            <w:r w:rsidR="00475CE2">
              <w:rPr>
                <w:rFonts w:ascii="Aptos Narrow" w:hAnsi="Aptos Narrow"/>
                <w:color w:val="000000"/>
              </w:rPr>
              <w:t>B</w:t>
            </w:r>
          </w:p>
        </w:tc>
        <w:tc>
          <w:tcPr>
            <w:tcW w:w="2780" w:type="dxa"/>
            <w:tcBorders>
              <w:top w:val="nil"/>
              <w:left w:val="nil"/>
              <w:bottom w:val="nil"/>
              <w:right w:val="nil"/>
            </w:tcBorders>
            <w:shd w:val="clear" w:color="000000" w:fill="D86DCD"/>
            <w:noWrap/>
            <w:vAlign w:val="bottom"/>
            <w:hideMark/>
          </w:tcPr>
          <w:p w14:paraId="1652C03B" w14:textId="77777777" w:rsidR="00760007" w:rsidRDefault="00760007">
            <w:pPr>
              <w:rPr>
                <w:rFonts w:ascii="Aptos Narrow" w:hAnsi="Aptos Narrow"/>
                <w:color w:val="000000"/>
              </w:rPr>
            </w:pPr>
            <w:r>
              <w:rPr>
                <w:rFonts w:ascii="Aptos Narrow" w:hAnsi="Aptos Narrow"/>
                <w:color w:val="000000"/>
              </w:rPr>
              <w:t>Discount factor 0.75%</w:t>
            </w:r>
          </w:p>
        </w:tc>
        <w:tc>
          <w:tcPr>
            <w:tcW w:w="3060" w:type="dxa"/>
            <w:tcBorders>
              <w:top w:val="nil"/>
              <w:left w:val="nil"/>
              <w:bottom w:val="nil"/>
              <w:right w:val="nil"/>
            </w:tcBorders>
            <w:shd w:val="clear" w:color="000000" w:fill="D86DCD"/>
            <w:noWrap/>
            <w:vAlign w:val="bottom"/>
            <w:hideMark/>
          </w:tcPr>
          <w:p w14:paraId="7FA54210" w14:textId="77777777" w:rsidR="00760007" w:rsidRDefault="00760007">
            <w:pPr>
              <w:rPr>
                <w:rFonts w:ascii="Aptos Narrow" w:hAnsi="Aptos Narrow"/>
                <w:color w:val="000000"/>
              </w:rPr>
            </w:pPr>
            <w:r>
              <w:rPr>
                <w:rFonts w:ascii="Aptos Narrow" w:hAnsi="Aptos Narrow"/>
                <w:color w:val="000000"/>
              </w:rPr>
              <w:t>NP</w:t>
            </w:r>
          </w:p>
        </w:tc>
      </w:tr>
      <w:tr w:rsidR="00760007" w14:paraId="09C21349" w14:textId="77777777" w:rsidTr="00760007">
        <w:trPr>
          <w:trHeight w:val="320"/>
        </w:trPr>
        <w:tc>
          <w:tcPr>
            <w:tcW w:w="1800" w:type="dxa"/>
            <w:tcBorders>
              <w:top w:val="nil"/>
              <w:left w:val="nil"/>
              <w:bottom w:val="nil"/>
              <w:right w:val="nil"/>
            </w:tcBorders>
            <w:shd w:val="clear" w:color="000000" w:fill="F2CEEF"/>
            <w:noWrap/>
            <w:vAlign w:val="bottom"/>
            <w:hideMark/>
          </w:tcPr>
          <w:p w14:paraId="334C93B8" w14:textId="77777777" w:rsidR="00760007" w:rsidRDefault="00760007">
            <w:pPr>
              <w:jc w:val="right"/>
              <w:rPr>
                <w:rFonts w:ascii="Aptos Narrow" w:hAnsi="Aptos Narrow"/>
                <w:color w:val="000000"/>
              </w:rPr>
            </w:pPr>
            <w:r>
              <w:rPr>
                <w:rFonts w:ascii="Aptos Narrow" w:hAnsi="Aptos Narrow"/>
                <w:color w:val="000000"/>
              </w:rPr>
              <w:t>0</w:t>
            </w:r>
          </w:p>
        </w:tc>
        <w:tc>
          <w:tcPr>
            <w:tcW w:w="2020" w:type="dxa"/>
            <w:tcBorders>
              <w:top w:val="nil"/>
              <w:left w:val="nil"/>
              <w:bottom w:val="nil"/>
              <w:right w:val="nil"/>
            </w:tcBorders>
            <w:shd w:val="clear" w:color="000000" w:fill="F2CEEF"/>
            <w:noWrap/>
            <w:vAlign w:val="bottom"/>
            <w:hideMark/>
          </w:tcPr>
          <w:p w14:paraId="1BCBC23B" w14:textId="77777777" w:rsidR="00760007" w:rsidRDefault="00760007">
            <w:pPr>
              <w:jc w:val="right"/>
              <w:rPr>
                <w:rFonts w:ascii="Aptos Narrow" w:hAnsi="Aptos Narrow"/>
                <w:color w:val="000000"/>
              </w:rPr>
            </w:pPr>
            <w:r>
              <w:rPr>
                <w:rFonts w:ascii="Aptos Narrow" w:hAnsi="Aptos Narrow"/>
                <w:color w:val="000000"/>
              </w:rPr>
              <w:t>-1100</w:t>
            </w:r>
          </w:p>
        </w:tc>
        <w:tc>
          <w:tcPr>
            <w:tcW w:w="2780" w:type="dxa"/>
            <w:tcBorders>
              <w:top w:val="nil"/>
              <w:left w:val="nil"/>
              <w:bottom w:val="nil"/>
              <w:right w:val="nil"/>
            </w:tcBorders>
            <w:shd w:val="clear" w:color="000000" w:fill="F2CEEF"/>
            <w:noWrap/>
            <w:vAlign w:val="bottom"/>
            <w:hideMark/>
          </w:tcPr>
          <w:p w14:paraId="72E70761" w14:textId="77777777" w:rsidR="00760007" w:rsidRDefault="00760007">
            <w:pPr>
              <w:jc w:val="right"/>
              <w:rPr>
                <w:rFonts w:ascii="Aptos Narrow" w:hAnsi="Aptos Narrow"/>
                <w:color w:val="000000"/>
              </w:rPr>
            </w:pPr>
            <w:r>
              <w:rPr>
                <w:rFonts w:ascii="Aptos Narrow" w:hAnsi="Aptos Narrow"/>
                <w:color w:val="000000"/>
              </w:rPr>
              <w:t>1</w:t>
            </w:r>
          </w:p>
        </w:tc>
        <w:tc>
          <w:tcPr>
            <w:tcW w:w="3060" w:type="dxa"/>
            <w:tcBorders>
              <w:top w:val="nil"/>
              <w:left w:val="nil"/>
              <w:bottom w:val="nil"/>
              <w:right w:val="nil"/>
            </w:tcBorders>
            <w:shd w:val="clear" w:color="000000" w:fill="F2CEEF"/>
            <w:noWrap/>
            <w:vAlign w:val="bottom"/>
            <w:hideMark/>
          </w:tcPr>
          <w:p w14:paraId="24130C0D" w14:textId="77777777" w:rsidR="00760007" w:rsidRDefault="00760007">
            <w:pPr>
              <w:jc w:val="right"/>
              <w:rPr>
                <w:rFonts w:ascii="Aptos Narrow" w:hAnsi="Aptos Narrow"/>
                <w:color w:val="000000"/>
              </w:rPr>
            </w:pPr>
            <w:r>
              <w:rPr>
                <w:rFonts w:ascii="Aptos Narrow" w:hAnsi="Aptos Narrow"/>
                <w:color w:val="000000"/>
              </w:rPr>
              <w:t>-1100</w:t>
            </w:r>
          </w:p>
        </w:tc>
      </w:tr>
      <w:tr w:rsidR="00760007" w14:paraId="3A9972C7" w14:textId="77777777" w:rsidTr="00760007">
        <w:trPr>
          <w:trHeight w:val="320"/>
        </w:trPr>
        <w:tc>
          <w:tcPr>
            <w:tcW w:w="1800" w:type="dxa"/>
            <w:tcBorders>
              <w:top w:val="nil"/>
              <w:left w:val="nil"/>
              <w:bottom w:val="nil"/>
              <w:right w:val="nil"/>
            </w:tcBorders>
            <w:shd w:val="clear" w:color="000000" w:fill="F2CEEF"/>
            <w:noWrap/>
            <w:vAlign w:val="bottom"/>
            <w:hideMark/>
          </w:tcPr>
          <w:p w14:paraId="756A92B6" w14:textId="77777777" w:rsidR="00760007" w:rsidRDefault="00760007">
            <w:pPr>
              <w:jc w:val="right"/>
              <w:rPr>
                <w:rFonts w:ascii="Aptos Narrow" w:hAnsi="Aptos Narrow"/>
                <w:color w:val="000000"/>
              </w:rPr>
            </w:pPr>
            <w:r>
              <w:rPr>
                <w:rFonts w:ascii="Aptos Narrow" w:hAnsi="Aptos Narrow"/>
                <w:color w:val="000000"/>
              </w:rPr>
              <w:t>1</w:t>
            </w:r>
          </w:p>
        </w:tc>
        <w:tc>
          <w:tcPr>
            <w:tcW w:w="2020" w:type="dxa"/>
            <w:tcBorders>
              <w:top w:val="nil"/>
              <w:left w:val="nil"/>
              <w:bottom w:val="nil"/>
              <w:right w:val="nil"/>
            </w:tcBorders>
            <w:shd w:val="clear" w:color="000000" w:fill="F2CEEF"/>
            <w:noWrap/>
            <w:vAlign w:val="bottom"/>
            <w:hideMark/>
          </w:tcPr>
          <w:p w14:paraId="148B3CFE" w14:textId="77777777" w:rsidR="00760007" w:rsidRDefault="00760007">
            <w:pPr>
              <w:jc w:val="right"/>
              <w:rPr>
                <w:rFonts w:ascii="Aptos Narrow" w:hAnsi="Aptos Narrow"/>
                <w:color w:val="000000"/>
              </w:rPr>
            </w:pPr>
            <w:r>
              <w:rPr>
                <w:rFonts w:ascii="Aptos Narrow" w:hAnsi="Aptos Narrow"/>
                <w:color w:val="000000"/>
              </w:rPr>
              <w:t>1350</w:t>
            </w:r>
          </w:p>
        </w:tc>
        <w:tc>
          <w:tcPr>
            <w:tcW w:w="2780" w:type="dxa"/>
            <w:tcBorders>
              <w:top w:val="nil"/>
              <w:left w:val="nil"/>
              <w:bottom w:val="nil"/>
              <w:right w:val="nil"/>
            </w:tcBorders>
            <w:shd w:val="clear" w:color="000000" w:fill="F2CEEF"/>
            <w:noWrap/>
            <w:vAlign w:val="bottom"/>
            <w:hideMark/>
          </w:tcPr>
          <w:p w14:paraId="3CAF8CE7" w14:textId="77777777" w:rsidR="00760007" w:rsidRDefault="00760007">
            <w:pPr>
              <w:jc w:val="right"/>
              <w:rPr>
                <w:rFonts w:ascii="Aptos Narrow" w:hAnsi="Aptos Narrow"/>
                <w:color w:val="000000"/>
              </w:rPr>
            </w:pPr>
            <w:r>
              <w:rPr>
                <w:rFonts w:ascii="Aptos Narrow" w:hAnsi="Aptos Narrow"/>
                <w:color w:val="000000"/>
              </w:rPr>
              <w:t>0.993555831</w:t>
            </w:r>
          </w:p>
        </w:tc>
        <w:tc>
          <w:tcPr>
            <w:tcW w:w="3060" w:type="dxa"/>
            <w:tcBorders>
              <w:top w:val="nil"/>
              <w:left w:val="nil"/>
              <w:bottom w:val="nil"/>
              <w:right w:val="nil"/>
            </w:tcBorders>
            <w:shd w:val="clear" w:color="000000" w:fill="F2CEEF"/>
            <w:noWrap/>
            <w:vAlign w:val="bottom"/>
            <w:hideMark/>
          </w:tcPr>
          <w:p w14:paraId="35BD4F56" w14:textId="77777777" w:rsidR="00760007" w:rsidRDefault="00760007">
            <w:pPr>
              <w:jc w:val="right"/>
              <w:rPr>
                <w:rFonts w:ascii="Aptos Narrow" w:hAnsi="Aptos Narrow"/>
                <w:color w:val="000000"/>
              </w:rPr>
            </w:pPr>
            <w:r>
              <w:rPr>
                <w:rFonts w:ascii="Aptos Narrow" w:hAnsi="Aptos Narrow"/>
                <w:color w:val="000000"/>
              </w:rPr>
              <w:t>1341.30</w:t>
            </w:r>
          </w:p>
        </w:tc>
      </w:tr>
      <w:tr w:rsidR="00760007" w14:paraId="7D5F8D13" w14:textId="77777777" w:rsidTr="00760007">
        <w:trPr>
          <w:trHeight w:val="320"/>
        </w:trPr>
        <w:tc>
          <w:tcPr>
            <w:tcW w:w="1800" w:type="dxa"/>
            <w:tcBorders>
              <w:top w:val="nil"/>
              <w:left w:val="nil"/>
              <w:bottom w:val="nil"/>
              <w:right w:val="nil"/>
            </w:tcBorders>
            <w:shd w:val="clear" w:color="000000" w:fill="F2CEEF"/>
            <w:noWrap/>
            <w:vAlign w:val="bottom"/>
            <w:hideMark/>
          </w:tcPr>
          <w:p w14:paraId="2BD522A6" w14:textId="77777777" w:rsidR="00760007" w:rsidRDefault="00760007">
            <w:pPr>
              <w:jc w:val="right"/>
              <w:rPr>
                <w:rFonts w:ascii="Aptos Narrow" w:hAnsi="Aptos Narrow"/>
                <w:color w:val="000000"/>
              </w:rPr>
            </w:pPr>
            <w:r>
              <w:rPr>
                <w:rFonts w:ascii="Aptos Narrow" w:hAnsi="Aptos Narrow"/>
                <w:color w:val="000000"/>
              </w:rPr>
              <w:t>2</w:t>
            </w:r>
          </w:p>
        </w:tc>
        <w:tc>
          <w:tcPr>
            <w:tcW w:w="2020" w:type="dxa"/>
            <w:tcBorders>
              <w:top w:val="nil"/>
              <w:left w:val="nil"/>
              <w:bottom w:val="nil"/>
              <w:right w:val="nil"/>
            </w:tcBorders>
            <w:shd w:val="clear" w:color="000000" w:fill="F2CEEF"/>
            <w:noWrap/>
            <w:vAlign w:val="bottom"/>
            <w:hideMark/>
          </w:tcPr>
          <w:p w14:paraId="2A9EF26D" w14:textId="77777777" w:rsidR="00760007" w:rsidRDefault="00760007">
            <w:pPr>
              <w:jc w:val="right"/>
              <w:rPr>
                <w:rFonts w:ascii="Aptos Narrow" w:hAnsi="Aptos Narrow"/>
                <w:color w:val="000000"/>
              </w:rPr>
            </w:pPr>
            <w:r>
              <w:rPr>
                <w:rFonts w:ascii="Aptos Narrow" w:hAnsi="Aptos Narrow"/>
                <w:color w:val="000000"/>
              </w:rPr>
              <w:t>900</w:t>
            </w:r>
          </w:p>
        </w:tc>
        <w:tc>
          <w:tcPr>
            <w:tcW w:w="2780" w:type="dxa"/>
            <w:tcBorders>
              <w:top w:val="nil"/>
              <w:left w:val="nil"/>
              <w:bottom w:val="nil"/>
              <w:right w:val="nil"/>
            </w:tcBorders>
            <w:shd w:val="clear" w:color="000000" w:fill="F2CEEF"/>
            <w:noWrap/>
            <w:vAlign w:val="bottom"/>
            <w:hideMark/>
          </w:tcPr>
          <w:p w14:paraId="2EC71B50" w14:textId="77777777" w:rsidR="00760007" w:rsidRDefault="00760007">
            <w:pPr>
              <w:jc w:val="right"/>
              <w:rPr>
                <w:rFonts w:ascii="Aptos Narrow" w:hAnsi="Aptos Narrow"/>
                <w:color w:val="000000"/>
              </w:rPr>
            </w:pPr>
            <w:r>
              <w:rPr>
                <w:rFonts w:ascii="Aptos Narrow" w:hAnsi="Aptos Narrow"/>
                <w:color w:val="000000"/>
              </w:rPr>
              <w:t>0.985167078</w:t>
            </w:r>
          </w:p>
        </w:tc>
        <w:tc>
          <w:tcPr>
            <w:tcW w:w="3060" w:type="dxa"/>
            <w:tcBorders>
              <w:top w:val="nil"/>
              <w:left w:val="nil"/>
              <w:bottom w:val="nil"/>
              <w:right w:val="nil"/>
            </w:tcBorders>
            <w:shd w:val="clear" w:color="000000" w:fill="F2CEEF"/>
            <w:noWrap/>
            <w:vAlign w:val="bottom"/>
            <w:hideMark/>
          </w:tcPr>
          <w:p w14:paraId="276F8C21" w14:textId="77777777" w:rsidR="00760007" w:rsidRDefault="00760007">
            <w:pPr>
              <w:jc w:val="right"/>
              <w:rPr>
                <w:rFonts w:ascii="Aptos Narrow" w:hAnsi="Aptos Narrow"/>
                <w:color w:val="000000"/>
              </w:rPr>
            </w:pPr>
            <w:r>
              <w:rPr>
                <w:rFonts w:ascii="Aptos Narrow" w:hAnsi="Aptos Narrow"/>
                <w:color w:val="000000"/>
              </w:rPr>
              <w:t>886.65</w:t>
            </w:r>
          </w:p>
        </w:tc>
      </w:tr>
      <w:tr w:rsidR="00760007" w14:paraId="20F306E0" w14:textId="77777777" w:rsidTr="00760007">
        <w:trPr>
          <w:trHeight w:val="320"/>
        </w:trPr>
        <w:tc>
          <w:tcPr>
            <w:tcW w:w="1800" w:type="dxa"/>
            <w:tcBorders>
              <w:top w:val="nil"/>
              <w:left w:val="nil"/>
              <w:bottom w:val="nil"/>
              <w:right w:val="nil"/>
            </w:tcBorders>
            <w:shd w:val="clear" w:color="000000" w:fill="F2CEEF"/>
            <w:noWrap/>
            <w:vAlign w:val="bottom"/>
            <w:hideMark/>
          </w:tcPr>
          <w:p w14:paraId="55B40FDB" w14:textId="77777777" w:rsidR="00760007" w:rsidRDefault="00760007">
            <w:pPr>
              <w:jc w:val="right"/>
              <w:rPr>
                <w:rFonts w:ascii="Aptos Narrow" w:hAnsi="Aptos Narrow"/>
                <w:color w:val="000000"/>
              </w:rPr>
            </w:pPr>
            <w:r>
              <w:rPr>
                <w:rFonts w:ascii="Aptos Narrow" w:hAnsi="Aptos Narrow"/>
                <w:color w:val="000000"/>
              </w:rPr>
              <w:t>3</w:t>
            </w:r>
          </w:p>
        </w:tc>
        <w:tc>
          <w:tcPr>
            <w:tcW w:w="2020" w:type="dxa"/>
            <w:tcBorders>
              <w:top w:val="nil"/>
              <w:left w:val="nil"/>
              <w:bottom w:val="nil"/>
              <w:right w:val="nil"/>
            </w:tcBorders>
            <w:shd w:val="clear" w:color="000000" w:fill="F2CEEF"/>
            <w:noWrap/>
            <w:vAlign w:val="bottom"/>
            <w:hideMark/>
          </w:tcPr>
          <w:p w14:paraId="77D12B6F" w14:textId="77777777" w:rsidR="00760007" w:rsidRDefault="00760007">
            <w:pPr>
              <w:jc w:val="right"/>
              <w:rPr>
                <w:rFonts w:ascii="Aptos Narrow" w:hAnsi="Aptos Narrow"/>
                <w:color w:val="000000"/>
              </w:rPr>
            </w:pPr>
            <w:r>
              <w:rPr>
                <w:rFonts w:ascii="Aptos Narrow" w:hAnsi="Aptos Narrow"/>
                <w:color w:val="000000"/>
              </w:rPr>
              <w:t>900</w:t>
            </w:r>
          </w:p>
        </w:tc>
        <w:tc>
          <w:tcPr>
            <w:tcW w:w="2780" w:type="dxa"/>
            <w:tcBorders>
              <w:top w:val="nil"/>
              <w:left w:val="nil"/>
              <w:bottom w:val="nil"/>
              <w:right w:val="nil"/>
            </w:tcBorders>
            <w:shd w:val="clear" w:color="000000" w:fill="F2CEEF"/>
            <w:noWrap/>
            <w:vAlign w:val="bottom"/>
            <w:hideMark/>
          </w:tcPr>
          <w:p w14:paraId="2E7C2A3A" w14:textId="77777777" w:rsidR="00760007" w:rsidRDefault="00760007">
            <w:pPr>
              <w:jc w:val="right"/>
              <w:rPr>
                <w:rFonts w:ascii="Aptos Narrow" w:hAnsi="Aptos Narrow"/>
                <w:color w:val="000000"/>
              </w:rPr>
            </w:pPr>
            <w:r>
              <w:rPr>
                <w:rFonts w:ascii="Aptos Narrow" w:hAnsi="Aptos Narrow"/>
                <w:color w:val="000000"/>
              </w:rPr>
              <w:t>0.977833328</w:t>
            </w:r>
          </w:p>
        </w:tc>
        <w:tc>
          <w:tcPr>
            <w:tcW w:w="3060" w:type="dxa"/>
            <w:tcBorders>
              <w:top w:val="nil"/>
              <w:left w:val="nil"/>
              <w:bottom w:val="nil"/>
              <w:right w:val="nil"/>
            </w:tcBorders>
            <w:shd w:val="clear" w:color="000000" w:fill="F2CEEF"/>
            <w:noWrap/>
            <w:vAlign w:val="bottom"/>
            <w:hideMark/>
          </w:tcPr>
          <w:p w14:paraId="6C6CB1EF" w14:textId="77777777" w:rsidR="00760007" w:rsidRDefault="00760007">
            <w:pPr>
              <w:jc w:val="right"/>
              <w:rPr>
                <w:rFonts w:ascii="Aptos Narrow" w:hAnsi="Aptos Narrow"/>
                <w:color w:val="000000"/>
              </w:rPr>
            </w:pPr>
            <w:r>
              <w:rPr>
                <w:rFonts w:ascii="Aptos Narrow" w:hAnsi="Aptos Narrow"/>
                <w:color w:val="000000"/>
              </w:rPr>
              <w:t>880.05</w:t>
            </w:r>
          </w:p>
        </w:tc>
      </w:tr>
      <w:tr w:rsidR="00760007" w14:paraId="4210D222" w14:textId="77777777" w:rsidTr="00760007">
        <w:trPr>
          <w:trHeight w:val="320"/>
        </w:trPr>
        <w:tc>
          <w:tcPr>
            <w:tcW w:w="1800" w:type="dxa"/>
            <w:tcBorders>
              <w:top w:val="nil"/>
              <w:left w:val="nil"/>
              <w:bottom w:val="nil"/>
              <w:right w:val="nil"/>
            </w:tcBorders>
            <w:shd w:val="clear" w:color="000000" w:fill="F2CEEF"/>
            <w:noWrap/>
            <w:vAlign w:val="bottom"/>
            <w:hideMark/>
          </w:tcPr>
          <w:p w14:paraId="265B8C54" w14:textId="77777777" w:rsidR="00760007" w:rsidRDefault="00760007">
            <w:pPr>
              <w:jc w:val="right"/>
              <w:rPr>
                <w:rFonts w:ascii="Aptos Narrow" w:hAnsi="Aptos Narrow"/>
                <w:color w:val="000000"/>
              </w:rPr>
            </w:pPr>
            <w:r>
              <w:rPr>
                <w:rFonts w:ascii="Aptos Narrow" w:hAnsi="Aptos Narrow"/>
                <w:color w:val="000000"/>
              </w:rPr>
              <w:t>4</w:t>
            </w:r>
          </w:p>
        </w:tc>
        <w:tc>
          <w:tcPr>
            <w:tcW w:w="2020" w:type="dxa"/>
            <w:tcBorders>
              <w:top w:val="nil"/>
              <w:left w:val="nil"/>
              <w:bottom w:val="nil"/>
              <w:right w:val="nil"/>
            </w:tcBorders>
            <w:shd w:val="clear" w:color="000000" w:fill="F2CEEF"/>
            <w:noWrap/>
            <w:vAlign w:val="bottom"/>
            <w:hideMark/>
          </w:tcPr>
          <w:p w14:paraId="21233AE6" w14:textId="77777777" w:rsidR="00760007" w:rsidRDefault="00760007">
            <w:pPr>
              <w:jc w:val="right"/>
              <w:rPr>
                <w:rFonts w:ascii="Aptos Narrow" w:hAnsi="Aptos Narrow"/>
                <w:color w:val="000000"/>
              </w:rPr>
            </w:pPr>
            <w:r>
              <w:rPr>
                <w:rFonts w:ascii="Aptos Narrow" w:hAnsi="Aptos Narrow"/>
                <w:color w:val="000000"/>
              </w:rPr>
              <w:t>-423</w:t>
            </w:r>
          </w:p>
        </w:tc>
        <w:tc>
          <w:tcPr>
            <w:tcW w:w="2780" w:type="dxa"/>
            <w:tcBorders>
              <w:top w:val="nil"/>
              <w:left w:val="nil"/>
              <w:bottom w:val="nil"/>
              <w:right w:val="nil"/>
            </w:tcBorders>
            <w:shd w:val="clear" w:color="000000" w:fill="F2CEEF"/>
            <w:noWrap/>
            <w:vAlign w:val="bottom"/>
            <w:hideMark/>
          </w:tcPr>
          <w:p w14:paraId="5F974EDD" w14:textId="77777777" w:rsidR="00760007" w:rsidRDefault="00760007">
            <w:pPr>
              <w:jc w:val="right"/>
              <w:rPr>
                <w:rFonts w:ascii="Aptos Narrow" w:hAnsi="Aptos Narrow"/>
                <w:color w:val="000000"/>
              </w:rPr>
            </w:pPr>
            <w:r>
              <w:rPr>
                <w:rFonts w:ascii="Aptos Narrow" w:hAnsi="Aptos Narrow"/>
                <w:color w:val="000000"/>
              </w:rPr>
              <w:t>0.970554172</w:t>
            </w:r>
          </w:p>
        </w:tc>
        <w:tc>
          <w:tcPr>
            <w:tcW w:w="3060" w:type="dxa"/>
            <w:tcBorders>
              <w:top w:val="nil"/>
              <w:left w:val="nil"/>
              <w:bottom w:val="nil"/>
              <w:right w:val="nil"/>
            </w:tcBorders>
            <w:shd w:val="clear" w:color="000000" w:fill="F2CEEF"/>
            <w:noWrap/>
            <w:vAlign w:val="bottom"/>
            <w:hideMark/>
          </w:tcPr>
          <w:p w14:paraId="4AB94ECC" w14:textId="77777777" w:rsidR="00760007" w:rsidRDefault="00760007">
            <w:pPr>
              <w:jc w:val="right"/>
              <w:rPr>
                <w:rFonts w:ascii="Aptos Narrow" w:hAnsi="Aptos Narrow"/>
                <w:color w:val="000000"/>
              </w:rPr>
            </w:pPr>
            <w:r>
              <w:rPr>
                <w:rFonts w:ascii="Aptos Narrow" w:hAnsi="Aptos Narrow"/>
                <w:color w:val="000000"/>
              </w:rPr>
              <w:t>-410.54</w:t>
            </w:r>
          </w:p>
        </w:tc>
      </w:tr>
      <w:tr w:rsidR="00760007" w14:paraId="71C06AC2" w14:textId="77777777" w:rsidTr="00760007">
        <w:trPr>
          <w:trHeight w:val="320"/>
        </w:trPr>
        <w:tc>
          <w:tcPr>
            <w:tcW w:w="1800" w:type="dxa"/>
            <w:tcBorders>
              <w:top w:val="nil"/>
              <w:left w:val="nil"/>
              <w:bottom w:val="nil"/>
              <w:right w:val="nil"/>
            </w:tcBorders>
            <w:shd w:val="clear" w:color="000000" w:fill="F2CEEF"/>
            <w:noWrap/>
            <w:vAlign w:val="bottom"/>
            <w:hideMark/>
          </w:tcPr>
          <w:p w14:paraId="1A5A3D04" w14:textId="77777777" w:rsidR="00760007" w:rsidRDefault="00760007">
            <w:pPr>
              <w:rPr>
                <w:rFonts w:ascii="Aptos Narrow" w:hAnsi="Aptos Narrow"/>
                <w:color w:val="000000"/>
              </w:rPr>
            </w:pPr>
            <w:r>
              <w:rPr>
                <w:rFonts w:ascii="Aptos Narrow" w:hAnsi="Aptos Narrow"/>
                <w:color w:val="000000"/>
              </w:rPr>
              <w:t> </w:t>
            </w:r>
          </w:p>
        </w:tc>
        <w:tc>
          <w:tcPr>
            <w:tcW w:w="2020" w:type="dxa"/>
            <w:tcBorders>
              <w:top w:val="nil"/>
              <w:left w:val="nil"/>
              <w:bottom w:val="nil"/>
              <w:right w:val="nil"/>
            </w:tcBorders>
            <w:shd w:val="clear" w:color="000000" w:fill="F2CEEF"/>
            <w:noWrap/>
            <w:vAlign w:val="bottom"/>
            <w:hideMark/>
          </w:tcPr>
          <w:p w14:paraId="12E3940E" w14:textId="77777777" w:rsidR="00760007" w:rsidRDefault="00760007">
            <w:pPr>
              <w:rPr>
                <w:rFonts w:ascii="Aptos Narrow" w:hAnsi="Aptos Narrow"/>
                <w:color w:val="000000"/>
              </w:rPr>
            </w:pPr>
            <w:r>
              <w:rPr>
                <w:rFonts w:ascii="Aptos Narrow" w:hAnsi="Aptos Narrow"/>
                <w:color w:val="000000"/>
              </w:rPr>
              <w:t> </w:t>
            </w:r>
          </w:p>
        </w:tc>
        <w:tc>
          <w:tcPr>
            <w:tcW w:w="2780" w:type="dxa"/>
            <w:tcBorders>
              <w:top w:val="nil"/>
              <w:left w:val="nil"/>
              <w:bottom w:val="nil"/>
              <w:right w:val="nil"/>
            </w:tcBorders>
            <w:shd w:val="clear" w:color="000000" w:fill="E49EDD"/>
            <w:noWrap/>
            <w:vAlign w:val="bottom"/>
            <w:hideMark/>
          </w:tcPr>
          <w:p w14:paraId="3FB38925" w14:textId="77777777" w:rsidR="00760007" w:rsidRDefault="00760007">
            <w:pPr>
              <w:jc w:val="right"/>
              <w:rPr>
                <w:rFonts w:ascii="Aptos Narrow" w:hAnsi="Aptos Narrow"/>
                <w:color w:val="000000"/>
              </w:rPr>
            </w:pPr>
            <w:r>
              <w:rPr>
                <w:rFonts w:ascii="Aptos Narrow" w:hAnsi="Aptos Narrow"/>
                <w:color w:val="000000"/>
              </w:rPr>
              <w:t>NPV</w:t>
            </w:r>
          </w:p>
        </w:tc>
        <w:tc>
          <w:tcPr>
            <w:tcW w:w="3060" w:type="dxa"/>
            <w:tcBorders>
              <w:top w:val="nil"/>
              <w:left w:val="nil"/>
              <w:bottom w:val="nil"/>
              <w:right w:val="nil"/>
            </w:tcBorders>
            <w:shd w:val="clear" w:color="000000" w:fill="E49EDD"/>
            <w:noWrap/>
            <w:vAlign w:val="bottom"/>
            <w:hideMark/>
          </w:tcPr>
          <w:p w14:paraId="65A122C9" w14:textId="77777777" w:rsidR="00760007" w:rsidRDefault="00760007">
            <w:pPr>
              <w:jc w:val="right"/>
              <w:rPr>
                <w:rFonts w:ascii="Aptos Narrow" w:hAnsi="Aptos Narrow"/>
                <w:color w:val="000000"/>
              </w:rPr>
            </w:pPr>
            <w:r>
              <w:rPr>
                <w:rFonts w:ascii="Aptos Narrow" w:hAnsi="Aptos Narrow"/>
                <w:color w:val="000000"/>
              </w:rPr>
              <w:t>1597.46</w:t>
            </w:r>
          </w:p>
        </w:tc>
      </w:tr>
    </w:tbl>
    <w:p w14:paraId="79553F3D" w14:textId="0FA676E0" w:rsidR="00760007" w:rsidRDefault="001F4C75" w:rsidP="002533F4">
      <w:pPr>
        <w:pStyle w:val="NormalWeb"/>
        <w:spacing w:line="360" w:lineRule="auto"/>
        <w:rPr>
          <w:rFonts w:ascii="Arial" w:hAnsi="Arial" w:cs="Arial"/>
          <w:b/>
          <w:bCs/>
          <w:sz w:val="22"/>
          <w:szCs w:val="22"/>
        </w:rPr>
      </w:pPr>
      <w:r w:rsidRPr="001F4C75">
        <w:rPr>
          <w:rFonts w:ascii="Arial" w:hAnsi="Arial" w:cs="Arial"/>
          <w:b/>
          <w:bCs/>
          <w:sz w:val="22"/>
          <w:szCs w:val="22"/>
        </w:rPr>
        <w:t xml:space="preserve">Project </w:t>
      </w:r>
      <w:r>
        <w:rPr>
          <w:rFonts w:ascii="Arial" w:hAnsi="Arial" w:cs="Arial"/>
          <w:b/>
          <w:bCs/>
          <w:sz w:val="22"/>
          <w:szCs w:val="22"/>
        </w:rPr>
        <w:t>B</w:t>
      </w:r>
      <w:r w:rsidRPr="001F4C75">
        <w:rPr>
          <w:rFonts w:ascii="Arial" w:hAnsi="Arial" w:cs="Arial"/>
          <w:b/>
          <w:bCs/>
          <w:sz w:val="22"/>
          <w:szCs w:val="22"/>
        </w:rPr>
        <w:t xml:space="preserve"> initial investment increased by 10%, and all cash flows fell by 10% NPV is </w:t>
      </w:r>
      <w:r>
        <w:rPr>
          <w:rFonts w:ascii="Arial" w:hAnsi="Arial" w:cs="Arial"/>
          <w:b/>
          <w:bCs/>
          <w:sz w:val="22"/>
          <w:szCs w:val="22"/>
        </w:rPr>
        <w:t xml:space="preserve">1597.46 </w:t>
      </w:r>
    </w:p>
    <w:p w14:paraId="13D6207F" w14:textId="5A97F634" w:rsidR="001F4C75" w:rsidRDefault="00475CE2" w:rsidP="002533F4">
      <w:pPr>
        <w:pStyle w:val="NormalWeb"/>
        <w:spacing w:line="360" w:lineRule="auto"/>
        <w:rPr>
          <w:rFonts w:ascii="Arial" w:hAnsi="Arial" w:cs="Arial"/>
          <w:sz w:val="22"/>
          <w:szCs w:val="22"/>
        </w:rPr>
      </w:pPr>
      <w:r w:rsidRPr="00475CE2">
        <w:rPr>
          <w:rFonts w:ascii="Arial" w:hAnsi="Arial" w:cs="Arial"/>
          <w:sz w:val="22"/>
          <w:szCs w:val="22"/>
        </w:rPr>
        <w:lastRenderedPageBreak/>
        <w:t xml:space="preserve">Project B's cash flow and original investment adjustments resulted in a positive net present value (NPV), demonstrating the project's ongoing ability to create value for the business. Even though the changes have had a slight negative effect on profitability, Project B is still profitable and able to generate returns that outweigh the cost.  </w:t>
      </w:r>
    </w:p>
    <w:p w14:paraId="31ADE50D" w14:textId="77777777" w:rsidR="009D4BB2" w:rsidRDefault="009D4BB2" w:rsidP="000E367E">
      <w:pPr>
        <w:pStyle w:val="Heading2"/>
      </w:pPr>
      <w:bookmarkStart w:id="26" w:name="_Toc164847610"/>
      <w:r>
        <w:t>Non-financial factors</w:t>
      </w:r>
      <w:bookmarkEnd w:id="26"/>
      <w:r>
        <w:t xml:space="preserve"> </w:t>
      </w:r>
    </w:p>
    <w:p w14:paraId="2D7A628E" w14:textId="27898AB3" w:rsidR="009D4BB2" w:rsidRDefault="00A87C4C" w:rsidP="002533F4">
      <w:pPr>
        <w:pStyle w:val="NormalWeb"/>
        <w:spacing w:line="360" w:lineRule="auto"/>
        <w:rPr>
          <w:rFonts w:ascii="Arial" w:hAnsi="Arial" w:cs="Arial"/>
          <w:sz w:val="22"/>
          <w:szCs w:val="22"/>
        </w:rPr>
      </w:pPr>
      <w:r w:rsidRPr="00A87C4C">
        <w:rPr>
          <w:rFonts w:ascii="Arial" w:hAnsi="Arial" w:cs="Arial"/>
          <w:sz w:val="22"/>
          <w:szCs w:val="22"/>
        </w:rPr>
        <w:t xml:space="preserve">In addition to financial </w:t>
      </w:r>
      <w:r w:rsidR="0056392C">
        <w:rPr>
          <w:rFonts w:ascii="Arial" w:hAnsi="Arial" w:cs="Arial"/>
          <w:sz w:val="22"/>
          <w:szCs w:val="22"/>
        </w:rPr>
        <w:t>factors</w:t>
      </w:r>
      <w:r w:rsidRPr="00A87C4C">
        <w:rPr>
          <w:rFonts w:ascii="Arial" w:hAnsi="Arial" w:cs="Arial"/>
          <w:sz w:val="22"/>
          <w:szCs w:val="22"/>
        </w:rPr>
        <w:t>, management must consider non-financial factors when making investment decisions. These include strategic alignment, market demand, regulatory compliance, environmental and social impact, technological advancements, human resources, risk management, and stakeholder engagement</w:t>
      </w:r>
      <w:r>
        <w:rPr>
          <w:rFonts w:ascii="Arial" w:hAnsi="Arial" w:cs="Arial"/>
          <w:sz w:val="22"/>
          <w:szCs w:val="22"/>
        </w:rPr>
        <w:t xml:space="preserve"> </w:t>
      </w:r>
      <w:proofErr w:type="gramStart"/>
      <w:r w:rsidR="009D4BB2">
        <w:rPr>
          <w:rFonts w:ascii="Arial" w:hAnsi="Arial" w:cs="Arial"/>
          <w:sz w:val="22"/>
          <w:szCs w:val="22"/>
        </w:rPr>
        <w:t>For</w:t>
      </w:r>
      <w:proofErr w:type="gramEnd"/>
      <w:r w:rsidR="009D4BB2">
        <w:rPr>
          <w:rFonts w:ascii="Arial" w:hAnsi="Arial" w:cs="Arial"/>
          <w:sz w:val="22"/>
          <w:szCs w:val="22"/>
        </w:rPr>
        <w:t xml:space="preserve"> example, </w:t>
      </w:r>
      <w:r w:rsidR="009D4BB2" w:rsidRPr="009D4BB2">
        <w:rPr>
          <w:rFonts w:ascii="Arial" w:hAnsi="Arial" w:cs="Arial"/>
          <w:sz w:val="22"/>
          <w:szCs w:val="22"/>
        </w:rPr>
        <w:t>how well the project complies with the mission, vision, and long-term strategic goals of the company. A project is more likely to contribute to an organi</w:t>
      </w:r>
      <w:r>
        <w:rPr>
          <w:rFonts w:ascii="Arial" w:hAnsi="Arial" w:cs="Arial"/>
          <w:sz w:val="22"/>
          <w:szCs w:val="22"/>
        </w:rPr>
        <w:t>s</w:t>
      </w:r>
      <w:r w:rsidR="009D4BB2" w:rsidRPr="009D4BB2">
        <w:rPr>
          <w:rFonts w:ascii="Arial" w:hAnsi="Arial" w:cs="Arial"/>
          <w:sz w:val="22"/>
          <w:szCs w:val="22"/>
        </w:rPr>
        <w:t>ation's overall performance and competitive advantage if it aligns with its strategic direction</w:t>
      </w:r>
      <w:r>
        <w:rPr>
          <w:rFonts w:ascii="Arial" w:hAnsi="Arial" w:cs="Arial"/>
          <w:sz w:val="22"/>
          <w:szCs w:val="22"/>
        </w:rPr>
        <w:t xml:space="preserve">, risk Management and planning where management </w:t>
      </w:r>
      <w:r w:rsidRPr="00A87C4C">
        <w:rPr>
          <w:rFonts w:ascii="Arial" w:hAnsi="Arial" w:cs="Arial"/>
          <w:sz w:val="22"/>
          <w:szCs w:val="22"/>
        </w:rPr>
        <w:t>must identify, evaluate, and take steps to reduce any potential risks related to the project</w:t>
      </w:r>
      <w:r>
        <w:rPr>
          <w:rFonts w:ascii="Arial" w:hAnsi="Arial" w:cs="Arial"/>
          <w:sz w:val="22"/>
          <w:szCs w:val="22"/>
        </w:rPr>
        <w:t xml:space="preserve">, </w:t>
      </w:r>
      <w:r w:rsidRPr="00A87C4C">
        <w:rPr>
          <w:rFonts w:ascii="Arial" w:hAnsi="Arial" w:cs="Arial"/>
          <w:sz w:val="22"/>
          <w:szCs w:val="22"/>
        </w:rPr>
        <w:t>taking into account the needs for human resources, project success depends on developing a supportive and inclusive organisational environment as well as on employee engagement, skill development, and talent retention.</w:t>
      </w:r>
      <w:r>
        <w:rPr>
          <w:rFonts w:ascii="Arial" w:hAnsi="Arial" w:cs="Arial"/>
          <w:sz w:val="22"/>
          <w:szCs w:val="22"/>
        </w:rPr>
        <w:t xml:space="preserve"> or e</w:t>
      </w:r>
      <w:r w:rsidRPr="00A87C4C">
        <w:rPr>
          <w:rFonts w:ascii="Arial" w:hAnsi="Arial" w:cs="Arial"/>
          <w:sz w:val="22"/>
          <w:szCs w:val="22"/>
        </w:rPr>
        <w:t>mbracing emerging technologies such as artificial intelligence, blockchain, and automation can drive process improvements and create new business opportunities.</w:t>
      </w:r>
    </w:p>
    <w:p w14:paraId="08DC767A" w14:textId="69049B43" w:rsidR="00475CE2" w:rsidRPr="00475CE2" w:rsidRDefault="00475CE2" w:rsidP="000E367E">
      <w:pPr>
        <w:pStyle w:val="Heading2"/>
      </w:pPr>
      <w:bookmarkStart w:id="27" w:name="_Toc164847611"/>
      <w:r w:rsidRPr="00475CE2">
        <w:t>Conclusion</w:t>
      </w:r>
      <w:bookmarkEnd w:id="27"/>
    </w:p>
    <w:p w14:paraId="45F420A1" w14:textId="616CDFAE" w:rsidR="009D4BB2" w:rsidRPr="009D4BB2" w:rsidRDefault="009D4BB2" w:rsidP="009D4BB2">
      <w:pPr>
        <w:pStyle w:val="NormalWeb"/>
        <w:spacing w:line="360" w:lineRule="auto"/>
        <w:rPr>
          <w:rFonts w:ascii="Arial" w:hAnsi="Arial" w:cs="Arial"/>
          <w:sz w:val="22"/>
          <w:szCs w:val="22"/>
        </w:rPr>
      </w:pPr>
      <w:r w:rsidRPr="009D4BB2">
        <w:rPr>
          <w:rFonts w:ascii="Arial" w:hAnsi="Arial" w:cs="Arial"/>
          <w:sz w:val="22"/>
          <w:szCs w:val="22"/>
        </w:rPr>
        <w:t>After a thorough analysis of all the financial factors and metrics, Project B is the better investment choice because it has a lower payback period, a higher average accounting rate of return (ARR), a positive net present value (NPV), and less risk than Project A. Project B offers a strong chance to boost profitability, accelerate returns, and support the organization's strategic goals thanks to its quick payback period, strong profitability measures, and positive net present value. Thus, Project B's ability to maximise shareholder value, strengthen</w:t>
      </w:r>
      <w:r w:rsidR="0056392C">
        <w:rPr>
          <w:rFonts w:ascii="Arial" w:hAnsi="Arial" w:cs="Arial"/>
          <w:sz w:val="22"/>
          <w:szCs w:val="22"/>
        </w:rPr>
        <w:t>s</w:t>
      </w:r>
      <w:r w:rsidRPr="009D4BB2">
        <w:rPr>
          <w:rFonts w:ascii="Arial" w:hAnsi="Arial" w:cs="Arial"/>
          <w:sz w:val="22"/>
          <w:szCs w:val="22"/>
        </w:rPr>
        <w:t xml:space="preserve"> financial performance</w:t>
      </w:r>
      <w:r>
        <w:rPr>
          <w:rFonts w:ascii="Arial" w:hAnsi="Arial" w:cs="Arial"/>
          <w:sz w:val="22"/>
          <w:szCs w:val="22"/>
        </w:rPr>
        <w:t xml:space="preserve">. </w:t>
      </w:r>
    </w:p>
    <w:p w14:paraId="1789BFEB" w14:textId="77777777" w:rsidR="002533F4" w:rsidRPr="00E320FF" w:rsidRDefault="002533F4" w:rsidP="002533F4">
      <w:pPr>
        <w:pStyle w:val="NormalWeb"/>
        <w:spacing w:line="360" w:lineRule="auto"/>
        <w:rPr>
          <w:rFonts w:ascii="Arial Narrow" w:hAnsi="Arial Narrow" w:cs="Arial"/>
          <w:i/>
          <w:iCs/>
          <w:sz w:val="22"/>
          <w:szCs w:val="22"/>
        </w:rPr>
      </w:pPr>
    </w:p>
    <w:p w14:paraId="74EE8A71" w14:textId="77777777" w:rsidR="002533F4" w:rsidRPr="00E320FF" w:rsidRDefault="002533F4" w:rsidP="00E320FF">
      <w:pPr>
        <w:pStyle w:val="NormalWeb"/>
        <w:rPr>
          <w:rFonts w:ascii="Arial" w:hAnsi="Arial" w:cs="Arial"/>
          <w:b/>
          <w:bCs/>
          <w:sz w:val="22"/>
          <w:szCs w:val="22"/>
        </w:rPr>
      </w:pPr>
    </w:p>
    <w:p w14:paraId="7C47D050" w14:textId="77777777" w:rsidR="00E320FF" w:rsidRDefault="00E320FF" w:rsidP="00E320FF">
      <w:pPr>
        <w:pStyle w:val="NormalWeb"/>
      </w:pPr>
    </w:p>
    <w:p w14:paraId="2044F8D5" w14:textId="440CC07D" w:rsidR="00E320FF" w:rsidRDefault="00E320FF" w:rsidP="00F52C89">
      <w:pPr>
        <w:pStyle w:val="NormalWeb"/>
        <w:rPr>
          <w:rFonts w:ascii="Arial" w:hAnsi="Arial" w:cs="Arial"/>
          <w:b/>
          <w:bCs/>
          <w:sz w:val="22"/>
          <w:szCs w:val="22"/>
        </w:rPr>
      </w:pPr>
    </w:p>
    <w:p w14:paraId="646F7B26" w14:textId="77777777" w:rsidR="00E320FF" w:rsidRPr="00E320FF" w:rsidRDefault="00E320FF" w:rsidP="00F52C89">
      <w:pPr>
        <w:pStyle w:val="NormalWeb"/>
        <w:rPr>
          <w:rFonts w:ascii="Arial" w:hAnsi="Arial" w:cs="Arial"/>
          <w:b/>
          <w:bCs/>
          <w:sz w:val="22"/>
          <w:szCs w:val="22"/>
        </w:rPr>
      </w:pPr>
    </w:p>
    <w:p w14:paraId="4370A51B" w14:textId="36C56F05" w:rsidR="00B409E2" w:rsidRPr="00487118" w:rsidRDefault="00B409E2" w:rsidP="00487118">
      <w:pPr>
        <w:pStyle w:val="NormalWeb"/>
      </w:pPr>
    </w:p>
    <w:p w14:paraId="10CB639E" w14:textId="71BE0EC1" w:rsidR="00B409E2" w:rsidRDefault="00B409E2" w:rsidP="000E367E">
      <w:pPr>
        <w:pStyle w:val="Heading1"/>
      </w:pPr>
      <w:bookmarkStart w:id="28" w:name="_Toc164847612"/>
      <w:r>
        <w:t>References</w:t>
      </w:r>
      <w:bookmarkEnd w:id="28"/>
      <w:r>
        <w:t xml:space="preserve"> </w:t>
      </w:r>
    </w:p>
    <w:p w14:paraId="52E7DD9A" w14:textId="77777777" w:rsidR="003C3161" w:rsidRDefault="003C3161" w:rsidP="003C3161">
      <w:pPr>
        <w:rPr>
          <w:lang w:eastAsia="en-US"/>
        </w:rPr>
      </w:pPr>
    </w:p>
    <w:p w14:paraId="1634613E" w14:textId="77777777" w:rsidR="003C3161" w:rsidRDefault="003C3161" w:rsidP="003C3161">
      <w:pPr>
        <w:rPr>
          <w:rFonts w:ascii="Arial" w:hAnsi="Arial" w:cs="Arial"/>
          <w:color w:val="000000" w:themeColor="text1"/>
          <w:sz w:val="22"/>
          <w:szCs w:val="22"/>
        </w:rPr>
      </w:pPr>
      <w:r>
        <w:rPr>
          <w:rFonts w:ascii="Arial" w:hAnsi="Arial" w:cs="Arial"/>
          <w:color w:val="000000" w:themeColor="text1"/>
          <w:sz w:val="22"/>
          <w:szCs w:val="22"/>
        </w:rPr>
        <w:t xml:space="preserve">Adam, H., (2024) Asset Turnover Ratio Definition </w:t>
      </w:r>
      <w:r>
        <w:rPr>
          <w:rFonts w:ascii="Arial" w:eastAsiaTheme="minorEastAsia" w:hAnsi="Arial" w:cs="Arial"/>
          <w:color w:val="000000" w:themeColor="text1"/>
          <w:sz w:val="22"/>
          <w:szCs w:val="22"/>
          <w:lang w:val="en-US"/>
        </w:rPr>
        <w:t>[Accessed 23.4.2024] available at:</w:t>
      </w:r>
      <w:hyperlink r:id="rId10" w:history="1">
        <w:r w:rsidRPr="00B1511C">
          <w:rPr>
            <w:rStyle w:val="Hyperlink"/>
            <w:rFonts w:ascii="Arial" w:hAnsi="Arial" w:cs="Arial"/>
            <w:sz w:val="22"/>
            <w:szCs w:val="22"/>
          </w:rPr>
          <w:t>https://www.investopedia.com/terms/a/assetturnover.asp#:~:text=The%20asset%20turnover%20ratio%20measures%20the%20efficiency%20of%20a%20company's,by%20the%20average%20total%20assets</w:t>
        </w:r>
      </w:hyperlink>
      <w:r w:rsidRPr="00EC0BA9">
        <w:rPr>
          <w:rFonts w:ascii="Arial" w:hAnsi="Arial" w:cs="Arial"/>
          <w:color w:val="000000" w:themeColor="text1"/>
          <w:sz w:val="22"/>
          <w:szCs w:val="22"/>
        </w:rPr>
        <w:t>.</w:t>
      </w:r>
    </w:p>
    <w:p w14:paraId="441DD9B8" w14:textId="77777777" w:rsidR="00CD5AEC" w:rsidRDefault="00CD5AEC" w:rsidP="003C3161">
      <w:pPr>
        <w:rPr>
          <w:color w:val="C00000"/>
          <w:lang w:eastAsia="en-US"/>
        </w:rPr>
      </w:pPr>
    </w:p>
    <w:p w14:paraId="38990A3C" w14:textId="77777777" w:rsidR="002230EB" w:rsidRDefault="002230EB" w:rsidP="002230EB">
      <w:pPr>
        <w:tabs>
          <w:tab w:val="left" w:pos="2520"/>
        </w:tabs>
        <w:spacing w:line="360" w:lineRule="auto"/>
        <w:rPr>
          <w:rFonts w:ascii="Arial" w:eastAsiaTheme="minorEastAsia" w:hAnsi="Arial" w:cs="Arial"/>
          <w:color w:val="000000" w:themeColor="text1"/>
          <w:sz w:val="22"/>
          <w:szCs w:val="22"/>
          <w:lang w:val="en-US"/>
        </w:rPr>
      </w:pPr>
      <w:r>
        <w:rPr>
          <w:rFonts w:ascii="Arial" w:hAnsi="Arial" w:cs="Arial"/>
          <w:color w:val="000000" w:themeColor="text1"/>
          <w:sz w:val="22"/>
          <w:szCs w:val="22"/>
          <w:u w:val="single"/>
        </w:rPr>
        <w:t>Beers, B., (2023)</w:t>
      </w:r>
      <w:r w:rsidRPr="000C4EAE">
        <w:t xml:space="preserve"> </w:t>
      </w:r>
      <w:r w:rsidRPr="000C4EAE">
        <w:rPr>
          <w:rFonts w:ascii="Arial" w:hAnsi="Arial" w:cs="Arial"/>
          <w:color w:val="000000" w:themeColor="text1"/>
          <w:sz w:val="22"/>
          <w:szCs w:val="22"/>
          <w:u w:val="single"/>
        </w:rPr>
        <w:t>How Is Asset Turnover Calculated?</w:t>
      </w:r>
      <w:r>
        <w:rPr>
          <w:rFonts w:ascii="Arial" w:hAnsi="Arial" w:cs="Arial"/>
          <w:color w:val="000000" w:themeColor="text1"/>
          <w:sz w:val="22"/>
          <w:szCs w:val="22"/>
          <w:u w:val="single"/>
        </w:rPr>
        <w:t xml:space="preserve"> </w:t>
      </w:r>
      <w:r>
        <w:rPr>
          <w:rFonts w:ascii="Arial" w:eastAsiaTheme="minorEastAsia" w:hAnsi="Arial" w:cs="Arial"/>
          <w:color w:val="000000" w:themeColor="text1"/>
          <w:sz w:val="22"/>
          <w:szCs w:val="22"/>
          <w:lang w:val="en-US"/>
        </w:rPr>
        <w:t xml:space="preserve">[Accessed 22.4.2024] available at:  </w:t>
      </w:r>
      <w:hyperlink r:id="rId11" w:history="1">
        <w:r w:rsidRPr="00B1511C">
          <w:rPr>
            <w:rStyle w:val="Hyperlink"/>
            <w:rFonts w:ascii="Arial" w:eastAsiaTheme="minorEastAsia" w:hAnsi="Arial" w:cs="Arial"/>
            <w:sz w:val="22"/>
            <w:szCs w:val="22"/>
            <w:lang w:val="en-US"/>
          </w:rPr>
          <w:t>https://www.investopedia.com/ask/answers/032415/how-asset-turnover-calculated.asp#:~:text=The%20asset%20turnover%20ratio%20measures,efficiency%20of%20the%20company's%20operations</w:t>
        </w:r>
      </w:hyperlink>
      <w:r w:rsidRPr="000C4EAE">
        <w:rPr>
          <w:rFonts w:ascii="Arial" w:eastAsiaTheme="minorEastAsia" w:hAnsi="Arial" w:cs="Arial"/>
          <w:color w:val="000000" w:themeColor="text1"/>
          <w:sz w:val="22"/>
          <w:szCs w:val="22"/>
          <w:lang w:val="en-US"/>
        </w:rPr>
        <w:t>.</w:t>
      </w:r>
    </w:p>
    <w:p w14:paraId="22B94501" w14:textId="77777777" w:rsidR="002230EB" w:rsidRDefault="002230EB" w:rsidP="003C3161">
      <w:pPr>
        <w:rPr>
          <w:color w:val="C00000"/>
          <w:lang w:eastAsia="en-US"/>
        </w:rPr>
      </w:pPr>
    </w:p>
    <w:p w14:paraId="11EDFAE0" w14:textId="77777777" w:rsidR="002230EB" w:rsidRPr="000C4EAE" w:rsidRDefault="002230EB" w:rsidP="002230EB">
      <w:pPr>
        <w:tabs>
          <w:tab w:val="left" w:pos="2520"/>
        </w:tabs>
        <w:spacing w:line="360" w:lineRule="auto"/>
        <w:rPr>
          <w:rFonts w:ascii="Arial" w:hAnsi="Arial" w:cs="Arial"/>
          <w:color w:val="000000" w:themeColor="text1"/>
          <w:sz w:val="22"/>
          <w:szCs w:val="22"/>
        </w:rPr>
      </w:pPr>
      <w:r w:rsidRPr="000C4EAE">
        <w:rPr>
          <w:rFonts w:ascii="Arial" w:hAnsi="Arial" w:cs="Arial"/>
          <w:color w:val="000000" w:themeColor="text1"/>
          <w:sz w:val="22"/>
          <w:szCs w:val="22"/>
        </w:rPr>
        <w:t>Boyle, M., (2024)</w:t>
      </w:r>
      <w:r w:rsidRPr="000C4EAE">
        <w:t xml:space="preserve"> </w:t>
      </w:r>
      <w:r w:rsidRPr="000C4EAE">
        <w:rPr>
          <w:rFonts w:ascii="Arial" w:hAnsi="Arial" w:cs="Arial"/>
          <w:color w:val="000000" w:themeColor="text1"/>
          <w:sz w:val="22"/>
          <w:szCs w:val="22"/>
        </w:rPr>
        <w:t>What Is a Good Debt-to-Equity Ratio and Why It Matters</w:t>
      </w:r>
      <w:r w:rsidRPr="000C4EAE">
        <w:rPr>
          <w:rFonts w:ascii="Arial" w:eastAsiaTheme="minorEastAsia" w:hAnsi="Arial" w:cs="Arial"/>
          <w:color w:val="000000" w:themeColor="text1"/>
          <w:sz w:val="22"/>
          <w:szCs w:val="22"/>
          <w:lang w:val="en-US"/>
        </w:rPr>
        <w:t xml:space="preserve"> </w:t>
      </w:r>
      <w:r>
        <w:rPr>
          <w:rFonts w:ascii="Arial" w:eastAsiaTheme="minorEastAsia" w:hAnsi="Arial" w:cs="Arial"/>
          <w:color w:val="000000" w:themeColor="text1"/>
          <w:sz w:val="22"/>
          <w:szCs w:val="22"/>
          <w:lang w:val="en-US"/>
        </w:rPr>
        <w:t xml:space="preserve">[Accessed 22.4.2024] available at:  </w:t>
      </w:r>
      <w:r w:rsidRPr="000C4EAE">
        <w:rPr>
          <w:rFonts w:ascii="Arial" w:hAnsi="Arial" w:cs="Arial"/>
          <w:color w:val="000000" w:themeColor="text1"/>
          <w:sz w:val="22"/>
          <w:szCs w:val="22"/>
        </w:rPr>
        <w:t xml:space="preserve"> </w:t>
      </w:r>
      <w:proofErr w:type="gramStart"/>
      <w:r w:rsidRPr="000C4EAE">
        <w:rPr>
          <w:rFonts w:ascii="Arial" w:hAnsi="Arial" w:cs="Arial"/>
          <w:color w:val="000000" w:themeColor="text1"/>
          <w:sz w:val="22"/>
          <w:szCs w:val="22"/>
        </w:rPr>
        <w:t>https://www.investopedia.com/terms/d/debtequityratio.asp</w:t>
      </w:r>
      <w:proofErr w:type="gramEnd"/>
    </w:p>
    <w:p w14:paraId="6237EA10" w14:textId="77777777" w:rsidR="003C3161" w:rsidRDefault="003C3161" w:rsidP="003C3161">
      <w:pPr>
        <w:rPr>
          <w:color w:val="C00000"/>
          <w:lang w:eastAsia="en-US"/>
        </w:rPr>
      </w:pPr>
    </w:p>
    <w:p w14:paraId="4B948E70" w14:textId="77777777" w:rsidR="003C3161" w:rsidRDefault="003C3161" w:rsidP="003C3161">
      <w:pPr>
        <w:rPr>
          <w:rFonts w:ascii="Arial" w:hAnsi="Arial" w:cs="Arial"/>
          <w:sz w:val="22"/>
          <w:szCs w:val="22"/>
        </w:rPr>
      </w:pPr>
      <w:r>
        <w:rPr>
          <w:rFonts w:ascii="Arial" w:hAnsi="Arial" w:cs="Arial"/>
          <w:sz w:val="22"/>
          <w:szCs w:val="22"/>
        </w:rPr>
        <w:t xml:space="preserve">British-business-bank.co.uk (2024) Debt to Equity Ratios for Healthy Business </w:t>
      </w:r>
      <w:r>
        <w:rPr>
          <w:rFonts w:ascii="Arial" w:eastAsiaTheme="minorEastAsia" w:hAnsi="Arial" w:cs="Arial"/>
          <w:color w:val="000000" w:themeColor="text1"/>
          <w:sz w:val="22"/>
          <w:szCs w:val="22"/>
          <w:lang w:val="en-US"/>
        </w:rPr>
        <w:t>[Accessed 23.4.2024] available at:</w:t>
      </w:r>
      <w:hyperlink r:id="rId12" w:history="1">
        <w:r w:rsidRPr="00B1511C">
          <w:rPr>
            <w:rStyle w:val="Hyperlink"/>
            <w:rFonts w:ascii="Arial" w:hAnsi="Arial" w:cs="Arial"/>
            <w:sz w:val="22"/>
            <w:szCs w:val="22"/>
          </w:rPr>
          <w:t>https://www.british-business-bank.co.uk/business-guidance/guidance-articles/finance/what-level-of-debt-is-healthy-for-business#:~:text=Generally%2C%20a%20good%20debt%20ratio,can%20be%20greater%20than%202</w:t>
        </w:r>
      </w:hyperlink>
      <w:r w:rsidRPr="004B3B65">
        <w:rPr>
          <w:rFonts w:ascii="Arial" w:hAnsi="Arial" w:cs="Arial"/>
          <w:sz w:val="22"/>
          <w:szCs w:val="22"/>
        </w:rPr>
        <w:t>.</w:t>
      </w:r>
    </w:p>
    <w:p w14:paraId="7D3FDE85" w14:textId="77777777" w:rsidR="00CD5AEC" w:rsidRDefault="00CD5AEC" w:rsidP="003C3161">
      <w:pPr>
        <w:tabs>
          <w:tab w:val="left" w:pos="2520"/>
        </w:tabs>
        <w:spacing w:line="360" w:lineRule="auto"/>
        <w:rPr>
          <w:rFonts w:ascii="Arial" w:eastAsiaTheme="minorEastAsia" w:hAnsi="Arial" w:cs="Arial"/>
          <w:color w:val="000000" w:themeColor="text1"/>
          <w:sz w:val="22"/>
          <w:szCs w:val="22"/>
          <w:lang w:val="en-US"/>
        </w:rPr>
      </w:pPr>
    </w:p>
    <w:p w14:paraId="75A8C27C" w14:textId="77777777" w:rsidR="003C3161" w:rsidRDefault="003C3161" w:rsidP="003C3161">
      <w:pPr>
        <w:tabs>
          <w:tab w:val="left" w:pos="2520"/>
        </w:tabs>
        <w:spacing w:line="360" w:lineRule="auto"/>
        <w:rPr>
          <w:rFonts w:ascii="Arial" w:eastAsiaTheme="minorEastAsia" w:hAnsi="Arial" w:cs="Arial"/>
          <w:color w:val="000000" w:themeColor="text1"/>
          <w:sz w:val="22"/>
          <w:szCs w:val="22"/>
          <w:lang w:val="en-US"/>
        </w:rPr>
      </w:pPr>
    </w:p>
    <w:p w14:paraId="6215299E" w14:textId="77777777" w:rsidR="003C3161" w:rsidRDefault="003C3161" w:rsidP="003C3161">
      <w:pPr>
        <w:rPr>
          <w:rFonts w:ascii="Arial" w:hAnsi="Arial" w:cs="Arial"/>
          <w:sz w:val="22"/>
          <w:szCs w:val="22"/>
        </w:rPr>
      </w:pPr>
      <w:r>
        <w:rPr>
          <w:rFonts w:ascii="Arial" w:hAnsi="Arial" w:cs="Arial"/>
          <w:sz w:val="22"/>
          <w:szCs w:val="22"/>
        </w:rPr>
        <w:t xml:space="preserve">CFI Team (2024) Dept Equity Ratio </w:t>
      </w:r>
      <w:r>
        <w:rPr>
          <w:rFonts w:ascii="Arial" w:eastAsiaTheme="minorEastAsia" w:hAnsi="Arial" w:cs="Arial"/>
          <w:color w:val="000000" w:themeColor="text1"/>
          <w:sz w:val="22"/>
          <w:szCs w:val="22"/>
          <w:lang w:val="en-US"/>
        </w:rPr>
        <w:t>[Accessed 23.4.2024] available at:</w:t>
      </w:r>
      <w:hyperlink r:id="rId13" w:history="1">
        <w:r w:rsidRPr="00B1511C">
          <w:rPr>
            <w:rStyle w:val="Hyperlink"/>
            <w:rFonts w:ascii="Arial" w:hAnsi="Arial" w:cs="Arial"/>
            <w:sz w:val="22"/>
            <w:szCs w:val="22"/>
          </w:rPr>
          <w:t>https://corporatefinanceinstitute.com/resources/commercial-lending/debt-to-equity-ratio-formula/#:~:text=The%20Debt%20to%20Equity%20ratio%20(also%20called%20the%20“debt%2D,E%20Ratio%20uses%20total%20equity</w:t>
        </w:r>
      </w:hyperlink>
      <w:r w:rsidRPr="00670636">
        <w:rPr>
          <w:rFonts w:ascii="Arial" w:hAnsi="Arial" w:cs="Arial"/>
          <w:sz w:val="22"/>
          <w:szCs w:val="22"/>
        </w:rPr>
        <w:t>.</w:t>
      </w:r>
      <w:r>
        <w:rPr>
          <w:rFonts w:ascii="Arial" w:hAnsi="Arial" w:cs="Arial"/>
          <w:sz w:val="22"/>
          <w:szCs w:val="22"/>
        </w:rPr>
        <w:t xml:space="preserve"> </w:t>
      </w:r>
    </w:p>
    <w:p w14:paraId="1EB2159F" w14:textId="77777777" w:rsidR="003C3161" w:rsidRDefault="003C3161" w:rsidP="003C3161">
      <w:pPr>
        <w:tabs>
          <w:tab w:val="left" w:pos="2520"/>
        </w:tabs>
        <w:spacing w:line="360" w:lineRule="auto"/>
        <w:rPr>
          <w:rFonts w:ascii="Arial" w:eastAsiaTheme="minorEastAsia" w:hAnsi="Arial" w:cs="Arial"/>
          <w:color w:val="000000" w:themeColor="text1"/>
          <w:sz w:val="22"/>
          <w:szCs w:val="22"/>
          <w:lang w:val="en-US"/>
        </w:rPr>
      </w:pPr>
    </w:p>
    <w:p w14:paraId="763E43CB" w14:textId="77777777" w:rsidR="003C3161" w:rsidRDefault="003C3161" w:rsidP="003C3161">
      <w:pPr>
        <w:rPr>
          <w:rFonts w:ascii="Arial" w:hAnsi="Arial" w:cs="Arial"/>
          <w:sz w:val="22"/>
          <w:szCs w:val="22"/>
        </w:rPr>
      </w:pPr>
      <w:r>
        <w:rPr>
          <w:rFonts w:ascii="Arial" w:hAnsi="Arial" w:cs="Arial"/>
          <w:sz w:val="22"/>
          <w:szCs w:val="22"/>
        </w:rPr>
        <w:t xml:space="preserve">Dbc.ca (2019) Current Ratio Calculator </w:t>
      </w:r>
      <w:r>
        <w:rPr>
          <w:rFonts w:ascii="Arial" w:eastAsiaTheme="minorEastAsia" w:hAnsi="Arial" w:cs="Arial"/>
          <w:color w:val="000000" w:themeColor="text1"/>
          <w:sz w:val="22"/>
          <w:szCs w:val="22"/>
          <w:lang w:val="en-US"/>
        </w:rPr>
        <w:t>[Accessed 23.4.2024] available at:</w:t>
      </w:r>
      <w:r>
        <w:rPr>
          <w:rFonts w:ascii="Arial" w:hAnsi="Arial" w:cs="Arial"/>
          <w:sz w:val="22"/>
          <w:szCs w:val="22"/>
        </w:rPr>
        <w:t xml:space="preserve"> </w:t>
      </w:r>
      <w:hyperlink r:id="rId14" w:history="1">
        <w:r w:rsidRPr="00B1511C">
          <w:rPr>
            <w:rStyle w:val="Hyperlink"/>
            <w:rFonts w:ascii="Arial" w:hAnsi="Arial" w:cs="Arial"/>
            <w:sz w:val="22"/>
            <w:szCs w:val="22"/>
          </w:rPr>
          <w:t>https://www.bdc.ca/en/articles-tools/entrepreneur-toolkit/financial-tools/current-ratio#:~:text=What%20is%20a%20good%20current,higher%20generally%20provides%20a%20cushion</w:t>
        </w:r>
      </w:hyperlink>
      <w:r w:rsidRPr="00FF0A8E">
        <w:rPr>
          <w:rFonts w:ascii="Arial" w:hAnsi="Arial" w:cs="Arial"/>
          <w:sz w:val="22"/>
          <w:szCs w:val="22"/>
        </w:rPr>
        <w:t>.</w:t>
      </w:r>
      <w:r>
        <w:rPr>
          <w:rFonts w:ascii="Arial" w:hAnsi="Arial" w:cs="Arial"/>
          <w:sz w:val="22"/>
          <w:szCs w:val="22"/>
        </w:rPr>
        <w:t xml:space="preserve"> </w:t>
      </w:r>
    </w:p>
    <w:p w14:paraId="256A3349" w14:textId="77777777" w:rsidR="003C3161" w:rsidRDefault="003C3161" w:rsidP="003C3161">
      <w:pPr>
        <w:tabs>
          <w:tab w:val="left" w:pos="2520"/>
        </w:tabs>
        <w:spacing w:line="360" w:lineRule="auto"/>
        <w:rPr>
          <w:rFonts w:ascii="Arial" w:eastAsiaTheme="minorEastAsia" w:hAnsi="Arial" w:cs="Arial"/>
          <w:color w:val="000000" w:themeColor="text1"/>
          <w:sz w:val="22"/>
          <w:szCs w:val="22"/>
          <w:lang w:val="en-US"/>
        </w:rPr>
      </w:pPr>
    </w:p>
    <w:p w14:paraId="73FEE2E8" w14:textId="77777777" w:rsidR="003C3161" w:rsidRDefault="003C3161" w:rsidP="003C3161">
      <w:pPr>
        <w:spacing w:line="360" w:lineRule="auto"/>
        <w:rPr>
          <w:rFonts w:ascii="Arial" w:hAnsi="Arial" w:cs="Arial"/>
          <w:color w:val="000000" w:themeColor="text1"/>
          <w:sz w:val="22"/>
          <w:szCs w:val="22"/>
        </w:rPr>
      </w:pPr>
    </w:p>
    <w:p w14:paraId="1453D951" w14:textId="77777777" w:rsidR="003C3161" w:rsidRDefault="003C3161" w:rsidP="003C3161">
      <w:pPr>
        <w:spacing w:line="360" w:lineRule="auto"/>
        <w:rPr>
          <w:rFonts w:ascii="Arial" w:eastAsiaTheme="minorEastAsia" w:hAnsi="Arial" w:cs="Arial"/>
          <w:color w:val="000000" w:themeColor="text1"/>
          <w:sz w:val="22"/>
          <w:szCs w:val="22"/>
          <w:lang w:val="en-US"/>
        </w:rPr>
      </w:pPr>
      <w:proofErr w:type="spellStart"/>
      <w:proofErr w:type="gramStart"/>
      <w:r w:rsidRPr="008003D2">
        <w:rPr>
          <w:rFonts w:ascii="Arial" w:hAnsi="Arial" w:cs="Arial"/>
          <w:color w:val="000000" w:themeColor="text1"/>
          <w:sz w:val="22"/>
          <w:szCs w:val="22"/>
        </w:rPr>
        <w:t>Eugene</w:t>
      </w:r>
      <w:r>
        <w:rPr>
          <w:rFonts w:ascii="Arial" w:hAnsi="Arial" w:cs="Arial"/>
          <w:color w:val="000000" w:themeColor="text1"/>
          <w:sz w:val="22"/>
          <w:szCs w:val="22"/>
        </w:rPr>
        <w:t>,F</w:t>
      </w:r>
      <w:proofErr w:type="spellEnd"/>
      <w:r w:rsidRPr="008003D2">
        <w:rPr>
          <w:rFonts w:ascii="Arial" w:hAnsi="Arial" w:cs="Arial"/>
          <w:color w:val="000000" w:themeColor="text1"/>
          <w:sz w:val="22"/>
          <w:szCs w:val="22"/>
        </w:rPr>
        <w:t>.</w:t>
      </w:r>
      <w:proofErr w:type="gramEnd"/>
      <w:r>
        <w:rPr>
          <w:rFonts w:ascii="Arial" w:hAnsi="Arial" w:cs="Arial"/>
          <w:color w:val="000000" w:themeColor="text1"/>
          <w:sz w:val="22"/>
          <w:szCs w:val="22"/>
        </w:rPr>
        <w:t>,</w:t>
      </w:r>
      <w:r w:rsidRPr="008003D2">
        <w:rPr>
          <w:rFonts w:ascii="Arial" w:hAnsi="Arial" w:cs="Arial"/>
          <w:color w:val="000000" w:themeColor="text1"/>
          <w:sz w:val="22"/>
          <w:szCs w:val="22"/>
        </w:rPr>
        <w:t xml:space="preserve"> Brigham</w:t>
      </w:r>
      <w:r>
        <w:rPr>
          <w:rFonts w:ascii="Arial" w:hAnsi="Arial" w:cs="Arial"/>
          <w:color w:val="000000" w:themeColor="text1"/>
          <w:sz w:val="22"/>
          <w:szCs w:val="22"/>
        </w:rPr>
        <w:t xml:space="preserve">, F., </w:t>
      </w:r>
      <w:r w:rsidRPr="008003D2">
        <w:rPr>
          <w:rFonts w:ascii="Arial" w:hAnsi="Arial" w:cs="Arial"/>
          <w:color w:val="000000" w:themeColor="text1"/>
          <w:sz w:val="22"/>
          <w:szCs w:val="22"/>
        </w:rPr>
        <w:t>Joel</w:t>
      </w:r>
      <w:r>
        <w:rPr>
          <w:rFonts w:ascii="Arial" w:hAnsi="Arial" w:cs="Arial"/>
          <w:color w:val="000000" w:themeColor="text1"/>
          <w:sz w:val="22"/>
          <w:szCs w:val="22"/>
        </w:rPr>
        <w:t xml:space="preserve">, H. (2013) </w:t>
      </w:r>
      <w:r w:rsidRPr="008003D2">
        <w:rPr>
          <w:rFonts w:ascii="Arial" w:hAnsi="Arial" w:cs="Arial"/>
          <w:color w:val="000000" w:themeColor="text1"/>
          <w:sz w:val="22"/>
          <w:szCs w:val="22"/>
        </w:rPr>
        <w:t>Fundamentals of Financial Management</w:t>
      </w:r>
      <w:r>
        <w:rPr>
          <w:rFonts w:ascii="Arial" w:hAnsi="Arial" w:cs="Arial"/>
          <w:color w:val="000000" w:themeColor="text1"/>
          <w:sz w:val="22"/>
          <w:szCs w:val="22"/>
        </w:rPr>
        <w:t xml:space="preserve"> </w:t>
      </w:r>
      <w:r>
        <w:rPr>
          <w:rFonts w:ascii="Arial" w:eastAsiaTheme="minorEastAsia" w:hAnsi="Arial" w:cs="Arial"/>
          <w:color w:val="000000" w:themeColor="text1"/>
          <w:sz w:val="22"/>
          <w:szCs w:val="22"/>
          <w:lang w:val="en-US"/>
        </w:rPr>
        <w:t>[Accessed 23.4.2024] available at:</w:t>
      </w:r>
    </w:p>
    <w:p w14:paraId="6FC4B5CA" w14:textId="77777777" w:rsidR="003C3161" w:rsidRDefault="003C3161" w:rsidP="003C3161">
      <w:r>
        <w:fldChar w:fldCharType="begin"/>
      </w:r>
      <w:r>
        <w:instrText>HYPERLINK "http://lms.aambc.edu.et:8080/xmlui/bitstream/handle/123456789/162/Fundamentals%20of%20Financial%20Management,%2013th%20ed.%20(%20PDFDrive%20).pdf?sequence=1"</w:instrText>
      </w:r>
      <w:r>
        <w:fldChar w:fldCharType="separate"/>
      </w:r>
      <w:r w:rsidRPr="003B2DA4">
        <w:rPr>
          <w:rStyle w:val="Hyperlink"/>
        </w:rPr>
        <w:t>http://lms.aambc.edu.et:8080/xmlui/bitstream/handle/123456789/162/Fundamentals%20of%20Financial%20Management,%2013th%20ed.%20(%20PDFDrive%20).pdf?sequence=1</w:t>
      </w:r>
      <w:r>
        <w:rPr>
          <w:rStyle w:val="Hyperlink"/>
        </w:rPr>
        <w:fldChar w:fldCharType="end"/>
      </w:r>
    </w:p>
    <w:p w14:paraId="24E1EC35" w14:textId="687EFD84" w:rsidR="003C3161" w:rsidRPr="003C3161" w:rsidRDefault="003C3161" w:rsidP="003C3161">
      <w:pPr>
        <w:rPr>
          <w:b/>
          <w:bCs/>
          <w:color w:val="C00000"/>
          <w:lang w:eastAsia="en-US"/>
        </w:rPr>
      </w:pPr>
      <w:r>
        <w:rPr>
          <w:b/>
          <w:bCs/>
          <w:color w:val="C00000"/>
          <w:lang w:eastAsia="en-US"/>
        </w:rPr>
        <w:t xml:space="preserve"> </w:t>
      </w:r>
    </w:p>
    <w:p w14:paraId="65B96C2E" w14:textId="77777777" w:rsidR="00B409E2" w:rsidRDefault="00B409E2" w:rsidP="00B409E2">
      <w:pPr>
        <w:spacing w:line="360" w:lineRule="auto"/>
        <w:rPr>
          <w:rFonts w:ascii="Arial" w:eastAsiaTheme="minorEastAsia" w:hAnsi="Arial" w:cs="Arial"/>
          <w:b/>
          <w:bCs/>
          <w:color w:val="000000" w:themeColor="text1"/>
          <w:sz w:val="22"/>
          <w:szCs w:val="22"/>
          <w:u w:val="single"/>
          <w:lang w:val="en-US"/>
        </w:rPr>
      </w:pPr>
    </w:p>
    <w:p w14:paraId="25DB977F" w14:textId="77777777" w:rsidR="002230EB" w:rsidRPr="00DD0404" w:rsidRDefault="002230EB" w:rsidP="002230EB">
      <w:pPr>
        <w:rPr>
          <w:rFonts w:ascii="Arial" w:hAnsi="Arial" w:cs="Arial"/>
          <w:sz w:val="22"/>
          <w:szCs w:val="22"/>
        </w:rPr>
      </w:pPr>
      <w:r>
        <w:rPr>
          <w:rFonts w:ascii="Arial" w:hAnsi="Arial" w:cs="Arial"/>
          <w:sz w:val="22"/>
          <w:szCs w:val="22"/>
        </w:rPr>
        <w:t xml:space="preserve">Fastercapital.com (2024) </w:t>
      </w:r>
      <w:r w:rsidRPr="006735DF">
        <w:rPr>
          <w:rFonts w:ascii="Arial" w:hAnsi="Arial" w:cs="Arial"/>
          <w:color w:val="333333"/>
          <w:sz w:val="22"/>
          <w:szCs w:val="22"/>
          <w:shd w:val="clear" w:color="auto" w:fill="FFFFFF"/>
        </w:rPr>
        <w:t>Factors Affecting Asset Turnover</w:t>
      </w:r>
      <w:r>
        <w:rPr>
          <w:rFonts w:ascii="Arial" w:hAnsi="Arial" w:cs="Arial"/>
          <w:color w:val="333333"/>
          <w:sz w:val="22"/>
          <w:szCs w:val="22"/>
          <w:shd w:val="clear" w:color="auto" w:fill="FFFFFF"/>
        </w:rPr>
        <w:t xml:space="preserve"> </w:t>
      </w:r>
      <w:r>
        <w:rPr>
          <w:rFonts w:ascii="Arial" w:eastAsiaTheme="minorEastAsia" w:hAnsi="Arial" w:cs="Arial"/>
          <w:color w:val="000000" w:themeColor="text1"/>
          <w:sz w:val="22"/>
          <w:szCs w:val="22"/>
          <w:lang w:val="en-US"/>
        </w:rPr>
        <w:t>[Accessed 23.4.2024] available at:</w:t>
      </w:r>
      <w:hyperlink r:id="rId15" w:history="1">
        <w:r w:rsidRPr="00B1511C">
          <w:rPr>
            <w:rStyle w:val="Hyperlink"/>
            <w:rFonts w:ascii="Arial" w:hAnsi="Arial" w:cs="Arial"/>
            <w:sz w:val="22"/>
            <w:szCs w:val="22"/>
            <w:shd w:val="clear" w:color="auto" w:fill="FFFFFF"/>
          </w:rPr>
          <w:t>https://fastercapital.com/content/Asset-Turnover--Assessing-the-Efficiency-of-Assets-Placed-in-</w:t>
        </w:r>
        <w:r w:rsidRPr="00B1511C">
          <w:rPr>
            <w:rStyle w:val="Hyperlink"/>
            <w:rFonts w:ascii="Arial" w:hAnsi="Arial" w:cs="Arial"/>
            <w:sz w:val="22"/>
            <w:szCs w:val="22"/>
            <w:shd w:val="clear" w:color="auto" w:fill="FFFFFF"/>
          </w:rPr>
          <w:lastRenderedPageBreak/>
          <w:t>Service.html#:~:text=Asset%20Turnover%20is%20a%20vital,its%20assets%20to%20generate%20sales</w:t>
        </w:r>
      </w:hyperlink>
      <w:r w:rsidRPr="006735DF">
        <w:rPr>
          <w:rFonts w:ascii="Arial" w:hAnsi="Arial" w:cs="Arial"/>
          <w:color w:val="333333"/>
          <w:sz w:val="22"/>
          <w:szCs w:val="22"/>
          <w:shd w:val="clear" w:color="auto" w:fill="FFFFFF"/>
        </w:rPr>
        <w:t>.</w:t>
      </w:r>
      <w:r>
        <w:rPr>
          <w:rFonts w:ascii="Arial" w:hAnsi="Arial" w:cs="Arial"/>
          <w:color w:val="333333"/>
          <w:sz w:val="22"/>
          <w:szCs w:val="22"/>
          <w:shd w:val="clear" w:color="auto" w:fill="FFFFFF"/>
        </w:rPr>
        <w:t xml:space="preserve"> </w:t>
      </w:r>
    </w:p>
    <w:p w14:paraId="73307A95" w14:textId="77777777" w:rsidR="002230EB" w:rsidRDefault="002230EB" w:rsidP="00B409E2">
      <w:pPr>
        <w:spacing w:line="360" w:lineRule="auto"/>
        <w:rPr>
          <w:rFonts w:ascii="Arial" w:eastAsiaTheme="minorEastAsia" w:hAnsi="Arial" w:cs="Arial"/>
          <w:b/>
          <w:bCs/>
          <w:color w:val="000000" w:themeColor="text1"/>
          <w:sz w:val="22"/>
          <w:szCs w:val="22"/>
          <w:u w:val="single"/>
          <w:lang w:val="en-US"/>
        </w:rPr>
      </w:pPr>
    </w:p>
    <w:p w14:paraId="1577FB01" w14:textId="597AEC46" w:rsidR="00B409E2" w:rsidRDefault="00CA099F" w:rsidP="00B409E2">
      <w:pPr>
        <w:spacing w:line="360" w:lineRule="auto"/>
        <w:rPr>
          <w:rFonts w:ascii="Arial" w:eastAsiaTheme="minorEastAsia" w:hAnsi="Arial" w:cs="Arial"/>
          <w:color w:val="000000" w:themeColor="text1"/>
          <w:sz w:val="22"/>
          <w:szCs w:val="22"/>
          <w:lang w:val="en-US"/>
        </w:rPr>
      </w:pPr>
      <w:r>
        <w:rPr>
          <w:rFonts w:ascii="Arial" w:hAnsi="Arial" w:cs="Arial"/>
          <w:color w:val="000000" w:themeColor="text1"/>
          <w:sz w:val="22"/>
          <w:szCs w:val="22"/>
        </w:rPr>
        <w:t xml:space="preserve">Fernando, J., </w:t>
      </w:r>
      <w:r>
        <w:rPr>
          <w:rFonts w:ascii="Arial" w:hAnsi="Arial" w:cs="Arial"/>
          <w:color w:val="000000" w:themeColor="text1"/>
          <w:sz w:val="22"/>
          <w:szCs w:val="22"/>
        </w:rPr>
        <w:t>(</w:t>
      </w:r>
      <w:r>
        <w:rPr>
          <w:rFonts w:ascii="Arial" w:hAnsi="Arial" w:cs="Arial"/>
          <w:color w:val="000000" w:themeColor="text1"/>
          <w:sz w:val="22"/>
          <w:szCs w:val="22"/>
        </w:rPr>
        <w:t>2024)</w:t>
      </w:r>
      <w:r>
        <w:rPr>
          <w:rFonts w:ascii="Arial" w:hAnsi="Arial" w:cs="Arial"/>
          <w:color w:val="000000" w:themeColor="text1"/>
          <w:sz w:val="22"/>
          <w:szCs w:val="22"/>
        </w:rPr>
        <w:t xml:space="preserve"> </w:t>
      </w:r>
      <w:r w:rsidRPr="00CA099F">
        <w:rPr>
          <w:rFonts w:ascii="Arial" w:hAnsi="Arial" w:cs="Arial"/>
          <w:color w:val="000000" w:themeColor="text1"/>
          <w:sz w:val="22"/>
          <w:szCs w:val="22"/>
        </w:rPr>
        <w:t>Debt-to-Equity (D/E) Ratio Formula and How to Interpret It</w:t>
      </w:r>
      <w:r>
        <w:rPr>
          <w:rFonts w:ascii="Arial" w:hAnsi="Arial" w:cs="Arial"/>
          <w:color w:val="000000" w:themeColor="text1"/>
          <w:sz w:val="22"/>
          <w:szCs w:val="22"/>
        </w:rPr>
        <w:t xml:space="preserve"> </w:t>
      </w:r>
      <w:r>
        <w:rPr>
          <w:rFonts w:ascii="Arial" w:eastAsiaTheme="minorEastAsia" w:hAnsi="Arial" w:cs="Arial"/>
          <w:color w:val="000000" w:themeColor="text1"/>
          <w:sz w:val="22"/>
          <w:szCs w:val="22"/>
          <w:lang w:val="en-US"/>
        </w:rPr>
        <w:t xml:space="preserve">[Accessed 22.4.2024] available at:  </w:t>
      </w:r>
      <w:hyperlink r:id="rId16" w:history="1">
        <w:r w:rsidRPr="00B1511C">
          <w:rPr>
            <w:rStyle w:val="Hyperlink"/>
            <w:rFonts w:ascii="Arial" w:eastAsiaTheme="minorEastAsia" w:hAnsi="Arial" w:cs="Arial"/>
            <w:sz w:val="22"/>
            <w:szCs w:val="22"/>
            <w:lang w:val="en-US"/>
          </w:rPr>
          <w:t>https://www.investopedia.com/terms/d/debtequityratio.asp</w:t>
        </w:r>
      </w:hyperlink>
    </w:p>
    <w:p w14:paraId="5A8116F3" w14:textId="77777777" w:rsidR="002230EB" w:rsidRDefault="002230EB" w:rsidP="00B409E2">
      <w:pPr>
        <w:spacing w:line="360" w:lineRule="auto"/>
        <w:rPr>
          <w:rFonts w:ascii="Arial" w:eastAsiaTheme="minorEastAsia" w:hAnsi="Arial" w:cs="Arial"/>
          <w:color w:val="000000" w:themeColor="text1"/>
          <w:sz w:val="22"/>
          <w:szCs w:val="22"/>
          <w:lang w:val="en-US"/>
        </w:rPr>
      </w:pPr>
    </w:p>
    <w:p w14:paraId="07FC03C7" w14:textId="77777777" w:rsidR="002230EB" w:rsidRDefault="002230EB" w:rsidP="002230EB">
      <w:pPr>
        <w:rPr>
          <w:rFonts w:ascii="Arial" w:eastAsiaTheme="minorEastAsia" w:hAnsi="Arial" w:cs="Arial"/>
          <w:color w:val="000000" w:themeColor="text1"/>
          <w:sz w:val="22"/>
          <w:szCs w:val="22"/>
          <w:lang w:val="en-US"/>
        </w:rPr>
      </w:pPr>
      <w:r>
        <w:rPr>
          <w:rFonts w:ascii="Arial" w:hAnsi="Arial" w:cs="Arial"/>
          <w:color w:val="000000" w:themeColor="text1"/>
          <w:sz w:val="22"/>
          <w:szCs w:val="22"/>
        </w:rPr>
        <w:t xml:space="preserve">Fernando, J., (2024) </w:t>
      </w:r>
      <w:r w:rsidRPr="00FF5ECD">
        <w:rPr>
          <w:rFonts w:ascii="Arial" w:hAnsi="Arial" w:cs="Arial"/>
          <w:color w:val="000000" w:themeColor="text1"/>
          <w:sz w:val="22"/>
          <w:szCs w:val="22"/>
        </w:rPr>
        <w:t xml:space="preserve">Current Ratio Explained </w:t>
      </w:r>
      <w:proofErr w:type="gramStart"/>
      <w:r w:rsidRPr="00FF5ECD">
        <w:rPr>
          <w:rFonts w:ascii="Arial" w:hAnsi="Arial" w:cs="Arial"/>
          <w:color w:val="000000" w:themeColor="text1"/>
          <w:sz w:val="22"/>
          <w:szCs w:val="22"/>
        </w:rPr>
        <w:t>With</w:t>
      </w:r>
      <w:proofErr w:type="gramEnd"/>
      <w:r w:rsidRPr="00FF5ECD">
        <w:rPr>
          <w:rFonts w:ascii="Arial" w:hAnsi="Arial" w:cs="Arial"/>
          <w:color w:val="000000" w:themeColor="text1"/>
          <w:sz w:val="22"/>
          <w:szCs w:val="22"/>
        </w:rPr>
        <w:t xml:space="preserve"> Formula and Examples</w:t>
      </w:r>
      <w:r>
        <w:rPr>
          <w:rFonts w:ascii="Arial" w:hAnsi="Arial" w:cs="Arial"/>
          <w:color w:val="000000" w:themeColor="text1"/>
          <w:sz w:val="22"/>
          <w:szCs w:val="22"/>
        </w:rPr>
        <w:t xml:space="preserve"> </w:t>
      </w:r>
      <w:r>
        <w:rPr>
          <w:rFonts w:ascii="Arial" w:eastAsiaTheme="minorEastAsia" w:hAnsi="Arial" w:cs="Arial"/>
          <w:color w:val="000000" w:themeColor="text1"/>
          <w:sz w:val="22"/>
          <w:szCs w:val="22"/>
          <w:lang w:val="en-US"/>
        </w:rPr>
        <w:t xml:space="preserve">[Accessed 23.4.2024] available at: </w:t>
      </w:r>
      <w:hyperlink r:id="rId17" w:history="1">
        <w:r w:rsidRPr="00B1511C">
          <w:rPr>
            <w:rStyle w:val="Hyperlink"/>
            <w:rFonts w:ascii="Arial" w:eastAsiaTheme="minorEastAsia" w:hAnsi="Arial" w:cs="Arial"/>
            <w:sz w:val="22"/>
            <w:szCs w:val="22"/>
            <w:lang w:val="en-US"/>
          </w:rPr>
          <w:t>https://www.investopedia.com/terms/c/currentratio.asp</w:t>
        </w:r>
      </w:hyperlink>
    </w:p>
    <w:p w14:paraId="25127087" w14:textId="77777777" w:rsidR="003C3161" w:rsidRDefault="003C3161" w:rsidP="00B409E2">
      <w:pPr>
        <w:spacing w:line="360" w:lineRule="auto"/>
        <w:rPr>
          <w:rFonts w:ascii="Arial" w:eastAsiaTheme="minorEastAsia" w:hAnsi="Arial" w:cs="Arial"/>
          <w:color w:val="000000" w:themeColor="text1"/>
          <w:sz w:val="22"/>
          <w:szCs w:val="22"/>
          <w:lang w:val="en-US"/>
        </w:rPr>
      </w:pPr>
    </w:p>
    <w:p w14:paraId="466686BE" w14:textId="77777777" w:rsidR="003C3161" w:rsidRDefault="003C3161" w:rsidP="003C3161">
      <w:pPr>
        <w:rPr>
          <w:rFonts w:ascii="Arial" w:hAnsi="Arial" w:cs="Arial"/>
          <w:sz w:val="22"/>
          <w:szCs w:val="22"/>
        </w:rPr>
      </w:pPr>
      <w:r>
        <w:rPr>
          <w:rFonts w:ascii="Arial" w:hAnsi="Arial" w:cs="Arial"/>
          <w:sz w:val="22"/>
          <w:szCs w:val="22"/>
        </w:rPr>
        <w:t xml:space="preserve">Fernando, J., (2024) </w:t>
      </w:r>
      <w:r w:rsidRPr="00F52C89">
        <w:rPr>
          <w:rFonts w:ascii="Arial" w:hAnsi="Arial" w:cs="Arial"/>
          <w:sz w:val="22"/>
          <w:szCs w:val="22"/>
        </w:rPr>
        <w:t>Net Present Value (NPV): What It Means and Steps to Calculate It</w:t>
      </w:r>
      <w:r>
        <w:rPr>
          <w:rFonts w:ascii="Arial" w:hAnsi="Arial" w:cs="Arial"/>
          <w:sz w:val="22"/>
          <w:szCs w:val="22"/>
        </w:rPr>
        <w:t xml:space="preserve"> </w:t>
      </w:r>
      <w:r>
        <w:rPr>
          <w:rFonts w:ascii="Arial" w:eastAsiaTheme="minorEastAsia" w:hAnsi="Arial" w:cs="Arial"/>
          <w:color w:val="000000" w:themeColor="text1"/>
          <w:sz w:val="22"/>
          <w:szCs w:val="22"/>
          <w:lang w:val="en-US"/>
        </w:rPr>
        <w:t xml:space="preserve">[Accessed 23.4.2024] available at: </w:t>
      </w:r>
      <w:hyperlink r:id="rId18" w:history="1">
        <w:r w:rsidRPr="00B1511C">
          <w:rPr>
            <w:rStyle w:val="Hyperlink"/>
            <w:rFonts w:ascii="Arial" w:hAnsi="Arial" w:cs="Arial"/>
            <w:sz w:val="22"/>
            <w:szCs w:val="22"/>
          </w:rPr>
          <w:t>https://www.investopedia.com/terms/n/npv.asp</w:t>
        </w:r>
      </w:hyperlink>
      <w:r>
        <w:rPr>
          <w:rFonts w:ascii="Arial" w:hAnsi="Arial" w:cs="Arial"/>
          <w:sz w:val="22"/>
          <w:szCs w:val="22"/>
        </w:rPr>
        <w:t xml:space="preserve"> </w:t>
      </w:r>
    </w:p>
    <w:p w14:paraId="7E1BE7EF" w14:textId="77777777" w:rsidR="003C3161" w:rsidRDefault="003C3161" w:rsidP="00B409E2">
      <w:pPr>
        <w:spacing w:line="360" w:lineRule="auto"/>
        <w:rPr>
          <w:rFonts w:ascii="Arial" w:eastAsiaTheme="minorEastAsia" w:hAnsi="Arial" w:cs="Arial"/>
          <w:color w:val="000000" w:themeColor="text1"/>
          <w:sz w:val="22"/>
          <w:szCs w:val="22"/>
          <w:lang w:val="en-US"/>
        </w:rPr>
      </w:pPr>
    </w:p>
    <w:p w14:paraId="6EBB507E" w14:textId="77777777" w:rsidR="003C3161" w:rsidRDefault="003C3161" w:rsidP="003C3161">
      <w:pPr>
        <w:rPr>
          <w:rFonts w:ascii="Arial" w:hAnsi="Arial" w:cs="Arial"/>
          <w:color w:val="000000" w:themeColor="text1"/>
          <w:sz w:val="22"/>
          <w:szCs w:val="22"/>
        </w:rPr>
      </w:pPr>
      <w:r>
        <w:rPr>
          <w:rFonts w:ascii="Arial" w:hAnsi="Arial" w:cs="Arial"/>
          <w:color w:val="000000" w:themeColor="text1"/>
          <w:sz w:val="22"/>
          <w:szCs w:val="22"/>
        </w:rPr>
        <w:t xml:space="preserve">freshbooks.com (2023) What is a good liquidity </w:t>
      </w:r>
      <w:proofErr w:type="gramStart"/>
      <w:r>
        <w:rPr>
          <w:rFonts w:ascii="Arial" w:hAnsi="Arial" w:cs="Arial"/>
          <w:color w:val="000000" w:themeColor="text1"/>
          <w:sz w:val="22"/>
          <w:szCs w:val="22"/>
        </w:rPr>
        <w:t>ratio ?</w:t>
      </w:r>
      <w:proofErr w:type="gramEnd"/>
      <w:r>
        <w:rPr>
          <w:rFonts w:ascii="Arial" w:hAnsi="Arial" w:cs="Arial"/>
          <w:color w:val="000000" w:themeColor="text1"/>
          <w:sz w:val="22"/>
          <w:szCs w:val="22"/>
        </w:rPr>
        <w:t xml:space="preserve"> </w:t>
      </w:r>
      <w:hyperlink r:id="rId19" w:history="1">
        <w:r w:rsidRPr="00B1511C">
          <w:rPr>
            <w:rStyle w:val="Hyperlink"/>
            <w:rFonts w:ascii="Arial" w:hAnsi="Arial" w:cs="Arial"/>
            <w:sz w:val="22"/>
            <w:szCs w:val="22"/>
          </w:rPr>
          <w:t>https://www.freshbooks.com/hub/accounting/good-liquidity-ratio#:~:text=A%20good%20current%20ratio%20is,cover%20its%20short%2Dterm%20liabilities</w:t>
        </w:r>
      </w:hyperlink>
      <w:r w:rsidRPr="002B1B62">
        <w:rPr>
          <w:rFonts w:ascii="Arial" w:hAnsi="Arial" w:cs="Arial"/>
          <w:color w:val="000000" w:themeColor="text1"/>
          <w:sz w:val="22"/>
          <w:szCs w:val="22"/>
        </w:rPr>
        <w:t>.</w:t>
      </w:r>
    </w:p>
    <w:p w14:paraId="32291FF2" w14:textId="77777777" w:rsidR="003C3161" w:rsidRDefault="003C3161" w:rsidP="00B409E2">
      <w:pPr>
        <w:spacing w:line="360" w:lineRule="auto"/>
        <w:rPr>
          <w:rFonts w:ascii="Arial" w:eastAsiaTheme="minorEastAsia" w:hAnsi="Arial" w:cs="Arial"/>
          <w:color w:val="000000" w:themeColor="text1"/>
          <w:sz w:val="22"/>
          <w:szCs w:val="22"/>
          <w:lang w:val="en-US"/>
        </w:rPr>
      </w:pPr>
    </w:p>
    <w:p w14:paraId="72CED43B" w14:textId="77777777" w:rsidR="00CA099F" w:rsidRDefault="00CA099F" w:rsidP="00B409E2">
      <w:pPr>
        <w:spacing w:line="360" w:lineRule="auto"/>
        <w:rPr>
          <w:rFonts w:ascii="Arial" w:eastAsiaTheme="minorEastAsia" w:hAnsi="Arial" w:cs="Arial"/>
          <w:b/>
          <w:bCs/>
          <w:color w:val="000000" w:themeColor="text1"/>
          <w:sz w:val="22"/>
          <w:szCs w:val="22"/>
          <w:u w:val="single"/>
          <w:lang w:val="en-US"/>
        </w:rPr>
      </w:pPr>
    </w:p>
    <w:p w14:paraId="6AA5BAF4" w14:textId="77777777" w:rsidR="003C3161" w:rsidRDefault="003C3161" w:rsidP="003C3161">
      <w:pPr>
        <w:spacing w:line="360" w:lineRule="auto"/>
        <w:rPr>
          <w:rFonts w:ascii="Arial" w:eastAsiaTheme="minorEastAsia" w:hAnsi="Arial" w:cs="Arial"/>
          <w:color w:val="000000" w:themeColor="text1"/>
          <w:sz w:val="22"/>
          <w:szCs w:val="22"/>
          <w:lang w:val="en-US"/>
        </w:rPr>
      </w:pPr>
      <w:r>
        <w:rPr>
          <w:rFonts w:ascii="Arial" w:eastAsiaTheme="minorEastAsia" w:hAnsi="Arial" w:cs="Arial"/>
          <w:color w:val="000000" w:themeColor="text1"/>
          <w:sz w:val="22"/>
          <w:szCs w:val="22"/>
          <w:lang w:val="en-US"/>
        </w:rPr>
        <w:t xml:space="preserve">Globaldata.com (2024) Visa Inc: Overview [Accessed 22.4.2024] available at:  </w:t>
      </w:r>
      <w:hyperlink r:id="rId20" w:anchor=":~:text=Visa%20Inc%20(Visa)%20is%20a,through%20digital%20payments%20and%20information" w:history="1">
        <w:r w:rsidRPr="003B2DA4">
          <w:rPr>
            <w:rStyle w:val="Hyperlink"/>
            <w:rFonts w:ascii="Arial" w:eastAsiaTheme="minorEastAsia" w:hAnsi="Arial" w:cs="Arial"/>
            <w:sz w:val="22"/>
            <w:szCs w:val="22"/>
            <w:lang w:val="en-US"/>
          </w:rPr>
          <w:t>https://www.globaldata.com/company-profile/visa-inc/#:~:text=Visa%20Inc%20(Visa)%20is%20a,through%20digital%20payments%20and%20information</w:t>
        </w:r>
      </w:hyperlink>
      <w:r w:rsidRPr="0058687C">
        <w:rPr>
          <w:rFonts w:ascii="Arial" w:eastAsiaTheme="minorEastAsia" w:hAnsi="Arial" w:cs="Arial"/>
          <w:color w:val="000000" w:themeColor="text1"/>
          <w:sz w:val="22"/>
          <w:szCs w:val="22"/>
          <w:lang w:val="en-US"/>
        </w:rPr>
        <w:t>.</w:t>
      </w:r>
      <w:r>
        <w:rPr>
          <w:rFonts w:ascii="Arial" w:eastAsiaTheme="minorEastAsia" w:hAnsi="Arial" w:cs="Arial"/>
          <w:color w:val="000000" w:themeColor="text1"/>
          <w:sz w:val="22"/>
          <w:szCs w:val="22"/>
          <w:lang w:val="en-US"/>
        </w:rPr>
        <w:t xml:space="preserve"> </w:t>
      </w:r>
    </w:p>
    <w:p w14:paraId="62D2CB3D" w14:textId="77777777" w:rsidR="003C3161" w:rsidRDefault="003C3161" w:rsidP="003C3161">
      <w:pPr>
        <w:spacing w:line="360" w:lineRule="auto"/>
        <w:rPr>
          <w:rFonts w:ascii="Arial" w:eastAsiaTheme="minorEastAsia" w:hAnsi="Arial" w:cs="Arial"/>
          <w:color w:val="000000" w:themeColor="text1"/>
          <w:sz w:val="22"/>
          <w:szCs w:val="22"/>
          <w:lang w:val="en-US"/>
        </w:rPr>
      </w:pPr>
    </w:p>
    <w:p w14:paraId="6BD3C3B3" w14:textId="77777777" w:rsidR="003C3161" w:rsidRDefault="003C3161" w:rsidP="003C3161"/>
    <w:p w14:paraId="36079660" w14:textId="77777777" w:rsidR="003C3161" w:rsidRDefault="003C3161" w:rsidP="003C3161">
      <w:pPr>
        <w:rPr>
          <w:rFonts w:ascii="Arial" w:hAnsi="Arial" w:cs="Arial"/>
          <w:sz w:val="22"/>
          <w:szCs w:val="22"/>
        </w:rPr>
      </w:pPr>
      <w:r>
        <w:rPr>
          <w:rFonts w:ascii="Arial" w:hAnsi="Arial" w:cs="Arial"/>
          <w:sz w:val="22"/>
          <w:szCs w:val="22"/>
        </w:rPr>
        <w:t xml:space="preserve">Gurufocus.com (2023) </w:t>
      </w:r>
      <w:r w:rsidRPr="00DD0404">
        <w:rPr>
          <w:rFonts w:ascii="Arial" w:hAnsi="Arial" w:cs="Arial"/>
          <w:sz w:val="22"/>
          <w:szCs w:val="22"/>
        </w:rPr>
        <w:t>Mastercard (Mastercard) ROA % : 27.19%</w:t>
      </w:r>
      <w:r>
        <w:rPr>
          <w:rFonts w:ascii="Arial" w:hAnsi="Arial" w:cs="Arial"/>
          <w:sz w:val="22"/>
          <w:szCs w:val="22"/>
        </w:rPr>
        <w:t xml:space="preserve"> </w:t>
      </w:r>
      <w:r>
        <w:rPr>
          <w:rFonts w:ascii="Arial" w:eastAsiaTheme="minorEastAsia" w:hAnsi="Arial" w:cs="Arial"/>
          <w:color w:val="000000" w:themeColor="text1"/>
          <w:sz w:val="22"/>
          <w:szCs w:val="22"/>
          <w:lang w:val="en-US"/>
        </w:rPr>
        <w:t>[Accessed 23.4.2024] available at:</w:t>
      </w:r>
      <w:hyperlink r:id="rId21" w:anchor=":~:text=2023%20was%2027.19%25.&amp;text=During%20the%20past%2013%20years,And%20the%20median%20was%2024.42%25" w:history="1">
        <w:r w:rsidRPr="003B2DA4">
          <w:rPr>
            <w:rStyle w:val="Hyperlink"/>
            <w:rFonts w:ascii="Arial" w:hAnsi="Arial" w:cs="Arial"/>
            <w:sz w:val="22"/>
            <w:szCs w:val="22"/>
          </w:rPr>
          <w:t>https://www.gurufocus.com/term/ROA/MA#:~:text=2023%20was%2027.19%25.&amp;text=During%20the%20past%2013%20years,And%20the%20median%20was%2024.42%25</w:t>
        </w:r>
      </w:hyperlink>
      <w:r w:rsidRPr="00DD0404">
        <w:rPr>
          <w:rFonts w:ascii="Arial" w:hAnsi="Arial" w:cs="Arial"/>
          <w:sz w:val="22"/>
          <w:szCs w:val="22"/>
        </w:rPr>
        <w:t>.</w:t>
      </w:r>
      <w:r>
        <w:rPr>
          <w:rFonts w:ascii="Arial" w:hAnsi="Arial" w:cs="Arial"/>
          <w:sz w:val="22"/>
          <w:szCs w:val="22"/>
        </w:rPr>
        <w:t xml:space="preserve"> </w:t>
      </w:r>
    </w:p>
    <w:p w14:paraId="4AEFC7E0" w14:textId="5C20AD86" w:rsidR="003C3161" w:rsidRDefault="003C3161" w:rsidP="003C3161">
      <w:pPr>
        <w:spacing w:line="360" w:lineRule="auto"/>
        <w:rPr>
          <w:rFonts w:ascii="Arial" w:eastAsiaTheme="minorEastAsia" w:hAnsi="Arial" w:cs="Arial"/>
          <w:color w:val="000000" w:themeColor="text1"/>
          <w:sz w:val="22"/>
          <w:szCs w:val="22"/>
          <w:lang w:val="en-US"/>
        </w:rPr>
      </w:pPr>
      <w:r>
        <w:rPr>
          <w:rFonts w:ascii="Arial" w:eastAsiaTheme="minorEastAsia" w:hAnsi="Arial" w:cs="Arial"/>
          <w:color w:val="000000" w:themeColor="text1"/>
          <w:sz w:val="22"/>
          <w:szCs w:val="22"/>
          <w:lang w:val="en-US"/>
        </w:rPr>
        <w:t xml:space="preserve"> </w:t>
      </w:r>
    </w:p>
    <w:p w14:paraId="4DFB2E07" w14:textId="77777777" w:rsidR="003C3161" w:rsidRDefault="003C3161" w:rsidP="003C3161">
      <w:pPr>
        <w:rPr>
          <w:rFonts w:ascii="Arial" w:hAnsi="Arial" w:cs="Arial"/>
          <w:sz w:val="22"/>
          <w:szCs w:val="22"/>
        </w:rPr>
      </w:pPr>
      <w:r>
        <w:rPr>
          <w:rFonts w:ascii="Arial" w:hAnsi="Arial" w:cs="Arial"/>
          <w:sz w:val="22"/>
          <w:szCs w:val="22"/>
        </w:rPr>
        <w:t xml:space="preserve">Gurufocus.com (2023) Visa V. </w:t>
      </w:r>
      <w:proofErr w:type="spellStart"/>
      <w:r>
        <w:rPr>
          <w:rFonts w:ascii="Arial" w:hAnsi="Arial" w:cs="Arial"/>
          <w:sz w:val="22"/>
          <w:szCs w:val="22"/>
        </w:rPr>
        <w:t>Curent</w:t>
      </w:r>
      <w:proofErr w:type="spellEnd"/>
      <w:r>
        <w:rPr>
          <w:rFonts w:ascii="Arial" w:hAnsi="Arial" w:cs="Arial"/>
          <w:sz w:val="22"/>
          <w:szCs w:val="22"/>
        </w:rPr>
        <w:t xml:space="preserve"> ratio </w:t>
      </w:r>
      <w:r>
        <w:rPr>
          <w:rFonts w:ascii="Arial" w:eastAsiaTheme="minorEastAsia" w:hAnsi="Arial" w:cs="Arial"/>
          <w:color w:val="000000" w:themeColor="text1"/>
          <w:sz w:val="22"/>
          <w:szCs w:val="22"/>
          <w:lang w:val="en-US"/>
        </w:rPr>
        <w:t>[Accessed 23.4.2024] available at:</w:t>
      </w:r>
      <w:r>
        <w:rPr>
          <w:rFonts w:ascii="Arial" w:hAnsi="Arial" w:cs="Arial"/>
          <w:sz w:val="22"/>
          <w:szCs w:val="22"/>
        </w:rPr>
        <w:t xml:space="preserve"> </w:t>
      </w:r>
      <w:hyperlink r:id="rId22" w:history="1">
        <w:r w:rsidRPr="00B1511C">
          <w:rPr>
            <w:rStyle w:val="Hyperlink"/>
            <w:rFonts w:ascii="Arial" w:hAnsi="Arial" w:cs="Arial"/>
            <w:sz w:val="22"/>
            <w:szCs w:val="22"/>
          </w:rPr>
          <w:t>https://www.gurufocus.com/term/current-ratio/V#:~:text=It%20is%20calculated%20as%20a,a%20current%20ratio%20of%201.45</w:t>
        </w:r>
      </w:hyperlink>
      <w:r w:rsidRPr="00E92C2F">
        <w:rPr>
          <w:rFonts w:ascii="Arial" w:hAnsi="Arial" w:cs="Arial"/>
          <w:sz w:val="22"/>
          <w:szCs w:val="22"/>
        </w:rPr>
        <w:t>.</w:t>
      </w:r>
      <w:r>
        <w:rPr>
          <w:rFonts w:ascii="Arial" w:hAnsi="Arial" w:cs="Arial"/>
          <w:sz w:val="22"/>
          <w:szCs w:val="22"/>
        </w:rPr>
        <w:t xml:space="preserve"> </w:t>
      </w:r>
    </w:p>
    <w:p w14:paraId="668074CC" w14:textId="38219EC8" w:rsidR="003C3161" w:rsidRDefault="003C3161" w:rsidP="003C3161">
      <w:pPr>
        <w:spacing w:line="360" w:lineRule="auto"/>
        <w:rPr>
          <w:rFonts w:ascii="Arial" w:eastAsiaTheme="minorEastAsia" w:hAnsi="Arial" w:cs="Arial"/>
          <w:color w:val="000000" w:themeColor="text1"/>
          <w:sz w:val="22"/>
          <w:szCs w:val="22"/>
          <w:lang w:val="en-US"/>
        </w:rPr>
      </w:pPr>
      <w:r>
        <w:rPr>
          <w:rFonts w:ascii="Arial" w:eastAsiaTheme="minorEastAsia" w:hAnsi="Arial" w:cs="Arial"/>
          <w:color w:val="000000" w:themeColor="text1"/>
          <w:sz w:val="22"/>
          <w:szCs w:val="22"/>
          <w:lang w:val="en-US"/>
        </w:rPr>
        <w:t xml:space="preserve"> </w:t>
      </w:r>
    </w:p>
    <w:p w14:paraId="3B0E3463" w14:textId="77777777" w:rsidR="003C3161" w:rsidRDefault="003C3161" w:rsidP="003C3161">
      <w:pPr>
        <w:tabs>
          <w:tab w:val="left" w:pos="2520"/>
        </w:tabs>
        <w:spacing w:line="360" w:lineRule="auto"/>
        <w:rPr>
          <w:rFonts w:ascii="Arial" w:hAnsi="Arial" w:cs="Arial"/>
          <w:color w:val="000000" w:themeColor="text1"/>
          <w:sz w:val="22"/>
          <w:szCs w:val="22"/>
        </w:rPr>
      </w:pPr>
      <w:proofErr w:type="spellStart"/>
      <w:r>
        <w:rPr>
          <w:rFonts w:ascii="Arial" w:hAnsi="Arial" w:cs="Arial"/>
          <w:color w:val="000000" w:themeColor="text1"/>
          <w:sz w:val="22"/>
          <w:szCs w:val="22"/>
        </w:rPr>
        <w:t>GoCadless</w:t>
      </w:r>
      <w:proofErr w:type="spellEnd"/>
      <w:r>
        <w:rPr>
          <w:rFonts w:ascii="Arial" w:hAnsi="Arial" w:cs="Arial"/>
          <w:color w:val="000000" w:themeColor="text1"/>
          <w:sz w:val="22"/>
          <w:szCs w:val="22"/>
        </w:rPr>
        <w:t xml:space="preserve"> (2022) What is the Debt to Equity Ratio</w:t>
      </w:r>
      <w:r>
        <w:rPr>
          <w:rFonts w:ascii="Arial" w:eastAsiaTheme="minorEastAsia" w:hAnsi="Arial" w:cs="Arial"/>
          <w:color w:val="000000" w:themeColor="text1"/>
          <w:sz w:val="22"/>
          <w:szCs w:val="22"/>
          <w:lang w:val="en-US"/>
        </w:rPr>
        <w:t>[Accessed 23.4.2024] available at:</w:t>
      </w:r>
      <w:r>
        <w:rPr>
          <w:rFonts w:ascii="Arial" w:hAnsi="Arial" w:cs="Arial"/>
          <w:color w:val="000000" w:themeColor="text1"/>
          <w:sz w:val="22"/>
          <w:szCs w:val="22"/>
        </w:rPr>
        <w:t xml:space="preserve"> </w:t>
      </w:r>
      <w:r>
        <w:rPr>
          <w:rFonts w:ascii="Arial" w:hAnsi="Arial" w:cs="Arial"/>
          <w:color w:val="000000" w:themeColor="text1"/>
          <w:sz w:val="22"/>
          <w:szCs w:val="22"/>
        </w:rPr>
        <w:fldChar w:fldCharType="begin"/>
      </w:r>
      <w:r>
        <w:rPr>
          <w:rFonts w:ascii="Arial" w:hAnsi="Arial" w:cs="Arial"/>
          <w:color w:val="000000" w:themeColor="text1"/>
          <w:sz w:val="22"/>
          <w:szCs w:val="22"/>
        </w:rPr>
        <w:instrText>HYPERLINK "</w:instrText>
      </w:r>
      <w:r w:rsidRPr="00160BB5">
        <w:rPr>
          <w:rFonts w:ascii="Arial" w:hAnsi="Arial" w:cs="Arial"/>
          <w:color w:val="000000" w:themeColor="text1"/>
          <w:sz w:val="22"/>
          <w:szCs w:val="22"/>
        </w:rPr>
        <w:instrText>https://gocardless.com/en-us/guides/posts/how-to-calculate-debt-to-equity-ratio/#:~:text=Ways%20to%20reduce%20debt%2Dto%2Dequity%20ratio,-If%20your%20company's&amp;text=One%20of%20the%20most%20effective,inventory%20management%20is%20also%20important</w:instrText>
      </w:r>
      <w:r>
        <w:rPr>
          <w:rFonts w:ascii="Arial" w:hAnsi="Arial" w:cs="Arial"/>
          <w:color w:val="000000" w:themeColor="text1"/>
          <w:sz w:val="22"/>
          <w:szCs w:val="22"/>
        </w:rPr>
        <w:instrText>"</w:instrText>
      </w:r>
      <w:r>
        <w:rPr>
          <w:rFonts w:ascii="Arial" w:hAnsi="Arial" w:cs="Arial"/>
          <w:color w:val="000000" w:themeColor="text1"/>
          <w:sz w:val="22"/>
          <w:szCs w:val="22"/>
        </w:rPr>
        <w:fldChar w:fldCharType="separate"/>
      </w:r>
      <w:r w:rsidRPr="00B1511C">
        <w:rPr>
          <w:rStyle w:val="Hyperlink"/>
          <w:rFonts w:ascii="Arial" w:hAnsi="Arial" w:cs="Arial"/>
          <w:sz w:val="22"/>
          <w:szCs w:val="22"/>
        </w:rPr>
        <w:t>https://gocardless.com/en-us/guides/posts/how-to-calculate-debt-to-equity-ratio/#:~:text=Ways%20to%20reduce%20debt%2Dto%2Dequity%20ratio,-If%20your%20company's&amp;text=One%20of%20the%20most%20effective,inventory%20management%20is%20also%20important</w:t>
      </w:r>
      <w:r>
        <w:rPr>
          <w:rFonts w:ascii="Arial" w:hAnsi="Arial" w:cs="Arial"/>
          <w:color w:val="000000" w:themeColor="text1"/>
          <w:sz w:val="22"/>
          <w:szCs w:val="22"/>
        </w:rPr>
        <w:fldChar w:fldCharType="end"/>
      </w:r>
      <w:r w:rsidRPr="00160BB5">
        <w:rPr>
          <w:rFonts w:ascii="Arial" w:hAnsi="Arial" w:cs="Arial"/>
          <w:color w:val="000000" w:themeColor="text1"/>
          <w:sz w:val="22"/>
          <w:szCs w:val="22"/>
        </w:rPr>
        <w:t>.</w:t>
      </w:r>
    </w:p>
    <w:p w14:paraId="1897EC53" w14:textId="77777777" w:rsidR="003C3161" w:rsidRDefault="003C3161" w:rsidP="003C3161">
      <w:pPr>
        <w:spacing w:line="360" w:lineRule="auto"/>
        <w:rPr>
          <w:rFonts w:ascii="Arial" w:eastAsiaTheme="minorEastAsia" w:hAnsi="Arial" w:cs="Arial"/>
          <w:color w:val="000000" w:themeColor="text1"/>
          <w:sz w:val="22"/>
          <w:szCs w:val="22"/>
          <w:lang w:val="en-US"/>
        </w:rPr>
      </w:pPr>
    </w:p>
    <w:p w14:paraId="64ADDD2F" w14:textId="33C75AD5" w:rsidR="003C3161" w:rsidRDefault="003C3161" w:rsidP="003C3161">
      <w:pPr>
        <w:spacing w:line="360" w:lineRule="auto"/>
        <w:rPr>
          <w:rFonts w:ascii="Arial" w:eastAsiaTheme="minorEastAsia" w:hAnsi="Arial" w:cs="Arial"/>
          <w:color w:val="000000" w:themeColor="text1"/>
          <w:sz w:val="22"/>
          <w:szCs w:val="22"/>
          <w:lang w:val="en-US"/>
        </w:rPr>
      </w:pPr>
      <w:r>
        <w:rPr>
          <w:rFonts w:ascii="Arial" w:eastAsiaTheme="minorEastAsia" w:hAnsi="Arial" w:cs="Arial"/>
          <w:color w:val="000000" w:themeColor="text1"/>
          <w:sz w:val="22"/>
          <w:szCs w:val="22"/>
          <w:lang w:val="en-US"/>
        </w:rPr>
        <w:t xml:space="preserve">gov.uk (2020) </w:t>
      </w:r>
      <w:r w:rsidRPr="002151EC">
        <w:rPr>
          <w:rFonts w:ascii="Arial" w:eastAsiaTheme="minorEastAsia" w:hAnsi="Arial" w:cs="Arial"/>
          <w:color w:val="000000" w:themeColor="text1"/>
          <w:sz w:val="22"/>
          <w:szCs w:val="22"/>
          <w:lang w:val="en-US"/>
        </w:rPr>
        <w:t>Deal between Visa and Plaid given the go-ahead</w:t>
      </w:r>
      <w:r>
        <w:rPr>
          <w:rFonts w:ascii="Arial" w:eastAsiaTheme="minorEastAsia" w:hAnsi="Arial" w:cs="Arial"/>
          <w:color w:val="000000" w:themeColor="text1"/>
          <w:sz w:val="22"/>
          <w:szCs w:val="22"/>
          <w:lang w:val="en-US"/>
        </w:rPr>
        <w:t xml:space="preserve"> [Accessed 22.4.2024] available at:  </w:t>
      </w:r>
      <w:hyperlink r:id="rId23" w:anchor=":~:text=Visa%20announced%20in%20January%202020,within%20the%20payment%20services%20sector" w:history="1">
        <w:r w:rsidRPr="003B2DA4">
          <w:rPr>
            <w:rStyle w:val="Hyperlink"/>
            <w:rFonts w:ascii="Arial" w:eastAsiaTheme="minorEastAsia" w:hAnsi="Arial" w:cs="Arial"/>
            <w:sz w:val="22"/>
            <w:szCs w:val="22"/>
            <w:lang w:val="en-US"/>
          </w:rPr>
          <w:t>https://www.gov.uk/government/news/deal-between-visa-and-plaid-given-the-go-</w:t>
        </w:r>
        <w:r w:rsidRPr="003B2DA4">
          <w:rPr>
            <w:rStyle w:val="Hyperlink"/>
            <w:rFonts w:ascii="Arial" w:eastAsiaTheme="minorEastAsia" w:hAnsi="Arial" w:cs="Arial"/>
            <w:sz w:val="22"/>
            <w:szCs w:val="22"/>
            <w:lang w:val="en-US"/>
          </w:rPr>
          <w:lastRenderedPageBreak/>
          <w:t>ahead#:~:text=Visa%20announced%20in%20January%202020,within%20the%20payment%20services%20sector</w:t>
        </w:r>
      </w:hyperlink>
      <w:r w:rsidRPr="002151EC">
        <w:rPr>
          <w:rFonts w:ascii="Arial" w:eastAsiaTheme="minorEastAsia" w:hAnsi="Arial" w:cs="Arial"/>
          <w:color w:val="000000" w:themeColor="text1"/>
          <w:sz w:val="22"/>
          <w:szCs w:val="22"/>
          <w:lang w:val="en-US"/>
        </w:rPr>
        <w:t>.</w:t>
      </w:r>
      <w:r>
        <w:rPr>
          <w:rFonts w:ascii="Arial" w:eastAsiaTheme="minorEastAsia" w:hAnsi="Arial" w:cs="Arial"/>
          <w:color w:val="000000" w:themeColor="text1"/>
          <w:sz w:val="22"/>
          <w:szCs w:val="22"/>
          <w:lang w:val="en-US"/>
        </w:rPr>
        <w:t xml:space="preserve"> </w:t>
      </w:r>
    </w:p>
    <w:p w14:paraId="6E08301E" w14:textId="77777777" w:rsidR="00CD5AEC" w:rsidRDefault="00CD5AEC" w:rsidP="003C3161">
      <w:pPr>
        <w:spacing w:line="360" w:lineRule="auto"/>
        <w:rPr>
          <w:rFonts w:ascii="Arial" w:eastAsiaTheme="minorEastAsia" w:hAnsi="Arial" w:cs="Arial"/>
          <w:color w:val="000000" w:themeColor="text1"/>
          <w:sz w:val="22"/>
          <w:szCs w:val="22"/>
          <w:lang w:val="en-US"/>
        </w:rPr>
      </w:pPr>
    </w:p>
    <w:p w14:paraId="7BA6AB4E" w14:textId="77777777" w:rsidR="00CD5AEC" w:rsidRDefault="00CD5AEC" w:rsidP="00CD5AEC">
      <w:pPr>
        <w:tabs>
          <w:tab w:val="left" w:pos="2520"/>
        </w:tabs>
        <w:spacing w:line="360" w:lineRule="auto"/>
        <w:rPr>
          <w:rFonts w:ascii="Arial" w:hAnsi="Arial" w:cs="Arial"/>
          <w:color w:val="000000" w:themeColor="text1"/>
          <w:sz w:val="22"/>
          <w:szCs w:val="22"/>
          <w:u w:val="single"/>
        </w:rPr>
      </w:pPr>
    </w:p>
    <w:p w14:paraId="4406BB28" w14:textId="77777777" w:rsidR="00CD5AEC" w:rsidRDefault="00CD5AEC" w:rsidP="00CD5AEC">
      <w:pPr>
        <w:tabs>
          <w:tab w:val="left" w:pos="2520"/>
        </w:tabs>
        <w:spacing w:line="360" w:lineRule="auto"/>
        <w:rPr>
          <w:rFonts w:ascii="Arial" w:eastAsiaTheme="minorEastAsia" w:hAnsi="Arial" w:cs="Arial"/>
          <w:color w:val="000000" w:themeColor="text1"/>
          <w:sz w:val="22"/>
          <w:szCs w:val="22"/>
          <w:lang w:val="en-US"/>
        </w:rPr>
      </w:pPr>
      <w:r>
        <w:rPr>
          <w:rFonts w:ascii="Arial" w:hAnsi="Arial" w:cs="Arial"/>
          <w:color w:val="000000" w:themeColor="text1"/>
          <w:sz w:val="22"/>
          <w:szCs w:val="22"/>
          <w:u w:val="single"/>
        </w:rPr>
        <w:t xml:space="preserve">Hayes, A., (2024) </w:t>
      </w:r>
      <w:r w:rsidRPr="000C4EAE">
        <w:rPr>
          <w:rFonts w:ascii="Arial" w:hAnsi="Arial" w:cs="Arial"/>
          <w:color w:val="000000" w:themeColor="text1"/>
          <w:sz w:val="22"/>
          <w:szCs w:val="22"/>
          <w:u w:val="single"/>
        </w:rPr>
        <w:t>Asset Turnover Ratio Definition</w:t>
      </w:r>
      <w:r>
        <w:rPr>
          <w:rFonts w:ascii="Arial" w:hAnsi="Arial" w:cs="Arial"/>
          <w:color w:val="000000" w:themeColor="text1"/>
          <w:sz w:val="22"/>
          <w:szCs w:val="22"/>
          <w:u w:val="single"/>
        </w:rPr>
        <w:t xml:space="preserve"> </w:t>
      </w:r>
      <w:r>
        <w:rPr>
          <w:rFonts w:ascii="Arial" w:eastAsiaTheme="minorEastAsia" w:hAnsi="Arial" w:cs="Arial"/>
          <w:color w:val="000000" w:themeColor="text1"/>
          <w:sz w:val="22"/>
          <w:szCs w:val="22"/>
          <w:lang w:val="en-US"/>
        </w:rPr>
        <w:t xml:space="preserve">[Accessed 22.4.2024] available at:  </w:t>
      </w:r>
      <w:hyperlink r:id="rId24" w:history="1">
        <w:r w:rsidRPr="00B1511C">
          <w:rPr>
            <w:rStyle w:val="Hyperlink"/>
            <w:rFonts w:ascii="Arial" w:eastAsiaTheme="minorEastAsia" w:hAnsi="Arial" w:cs="Arial"/>
            <w:sz w:val="22"/>
            <w:szCs w:val="22"/>
            <w:lang w:val="en-US"/>
          </w:rPr>
          <w:t>https://www.investopedia.com/terms/a/assetturnover.asp</w:t>
        </w:r>
      </w:hyperlink>
    </w:p>
    <w:p w14:paraId="5BCDA7AE" w14:textId="77777777" w:rsidR="00CD5AEC" w:rsidRDefault="00CD5AEC" w:rsidP="003C3161">
      <w:pPr>
        <w:spacing w:line="360" w:lineRule="auto"/>
        <w:rPr>
          <w:rFonts w:ascii="Arial" w:eastAsiaTheme="minorEastAsia" w:hAnsi="Arial" w:cs="Arial"/>
          <w:color w:val="000000" w:themeColor="text1"/>
          <w:sz w:val="22"/>
          <w:szCs w:val="22"/>
          <w:lang w:val="en-US"/>
        </w:rPr>
      </w:pPr>
    </w:p>
    <w:p w14:paraId="5D434338" w14:textId="77777777" w:rsidR="00CD5AEC" w:rsidRPr="00B11A97" w:rsidRDefault="00CD5AEC" w:rsidP="00CD5AEC">
      <w:pPr>
        <w:rPr>
          <w:rFonts w:ascii="Arial" w:hAnsi="Arial" w:cs="Arial"/>
          <w:sz w:val="22"/>
          <w:szCs w:val="22"/>
        </w:rPr>
      </w:pPr>
    </w:p>
    <w:p w14:paraId="7876A8BC" w14:textId="77777777" w:rsidR="00CD5AEC" w:rsidRDefault="00CD5AEC" w:rsidP="00CD5AEC">
      <w:pPr>
        <w:rPr>
          <w:rFonts w:ascii="ArialMT" w:hAnsi="ArialMT"/>
          <w:sz w:val="22"/>
          <w:szCs w:val="22"/>
        </w:rPr>
      </w:pPr>
      <w:r>
        <w:rPr>
          <w:rFonts w:ascii="ArialMT" w:hAnsi="ArialMT"/>
          <w:sz w:val="22"/>
          <w:szCs w:val="22"/>
        </w:rPr>
        <w:t xml:space="preserve">Hargrave, M., (2024)Return on Asset </w:t>
      </w:r>
      <w:r>
        <w:rPr>
          <w:rFonts w:ascii="Arial" w:eastAsiaTheme="minorEastAsia" w:hAnsi="Arial" w:cs="Arial"/>
          <w:color w:val="000000" w:themeColor="text1"/>
          <w:sz w:val="22"/>
          <w:szCs w:val="22"/>
          <w:lang w:val="en-US"/>
        </w:rPr>
        <w:t xml:space="preserve">[Accessed 23.4.2024] available at: </w:t>
      </w:r>
      <w:hyperlink r:id="rId25" w:history="1">
        <w:r w:rsidRPr="00B1511C">
          <w:rPr>
            <w:rStyle w:val="Hyperlink"/>
            <w:rFonts w:ascii="ArialMT" w:hAnsi="ArialMT"/>
            <w:sz w:val="22"/>
            <w:szCs w:val="22"/>
          </w:rPr>
          <w:t>https://www.investopedia.com/terms/r/returnonassets.asp#:~:text=A%20ROA%20of%20over%205,sheet%20than%20a%20car%20maker</w:t>
        </w:r>
      </w:hyperlink>
      <w:r w:rsidRPr="00FF5ECD">
        <w:rPr>
          <w:rFonts w:ascii="ArialMT" w:hAnsi="ArialMT"/>
          <w:sz w:val="22"/>
          <w:szCs w:val="22"/>
        </w:rPr>
        <w:t>.</w:t>
      </w:r>
    </w:p>
    <w:p w14:paraId="487FB1A3" w14:textId="77777777" w:rsidR="00CD5AEC" w:rsidRDefault="00CD5AEC" w:rsidP="003C3161">
      <w:pPr>
        <w:spacing w:line="360" w:lineRule="auto"/>
        <w:rPr>
          <w:rFonts w:ascii="Arial" w:eastAsiaTheme="minorEastAsia" w:hAnsi="Arial" w:cs="Arial"/>
          <w:color w:val="000000" w:themeColor="text1"/>
          <w:sz w:val="22"/>
          <w:szCs w:val="22"/>
          <w:lang w:val="en-US"/>
        </w:rPr>
      </w:pPr>
    </w:p>
    <w:p w14:paraId="1C4261F0" w14:textId="77777777" w:rsidR="00CD5AEC" w:rsidRDefault="00CD5AEC" w:rsidP="00CD5AEC">
      <w:pPr>
        <w:rPr>
          <w:rFonts w:ascii="Arial" w:hAnsi="Arial" w:cs="Arial"/>
          <w:sz w:val="22"/>
          <w:szCs w:val="22"/>
        </w:rPr>
      </w:pPr>
      <w:r>
        <w:rPr>
          <w:rFonts w:ascii="Arial" w:hAnsi="Arial" w:cs="Arial"/>
          <w:sz w:val="22"/>
          <w:szCs w:val="22"/>
        </w:rPr>
        <w:t xml:space="preserve">Houston, M., (2021) </w:t>
      </w:r>
      <w:r w:rsidRPr="00B11A97">
        <w:rPr>
          <w:rFonts w:ascii="Arial" w:hAnsi="Arial" w:cs="Arial"/>
          <w:sz w:val="22"/>
          <w:szCs w:val="22"/>
        </w:rPr>
        <w:t xml:space="preserve">The Importance </w:t>
      </w:r>
      <w:proofErr w:type="gramStart"/>
      <w:r w:rsidRPr="00B11A97">
        <w:rPr>
          <w:rFonts w:ascii="Arial" w:hAnsi="Arial" w:cs="Arial"/>
          <w:sz w:val="22"/>
          <w:szCs w:val="22"/>
        </w:rPr>
        <w:t>Of</w:t>
      </w:r>
      <w:proofErr w:type="gramEnd"/>
      <w:r w:rsidRPr="00B11A97">
        <w:rPr>
          <w:rFonts w:ascii="Arial" w:hAnsi="Arial" w:cs="Arial"/>
          <w:sz w:val="22"/>
          <w:szCs w:val="22"/>
        </w:rPr>
        <w:t xml:space="preserve"> Revenue Diversification In Business</w:t>
      </w:r>
      <w:r>
        <w:rPr>
          <w:rFonts w:ascii="Arial" w:hAnsi="Arial" w:cs="Arial"/>
          <w:sz w:val="22"/>
          <w:szCs w:val="22"/>
        </w:rPr>
        <w:t xml:space="preserve"> </w:t>
      </w:r>
      <w:r>
        <w:rPr>
          <w:rFonts w:ascii="Arial" w:eastAsiaTheme="minorEastAsia" w:hAnsi="Arial" w:cs="Arial"/>
          <w:color w:val="000000" w:themeColor="text1"/>
          <w:sz w:val="22"/>
          <w:szCs w:val="22"/>
          <w:lang w:val="en-US"/>
        </w:rPr>
        <w:t>[Accessed 23.4.2024] available at:</w:t>
      </w:r>
    </w:p>
    <w:p w14:paraId="39B3E2B8" w14:textId="77777777" w:rsidR="00CD5AEC" w:rsidRDefault="00CD5AEC" w:rsidP="00CD5AEC">
      <w:pPr>
        <w:rPr>
          <w:rFonts w:ascii="Arial" w:hAnsi="Arial" w:cs="Arial"/>
          <w:sz w:val="22"/>
          <w:szCs w:val="22"/>
        </w:rPr>
      </w:pPr>
      <w:hyperlink r:id="rId26" w:history="1">
        <w:r w:rsidRPr="00B1511C">
          <w:rPr>
            <w:rStyle w:val="Hyperlink"/>
            <w:rFonts w:ascii="Arial" w:hAnsi="Arial" w:cs="Arial"/>
            <w:sz w:val="22"/>
            <w:szCs w:val="22"/>
          </w:rPr>
          <w:t>https://www.forbes.com/sites/melissahouston/2021/03/04/the-importance-of-revenue-diversification-in-business/</w:t>
        </w:r>
      </w:hyperlink>
      <w:r>
        <w:rPr>
          <w:rFonts w:ascii="Arial" w:hAnsi="Arial" w:cs="Arial"/>
          <w:sz w:val="22"/>
          <w:szCs w:val="22"/>
        </w:rPr>
        <w:t xml:space="preserve"> </w:t>
      </w:r>
    </w:p>
    <w:p w14:paraId="450D7EF7" w14:textId="77777777" w:rsidR="00CD5AEC" w:rsidRDefault="00CD5AEC" w:rsidP="00CD5AEC">
      <w:pPr>
        <w:rPr>
          <w:rFonts w:ascii="Arial" w:hAnsi="Arial" w:cs="Arial"/>
          <w:sz w:val="22"/>
          <w:szCs w:val="22"/>
        </w:rPr>
      </w:pPr>
    </w:p>
    <w:p w14:paraId="31CCA691" w14:textId="77777777" w:rsidR="00CD5AEC" w:rsidRDefault="00CD5AEC" w:rsidP="00CD5AEC">
      <w:pPr>
        <w:rPr>
          <w:rFonts w:ascii="ArialMT" w:hAnsi="ArialMT"/>
          <w:sz w:val="22"/>
          <w:szCs w:val="22"/>
        </w:rPr>
      </w:pPr>
    </w:p>
    <w:p w14:paraId="2BDB6F1C" w14:textId="77777777" w:rsidR="00CD5AEC" w:rsidRDefault="00CD5AEC" w:rsidP="003C3161">
      <w:pPr>
        <w:spacing w:line="360" w:lineRule="auto"/>
        <w:rPr>
          <w:rFonts w:ascii="Arial" w:eastAsiaTheme="minorEastAsia" w:hAnsi="Arial" w:cs="Arial"/>
          <w:color w:val="000000" w:themeColor="text1"/>
          <w:sz w:val="22"/>
          <w:szCs w:val="22"/>
          <w:lang w:val="en-US"/>
        </w:rPr>
      </w:pPr>
    </w:p>
    <w:p w14:paraId="70624C08" w14:textId="77777777" w:rsidR="00CD5AEC" w:rsidRDefault="00CD5AEC" w:rsidP="00CD5AEC">
      <w:pPr>
        <w:rPr>
          <w:rFonts w:ascii="Arial" w:hAnsi="Arial" w:cs="Arial"/>
          <w:sz w:val="22"/>
          <w:szCs w:val="22"/>
        </w:rPr>
      </w:pPr>
    </w:p>
    <w:p w14:paraId="060BC034" w14:textId="77777777" w:rsidR="00CD5AEC" w:rsidRDefault="00CD5AEC" w:rsidP="00CD5AEC">
      <w:pPr>
        <w:rPr>
          <w:rFonts w:ascii="Arial" w:hAnsi="Arial" w:cs="Arial"/>
          <w:sz w:val="22"/>
          <w:szCs w:val="22"/>
        </w:rPr>
      </w:pPr>
      <w:r>
        <w:rPr>
          <w:rFonts w:ascii="Arial" w:hAnsi="Arial" w:cs="Arial"/>
          <w:sz w:val="22"/>
          <w:szCs w:val="22"/>
        </w:rPr>
        <w:t xml:space="preserve">Jason, F., (2024) Current Ratio Explained </w:t>
      </w:r>
      <w:proofErr w:type="gramStart"/>
      <w:r>
        <w:rPr>
          <w:rFonts w:ascii="Arial" w:hAnsi="Arial" w:cs="Arial"/>
          <w:sz w:val="22"/>
          <w:szCs w:val="22"/>
        </w:rPr>
        <w:t>With</w:t>
      </w:r>
      <w:proofErr w:type="gramEnd"/>
      <w:r>
        <w:rPr>
          <w:rFonts w:ascii="Arial" w:hAnsi="Arial" w:cs="Arial"/>
          <w:sz w:val="22"/>
          <w:szCs w:val="22"/>
        </w:rPr>
        <w:t xml:space="preserve"> Formula and Examples </w:t>
      </w:r>
      <w:r>
        <w:rPr>
          <w:rFonts w:ascii="Arial" w:eastAsiaTheme="minorEastAsia" w:hAnsi="Arial" w:cs="Arial"/>
          <w:color w:val="000000" w:themeColor="text1"/>
          <w:sz w:val="22"/>
          <w:szCs w:val="22"/>
          <w:lang w:val="en-US"/>
        </w:rPr>
        <w:t>[Accessed 23.4.2024] available at:</w:t>
      </w:r>
      <w:hyperlink r:id="rId27" w:history="1">
        <w:r w:rsidRPr="00B1511C">
          <w:rPr>
            <w:rStyle w:val="Hyperlink"/>
            <w:rFonts w:ascii="Arial" w:hAnsi="Arial" w:cs="Arial"/>
            <w:sz w:val="22"/>
            <w:szCs w:val="22"/>
          </w:rPr>
          <w:t>https://www.investopedia.com/terms/c/currentratio.asp</w:t>
        </w:r>
      </w:hyperlink>
      <w:r>
        <w:rPr>
          <w:rFonts w:ascii="Arial" w:hAnsi="Arial" w:cs="Arial"/>
          <w:sz w:val="22"/>
          <w:szCs w:val="22"/>
        </w:rPr>
        <w:t xml:space="preserve"> </w:t>
      </w:r>
    </w:p>
    <w:p w14:paraId="43CD2F55" w14:textId="77777777" w:rsidR="00CD5AEC" w:rsidRDefault="00CD5AEC" w:rsidP="003C3161">
      <w:pPr>
        <w:spacing w:line="360" w:lineRule="auto"/>
        <w:rPr>
          <w:rFonts w:ascii="Arial" w:eastAsiaTheme="minorEastAsia" w:hAnsi="Arial" w:cs="Arial"/>
          <w:color w:val="000000" w:themeColor="text1"/>
          <w:sz w:val="22"/>
          <w:szCs w:val="22"/>
          <w:lang w:val="en-US"/>
        </w:rPr>
      </w:pPr>
    </w:p>
    <w:p w14:paraId="2629859E" w14:textId="77777777" w:rsidR="00CD5AEC" w:rsidRDefault="00CD5AEC" w:rsidP="00CD5AEC">
      <w:pPr>
        <w:spacing w:line="360" w:lineRule="auto"/>
        <w:rPr>
          <w:rFonts w:ascii="Arial" w:eastAsiaTheme="minorEastAsia" w:hAnsi="Arial" w:cs="Arial"/>
          <w:color w:val="000000" w:themeColor="text1"/>
          <w:sz w:val="22"/>
          <w:szCs w:val="22"/>
          <w:lang w:val="en-US"/>
        </w:rPr>
      </w:pPr>
      <w:r>
        <w:rPr>
          <w:rFonts w:ascii="Arial" w:eastAsiaTheme="minorEastAsia" w:hAnsi="Arial" w:cs="Arial"/>
          <w:color w:val="000000" w:themeColor="text1"/>
          <w:sz w:val="22"/>
          <w:szCs w:val="22"/>
          <w:lang w:val="en-US"/>
        </w:rPr>
        <w:t xml:space="preserve">Linkedin.com (2024) </w:t>
      </w:r>
      <w:r w:rsidRPr="0058687C">
        <w:rPr>
          <w:rFonts w:ascii="Arial" w:eastAsiaTheme="minorEastAsia" w:hAnsi="Arial" w:cs="Arial"/>
          <w:color w:val="000000" w:themeColor="text1"/>
          <w:sz w:val="22"/>
          <w:szCs w:val="22"/>
          <w:lang w:val="en-US"/>
        </w:rPr>
        <w:t>Global Debit Card Market Size, Share &amp; Trend Analysis Report 2031</w:t>
      </w:r>
      <w:r>
        <w:rPr>
          <w:rFonts w:ascii="Arial" w:eastAsiaTheme="minorEastAsia" w:hAnsi="Arial" w:cs="Arial"/>
          <w:color w:val="000000" w:themeColor="text1"/>
          <w:sz w:val="22"/>
          <w:szCs w:val="22"/>
          <w:lang w:val="en-US"/>
        </w:rPr>
        <w:t xml:space="preserve"> [Accessed 22.4.2024] available at:  </w:t>
      </w:r>
      <w:hyperlink r:id="rId28" w:anchor=":~:text=The%20Global%20Debit%20Card%20Market,3.39%25%20from%202022%20to%202031" w:history="1">
        <w:r w:rsidRPr="003B2DA4">
          <w:rPr>
            <w:rStyle w:val="Hyperlink"/>
            <w:rFonts w:ascii="Arial" w:eastAsiaTheme="minorEastAsia" w:hAnsi="Arial" w:cs="Arial"/>
            <w:sz w:val="22"/>
            <w:szCs w:val="22"/>
            <w:lang w:val="en-US"/>
          </w:rPr>
          <w:t>https://www.linkedin.com/pulse/global-debit-card-market-size-share-trend-analysis-q4uec?trk=public_post_main-feed-card_feed-article-content#:~:text=The%20Global%20Debit%20Card%20Market,3.39%25%20from%202022%20to%202031</w:t>
        </w:r>
      </w:hyperlink>
      <w:r w:rsidRPr="0058687C">
        <w:rPr>
          <w:rFonts w:ascii="Arial" w:eastAsiaTheme="minorEastAsia" w:hAnsi="Arial" w:cs="Arial"/>
          <w:color w:val="000000" w:themeColor="text1"/>
          <w:sz w:val="22"/>
          <w:szCs w:val="22"/>
          <w:lang w:val="en-US"/>
        </w:rPr>
        <w:t>.</w:t>
      </w:r>
      <w:r>
        <w:rPr>
          <w:rFonts w:ascii="Arial" w:eastAsiaTheme="minorEastAsia" w:hAnsi="Arial" w:cs="Arial"/>
          <w:color w:val="000000" w:themeColor="text1"/>
          <w:sz w:val="22"/>
          <w:szCs w:val="22"/>
          <w:lang w:val="en-US"/>
        </w:rPr>
        <w:t xml:space="preserve"> </w:t>
      </w:r>
    </w:p>
    <w:p w14:paraId="07DB3126" w14:textId="77777777" w:rsidR="00CD5AEC" w:rsidRDefault="00CD5AEC" w:rsidP="003C3161">
      <w:pPr>
        <w:spacing w:line="360" w:lineRule="auto"/>
        <w:rPr>
          <w:rFonts w:ascii="Arial" w:eastAsiaTheme="minorEastAsia" w:hAnsi="Arial" w:cs="Arial"/>
          <w:color w:val="000000" w:themeColor="text1"/>
          <w:sz w:val="22"/>
          <w:szCs w:val="22"/>
          <w:lang w:val="en-US"/>
        </w:rPr>
      </w:pPr>
    </w:p>
    <w:p w14:paraId="26BD0345" w14:textId="77777777" w:rsidR="00CD5AEC" w:rsidRDefault="00CD5AEC" w:rsidP="00CD5AEC">
      <w:pPr>
        <w:rPr>
          <w:rFonts w:ascii="Arial" w:hAnsi="Arial" w:cs="Arial"/>
          <w:sz w:val="22"/>
          <w:szCs w:val="22"/>
        </w:rPr>
      </w:pPr>
      <w:r>
        <w:rPr>
          <w:rFonts w:ascii="Arial" w:hAnsi="Arial" w:cs="Arial"/>
          <w:sz w:val="22"/>
          <w:szCs w:val="22"/>
        </w:rPr>
        <w:t xml:space="preserve">Macrotrends.com (2023) </w:t>
      </w:r>
      <w:r w:rsidRPr="00DD0404">
        <w:rPr>
          <w:rFonts w:ascii="Arial" w:hAnsi="Arial" w:cs="Arial"/>
          <w:sz w:val="22"/>
          <w:szCs w:val="22"/>
        </w:rPr>
        <w:t>American Express ROA 2010-2023 | AXP</w:t>
      </w:r>
      <w:r>
        <w:rPr>
          <w:rFonts w:ascii="Arial" w:hAnsi="Arial" w:cs="Arial"/>
          <w:sz w:val="22"/>
          <w:szCs w:val="22"/>
        </w:rPr>
        <w:t xml:space="preserve"> </w:t>
      </w:r>
      <w:r>
        <w:rPr>
          <w:rFonts w:ascii="Arial" w:eastAsiaTheme="minorEastAsia" w:hAnsi="Arial" w:cs="Arial"/>
          <w:color w:val="000000" w:themeColor="text1"/>
          <w:sz w:val="22"/>
          <w:szCs w:val="22"/>
          <w:lang w:val="en-US"/>
        </w:rPr>
        <w:t>[Accessed 23.4.2024] available at:</w:t>
      </w:r>
      <w:r>
        <w:rPr>
          <w:rFonts w:ascii="Arial" w:hAnsi="Arial" w:cs="Arial"/>
          <w:sz w:val="22"/>
          <w:szCs w:val="22"/>
        </w:rPr>
        <w:t xml:space="preserve"> </w:t>
      </w:r>
      <w:hyperlink r:id="rId29" w:history="1">
        <w:r w:rsidRPr="003B2DA4">
          <w:rPr>
            <w:rStyle w:val="Hyperlink"/>
            <w:rFonts w:ascii="Arial" w:hAnsi="Arial" w:cs="Arial"/>
            <w:sz w:val="22"/>
            <w:szCs w:val="22"/>
          </w:rPr>
          <w:t>https://www.macrotrends.net/stocks/charts/AXP/american-express/roa</w:t>
        </w:r>
      </w:hyperlink>
    </w:p>
    <w:p w14:paraId="2EA26302" w14:textId="77777777" w:rsidR="00CD5AEC" w:rsidRDefault="00CD5AEC" w:rsidP="003C3161">
      <w:pPr>
        <w:spacing w:line="360" w:lineRule="auto"/>
        <w:rPr>
          <w:rFonts w:ascii="Arial" w:eastAsiaTheme="minorEastAsia" w:hAnsi="Arial" w:cs="Arial"/>
          <w:color w:val="000000" w:themeColor="text1"/>
          <w:sz w:val="22"/>
          <w:szCs w:val="22"/>
          <w:lang w:val="en-US"/>
        </w:rPr>
      </w:pPr>
    </w:p>
    <w:p w14:paraId="417F1415" w14:textId="7A95414A" w:rsidR="00CD5AEC" w:rsidRPr="00CD5AEC" w:rsidRDefault="00CD5AEC" w:rsidP="00CD5AEC">
      <w:pPr>
        <w:tabs>
          <w:tab w:val="left" w:pos="2520"/>
        </w:tabs>
        <w:spacing w:line="360" w:lineRule="auto"/>
        <w:rPr>
          <w:rFonts w:ascii="Arial" w:hAnsi="Arial" w:cs="Arial"/>
          <w:color w:val="000000" w:themeColor="text1"/>
          <w:sz w:val="22"/>
          <w:szCs w:val="22"/>
        </w:rPr>
      </w:pPr>
      <w:proofErr w:type="spellStart"/>
      <w:r>
        <w:rPr>
          <w:rFonts w:ascii="Arial" w:hAnsi="Arial" w:cs="Arial"/>
          <w:color w:val="000000" w:themeColor="text1"/>
          <w:sz w:val="22"/>
          <w:szCs w:val="22"/>
        </w:rPr>
        <w:t>Mcclure</w:t>
      </w:r>
      <w:proofErr w:type="spellEnd"/>
      <w:r>
        <w:rPr>
          <w:rFonts w:ascii="Arial" w:hAnsi="Arial" w:cs="Arial"/>
          <w:color w:val="000000" w:themeColor="text1"/>
          <w:sz w:val="22"/>
          <w:szCs w:val="22"/>
        </w:rPr>
        <w:t xml:space="preserve">, B., (2021) </w:t>
      </w:r>
      <w:r w:rsidRPr="00160BB5">
        <w:rPr>
          <w:rFonts w:ascii="Arial" w:hAnsi="Arial" w:cs="Arial"/>
          <w:color w:val="000000" w:themeColor="text1"/>
          <w:sz w:val="22"/>
          <w:szCs w:val="22"/>
        </w:rPr>
        <w:t>How to Use ROA to Judge a Company's Financial Performance</w:t>
      </w:r>
      <w:r>
        <w:rPr>
          <w:rFonts w:ascii="Arial" w:hAnsi="Arial" w:cs="Arial"/>
          <w:color w:val="000000" w:themeColor="text1"/>
          <w:sz w:val="22"/>
          <w:szCs w:val="22"/>
        </w:rPr>
        <w:t xml:space="preserve"> </w:t>
      </w:r>
      <w:r>
        <w:rPr>
          <w:rFonts w:ascii="Arial" w:eastAsiaTheme="minorEastAsia" w:hAnsi="Arial" w:cs="Arial"/>
          <w:color w:val="000000" w:themeColor="text1"/>
          <w:sz w:val="22"/>
          <w:szCs w:val="22"/>
          <w:lang w:val="en-US"/>
        </w:rPr>
        <w:t>[Accessed 23.4.2024] available at:</w:t>
      </w:r>
      <w:hyperlink r:id="rId30" w:history="1">
        <w:r w:rsidRPr="00B1511C">
          <w:rPr>
            <w:rStyle w:val="Hyperlink"/>
            <w:rFonts w:ascii="Arial" w:hAnsi="Arial" w:cs="Arial"/>
            <w:sz w:val="22"/>
            <w:szCs w:val="22"/>
          </w:rPr>
          <w:t>https://www.investopedia.com/articles/fundamental/04/012804.asp#:~:text=A%20company%20can%20arrive%20at,its%20assets%20to%20increase%20sales</w:t>
        </w:r>
      </w:hyperlink>
      <w:r w:rsidRPr="00160BB5">
        <w:rPr>
          <w:rFonts w:ascii="Arial" w:hAnsi="Arial" w:cs="Arial"/>
          <w:color w:val="000000" w:themeColor="text1"/>
          <w:sz w:val="22"/>
          <w:szCs w:val="22"/>
        </w:rPr>
        <w:t>.</w:t>
      </w:r>
    </w:p>
    <w:p w14:paraId="10C8A11A" w14:textId="77777777" w:rsidR="00CD5AEC" w:rsidRDefault="00CD5AEC" w:rsidP="003C3161">
      <w:pPr>
        <w:spacing w:line="360" w:lineRule="auto"/>
        <w:rPr>
          <w:rFonts w:ascii="Arial" w:eastAsiaTheme="minorEastAsia" w:hAnsi="Arial" w:cs="Arial"/>
          <w:color w:val="000000" w:themeColor="text1"/>
          <w:sz w:val="22"/>
          <w:szCs w:val="22"/>
          <w:lang w:val="en-US"/>
        </w:rPr>
      </w:pPr>
    </w:p>
    <w:p w14:paraId="3AC53E21" w14:textId="77777777" w:rsidR="00CD5AEC" w:rsidRDefault="00CD5AEC" w:rsidP="00CD5AEC">
      <w:pPr>
        <w:spacing w:line="360" w:lineRule="auto"/>
        <w:rPr>
          <w:rFonts w:ascii="Arial" w:eastAsiaTheme="minorEastAsia" w:hAnsi="Arial" w:cs="Arial"/>
          <w:color w:val="000000" w:themeColor="text1"/>
          <w:sz w:val="22"/>
          <w:szCs w:val="22"/>
          <w:lang w:val="en-US"/>
        </w:rPr>
      </w:pPr>
      <w:r>
        <w:rPr>
          <w:rFonts w:ascii="Arial" w:hAnsi="Arial" w:cs="Arial"/>
          <w:color w:val="000000" w:themeColor="text1"/>
          <w:sz w:val="22"/>
          <w:szCs w:val="22"/>
        </w:rPr>
        <w:t xml:space="preserve">Moise, I., Nishant, N. (2020) </w:t>
      </w:r>
      <w:r w:rsidRPr="00E732A1">
        <w:rPr>
          <w:rFonts w:ascii="Arial" w:eastAsiaTheme="minorEastAsia" w:hAnsi="Arial" w:cs="Arial"/>
          <w:color w:val="000000" w:themeColor="text1"/>
          <w:sz w:val="22"/>
          <w:szCs w:val="22"/>
          <w:lang w:val="en-US"/>
        </w:rPr>
        <w:t>Visa profit falls 23% as payment volumes plunge</w:t>
      </w:r>
      <w:r>
        <w:rPr>
          <w:rFonts w:ascii="Arial" w:eastAsiaTheme="minorEastAsia" w:hAnsi="Arial" w:cs="Arial"/>
          <w:color w:val="000000" w:themeColor="text1"/>
          <w:sz w:val="22"/>
          <w:szCs w:val="22"/>
          <w:lang w:val="en-US"/>
        </w:rPr>
        <w:t xml:space="preserve"> [Accessed 22.4.2024] available at: </w:t>
      </w:r>
      <w:hyperlink r:id="rId31" w:history="1">
        <w:r w:rsidRPr="003B2DA4">
          <w:rPr>
            <w:rStyle w:val="Hyperlink"/>
            <w:rFonts w:ascii="Arial" w:eastAsiaTheme="minorEastAsia" w:hAnsi="Arial" w:cs="Arial"/>
            <w:sz w:val="22"/>
            <w:szCs w:val="22"/>
            <w:lang w:val="en-US"/>
          </w:rPr>
          <w:t>https://www.reuters.com/article/idUSKBN27D30W/</w:t>
        </w:r>
      </w:hyperlink>
      <w:r>
        <w:rPr>
          <w:rFonts w:ascii="Arial" w:eastAsiaTheme="minorEastAsia" w:hAnsi="Arial" w:cs="Arial"/>
          <w:color w:val="000000" w:themeColor="text1"/>
          <w:sz w:val="22"/>
          <w:szCs w:val="22"/>
          <w:lang w:val="en-US"/>
        </w:rPr>
        <w:t xml:space="preserve"> </w:t>
      </w:r>
    </w:p>
    <w:p w14:paraId="3AEAD03B" w14:textId="77777777" w:rsidR="00CD5AEC" w:rsidRDefault="00CD5AEC" w:rsidP="003C3161">
      <w:pPr>
        <w:spacing w:line="360" w:lineRule="auto"/>
        <w:rPr>
          <w:rFonts w:ascii="Arial" w:eastAsiaTheme="minorEastAsia" w:hAnsi="Arial" w:cs="Arial"/>
          <w:color w:val="000000" w:themeColor="text1"/>
          <w:sz w:val="22"/>
          <w:szCs w:val="22"/>
          <w:lang w:val="en-US"/>
        </w:rPr>
      </w:pPr>
    </w:p>
    <w:p w14:paraId="72A1819B" w14:textId="77777777" w:rsidR="00CD5AEC" w:rsidRDefault="00CD5AEC" w:rsidP="00CD5AEC">
      <w:pPr>
        <w:tabs>
          <w:tab w:val="left" w:pos="2520"/>
        </w:tabs>
        <w:spacing w:line="360" w:lineRule="auto"/>
        <w:rPr>
          <w:rFonts w:ascii="Arial" w:eastAsiaTheme="minorEastAsia" w:hAnsi="Arial" w:cs="Arial"/>
          <w:color w:val="000000" w:themeColor="text1"/>
          <w:sz w:val="22"/>
          <w:szCs w:val="22"/>
          <w:lang w:val="en-US"/>
        </w:rPr>
      </w:pPr>
      <w:r>
        <w:rPr>
          <w:rFonts w:ascii="Arial" w:hAnsi="Arial" w:cs="Arial"/>
          <w:color w:val="000000" w:themeColor="text1"/>
          <w:sz w:val="22"/>
          <w:szCs w:val="22"/>
          <w:u w:val="single"/>
        </w:rPr>
        <w:t xml:space="preserve">Murphy, CH., (2023) </w:t>
      </w:r>
      <w:r w:rsidRPr="00725BB2">
        <w:rPr>
          <w:rFonts w:ascii="Arial" w:hAnsi="Arial" w:cs="Arial"/>
          <w:color w:val="000000" w:themeColor="text1"/>
          <w:sz w:val="22"/>
          <w:szCs w:val="22"/>
          <w:u w:val="single"/>
        </w:rPr>
        <w:t>Accounting Rate of Return (ARR): Definition, How to Calculate, and Example</w:t>
      </w:r>
      <w:r>
        <w:rPr>
          <w:rFonts w:ascii="Arial" w:hAnsi="Arial" w:cs="Arial"/>
          <w:color w:val="000000" w:themeColor="text1"/>
          <w:sz w:val="22"/>
          <w:szCs w:val="22"/>
          <w:u w:val="single"/>
        </w:rPr>
        <w:t xml:space="preserve"> </w:t>
      </w:r>
      <w:r>
        <w:rPr>
          <w:rFonts w:ascii="Arial" w:eastAsiaTheme="minorEastAsia" w:hAnsi="Arial" w:cs="Arial"/>
          <w:color w:val="000000" w:themeColor="text1"/>
          <w:sz w:val="22"/>
          <w:szCs w:val="22"/>
          <w:lang w:val="en-US"/>
        </w:rPr>
        <w:t xml:space="preserve">[Accessed 22.4.2024] available at:  </w:t>
      </w:r>
      <w:hyperlink r:id="rId32" w:history="1">
        <w:r w:rsidRPr="00B1511C">
          <w:rPr>
            <w:rStyle w:val="Hyperlink"/>
            <w:rFonts w:ascii="Arial" w:eastAsiaTheme="minorEastAsia" w:hAnsi="Arial" w:cs="Arial"/>
            <w:sz w:val="22"/>
            <w:szCs w:val="22"/>
            <w:lang w:val="en-US"/>
          </w:rPr>
          <w:t>https://www.investopedia.com/terms/a/arr.asp</w:t>
        </w:r>
      </w:hyperlink>
      <w:r>
        <w:rPr>
          <w:rFonts w:ascii="Arial" w:eastAsiaTheme="minorEastAsia" w:hAnsi="Arial" w:cs="Arial"/>
          <w:color w:val="000000" w:themeColor="text1"/>
          <w:sz w:val="22"/>
          <w:szCs w:val="22"/>
          <w:lang w:val="en-US"/>
        </w:rPr>
        <w:t xml:space="preserve"> </w:t>
      </w:r>
    </w:p>
    <w:p w14:paraId="1B8C1FA5" w14:textId="77777777" w:rsidR="00CD5AEC" w:rsidRDefault="00CD5AEC" w:rsidP="00B409E2">
      <w:pPr>
        <w:spacing w:line="360" w:lineRule="auto"/>
        <w:rPr>
          <w:rFonts w:ascii="Arial" w:eastAsiaTheme="minorEastAsia" w:hAnsi="Arial" w:cs="Arial"/>
          <w:b/>
          <w:bCs/>
          <w:color w:val="000000" w:themeColor="text1"/>
          <w:sz w:val="22"/>
          <w:szCs w:val="22"/>
          <w:u w:val="single"/>
          <w:lang w:val="en-US"/>
        </w:rPr>
      </w:pPr>
    </w:p>
    <w:p w14:paraId="3A25B849" w14:textId="77777777" w:rsidR="002230EB" w:rsidRDefault="002230EB" w:rsidP="002230EB">
      <w:pPr>
        <w:spacing w:line="360" w:lineRule="auto"/>
        <w:rPr>
          <w:rFonts w:ascii="Arial" w:eastAsiaTheme="minorEastAsia" w:hAnsi="Arial" w:cs="Arial"/>
          <w:color w:val="000000" w:themeColor="text1"/>
          <w:sz w:val="22"/>
          <w:szCs w:val="22"/>
          <w:lang w:val="en-US"/>
        </w:rPr>
      </w:pPr>
      <w:proofErr w:type="spellStart"/>
      <w:r>
        <w:rPr>
          <w:rFonts w:ascii="Arial" w:eastAsiaTheme="minorEastAsia" w:hAnsi="Arial" w:cs="Arial"/>
          <w:color w:val="000000" w:themeColor="text1"/>
          <w:sz w:val="22"/>
          <w:szCs w:val="22"/>
          <w:lang w:val="en-US"/>
        </w:rPr>
        <w:t>Reiff</w:t>
      </w:r>
      <w:proofErr w:type="spellEnd"/>
      <w:r>
        <w:rPr>
          <w:rFonts w:ascii="Arial" w:eastAsiaTheme="minorEastAsia" w:hAnsi="Arial" w:cs="Arial"/>
          <w:color w:val="000000" w:themeColor="text1"/>
          <w:sz w:val="22"/>
          <w:szCs w:val="22"/>
          <w:lang w:val="en-US"/>
        </w:rPr>
        <w:t xml:space="preserve">, N., (2024) How Visa Makes Money - </w:t>
      </w:r>
      <w:r w:rsidRPr="001F3C9E">
        <w:rPr>
          <w:rFonts w:ascii="Arial" w:eastAsiaTheme="minorEastAsia" w:hAnsi="Arial" w:cs="Arial"/>
          <w:color w:val="000000" w:themeColor="text1"/>
          <w:sz w:val="22"/>
          <w:szCs w:val="22"/>
          <w:lang w:val="en-US"/>
        </w:rPr>
        <w:t>Visa's data processing and service units generate the most revenue</w:t>
      </w:r>
      <w:r>
        <w:rPr>
          <w:rFonts w:ascii="Arial" w:eastAsiaTheme="minorEastAsia" w:hAnsi="Arial" w:cs="Arial"/>
          <w:color w:val="000000" w:themeColor="text1"/>
          <w:sz w:val="22"/>
          <w:szCs w:val="22"/>
          <w:lang w:val="en-US"/>
        </w:rPr>
        <w:t>.</w:t>
      </w:r>
      <w:r w:rsidRPr="0056392C">
        <w:rPr>
          <w:rFonts w:ascii="Arial" w:eastAsiaTheme="minorEastAsia" w:hAnsi="Arial" w:cs="Arial"/>
          <w:color w:val="000000" w:themeColor="text1"/>
          <w:sz w:val="22"/>
          <w:szCs w:val="22"/>
          <w:lang w:val="en-US"/>
        </w:rPr>
        <w:t xml:space="preserve"> </w:t>
      </w:r>
      <w:r>
        <w:rPr>
          <w:rFonts w:ascii="Arial" w:eastAsiaTheme="minorEastAsia" w:hAnsi="Arial" w:cs="Arial"/>
          <w:color w:val="000000" w:themeColor="text1"/>
          <w:sz w:val="22"/>
          <w:szCs w:val="22"/>
          <w:lang w:val="en-US"/>
        </w:rPr>
        <w:t xml:space="preserve">[Accessed 22.4.2024] available at:  </w:t>
      </w:r>
      <w:hyperlink r:id="rId33" w:anchor=":~:text=Visa%20is%20a%20digital%20payments,%2C%20and%20value%2Dadded%20services" w:history="1">
        <w:r w:rsidRPr="003B2DA4">
          <w:rPr>
            <w:rStyle w:val="Hyperlink"/>
            <w:rFonts w:ascii="Arial" w:eastAsiaTheme="minorEastAsia" w:hAnsi="Arial" w:cs="Arial"/>
            <w:sz w:val="22"/>
            <w:szCs w:val="22"/>
            <w:lang w:val="en-US"/>
          </w:rPr>
          <w:t>https://www.investopedia.com/how-visa-makes-money-4799098#:~:text=Visa%20is%20a%20digital%20payments,%2C%20and%20value%2Dadded%20services</w:t>
        </w:r>
      </w:hyperlink>
      <w:r w:rsidRPr="001F3C9E">
        <w:rPr>
          <w:rFonts w:ascii="Arial" w:eastAsiaTheme="minorEastAsia" w:hAnsi="Arial" w:cs="Arial"/>
          <w:color w:val="000000" w:themeColor="text1"/>
          <w:sz w:val="22"/>
          <w:szCs w:val="22"/>
          <w:lang w:val="en-US"/>
        </w:rPr>
        <w:t>.</w:t>
      </w:r>
      <w:r>
        <w:rPr>
          <w:rFonts w:ascii="Arial" w:eastAsiaTheme="minorEastAsia" w:hAnsi="Arial" w:cs="Arial"/>
          <w:color w:val="000000" w:themeColor="text1"/>
          <w:sz w:val="22"/>
          <w:szCs w:val="22"/>
          <w:lang w:val="en-US"/>
        </w:rPr>
        <w:t xml:space="preserve"> </w:t>
      </w:r>
    </w:p>
    <w:p w14:paraId="20AD79C8" w14:textId="77777777" w:rsidR="002230EB" w:rsidRDefault="002230EB" w:rsidP="00B409E2">
      <w:pPr>
        <w:spacing w:line="360" w:lineRule="auto"/>
        <w:rPr>
          <w:rFonts w:ascii="Arial" w:eastAsiaTheme="minorEastAsia" w:hAnsi="Arial" w:cs="Arial"/>
          <w:b/>
          <w:bCs/>
          <w:color w:val="000000" w:themeColor="text1"/>
          <w:sz w:val="22"/>
          <w:szCs w:val="22"/>
          <w:u w:val="single"/>
          <w:lang w:val="en-US"/>
        </w:rPr>
      </w:pPr>
    </w:p>
    <w:p w14:paraId="22457E7A" w14:textId="77777777" w:rsidR="002230EB" w:rsidRDefault="002230EB" w:rsidP="002230EB">
      <w:pPr>
        <w:spacing w:line="360" w:lineRule="auto"/>
        <w:rPr>
          <w:rFonts w:ascii="Arial" w:eastAsiaTheme="minorEastAsia" w:hAnsi="Arial" w:cs="Arial"/>
          <w:color w:val="000000" w:themeColor="text1"/>
          <w:sz w:val="22"/>
          <w:szCs w:val="22"/>
          <w:lang w:val="en-US"/>
        </w:rPr>
      </w:pPr>
      <w:r>
        <w:rPr>
          <w:rFonts w:ascii="Arial" w:eastAsiaTheme="minorEastAsia" w:hAnsi="Arial" w:cs="Arial"/>
          <w:color w:val="000000" w:themeColor="text1"/>
          <w:sz w:val="22"/>
          <w:szCs w:val="22"/>
          <w:lang w:val="en-US"/>
        </w:rPr>
        <w:t xml:space="preserve">Saini, M., (2024) </w:t>
      </w:r>
      <w:r w:rsidRPr="0052043A">
        <w:rPr>
          <w:rFonts w:ascii="Arial" w:eastAsiaTheme="minorEastAsia" w:hAnsi="Arial" w:cs="Arial"/>
          <w:color w:val="000000" w:themeColor="text1"/>
          <w:sz w:val="22"/>
          <w:szCs w:val="22"/>
          <w:lang w:val="en-US"/>
        </w:rPr>
        <w:t xml:space="preserve">Visa's tepid revenue outlook clouds profit beat, shares </w:t>
      </w:r>
      <w:proofErr w:type="gramStart"/>
      <w:r w:rsidRPr="0052043A">
        <w:rPr>
          <w:rFonts w:ascii="Arial" w:eastAsiaTheme="minorEastAsia" w:hAnsi="Arial" w:cs="Arial"/>
          <w:color w:val="000000" w:themeColor="text1"/>
          <w:sz w:val="22"/>
          <w:szCs w:val="22"/>
          <w:lang w:val="en-US"/>
        </w:rPr>
        <w:t>drop</w:t>
      </w:r>
      <w:r>
        <w:rPr>
          <w:rFonts w:ascii="Arial" w:eastAsiaTheme="minorEastAsia" w:hAnsi="Arial" w:cs="Arial"/>
          <w:color w:val="000000" w:themeColor="text1"/>
          <w:sz w:val="22"/>
          <w:szCs w:val="22"/>
          <w:lang w:val="en-US"/>
        </w:rPr>
        <w:t>[</w:t>
      </w:r>
      <w:proofErr w:type="gramEnd"/>
      <w:r>
        <w:rPr>
          <w:rFonts w:ascii="Arial" w:eastAsiaTheme="minorEastAsia" w:hAnsi="Arial" w:cs="Arial"/>
          <w:color w:val="000000" w:themeColor="text1"/>
          <w:sz w:val="22"/>
          <w:szCs w:val="22"/>
          <w:lang w:val="en-US"/>
        </w:rPr>
        <w:t xml:space="preserve">Accessed 22.4.2024] available at:  </w:t>
      </w:r>
      <w:hyperlink r:id="rId34" w:history="1">
        <w:r w:rsidRPr="003B2DA4">
          <w:rPr>
            <w:rStyle w:val="Hyperlink"/>
            <w:rFonts w:ascii="Arial" w:eastAsiaTheme="minorEastAsia" w:hAnsi="Arial" w:cs="Arial"/>
            <w:sz w:val="22"/>
            <w:szCs w:val="22"/>
            <w:lang w:val="en-US"/>
          </w:rPr>
          <w:t>https://www.netcials.com/stock-volatility-nyse/V-Visa-Inc/</w:t>
        </w:r>
      </w:hyperlink>
      <w:r>
        <w:rPr>
          <w:rFonts w:ascii="Arial" w:eastAsiaTheme="minorEastAsia" w:hAnsi="Arial" w:cs="Arial"/>
          <w:color w:val="000000" w:themeColor="text1"/>
          <w:sz w:val="22"/>
          <w:szCs w:val="22"/>
          <w:lang w:val="en-US"/>
        </w:rPr>
        <w:t xml:space="preserve"> </w:t>
      </w:r>
    </w:p>
    <w:p w14:paraId="40EEBFEB" w14:textId="77777777" w:rsidR="002230EB" w:rsidRDefault="002230EB" w:rsidP="00B409E2">
      <w:pPr>
        <w:spacing w:line="360" w:lineRule="auto"/>
        <w:rPr>
          <w:rFonts w:ascii="Arial" w:eastAsiaTheme="minorEastAsia" w:hAnsi="Arial" w:cs="Arial"/>
          <w:b/>
          <w:bCs/>
          <w:color w:val="000000" w:themeColor="text1"/>
          <w:sz w:val="22"/>
          <w:szCs w:val="22"/>
          <w:u w:val="single"/>
          <w:lang w:val="en-US"/>
        </w:rPr>
      </w:pPr>
    </w:p>
    <w:p w14:paraId="6705A5F0" w14:textId="77777777" w:rsidR="00CD5AEC" w:rsidRDefault="00CD5AEC" w:rsidP="00CD5AEC">
      <w:pPr>
        <w:rPr>
          <w:rFonts w:ascii="Segoe UI" w:hAnsi="Segoe UI" w:cs="Segoe UI"/>
        </w:rPr>
      </w:pPr>
      <w:proofErr w:type="spellStart"/>
      <w:r>
        <w:rPr>
          <w:color w:val="000000" w:themeColor="text1"/>
        </w:rPr>
        <w:t>Samani</w:t>
      </w:r>
      <w:proofErr w:type="spellEnd"/>
      <w:r>
        <w:rPr>
          <w:color w:val="000000" w:themeColor="text1"/>
        </w:rPr>
        <w:t>, N., (2023</w:t>
      </w:r>
      <w:proofErr w:type="gramStart"/>
      <w:r>
        <w:rPr>
          <w:color w:val="000000" w:themeColor="text1"/>
        </w:rPr>
        <w:t xml:space="preserve">)  </w:t>
      </w:r>
      <w:r w:rsidRPr="00B11A97">
        <w:t>Everything</w:t>
      </w:r>
      <w:proofErr w:type="gramEnd"/>
      <w:r w:rsidRPr="00B11A97">
        <w:t xml:space="preserve"> You Need to Know About Continuous Innovation</w:t>
      </w:r>
    </w:p>
    <w:p w14:paraId="5EBBE218" w14:textId="77777777" w:rsidR="00CD5AEC" w:rsidRDefault="00CD5AEC" w:rsidP="00CD5AEC">
      <w:pPr>
        <w:rPr>
          <w:color w:val="333333"/>
        </w:rPr>
      </w:pPr>
      <w:r>
        <w:rPr>
          <w:color w:val="000000" w:themeColor="text1"/>
        </w:rPr>
        <w:t>“</w:t>
      </w:r>
      <w:r w:rsidRPr="00B11A97">
        <w:rPr>
          <w:color w:val="333333"/>
        </w:rPr>
        <w:t>Frequently Asked Questions about Continuous Innovation</w:t>
      </w:r>
      <w:r>
        <w:rPr>
          <w:color w:val="333333"/>
        </w:rPr>
        <w:t xml:space="preserve">” </w:t>
      </w:r>
      <w:r>
        <w:rPr>
          <w:rFonts w:eastAsiaTheme="minorEastAsia"/>
          <w:color w:val="000000" w:themeColor="text1"/>
          <w:lang w:val="en-US"/>
        </w:rPr>
        <w:t>[Accessed 23.4.2024] available at:</w:t>
      </w:r>
      <w:hyperlink r:id="rId35" w:history="1">
        <w:r w:rsidRPr="00B1511C">
          <w:rPr>
            <w:rStyle w:val="Hyperlink"/>
            <w:rFonts w:ascii="Arial" w:hAnsi="Arial" w:cs="Arial"/>
            <w:sz w:val="22"/>
            <w:szCs w:val="22"/>
          </w:rPr>
          <w:t>https://www.deskera.com/blog/continuous-innovation/#:~:text=Continuous%20innovation%20is%20important%20because,term%20with%20only%20continuous%20innovation%3F</w:t>
        </w:r>
      </w:hyperlink>
    </w:p>
    <w:p w14:paraId="3D404E39" w14:textId="77777777" w:rsidR="00CD5AEC" w:rsidRDefault="00CD5AEC" w:rsidP="00B409E2">
      <w:pPr>
        <w:spacing w:line="360" w:lineRule="auto"/>
        <w:rPr>
          <w:rFonts w:ascii="Arial" w:eastAsiaTheme="minorEastAsia" w:hAnsi="Arial" w:cs="Arial"/>
          <w:b/>
          <w:bCs/>
          <w:color w:val="000000" w:themeColor="text1"/>
          <w:sz w:val="22"/>
          <w:szCs w:val="22"/>
          <w:u w:val="single"/>
          <w:lang w:val="en-US"/>
        </w:rPr>
      </w:pPr>
    </w:p>
    <w:p w14:paraId="14C970D8" w14:textId="77777777" w:rsidR="00CD5AEC" w:rsidRDefault="00CD5AEC" w:rsidP="00CD5AEC">
      <w:pPr>
        <w:rPr>
          <w:rFonts w:ascii="Arial" w:hAnsi="Arial" w:cs="Arial"/>
          <w:color w:val="000000" w:themeColor="text1"/>
          <w:sz w:val="22"/>
          <w:szCs w:val="22"/>
        </w:rPr>
      </w:pPr>
      <w:r>
        <w:rPr>
          <w:rFonts w:ascii="Arial" w:hAnsi="Arial" w:cs="Arial"/>
          <w:color w:val="000000" w:themeColor="text1"/>
          <w:sz w:val="22"/>
          <w:szCs w:val="22"/>
        </w:rPr>
        <w:t xml:space="preserve">smf.business.uconn.edu (2023) </w:t>
      </w:r>
      <w:r w:rsidRPr="00DD0404">
        <w:rPr>
          <w:rFonts w:ascii="Arial" w:hAnsi="Arial" w:cs="Arial"/>
          <w:color w:val="000000" w:themeColor="text1"/>
          <w:sz w:val="22"/>
          <w:szCs w:val="22"/>
        </w:rPr>
        <w:t>Visa Inc. (V: NYSE) Sector: Financial</w:t>
      </w:r>
      <w:r>
        <w:rPr>
          <w:rFonts w:ascii="Arial" w:hAnsi="Arial" w:cs="Arial"/>
          <w:color w:val="000000" w:themeColor="text1"/>
          <w:sz w:val="22"/>
          <w:szCs w:val="22"/>
        </w:rPr>
        <w:t xml:space="preserve"> </w:t>
      </w:r>
      <w:r>
        <w:rPr>
          <w:rFonts w:ascii="Arial" w:eastAsiaTheme="minorEastAsia" w:hAnsi="Arial" w:cs="Arial"/>
          <w:color w:val="000000" w:themeColor="text1"/>
          <w:sz w:val="22"/>
          <w:szCs w:val="22"/>
          <w:lang w:val="en-US"/>
        </w:rPr>
        <w:t>[Accessed 23.4.2024] available at:</w:t>
      </w:r>
      <w:hyperlink r:id="rId36" w:history="1">
        <w:r w:rsidRPr="003B2DA4">
          <w:rPr>
            <w:rStyle w:val="Hyperlink"/>
            <w:rFonts w:ascii="Arial" w:hAnsi="Arial" w:cs="Arial"/>
            <w:sz w:val="22"/>
            <w:szCs w:val="22"/>
          </w:rPr>
          <w:t>https://smf.business.uconn.edu/wp-content/uploads/sites/818/2020/04/V-One-Pager-1.pdf</w:t>
        </w:r>
      </w:hyperlink>
      <w:r>
        <w:rPr>
          <w:rFonts w:ascii="Arial" w:hAnsi="Arial" w:cs="Arial"/>
          <w:color w:val="000000" w:themeColor="text1"/>
          <w:sz w:val="22"/>
          <w:szCs w:val="22"/>
        </w:rPr>
        <w:t xml:space="preserve"> </w:t>
      </w:r>
    </w:p>
    <w:p w14:paraId="0FF56403" w14:textId="77777777" w:rsidR="00CD5AEC" w:rsidRDefault="00CD5AEC" w:rsidP="00B409E2">
      <w:pPr>
        <w:spacing w:line="360" w:lineRule="auto"/>
        <w:rPr>
          <w:rFonts w:ascii="Arial" w:eastAsiaTheme="minorEastAsia" w:hAnsi="Arial" w:cs="Arial"/>
          <w:b/>
          <w:bCs/>
          <w:color w:val="000000" w:themeColor="text1"/>
          <w:sz w:val="22"/>
          <w:szCs w:val="22"/>
          <w:u w:val="single"/>
          <w:lang w:val="en-US"/>
        </w:rPr>
      </w:pPr>
    </w:p>
    <w:p w14:paraId="04E2EA4E" w14:textId="77777777" w:rsidR="002230EB" w:rsidRDefault="002230EB" w:rsidP="002230EB">
      <w:pPr>
        <w:spacing w:line="360" w:lineRule="auto"/>
        <w:rPr>
          <w:rFonts w:ascii="Arial" w:eastAsiaTheme="minorEastAsia" w:hAnsi="Arial" w:cs="Arial"/>
          <w:color w:val="000000" w:themeColor="text1"/>
          <w:sz w:val="22"/>
          <w:szCs w:val="22"/>
          <w:lang w:val="en-US"/>
        </w:rPr>
      </w:pPr>
      <w:r>
        <w:rPr>
          <w:rFonts w:ascii="Arial" w:eastAsiaTheme="minorEastAsia" w:hAnsi="Arial" w:cs="Arial"/>
          <w:color w:val="000000" w:themeColor="text1"/>
          <w:sz w:val="22"/>
          <w:szCs w:val="22"/>
          <w:lang w:val="en-US"/>
        </w:rPr>
        <w:t xml:space="preserve">Usa.visa.com (2019) </w:t>
      </w:r>
      <w:r w:rsidRPr="00872F47">
        <w:rPr>
          <w:rFonts w:ascii="Arial" w:eastAsiaTheme="minorEastAsia" w:hAnsi="Arial" w:cs="Arial"/>
          <w:color w:val="000000" w:themeColor="text1"/>
          <w:sz w:val="22"/>
          <w:szCs w:val="22"/>
          <w:lang w:val="en-US"/>
        </w:rPr>
        <w:t xml:space="preserve">Visa Acquires Control of </w:t>
      </w:r>
      <w:proofErr w:type="spellStart"/>
      <w:r w:rsidRPr="00872F47">
        <w:rPr>
          <w:rFonts w:ascii="Arial" w:eastAsiaTheme="minorEastAsia" w:hAnsi="Arial" w:cs="Arial"/>
          <w:color w:val="000000" w:themeColor="text1"/>
          <w:sz w:val="22"/>
          <w:szCs w:val="22"/>
          <w:lang w:val="en-US"/>
        </w:rPr>
        <w:t>Earthport</w:t>
      </w:r>
      <w:proofErr w:type="spellEnd"/>
      <w:r>
        <w:rPr>
          <w:rFonts w:ascii="Arial" w:eastAsiaTheme="minorEastAsia" w:hAnsi="Arial" w:cs="Arial"/>
          <w:color w:val="000000" w:themeColor="text1"/>
          <w:sz w:val="22"/>
          <w:szCs w:val="22"/>
          <w:lang w:val="en-US"/>
        </w:rPr>
        <w:t xml:space="preserve"> [Accessed 22.4.2024] available at: </w:t>
      </w:r>
      <w:hyperlink r:id="rId37" w:history="1">
        <w:r w:rsidRPr="003B2DA4">
          <w:rPr>
            <w:rStyle w:val="Hyperlink"/>
            <w:rFonts w:ascii="Arial" w:eastAsiaTheme="minorEastAsia" w:hAnsi="Arial" w:cs="Arial"/>
            <w:sz w:val="22"/>
            <w:szCs w:val="22"/>
            <w:lang w:val="en-US"/>
          </w:rPr>
          <w:t>https://usa.visa.com/about-visa/newsroom/press-releases.releaseId.16366.html</w:t>
        </w:r>
      </w:hyperlink>
    </w:p>
    <w:p w14:paraId="047A902E" w14:textId="77777777" w:rsidR="002230EB" w:rsidRDefault="002230EB" w:rsidP="002230EB">
      <w:pPr>
        <w:spacing w:line="360" w:lineRule="auto"/>
        <w:rPr>
          <w:rFonts w:ascii="Arial" w:eastAsiaTheme="minorEastAsia" w:hAnsi="Arial" w:cs="Arial"/>
          <w:color w:val="000000" w:themeColor="text1"/>
          <w:sz w:val="22"/>
          <w:szCs w:val="22"/>
          <w:lang w:val="en-US"/>
        </w:rPr>
      </w:pPr>
    </w:p>
    <w:p w14:paraId="6CF9D8D3" w14:textId="77777777" w:rsidR="002230EB" w:rsidRDefault="002230EB" w:rsidP="002230EB">
      <w:pPr>
        <w:spacing w:line="360" w:lineRule="auto"/>
        <w:rPr>
          <w:rFonts w:ascii="Arial" w:eastAsiaTheme="minorEastAsia" w:hAnsi="Arial" w:cs="Arial"/>
          <w:color w:val="000000" w:themeColor="text1"/>
          <w:sz w:val="22"/>
          <w:szCs w:val="22"/>
          <w:lang w:val="en-US"/>
        </w:rPr>
      </w:pPr>
      <w:r>
        <w:rPr>
          <w:rFonts w:ascii="Arial" w:eastAsiaTheme="minorEastAsia" w:hAnsi="Arial" w:cs="Arial"/>
          <w:color w:val="000000" w:themeColor="text1"/>
          <w:sz w:val="22"/>
          <w:szCs w:val="22"/>
          <w:lang w:val="en-US"/>
        </w:rPr>
        <w:t xml:space="preserve">Usa.visa.com (2020) COVID-19 response update [Accessed 22.4.2024] available at:  </w:t>
      </w:r>
      <w:hyperlink r:id="rId38" w:anchor=":~:text=We%20also%20remain%20deeply%20focused,the%20spread%20of%20COVID%2D19" w:history="1">
        <w:r w:rsidRPr="003B2DA4">
          <w:rPr>
            <w:rStyle w:val="Hyperlink"/>
            <w:rFonts w:ascii="Arial" w:eastAsiaTheme="minorEastAsia" w:hAnsi="Arial" w:cs="Arial"/>
            <w:sz w:val="22"/>
            <w:szCs w:val="22"/>
            <w:lang w:val="en-US"/>
          </w:rPr>
          <w:t>https://usa.visa.com/visa-everywhere/blog/bdp/2020/05/05/covid-19-response-update-1588713283813.html#:~:text=We%20also%20remain%20deeply%20focused,the%20spread%20of%20COVID%2D19</w:t>
        </w:r>
      </w:hyperlink>
      <w:r w:rsidRPr="002151EC">
        <w:rPr>
          <w:rFonts w:ascii="Arial" w:eastAsiaTheme="minorEastAsia" w:hAnsi="Arial" w:cs="Arial"/>
          <w:color w:val="000000" w:themeColor="text1"/>
          <w:sz w:val="22"/>
          <w:szCs w:val="22"/>
          <w:lang w:val="en-US"/>
        </w:rPr>
        <w:t>.</w:t>
      </w:r>
      <w:r>
        <w:rPr>
          <w:rFonts w:ascii="Arial" w:eastAsiaTheme="minorEastAsia" w:hAnsi="Arial" w:cs="Arial"/>
          <w:color w:val="000000" w:themeColor="text1"/>
          <w:sz w:val="22"/>
          <w:szCs w:val="22"/>
          <w:lang w:val="en-US"/>
        </w:rPr>
        <w:t xml:space="preserve"> </w:t>
      </w:r>
    </w:p>
    <w:p w14:paraId="1E079DA9" w14:textId="77777777" w:rsidR="003C3161" w:rsidRDefault="003C3161" w:rsidP="00B409E2">
      <w:pPr>
        <w:spacing w:line="360" w:lineRule="auto"/>
        <w:rPr>
          <w:rFonts w:ascii="Arial" w:eastAsiaTheme="minorEastAsia" w:hAnsi="Arial" w:cs="Arial"/>
          <w:b/>
          <w:bCs/>
          <w:color w:val="000000" w:themeColor="text1"/>
          <w:sz w:val="22"/>
          <w:szCs w:val="22"/>
          <w:u w:val="single"/>
          <w:lang w:val="en-US"/>
        </w:rPr>
      </w:pPr>
    </w:p>
    <w:p w14:paraId="4DC47EA7" w14:textId="43E47F0D" w:rsidR="00B409E2" w:rsidRDefault="00B409E2" w:rsidP="00B409E2">
      <w:pPr>
        <w:spacing w:line="360" w:lineRule="auto"/>
        <w:rPr>
          <w:rFonts w:ascii="Arial" w:eastAsiaTheme="minorEastAsia" w:hAnsi="Arial" w:cs="Arial"/>
          <w:color w:val="000000" w:themeColor="text1"/>
          <w:sz w:val="22"/>
          <w:szCs w:val="22"/>
          <w:lang w:val="en-US"/>
        </w:rPr>
      </w:pPr>
      <w:r>
        <w:rPr>
          <w:rFonts w:ascii="Arial" w:eastAsiaTheme="minorEastAsia" w:hAnsi="Arial" w:cs="Arial"/>
          <w:color w:val="000000" w:themeColor="text1"/>
          <w:sz w:val="22"/>
          <w:szCs w:val="22"/>
          <w:lang w:val="en-US"/>
        </w:rPr>
        <w:t xml:space="preserve">Visa.co.uk (2024). Unlocking opportunities for everyone – Pioneer payment technology </w:t>
      </w:r>
      <w:r w:rsidR="0056392C">
        <w:rPr>
          <w:rFonts w:ascii="Arial" w:eastAsiaTheme="minorEastAsia" w:hAnsi="Arial" w:cs="Arial"/>
          <w:color w:val="000000" w:themeColor="text1"/>
          <w:sz w:val="22"/>
          <w:szCs w:val="22"/>
          <w:lang w:val="en-US"/>
        </w:rPr>
        <w:t>[Accessed</w:t>
      </w:r>
      <w:r w:rsidR="0056392C">
        <w:rPr>
          <w:rFonts w:ascii="Arial" w:eastAsiaTheme="minorEastAsia" w:hAnsi="Arial" w:cs="Arial"/>
          <w:color w:val="000000" w:themeColor="text1"/>
          <w:sz w:val="22"/>
          <w:szCs w:val="22"/>
          <w:lang w:val="en-US"/>
        </w:rPr>
        <w:t xml:space="preserve"> 22.4.2024] available at: </w:t>
      </w:r>
      <w:hyperlink r:id="rId39" w:history="1">
        <w:r w:rsidR="0056392C" w:rsidRPr="00B1511C">
          <w:rPr>
            <w:rStyle w:val="Hyperlink"/>
            <w:rFonts w:ascii="Arial" w:eastAsiaTheme="minorEastAsia" w:hAnsi="Arial" w:cs="Arial"/>
            <w:sz w:val="22"/>
            <w:szCs w:val="22"/>
            <w:lang w:val="en-US"/>
          </w:rPr>
          <w:t>https://www.visa.co.uk/about-visa.html</w:t>
        </w:r>
      </w:hyperlink>
      <w:r>
        <w:rPr>
          <w:rFonts w:ascii="Arial" w:eastAsiaTheme="minorEastAsia" w:hAnsi="Arial" w:cs="Arial"/>
          <w:color w:val="000000" w:themeColor="text1"/>
          <w:sz w:val="22"/>
          <w:szCs w:val="22"/>
          <w:lang w:val="en-US"/>
        </w:rPr>
        <w:t xml:space="preserve"> </w:t>
      </w:r>
    </w:p>
    <w:p w14:paraId="38308941" w14:textId="77777777" w:rsidR="00B409E2" w:rsidRDefault="00B409E2" w:rsidP="00B409E2">
      <w:pPr>
        <w:spacing w:line="360" w:lineRule="auto"/>
        <w:rPr>
          <w:rFonts w:ascii="Arial" w:eastAsiaTheme="minorEastAsia" w:hAnsi="Arial" w:cs="Arial"/>
          <w:color w:val="000000" w:themeColor="text1"/>
          <w:sz w:val="22"/>
          <w:szCs w:val="22"/>
          <w:lang w:val="en-US"/>
        </w:rPr>
      </w:pPr>
    </w:p>
    <w:p w14:paraId="390E5915" w14:textId="0B4A47AA" w:rsidR="00B409E2" w:rsidRDefault="00B409E2" w:rsidP="00B409E2">
      <w:pPr>
        <w:spacing w:line="360" w:lineRule="auto"/>
        <w:rPr>
          <w:rFonts w:ascii="Arial" w:eastAsiaTheme="minorEastAsia" w:hAnsi="Arial" w:cs="Arial"/>
          <w:color w:val="000000" w:themeColor="text1"/>
          <w:sz w:val="22"/>
          <w:szCs w:val="22"/>
          <w:lang w:val="en-US"/>
        </w:rPr>
      </w:pPr>
      <w:r>
        <w:rPr>
          <w:rFonts w:ascii="Arial" w:eastAsiaTheme="minorEastAsia" w:hAnsi="Arial" w:cs="Arial"/>
          <w:color w:val="000000" w:themeColor="text1"/>
          <w:sz w:val="22"/>
          <w:szCs w:val="22"/>
          <w:lang w:val="en-US"/>
        </w:rPr>
        <w:t xml:space="preserve">Yasmin, M., (2023) </w:t>
      </w:r>
      <w:r w:rsidRPr="0052043A">
        <w:rPr>
          <w:rFonts w:ascii="Arial" w:eastAsiaTheme="minorEastAsia" w:hAnsi="Arial" w:cs="Arial"/>
          <w:color w:val="000000" w:themeColor="text1"/>
          <w:sz w:val="22"/>
          <w:szCs w:val="22"/>
          <w:lang w:val="en-US"/>
        </w:rPr>
        <w:t>Visa revenue growth slows more as tough economy sobers spending</w:t>
      </w:r>
      <w:r>
        <w:rPr>
          <w:rFonts w:ascii="Arial" w:eastAsiaTheme="minorEastAsia" w:hAnsi="Arial" w:cs="Arial"/>
          <w:color w:val="000000" w:themeColor="text1"/>
          <w:sz w:val="22"/>
          <w:szCs w:val="22"/>
          <w:lang w:val="en-US"/>
        </w:rPr>
        <w:t xml:space="preserve"> </w:t>
      </w:r>
      <w:r w:rsidR="0056392C">
        <w:rPr>
          <w:rFonts w:ascii="Arial" w:eastAsiaTheme="minorEastAsia" w:hAnsi="Arial" w:cs="Arial"/>
          <w:color w:val="000000" w:themeColor="text1"/>
          <w:sz w:val="22"/>
          <w:szCs w:val="22"/>
          <w:lang w:val="en-US"/>
        </w:rPr>
        <w:t xml:space="preserve">[Accessed 22.4.2024] available at: </w:t>
      </w:r>
      <w:hyperlink r:id="rId40" w:history="1">
        <w:r w:rsidRPr="003B2DA4">
          <w:rPr>
            <w:rStyle w:val="Hyperlink"/>
            <w:rFonts w:ascii="Arial" w:eastAsiaTheme="minorEastAsia" w:hAnsi="Arial" w:cs="Arial"/>
            <w:sz w:val="22"/>
            <w:szCs w:val="22"/>
            <w:lang w:val="en-US"/>
          </w:rPr>
          <w:t>https://www.reuters.com/business/visa-profit-rises-resilient-consumer-spending-2023-01-26/</w:t>
        </w:r>
      </w:hyperlink>
      <w:r>
        <w:rPr>
          <w:rFonts w:ascii="Arial" w:eastAsiaTheme="minorEastAsia" w:hAnsi="Arial" w:cs="Arial"/>
          <w:color w:val="000000" w:themeColor="text1"/>
          <w:sz w:val="22"/>
          <w:szCs w:val="22"/>
          <w:lang w:val="en-US"/>
        </w:rPr>
        <w:t xml:space="preserve"> </w:t>
      </w:r>
    </w:p>
    <w:p w14:paraId="6AABB820" w14:textId="77777777" w:rsidR="00B409E2" w:rsidRDefault="00B409E2" w:rsidP="00B409E2">
      <w:pPr>
        <w:rPr>
          <w:rFonts w:ascii="Arial" w:hAnsi="Arial" w:cs="Arial"/>
          <w:sz w:val="22"/>
          <w:szCs w:val="22"/>
        </w:rPr>
      </w:pPr>
    </w:p>
    <w:p w14:paraId="4294D11A" w14:textId="77777777" w:rsidR="00160BB5" w:rsidRDefault="00160BB5" w:rsidP="0058687C">
      <w:pPr>
        <w:tabs>
          <w:tab w:val="left" w:pos="2520"/>
        </w:tabs>
        <w:spacing w:line="360" w:lineRule="auto"/>
        <w:rPr>
          <w:rFonts w:ascii="Arial" w:hAnsi="Arial" w:cs="Arial"/>
          <w:color w:val="000000" w:themeColor="text1"/>
          <w:sz w:val="22"/>
          <w:szCs w:val="22"/>
        </w:rPr>
      </w:pPr>
    </w:p>
    <w:p w14:paraId="6C0D865D" w14:textId="77777777" w:rsidR="000E367E" w:rsidRDefault="000E367E" w:rsidP="00B11A97">
      <w:pPr>
        <w:pStyle w:val="Heading1"/>
        <w:rPr>
          <w:rFonts w:ascii="Arial" w:hAnsi="Arial" w:cs="Arial"/>
          <w:color w:val="000000" w:themeColor="text1"/>
          <w:sz w:val="22"/>
          <w:szCs w:val="22"/>
        </w:rPr>
      </w:pPr>
    </w:p>
    <w:p w14:paraId="6FE3DAE0" w14:textId="77777777" w:rsidR="00160BB5" w:rsidRDefault="00160BB5" w:rsidP="0058687C">
      <w:pPr>
        <w:tabs>
          <w:tab w:val="left" w:pos="2520"/>
        </w:tabs>
        <w:spacing w:line="360" w:lineRule="auto"/>
        <w:rPr>
          <w:rFonts w:ascii="Arial" w:hAnsi="Arial" w:cs="Arial"/>
          <w:color w:val="000000" w:themeColor="text1"/>
          <w:sz w:val="22"/>
          <w:szCs w:val="22"/>
        </w:rPr>
      </w:pPr>
    </w:p>
    <w:p w14:paraId="4DFB4AB9" w14:textId="77777777" w:rsidR="00160BB5" w:rsidRPr="00D077CC" w:rsidRDefault="00160BB5" w:rsidP="0058687C">
      <w:pPr>
        <w:tabs>
          <w:tab w:val="left" w:pos="2520"/>
        </w:tabs>
        <w:spacing w:line="360" w:lineRule="auto"/>
        <w:rPr>
          <w:rFonts w:ascii="Arial" w:hAnsi="Arial" w:cs="Arial"/>
          <w:color w:val="000000" w:themeColor="text1"/>
          <w:sz w:val="22"/>
          <w:szCs w:val="22"/>
        </w:rPr>
      </w:pPr>
    </w:p>
    <w:p w14:paraId="400FB021" w14:textId="6FB99021" w:rsidR="002819D0" w:rsidRDefault="00B409E2" w:rsidP="000E367E">
      <w:pPr>
        <w:pStyle w:val="Heading1"/>
      </w:pPr>
      <w:bookmarkStart w:id="29" w:name="_Toc164847613"/>
      <w:r>
        <w:lastRenderedPageBreak/>
        <w:t>Appendix</w:t>
      </w:r>
      <w:bookmarkEnd w:id="29"/>
      <w:r>
        <w:t xml:space="preserve"> </w:t>
      </w:r>
    </w:p>
    <w:p w14:paraId="6013C481" w14:textId="2FC8DA1C" w:rsidR="00B409E2" w:rsidRPr="00B409E2" w:rsidRDefault="00B409E2" w:rsidP="00B409E2">
      <w:pPr>
        <w:pStyle w:val="ListParagraph"/>
        <w:numPr>
          <w:ilvl w:val="1"/>
          <w:numId w:val="1"/>
        </w:numPr>
        <w:tabs>
          <w:tab w:val="left" w:pos="2520"/>
        </w:tabs>
        <w:spacing w:line="360" w:lineRule="auto"/>
        <w:rPr>
          <w:rFonts w:ascii="Arial" w:hAnsi="Arial" w:cs="Arial"/>
          <w:color w:val="000000" w:themeColor="text1"/>
          <w:sz w:val="22"/>
          <w:szCs w:val="22"/>
        </w:rPr>
      </w:pPr>
      <w:r w:rsidRPr="00B409E2">
        <w:rPr>
          <w:rFonts w:ascii="Arial" w:hAnsi="Arial" w:cs="Arial"/>
          <w:color w:val="000000" w:themeColor="text1"/>
          <w:sz w:val="22"/>
          <w:szCs w:val="22"/>
        </w:rPr>
        <w:t>(</w:t>
      </w:r>
      <w:r w:rsidR="000E367E">
        <w:rPr>
          <w:rFonts w:ascii="Arial" w:hAnsi="Arial" w:cs="Arial"/>
          <w:color w:val="000000" w:themeColor="text1"/>
          <w:sz w:val="22"/>
          <w:szCs w:val="22"/>
        </w:rPr>
        <w:t xml:space="preserve">Source: </w:t>
      </w:r>
      <w:r w:rsidRPr="00B409E2">
        <w:rPr>
          <w:rFonts w:ascii="Arial" w:hAnsi="Arial" w:cs="Arial"/>
          <w:color w:val="000000" w:themeColor="text1"/>
          <w:sz w:val="22"/>
          <w:szCs w:val="22"/>
        </w:rPr>
        <w:t>Author)</w:t>
      </w:r>
    </w:p>
    <w:p w14:paraId="626EB26E" w14:textId="68BB2E1A" w:rsidR="0058687C" w:rsidRDefault="0031169A" w:rsidP="0058687C">
      <w:pPr>
        <w:tabs>
          <w:tab w:val="left" w:pos="2520"/>
        </w:tabs>
        <w:spacing w:line="360" w:lineRule="auto"/>
        <w:rPr>
          <w:rFonts w:ascii="Arial" w:hAnsi="Arial" w:cs="Arial"/>
          <w:color w:val="000000" w:themeColor="text1"/>
          <w:sz w:val="22"/>
          <w:szCs w:val="22"/>
        </w:rPr>
      </w:pPr>
      <w:r>
        <w:rPr>
          <w:rFonts w:ascii="Arial" w:hAnsi="Arial" w:cs="Arial"/>
          <w:noProof/>
          <w:color w:val="000000" w:themeColor="text1"/>
          <w:sz w:val="22"/>
          <w:szCs w:val="22"/>
          <w14:ligatures w14:val="standardContextual"/>
        </w:rPr>
        <w:drawing>
          <wp:inline distT="0" distB="0" distL="0" distR="0" wp14:anchorId="6FE48192" wp14:editId="395A5400">
            <wp:extent cx="5731510" cy="2821940"/>
            <wp:effectExtent l="0" t="0" r="0" b="0"/>
            <wp:docPr id="45404139" name="Picture 1" descr="A screenshot of a spread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04139" name="Picture 1" descr="A screenshot of a spreadsheet&#10;&#10;Description automatically generated"/>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31510" cy="2821940"/>
                    </a:xfrm>
                    <a:prstGeom prst="rect">
                      <a:avLst/>
                    </a:prstGeom>
                  </pic:spPr>
                </pic:pic>
              </a:graphicData>
            </a:graphic>
          </wp:inline>
        </w:drawing>
      </w:r>
    </w:p>
    <w:p w14:paraId="22CD4A3B" w14:textId="77777777" w:rsidR="0058687C" w:rsidRPr="0058687C" w:rsidRDefault="0058687C" w:rsidP="0058687C">
      <w:pPr>
        <w:tabs>
          <w:tab w:val="left" w:pos="2520"/>
        </w:tabs>
        <w:spacing w:line="360" w:lineRule="auto"/>
        <w:rPr>
          <w:rFonts w:ascii="Arial" w:hAnsi="Arial" w:cs="Arial"/>
          <w:color w:val="000000" w:themeColor="text1"/>
          <w:sz w:val="22"/>
          <w:szCs w:val="22"/>
        </w:rPr>
      </w:pPr>
    </w:p>
    <w:p w14:paraId="3A085FA4" w14:textId="77777777" w:rsidR="00487D04" w:rsidRPr="00487D04" w:rsidRDefault="00487D04" w:rsidP="00D56A6E">
      <w:pPr>
        <w:spacing w:line="360" w:lineRule="auto"/>
        <w:rPr>
          <w:rFonts w:ascii="Arial" w:hAnsi="Arial" w:cs="Arial"/>
          <w:b/>
          <w:bCs/>
          <w:color w:val="000000" w:themeColor="text1"/>
          <w:sz w:val="22"/>
          <w:szCs w:val="22"/>
        </w:rPr>
      </w:pPr>
    </w:p>
    <w:p w14:paraId="3E2C7FF6" w14:textId="35D383AB" w:rsidR="00D56A6E" w:rsidRDefault="00D56A6E" w:rsidP="00D56A6E">
      <w:pPr>
        <w:spacing w:line="360" w:lineRule="auto"/>
        <w:rPr>
          <w:rFonts w:ascii="Arial" w:hAnsi="Arial" w:cs="Arial"/>
          <w:color w:val="000000" w:themeColor="text1"/>
          <w:sz w:val="22"/>
          <w:szCs w:val="22"/>
          <w:u w:val="single"/>
        </w:rPr>
      </w:pPr>
    </w:p>
    <w:p w14:paraId="4ACA005D" w14:textId="0E6F1010" w:rsidR="00D56A6E" w:rsidRDefault="000D5772" w:rsidP="000D5772">
      <w:pPr>
        <w:pStyle w:val="Caption"/>
        <w:rPr>
          <w:rFonts w:ascii="Arial" w:hAnsi="Arial" w:cs="Arial"/>
          <w:color w:val="000000" w:themeColor="text1"/>
          <w:sz w:val="22"/>
          <w:szCs w:val="22"/>
          <w:u w:val="single"/>
        </w:rPr>
      </w:pPr>
      <w:r>
        <w:t xml:space="preserve">                                                                                                                                                         </w:t>
      </w:r>
    </w:p>
    <w:p w14:paraId="47C8B6E0" w14:textId="77777777" w:rsidR="00D56A6E" w:rsidRDefault="00D56A6E" w:rsidP="00D56A6E">
      <w:pPr>
        <w:spacing w:line="360" w:lineRule="auto"/>
        <w:rPr>
          <w:rFonts w:ascii="Arial" w:hAnsi="Arial" w:cs="Arial"/>
          <w:color w:val="000000" w:themeColor="text1"/>
          <w:sz w:val="22"/>
          <w:szCs w:val="22"/>
          <w:u w:val="single"/>
        </w:rPr>
      </w:pPr>
    </w:p>
    <w:p w14:paraId="5F16E936" w14:textId="317513B3" w:rsidR="00D56A6E" w:rsidRDefault="00D56A6E" w:rsidP="00D56A6E">
      <w:pPr>
        <w:spacing w:line="360" w:lineRule="auto"/>
        <w:rPr>
          <w:rFonts w:ascii="Arial" w:hAnsi="Arial" w:cs="Arial"/>
          <w:color w:val="000000" w:themeColor="text1"/>
          <w:sz w:val="22"/>
          <w:szCs w:val="22"/>
          <w:u w:val="single"/>
        </w:rPr>
      </w:pPr>
    </w:p>
    <w:p w14:paraId="2049046D" w14:textId="7381784A" w:rsidR="002123FC" w:rsidRPr="00DD0404" w:rsidRDefault="006735DF">
      <w:pPr>
        <w:rPr>
          <w:rFonts w:ascii="Arial" w:hAnsi="Arial" w:cs="Arial"/>
          <w:sz w:val="22"/>
          <w:szCs w:val="22"/>
        </w:rPr>
      </w:pPr>
      <w:r>
        <w:rPr>
          <w:rFonts w:ascii="Arial" w:hAnsi="Arial" w:cs="Arial"/>
          <w:color w:val="333333"/>
          <w:sz w:val="22"/>
          <w:szCs w:val="22"/>
          <w:shd w:val="clear" w:color="auto" w:fill="FFFFFF"/>
        </w:rPr>
        <w:t xml:space="preserve"> </w:t>
      </w:r>
    </w:p>
    <w:sectPr w:rsidR="002123FC" w:rsidRPr="00DD0404">
      <w:footerReference w:type="even" r:id="rId42"/>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84EFCE" w14:textId="77777777" w:rsidR="00EF60F4" w:rsidRDefault="00EF60F4" w:rsidP="0062018F">
      <w:r>
        <w:separator/>
      </w:r>
    </w:p>
  </w:endnote>
  <w:endnote w:type="continuationSeparator" w:id="0">
    <w:p w14:paraId="16FCBD10" w14:textId="77777777" w:rsidR="00EF60F4" w:rsidRDefault="00EF60F4" w:rsidP="0062018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pitch w:val="default"/>
  </w:font>
  <w:font w:name="Arial Narrow">
    <w:panose1 w:val="020B0606020202030204"/>
    <w:charset w:val="00"/>
    <w:family w:val="swiss"/>
    <w:pitch w:val="variable"/>
    <w:sig w:usb0="00000287" w:usb1="00000800" w:usb2="00000000" w:usb3="00000000" w:csb0="0000009F" w:csb1="00000000"/>
  </w:font>
  <w:font w:name="Aptos Narrow">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5924741"/>
      <w:docPartObj>
        <w:docPartGallery w:val="Page Numbers (Bottom of Page)"/>
        <w:docPartUnique/>
      </w:docPartObj>
    </w:sdtPr>
    <w:sdtContent>
      <w:p w14:paraId="2DDE9A8D" w14:textId="40A9ECF0" w:rsidR="007D1743" w:rsidRDefault="007D1743" w:rsidP="00B1511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28D32B1" w14:textId="77777777" w:rsidR="007D1743" w:rsidRDefault="007D1743" w:rsidP="007D174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94331813"/>
      <w:docPartObj>
        <w:docPartGallery w:val="Page Numbers (Bottom of Page)"/>
        <w:docPartUnique/>
      </w:docPartObj>
    </w:sdtPr>
    <w:sdtContent>
      <w:p w14:paraId="279397A3" w14:textId="5CEE2FE9" w:rsidR="007D1743" w:rsidRDefault="007D1743" w:rsidP="00B1511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9C938C5" w14:textId="77777777" w:rsidR="007D1743" w:rsidRDefault="007D1743" w:rsidP="007D174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88136C" w14:textId="77777777" w:rsidR="00EF60F4" w:rsidRDefault="00EF60F4" w:rsidP="0062018F">
      <w:r>
        <w:separator/>
      </w:r>
    </w:p>
  </w:footnote>
  <w:footnote w:type="continuationSeparator" w:id="0">
    <w:p w14:paraId="70769312" w14:textId="77777777" w:rsidR="00EF60F4" w:rsidRDefault="00EF60F4" w:rsidP="0062018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B03755"/>
    <w:multiLevelType w:val="hybridMultilevel"/>
    <w:tmpl w:val="64A8F4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D861FB3"/>
    <w:multiLevelType w:val="multilevel"/>
    <w:tmpl w:val="EEEA4430"/>
    <w:lvl w:ilvl="0">
      <w:start w:val="1"/>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029837025">
    <w:abstractNumId w:val="1"/>
  </w:num>
  <w:num w:numId="2" w16cid:durableId="6999339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018F"/>
    <w:rsid w:val="00030BD0"/>
    <w:rsid w:val="00047614"/>
    <w:rsid w:val="00054379"/>
    <w:rsid w:val="00083413"/>
    <w:rsid w:val="000D5772"/>
    <w:rsid w:val="000E367E"/>
    <w:rsid w:val="001363F0"/>
    <w:rsid w:val="00160BB5"/>
    <w:rsid w:val="0016180F"/>
    <w:rsid w:val="0017163F"/>
    <w:rsid w:val="00187ED7"/>
    <w:rsid w:val="001F06A4"/>
    <w:rsid w:val="001F2C6A"/>
    <w:rsid w:val="001F3C9E"/>
    <w:rsid w:val="001F4C75"/>
    <w:rsid w:val="00200241"/>
    <w:rsid w:val="00200A65"/>
    <w:rsid w:val="002123FC"/>
    <w:rsid w:val="002151EC"/>
    <w:rsid w:val="002164CA"/>
    <w:rsid w:val="002230EB"/>
    <w:rsid w:val="002519A8"/>
    <w:rsid w:val="002533F4"/>
    <w:rsid w:val="00255DBF"/>
    <w:rsid w:val="00267551"/>
    <w:rsid w:val="00275E8E"/>
    <w:rsid w:val="002819D0"/>
    <w:rsid w:val="00294F39"/>
    <w:rsid w:val="002A5D41"/>
    <w:rsid w:val="002B007C"/>
    <w:rsid w:val="002B1B62"/>
    <w:rsid w:val="002D7C08"/>
    <w:rsid w:val="002E56A4"/>
    <w:rsid w:val="002F7B3F"/>
    <w:rsid w:val="0031169A"/>
    <w:rsid w:val="0035468A"/>
    <w:rsid w:val="00366D76"/>
    <w:rsid w:val="00371133"/>
    <w:rsid w:val="00391CB4"/>
    <w:rsid w:val="003C3161"/>
    <w:rsid w:val="00424242"/>
    <w:rsid w:val="00443189"/>
    <w:rsid w:val="0045263D"/>
    <w:rsid w:val="00475CE2"/>
    <w:rsid w:val="00487118"/>
    <w:rsid w:val="00487D04"/>
    <w:rsid w:val="004B3B65"/>
    <w:rsid w:val="004B3B87"/>
    <w:rsid w:val="004C4F7B"/>
    <w:rsid w:val="00502B7C"/>
    <w:rsid w:val="0052043A"/>
    <w:rsid w:val="0056392C"/>
    <w:rsid w:val="00565E33"/>
    <w:rsid w:val="0058687C"/>
    <w:rsid w:val="005D0EF2"/>
    <w:rsid w:val="00600A49"/>
    <w:rsid w:val="0062018F"/>
    <w:rsid w:val="006238F6"/>
    <w:rsid w:val="00623B49"/>
    <w:rsid w:val="00646FF2"/>
    <w:rsid w:val="0065666E"/>
    <w:rsid w:val="00670636"/>
    <w:rsid w:val="006735DF"/>
    <w:rsid w:val="006A375E"/>
    <w:rsid w:val="006B0CBA"/>
    <w:rsid w:val="00705734"/>
    <w:rsid w:val="00734CA7"/>
    <w:rsid w:val="00752E2D"/>
    <w:rsid w:val="00760007"/>
    <w:rsid w:val="007909A0"/>
    <w:rsid w:val="007A19E0"/>
    <w:rsid w:val="007D1743"/>
    <w:rsid w:val="007F1607"/>
    <w:rsid w:val="008003D2"/>
    <w:rsid w:val="00872F47"/>
    <w:rsid w:val="00877990"/>
    <w:rsid w:val="008A4437"/>
    <w:rsid w:val="008D67D7"/>
    <w:rsid w:val="008E16C1"/>
    <w:rsid w:val="00930C91"/>
    <w:rsid w:val="00937DED"/>
    <w:rsid w:val="009D4BB2"/>
    <w:rsid w:val="009E53CC"/>
    <w:rsid w:val="009F0190"/>
    <w:rsid w:val="00A27CE4"/>
    <w:rsid w:val="00A4073C"/>
    <w:rsid w:val="00A87C4C"/>
    <w:rsid w:val="00AF7E9B"/>
    <w:rsid w:val="00B11A97"/>
    <w:rsid w:val="00B36F0D"/>
    <w:rsid w:val="00B409E2"/>
    <w:rsid w:val="00B45A91"/>
    <w:rsid w:val="00BB2449"/>
    <w:rsid w:val="00BB582C"/>
    <w:rsid w:val="00BE2428"/>
    <w:rsid w:val="00BF1BAB"/>
    <w:rsid w:val="00C51E0D"/>
    <w:rsid w:val="00C70BDD"/>
    <w:rsid w:val="00C72629"/>
    <w:rsid w:val="00CA099F"/>
    <w:rsid w:val="00CB4A6B"/>
    <w:rsid w:val="00CD5AEC"/>
    <w:rsid w:val="00D077CC"/>
    <w:rsid w:val="00D12FD1"/>
    <w:rsid w:val="00D157A2"/>
    <w:rsid w:val="00D17422"/>
    <w:rsid w:val="00D22573"/>
    <w:rsid w:val="00D56A6E"/>
    <w:rsid w:val="00D848DA"/>
    <w:rsid w:val="00DA1BF8"/>
    <w:rsid w:val="00DC017F"/>
    <w:rsid w:val="00DD0404"/>
    <w:rsid w:val="00DF076F"/>
    <w:rsid w:val="00DF4D62"/>
    <w:rsid w:val="00E320FF"/>
    <w:rsid w:val="00E3399B"/>
    <w:rsid w:val="00E732A1"/>
    <w:rsid w:val="00E92C2F"/>
    <w:rsid w:val="00EC0BA9"/>
    <w:rsid w:val="00ED4D26"/>
    <w:rsid w:val="00ED6411"/>
    <w:rsid w:val="00EE1C57"/>
    <w:rsid w:val="00EF60F4"/>
    <w:rsid w:val="00F25EE8"/>
    <w:rsid w:val="00F42C09"/>
    <w:rsid w:val="00F52C89"/>
    <w:rsid w:val="00F60350"/>
    <w:rsid w:val="00FA5123"/>
    <w:rsid w:val="00FB7FBF"/>
    <w:rsid w:val="00FC6035"/>
    <w:rsid w:val="00FF0A8E"/>
    <w:rsid w:val="00FF5E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8675B9"/>
  <w15:chartTrackingRefBased/>
  <w15:docId w15:val="{93915781-2774-4D41-9824-095FCE6529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0A49"/>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62018F"/>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62018F"/>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62018F"/>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62018F"/>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62018F"/>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62018F"/>
    <w:pPr>
      <w:keepNext/>
      <w:keepLines/>
      <w:spacing w:before="40" w:line="278" w:lineRule="auto"/>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62018F"/>
    <w:pPr>
      <w:keepNext/>
      <w:keepLines/>
      <w:spacing w:before="40" w:line="278" w:lineRule="auto"/>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62018F"/>
    <w:pPr>
      <w:keepNext/>
      <w:keepLines/>
      <w:spacing w:line="278" w:lineRule="auto"/>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62018F"/>
    <w:pPr>
      <w:keepNext/>
      <w:keepLines/>
      <w:spacing w:line="278" w:lineRule="auto"/>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018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2018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2018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2018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2018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2018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2018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2018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2018F"/>
    <w:rPr>
      <w:rFonts w:eastAsiaTheme="majorEastAsia" w:cstheme="majorBidi"/>
      <w:color w:val="272727" w:themeColor="text1" w:themeTint="D8"/>
    </w:rPr>
  </w:style>
  <w:style w:type="paragraph" w:styleId="Title">
    <w:name w:val="Title"/>
    <w:basedOn w:val="Normal"/>
    <w:next w:val="Normal"/>
    <w:link w:val="TitleChar"/>
    <w:uiPriority w:val="10"/>
    <w:qFormat/>
    <w:rsid w:val="0062018F"/>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62018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2018F"/>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62018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2018F"/>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62018F"/>
    <w:rPr>
      <w:i/>
      <w:iCs/>
      <w:color w:val="404040" w:themeColor="text1" w:themeTint="BF"/>
    </w:rPr>
  </w:style>
  <w:style w:type="paragraph" w:styleId="ListParagraph">
    <w:name w:val="List Paragraph"/>
    <w:basedOn w:val="Normal"/>
    <w:uiPriority w:val="34"/>
    <w:qFormat/>
    <w:rsid w:val="0062018F"/>
    <w:pPr>
      <w:spacing w:after="160" w:line="278" w:lineRule="auto"/>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62018F"/>
    <w:rPr>
      <w:i/>
      <w:iCs/>
      <w:color w:val="0F4761" w:themeColor="accent1" w:themeShade="BF"/>
    </w:rPr>
  </w:style>
  <w:style w:type="paragraph" w:styleId="IntenseQuote">
    <w:name w:val="Intense Quote"/>
    <w:basedOn w:val="Normal"/>
    <w:next w:val="Normal"/>
    <w:link w:val="IntenseQuoteChar"/>
    <w:uiPriority w:val="30"/>
    <w:qFormat/>
    <w:rsid w:val="0062018F"/>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62018F"/>
    <w:rPr>
      <w:i/>
      <w:iCs/>
      <w:color w:val="0F4761" w:themeColor="accent1" w:themeShade="BF"/>
    </w:rPr>
  </w:style>
  <w:style w:type="character" w:styleId="IntenseReference">
    <w:name w:val="Intense Reference"/>
    <w:basedOn w:val="DefaultParagraphFont"/>
    <w:uiPriority w:val="32"/>
    <w:qFormat/>
    <w:rsid w:val="0062018F"/>
    <w:rPr>
      <w:b/>
      <w:bCs/>
      <w:smallCaps/>
      <w:color w:val="0F4761" w:themeColor="accent1" w:themeShade="BF"/>
      <w:spacing w:val="5"/>
    </w:rPr>
  </w:style>
  <w:style w:type="paragraph" w:styleId="Footer">
    <w:name w:val="footer"/>
    <w:basedOn w:val="Normal"/>
    <w:link w:val="FooterChar"/>
    <w:uiPriority w:val="99"/>
    <w:unhideWhenUsed/>
    <w:rsid w:val="0062018F"/>
    <w:pPr>
      <w:tabs>
        <w:tab w:val="center" w:pos="4513"/>
        <w:tab w:val="right" w:pos="9026"/>
      </w:tabs>
    </w:pPr>
  </w:style>
  <w:style w:type="character" w:customStyle="1" w:styleId="FooterChar">
    <w:name w:val="Footer Char"/>
    <w:basedOn w:val="DefaultParagraphFont"/>
    <w:link w:val="Footer"/>
    <w:uiPriority w:val="99"/>
    <w:rsid w:val="0062018F"/>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62018F"/>
  </w:style>
  <w:style w:type="paragraph" w:styleId="Header">
    <w:name w:val="header"/>
    <w:basedOn w:val="Normal"/>
    <w:link w:val="HeaderChar"/>
    <w:uiPriority w:val="99"/>
    <w:unhideWhenUsed/>
    <w:rsid w:val="0062018F"/>
    <w:pPr>
      <w:tabs>
        <w:tab w:val="center" w:pos="4513"/>
        <w:tab w:val="right" w:pos="9026"/>
      </w:tabs>
    </w:pPr>
  </w:style>
  <w:style w:type="character" w:customStyle="1" w:styleId="HeaderChar">
    <w:name w:val="Header Char"/>
    <w:basedOn w:val="DefaultParagraphFont"/>
    <w:link w:val="Header"/>
    <w:uiPriority w:val="99"/>
    <w:rsid w:val="0062018F"/>
    <w:rPr>
      <w:rFonts w:ascii="Times New Roman" w:eastAsia="Times New Roman" w:hAnsi="Times New Roman" w:cs="Times New Roman"/>
      <w:kern w:val="0"/>
      <w:lang w:eastAsia="en-GB"/>
      <w14:ligatures w14:val="none"/>
    </w:rPr>
  </w:style>
  <w:style w:type="paragraph" w:styleId="NoSpacing">
    <w:name w:val="No Spacing"/>
    <w:uiPriority w:val="1"/>
    <w:qFormat/>
    <w:rsid w:val="0062018F"/>
    <w:pPr>
      <w:spacing w:after="0" w:line="240" w:lineRule="auto"/>
    </w:pPr>
    <w:rPr>
      <w:rFonts w:eastAsiaTheme="minorEastAsia"/>
      <w:kern w:val="0"/>
      <w:sz w:val="22"/>
      <w:szCs w:val="22"/>
      <w:lang w:val="en-US" w:eastAsia="zh-CN"/>
      <w14:ligatures w14:val="none"/>
    </w:rPr>
  </w:style>
  <w:style w:type="paragraph" w:styleId="Caption">
    <w:name w:val="caption"/>
    <w:basedOn w:val="Normal"/>
    <w:next w:val="Normal"/>
    <w:uiPriority w:val="35"/>
    <w:unhideWhenUsed/>
    <w:qFormat/>
    <w:rsid w:val="000D5772"/>
    <w:pPr>
      <w:spacing w:after="200"/>
    </w:pPr>
    <w:rPr>
      <w:i/>
      <w:iCs/>
      <w:color w:val="0E2841" w:themeColor="text2"/>
      <w:sz w:val="18"/>
      <w:szCs w:val="18"/>
    </w:rPr>
  </w:style>
  <w:style w:type="character" w:styleId="Hyperlink">
    <w:name w:val="Hyperlink"/>
    <w:basedOn w:val="DefaultParagraphFont"/>
    <w:uiPriority w:val="99"/>
    <w:unhideWhenUsed/>
    <w:rsid w:val="000D5772"/>
    <w:rPr>
      <w:color w:val="467886" w:themeColor="hyperlink"/>
      <w:u w:val="single"/>
    </w:rPr>
  </w:style>
  <w:style w:type="character" w:styleId="UnresolvedMention">
    <w:name w:val="Unresolved Mention"/>
    <w:basedOn w:val="DefaultParagraphFont"/>
    <w:uiPriority w:val="99"/>
    <w:semiHidden/>
    <w:unhideWhenUsed/>
    <w:rsid w:val="000D5772"/>
    <w:rPr>
      <w:color w:val="605E5C"/>
      <w:shd w:val="clear" w:color="auto" w:fill="E1DFDD"/>
    </w:rPr>
  </w:style>
  <w:style w:type="paragraph" w:styleId="NormalWeb">
    <w:name w:val="Normal (Web)"/>
    <w:basedOn w:val="Normal"/>
    <w:uiPriority w:val="99"/>
    <w:unhideWhenUsed/>
    <w:rsid w:val="00424242"/>
    <w:pPr>
      <w:spacing w:before="100" w:beforeAutospacing="1" w:after="100" w:afterAutospacing="1"/>
    </w:pPr>
  </w:style>
  <w:style w:type="character" w:customStyle="1" w:styleId="apple-converted-space">
    <w:name w:val="apple-converted-space"/>
    <w:basedOn w:val="DefaultParagraphFont"/>
    <w:rsid w:val="00FF0A8E"/>
  </w:style>
  <w:style w:type="character" w:customStyle="1" w:styleId="base">
    <w:name w:val="base"/>
    <w:basedOn w:val="DefaultParagraphFont"/>
    <w:rsid w:val="00366D76"/>
  </w:style>
  <w:style w:type="character" w:customStyle="1" w:styleId="mord">
    <w:name w:val="mord"/>
    <w:basedOn w:val="DefaultParagraphFont"/>
    <w:rsid w:val="00366D76"/>
  </w:style>
  <w:style w:type="character" w:customStyle="1" w:styleId="mrel">
    <w:name w:val="mrel"/>
    <w:basedOn w:val="DefaultParagraphFont"/>
    <w:rsid w:val="00366D76"/>
  </w:style>
  <w:style w:type="character" w:customStyle="1" w:styleId="vlist-s">
    <w:name w:val="vlist-s"/>
    <w:basedOn w:val="DefaultParagraphFont"/>
    <w:rsid w:val="00366D76"/>
  </w:style>
  <w:style w:type="table" w:styleId="TableGrid">
    <w:name w:val="Table Grid"/>
    <w:basedOn w:val="TableNormal"/>
    <w:uiPriority w:val="39"/>
    <w:rsid w:val="007D174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56392C"/>
    <w:rPr>
      <w:color w:val="96607D" w:themeColor="followedHyperlink"/>
      <w:u w:val="single"/>
    </w:rPr>
  </w:style>
  <w:style w:type="paragraph" w:styleId="TOCHeading">
    <w:name w:val="TOC Heading"/>
    <w:basedOn w:val="Heading1"/>
    <w:next w:val="Normal"/>
    <w:uiPriority w:val="39"/>
    <w:unhideWhenUsed/>
    <w:qFormat/>
    <w:rsid w:val="000E367E"/>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0E367E"/>
    <w:pPr>
      <w:spacing w:before="360" w:after="360"/>
    </w:pPr>
    <w:rPr>
      <w:rFonts w:asciiTheme="minorHAnsi" w:hAnsiTheme="minorHAnsi"/>
      <w:b/>
      <w:bCs/>
      <w:caps/>
      <w:sz w:val="22"/>
      <w:szCs w:val="22"/>
      <w:u w:val="single"/>
    </w:rPr>
  </w:style>
  <w:style w:type="paragraph" w:styleId="TOC2">
    <w:name w:val="toc 2"/>
    <w:basedOn w:val="Normal"/>
    <w:next w:val="Normal"/>
    <w:autoRedefine/>
    <w:uiPriority w:val="39"/>
    <w:unhideWhenUsed/>
    <w:rsid w:val="000E367E"/>
    <w:rPr>
      <w:rFonts w:asciiTheme="minorHAnsi" w:hAnsiTheme="minorHAnsi"/>
      <w:b/>
      <w:bCs/>
      <w:smallCaps/>
      <w:sz w:val="22"/>
      <w:szCs w:val="22"/>
    </w:rPr>
  </w:style>
  <w:style w:type="paragraph" w:styleId="TOC3">
    <w:name w:val="toc 3"/>
    <w:basedOn w:val="Normal"/>
    <w:next w:val="Normal"/>
    <w:autoRedefine/>
    <w:uiPriority w:val="39"/>
    <w:semiHidden/>
    <w:unhideWhenUsed/>
    <w:rsid w:val="000E367E"/>
    <w:rPr>
      <w:rFonts w:asciiTheme="minorHAnsi" w:hAnsiTheme="minorHAnsi"/>
      <w:smallCaps/>
      <w:sz w:val="22"/>
      <w:szCs w:val="22"/>
    </w:rPr>
  </w:style>
  <w:style w:type="paragraph" w:styleId="TOC4">
    <w:name w:val="toc 4"/>
    <w:basedOn w:val="Normal"/>
    <w:next w:val="Normal"/>
    <w:autoRedefine/>
    <w:uiPriority w:val="39"/>
    <w:semiHidden/>
    <w:unhideWhenUsed/>
    <w:rsid w:val="000E367E"/>
    <w:rPr>
      <w:rFonts w:asciiTheme="minorHAnsi" w:hAnsiTheme="minorHAnsi"/>
      <w:sz w:val="22"/>
      <w:szCs w:val="22"/>
    </w:rPr>
  </w:style>
  <w:style w:type="paragraph" w:styleId="TOC5">
    <w:name w:val="toc 5"/>
    <w:basedOn w:val="Normal"/>
    <w:next w:val="Normal"/>
    <w:autoRedefine/>
    <w:uiPriority w:val="39"/>
    <w:semiHidden/>
    <w:unhideWhenUsed/>
    <w:rsid w:val="000E367E"/>
    <w:rPr>
      <w:rFonts w:asciiTheme="minorHAnsi" w:hAnsiTheme="minorHAnsi"/>
      <w:sz w:val="22"/>
      <w:szCs w:val="22"/>
    </w:rPr>
  </w:style>
  <w:style w:type="paragraph" w:styleId="TOC6">
    <w:name w:val="toc 6"/>
    <w:basedOn w:val="Normal"/>
    <w:next w:val="Normal"/>
    <w:autoRedefine/>
    <w:uiPriority w:val="39"/>
    <w:semiHidden/>
    <w:unhideWhenUsed/>
    <w:rsid w:val="000E367E"/>
    <w:rPr>
      <w:rFonts w:asciiTheme="minorHAnsi" w:hAnsiTheme="minorHAnsi"/>
      <w:sz w:val="22"/>
      <w:szCs w:val="22"/>
    </w:rPr>
  </w:style>
  <w:style w:type="paragraph" w:styleId="TOC7">
    <w:name w:val="toc 7"/>
    <w:basedOn w:val="Normal"/>
    <w:next w:val="Normal"/>
    <w:autoRedefine/>
    <w:uiPriority w:val="39"/>
    <w:semiHidden/>
    <w:unhideWhenUsed/>
    <w:rsid w:val="000E367E"/>
    <w:rPr>
      <w:rFonts w:asciiTheme="minorHAnsi" w:hAnsiTheme="minorHAnsi"/>
      <w:sz w:val="22"/>
      <w:szCs w:val="22"/>
    </w:rPr>
  </w:style>
  <w:style w:type="paragraph" w:styleId="TOC8">
    <w:name w:val="toc 8"/>
    <w:basedOn w:val="Normal"/>
    <w:next w:val="Normal"/>
    <w:autoRedefine/>
    <w:uiPriority w:val="39"/>
    <w:semiHidden/>
    <w:unhideWhenUsed/>
    <w:rsid w:val="000E367E"/>
    <w:rPr>
      <w:rFonts w:asciiTheme="minorHAnsi" w:hAnsiTheme="minorHAnsi"/>
      <w:sz w:val="22"/>
      <w:szCs w:val="22"/>
    </w:rPr>
  </w:style>
  <w:style w:type="paragraph" w:styleId="TOC9">
    <w:name w:val="toc 9"/>
    <w:basedOn w:val="Normal"/>
    <w:next w:val="Normal"/>
    <w:autoRedefine/>
    <w:uiPriority w:val="39"/>
    <w:semiHidden/>
    <w:unhideWhenUsed/>
    <w:rsid w:val="000E367E"/>
    <w:rPr>
      <w:rFonts w:asciiTheme="minorHAnsi" w:hAnsiTheme="minorHAnsi"/>
      <w:sz w:val="22"/>
      <w:szCs w:val="22"/>
    </w:rPr>
  </w:style>
  <w:style w:type="paragraph" w:styleId="TableofFigures">
    <w:name w:val="table of figures"/>
    <w:basedOn w:val="Normal"/>
    <w:next w:val="Normal"/>
    <w:uiPriority w:val="99"/>
    <w:unhideWhenUsed/>
    <w:rsid w:val="00200A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903812">
      <w:bodyDiv w:val="1"/>
      <w:marLeft w:val="0"/>
      <w:marRight w:val="0"/>
      <w:marTop w:val="0"/>
      <w:marBottom w:val="0"/>
      <w:divBdr>
        <w:top w:val="none" w:sz="0" w:space="0" w:color="auto"/>
        <w:left w:val="none" w:sz="0" w:space="0" w:color="auto"/>
        <w:bottom w:val="none" w:sz="0" w:space="0" w:color="auto"/>
        <w:right w:val="none" w:sz="0" w:space="0" w:color="auto"/>
      </w:divBdr>
      <w:divsChild>
        <w:div w:id="266155672">
          <w:marLeft w:val="0"/>
          <w:marRight w:val="0"/>
          <w:marTop w:val="0"/>
          <w:marBottom w:val="0"/>
          <w:divBdr>
            <w:top w:val="none" w:sz="0" w:space="0" w:color="auto"/>
            <w:left w:val="none" w:sz="0" w:space="0" w:color="auto"/>
            <w:bottom w:val="none" w:sz="0" w:space="0" w:color="auto"/>
            <w:right w:val="none" w:sz="0" w:space="0" w:color="auto"/>
          </w:divBdr>
          <w:divsChild>
            <w:div w:id="1822110470">
              <w:marLeft w:val="0"/>
              <w:marRight w:val="0"/>
              <w:marTop w:val="0"/>
              <w:marBottom w:val="0"/>
              <w:divBdr>
                <w:top w:val="none" w:sz="0" w:space="0" w:color="auto"/>
                <w:left w:val="none" w:sz="0" w:space="0" w:color="auto"/>
                <w:bottom w:val="none" w:sz="0" w:space="0" w:color="auto"/>
                <w:right w:val="none" w:sz="0" w:space="0" w:color="auto"/>
              </w:divBdr>
              <w:divsChild>
                <w:div w:id="2006201032">
                  <w:marLeft w:val="0"/>
                  <w:marRight w:val="0"/>
                  <w:marTop w:val="0"/>
                  <w:marBottom w:val="0"/>
                  <w:divBdr>
                    <w:top w:val="none" w:sz="0" w:space="0" w:color="auto"/>
                    <w:left w:val="none" w:sz="0" w:space="0" w:color="auto"/>
                    <w:bottom w:val="none" w:sz="0" w:space="0" w:color="auto"/>
                    <w:right w:val="none" w:sz="0" w:space="0" w:color="auto"/>
                  </w:divBdr>
                </w:div>
                <w:div w:id="1049300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912910">
      <w:bodyDiv w:val="1"/>
      <w:marLeft w:val="0"/>
      <w:marRight w:val="0"/>
      <w:marTop w:val="0"/>
      <w:marBottom w:val="0"/>
      <w:divBdr>
        <w:top w:val="none" w:sz="0" w:space="0" w:color="auto"/>
        <w:left w:val="none" w:sz="0" w:space="0" w:color="auto"/>
        <w:bottom w:val="none" w:sz="0" w:space="0" w:color="auto"/>
        <w:right w:val="none" w:sz="0" w:space="0" w:color="auto"/>
      </w:divBdr>
      <w:divsChild>
        <w:div w:id="479931212">
          <w:marLeft w:val="0"/>
          <w:marRight w:val="0"/>
          <w:marTop w:val="0"/>
          <w:marBottom w:val="0"/>
          <w:divBdr>
            <w:top w:val="none" w:sz="0" w:space="0" w:color="auto"/>
            <w:left w:val="none" w:sz="0" w:space="0" w:color="auto"/>
            <w:bottom w:val="none" w:sz="0" w:space="0" w:color="auto"/>
            <w:right w:val="none" w:sz="0" w:space="0" w:color="auto"/>
          </w:divBdr>
          <w:divsChild>
            <w:div w:id="619923051">
              <w:marLeft w:val="0"/>
              <w:marRight w:val="0"/>
              <w:marTop w:val="0"/>
              <w:marBottom w:val="0"/>
              <w:divBdr>
                <w:top w:val="none" w:sz="0" w:space="0" w:color="auto"/>
                <w:left w:val="none" w:sz="0" w:space="0" w:color="auto"/>
                <w:bottom w:val="none" w:sz="0" w:space="0" w:color="auto"/>
                <w:right w:val="none" w:sz="0" w:space="0" w:color="auto"/>
              </w:divBdr>
              <w:divsChild>
                <w:div w:id="81486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115664">
      <w:bodyDiv w:val="1"/>
      <w:marLeft w:val="0"/>
      <w:marRight w:val="0"/>
      <w:marTop w:val="0"/>
      <w:marBottom w:val="0"/>
      <w:divBdr>
        <w:top w:val="none" w:sz="0" w:space="0" w:color="auto"/>
        <w:left w:val="none" w:sz="0" w:space="0" w:color="auto"/>
        <w:bottom w:val="none" w:sz="0" w:space="0" w:color="auto"/>
        <w:right w:val="none" w:sz="0" w:space="0" w:color="auto"/>
      </w:divBdr>
    </w:div>
    <w:div w:id="104927107">
      <w:bodyDiv w:val="1"/>
      <w:marLeft w:val="0"/>
      <w:marRight w:val="0"/>
      <w:marTop w:val="0"/>
      <w:marBottom w:val="0"/>
      <w:divBdr>
        <w:top w:val="none" w:sz="0" w:space="0" w:color="auto"/>
        <w:left w:val="none" w:sz="0" w:space="0" w:color="auto"/>
        <w:bottom w:val="none" w:sz="0" w:space="0" w:color="auto"/>
        <w:right w:val="none" w:sz="0" w:space="0" w:color="auto"/>
      </w:divBdr>
    </w:div>
    <w:div w:id="136999801">
      <w:bodyDiv w:val="1"/>
      <w:marLeft w:val="0"/>
      <w:marRight w:val="0"/>
      <w:marTop w:val="0"/>
      <w:marBottom w:val="0"/>
      <w:divBdr>
        <w:top w:val="none" w:sz="0" w:space="0" w:color="auto"/>
        <w:left w:val="none" w:sz="0" w:space="0" w:color="auto"/>
        <w:bottom w:val="none" w:sz="0" w:space="0" w:color="auto"/>
        <w:right w:val="none" w:sz="0" w:space="0" w:color="auto"/>
      </w:divBdr>
    </w:div>
    <w:div w:id="217320551">
      <w:bodyDiv w:val="1"/>
      <w:marLeft w:val="0"/>
      <w:marRight w:val="0"/>
      <w:marTop w:val="0"/>
      <w:marBottom w:val="0"/>
      <w:divBdr>
        <w:top w:val="none" w:sz="0" w:space="0" w:color="auto"/>
        <w:left w:val="none" w:sz="0" w:space="0" w:color="auto"/>
        <w:bottom w:val="none" w:sz="0" w:space="0" w:color="auto"/>
        <w:right w:val="none" w:sz="0" w:space="0" w:color="auto"/>
      </w:divBdr>
    </w:div>
    <w:div w:id="247496325">
      <w:bodyDiv w:val="1"/>
      <w:marLeft w:val="0"/>
      <w:marRight w:val="0"/>
      <w:marTop w:val="0"/>
      <w:marBottom w:val="0"/>
      <w:divBdr>
        <w:top w:val="none" w:sz="0" w:space="0" w:color="auto"/>
        <w:left w:val="none" w:sz="0" w:space="0" w:color="auto"/>
        <w:bottom w:val="none" w:sz="0" w:space="0" w:color="auto"/>
        <w:right w:val="none" w:sz="0" w:space="0" w:color="auto"/>
      </w:divBdr>
    </w:div>
    <w:div w:id="261766516">
      <w:bodyDiv w:val="1"/>
      <w:marLeft w:val="0"/>
      <w:marRight w:val="0"/>
      <w:marTop w:val="0"/>
      <w:marBottom w:val="0"/>
      <w:divBdr>
        <w:top w:val="none" w:sz="0" w:space="0" w:color="auto"/>
        <w:left w:val="none" w:sz="0" w:space="0" w:color="auto"/>
        <w:bottom w:val="none" w:sz="0" w:space="0" w:color="auto"/>
        <w:right w:val="none" w:sz="0" w:space="0" w:color="auto"/>
      </w:divBdr>
    </w:div>
    <w:div w:id="290985151">
      <w:bodyDiv w:val="1"/>
      <w:marLeft w:val="0"/>
      <w:marRight w:val="0"/>
      <w:marTop w:val="0"/>
      <w:marBottom w:val="0"/>
      <w:divBdr>
        <w:top w:val="none" w:sz="0" w:space="0" w:color="auto"/>
        <w:left w:val="none" w:sz="0" w:space="0" w:color="auto"/>
        <w:bottom w:val="none" w:sz="0" w:space="0" w:color="auto"/>
        <w:right w:val="none" w:sz="0" w:space="0" w:color="auto"/>
      </w:divBdr>
    </w:div>
    <w:div w:id="331418538">
      <w:bodyDiv w:val="1"/>
      <w:marLeft w:val="0"/>
      <w:marRight w:val="0"/>
      <w:marTop w:val="0"/>
      <w:marBottom w:val="0"/>
      <w:divBdr>
        <w:top w:val="none" w:sz="0" w:space="0" w:color="auto"/>
        <w:left w:val="none" w:sz="0" w:space="0" w:color="auto"/>
        <w:bottom w:val="none" w:sz="0" w:space="0" w:color="auto"/>
        <w:right w:val="none" w:sz="0" w:space="0" w:color="auto"/>
      </w:divBdr>
    </w:div>
    <w:div w:id="342629386">
      <w:bodyDiv w:val="1"/>
      <w:marLeft w:val="0"/>
      <w:marRight w:val="0"/>
      <w:marTop w:val="0"/>
      <w:marBottom w:val="0"/>
      <w:divBdr>
        <w:top w:val="none" w:sz="0" w:space="0" w:color="auto"/>
        <w:left w:val="none" w:sz="0" w:space="0" w:color="auto"/>
        <w:bottom w:val="none" w:sz="0" w:space="0" w:color="auto"/>
        <w:right w:val="none" w:sz="0" w:space="0" w:color="auto"/>
      </w:divBdr>
    </w:div>
    <w:div w:id="409696925">
      <w:bodyDiv w:val="1"/>
      <w:marLeft w:val="0"/>
      <w:marRight w:val="0"/>
      <w:marTop w:val="0"/>
      <w:marBottom w:val="0"/>
      <w:divBdr>
        <w:top w:val="none" w:sz="0" w:space="0" w:color="auto"/>
        <w:left w:val="none" w:sz="0" w:space="0" w:color="auto"/>
        <w:bottom w:val="none" w:sz="0" w:space="0" w:color="auto"/>
        <w:right w:val="none" w:sz="0" w:space="0" w:color="auto"/>
      </w:divBdr>
    </w:div>
    <w:div w:id="420032441">
      <w:bodyDiv w:val="1"/>
      <w:marLeft w:val="0"/>
      <w:marRight w:val="0"/>
      <w:marTop w:val="0"/>
      <w:marBottom w:val="0"/>
      <w:divBdr>
        <w:top w:val="none" w:sz="0" w:space="0" w:color="auto"/>
        <w:left w:val="none" w:sz="0" w:space="0" w:color="auto"/>
        <w:bottom w:val="none" w:sz="0" w:space="0" w:color="auto"/>
        <w:right w:val="none" w:sz="0" w:space="0" w:color="auto"/>
      </w:divBdr>
    </w:div>
    <w:div w:id="494613849">
      <w:bodyDiv w:val="1"/>
      <w:marLeft w:val="0"/>
      <w:marRight w:val="0"/>
      <w:marTop w:val="0"/>
      <w:marBottom w:val="0"/>
      <w:divBdr>
        <w:top w:val="none" w:sz="0" w:space="0" w:color="auto"/>
        <w:left w:val="none" w:sz="0" w:space="0" w:color="auto"/>
        <w:bottom w:val="none" w:sz="0" w:space="0" w:color="auto"/>
        <w:right w:val="none" w:sz="0" w:space="0" w:color="auto"/>
      </w:divBdr>
    </w:div>
    <w:div w:id="663044469">
      <w:bodyDiv w:val="1"/>
      <w:marLeft w:val="0"/>
      <w:marRight w:val="0"/>
      <w:marTop w:val="0"/>
      <w:marBottom w:val="0"/>
      <w:divBdr>
        <w:top w:val="none" w:sz="0" w:space="0" w:color="auto"/>
        <w:left w:val="none" w:sz="0" w:space="0" w:color="auto"/>
        <w:bottom w:val="none" w:sz="0" w:space="0" w:color="auto"/>
        <w:right w:val="none" w:sz="0" w:space="0" w:color="auto"/>
      </w:divBdr>
    </w:div>
    <w:div w:id="775367602">
      <w:bodyDiv w:val="1"/>
      <w:marLeft w:val="0"/>
      <w:marRight w:val="0"/>
      <w:marTop w:val="0"/>
      <w:marBottom w:val="0"/>
      <w:divBdr>
        <w:top w:val="none" w:sz="0" w:space="0" w:color="auto"/>
        <w:left w:val="none" w:sz="0" w:space="0" w:color="auto"/>
        <w:bottom w:val="none" w:sz="0" w:space="0" w:color="auto"/>
        <w:right w:val="none" w:sz="0" w:space="0" w:color="auto"/>
      </w:divBdr>
      <w:divsChild>
        <w:div w:id="299770820">
          <w:marLeft w:val="0"/>
          <w:marRight w:val="0"/>
          <w:marTop w:val="0"/>
          <w:marBottom w:val="0"/>
          <w:divBdr>
            <w:top w:val="none" w:sz="0" w:space="0" w:color="auto"/>
            <w:left w:val="none" w:sz="0" w:space="0" w:color="auto"/>
            <w:bottom w:val="none" w:sz="0" w:space="0" w:color="auto"/>
            <w:right w:val="none" w:sz="0" w:space="0" w:color="auto"/>
          </w:divBdr>
          <w:divsChild>
            <w:div w:id="839583751">
              <w:marLeft w:val="0"/>
              <w:marRight w:val="0"/>
              <w:marTop w:val="0"/>
              <w:marBottom w:val="0"/>
              <w:divBdr>
                <w:top w:val="none" w:sz="0" w:space="0" w:color="auto"/>
                <w:left w:val="none" w:sz="0" w:space="0" w:color="auto"/>
                <w:bottom w:val="none" w:sz="0" w:space="0" w:color="auto"/>
                <w:right w:val="none" w:sz="0" w:space="0" w:color="auto"/>
              </w:divBdr>
              <w:divsChild>
                <w:div w:id="1369448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0426495">
      <w:bodyDiv w:val="1"/>
      <w:marLeft w:val="0"/>
      <w:marRight w:val="0"/>
      <w:marTop w:val="0"/>
      <w:marBottom w:val="0"/>
      <w:divBdr>
        <w:top w:val="none" w:sz="0" w:space="0" w:color="auto"/>
        <w:left w:val="none" w:sz="0" w:space="0" w:color="auto"/>
        <w:bottom w:val="none" w:sz="0" w:space="0" w:color="auto"/>
        <w:right w:val="none" w:sz="0" w:space="0" w:color="auto"/>
      </w:divBdr>
    </w:div>
    <w:div w:id="957952028">
      <w:bodyDiv w:val="1"/>
      <w:marLeft w:val="0"/>
      <w:marRight w:val="0"/>
      <w:marTop w:val="0"/>
      <w:marBottom w:val="0"/>
      <w:divBdr>
        <w:top w:val="none" w:sz="0" w:space="0" w:color="auto"/>
        <w:left w:val="none" w:sz="0" w:space="0" w:color="auto"/>
        <w:bottom w:val="none" w:sz="0" w:space="0" w:color="auto"/>
        <w:right w:val="none" w:sz="0" w:space="0" w:color="auto"/>
      </w:divBdr>
      <w:divsChild>
        <w:div w:id="1170214611">
          <w:marLeft w:val="0"/>
          <w:marRight w:val="0"/>
          <w:marTop w:val="0"/>
          <w:marBottom w:val="0"/>
          <w:divBdr>
            <w:top w:val="none" w:sz="0" w:space="0" w:color="auto"/>
            <w:left w:val="none" w:sz="0" w:space="0" w:color="auto"/>
            <w:bottom w:val="none" w:sz="0" w:space="0" w:color="auto"/>
            <w:right w:val="none" w:sz="0" w:space="0" w:color="auto"/>
          </w:divBdr>
          <w:divsChild>
            <w:div w:id="1603876453">
              <w:marLeft w:val="0"/>
              <w:marRight w:val="0"/>
              <w:marTop w:val="0"/>
              <w:marBottom w:val="0"/>
              <w:divBdr>
                <w:top w:val="none" w:sz="0" w:space="0" w:color="auto"/>
                <w:left w:val="none" w:sz="0" w:space="0" w:color="auto"/>
                <w:bottom w:val="none" w:sz="0" w:space="0" w:color="auto"/>
                <w:right w:val="none" w:sz="0" w:space="0" w:color="auto"/>
              </w:divBdr>
              <w:divsChild>
                <w:div w:id="1026710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9339865">
      <w:bodyDiv w:val="1"/>
      <w:marLeft w:val="0"/>
      <w:marRight w:val="0"/>
      <w:marTop w:val="0"/>
      <w:marBottom w:val="0"/>
      <w:divBdr>
        <w:top w:val="none" w:sz="0" w:space="0" w:color="auto"/>
        <w:left w:val="none" w:sz="0" w:space="0" w:color="auto"/>
        <w:bottom w:val="none" w:sz="0" w:space="0" w:color="auto"/>
        <w:right w:val="none" w:sz="0" w:space="0" w:color="auto"/>
      </w:divBdr>
    </w:div>
    <w:div w:id="969238858">
      <w:bodyDiv w:val="1"/>
      <w:marLeft w:val="0"/>
      <w:marRight w:val="0"/>
      <w:marTop w:val="0"/>
      <w:marBottom w:val="0"/>
      <w:divBdr>
        <w:top w:val="none" w:sz="0" w:space="0" w:color="auto"/>
        <w:left w:val="none" w:sz="0" w:space="0" w:color="auto"/>
        <w:bottom w:val="none" w:sz="0" w:space="0" w:color="auto"/>
        <w:right w:val="none" w:sz="0" w:space="0" w:color="auto"/>
      </w:divBdr>
    </w:div>
    <w:div w:id="1001273719">
      <w:bodyDiv w:val="1"/>
      <w:marLeft w:val="0"/>
      <w:marRight w:val="0"/>
      <w:marTop w:val="0"/>
      <w:marBottom w:val="0"/>
      <w:divBdr>
        <w:top w:val="none" w:sz="0" w:space="0" w:color="auto"/>
        <w:left w:val="none" w:sz="0" w:space="0" w:color="auto"/>
        <w:bottom w:val="none" w:sz="0" w:space="0" w:color="auto"/>
        <w:right w:val="none" w:sz="0" w:space="0" w:color="auto"/>
      </w:divBdr>
    </w:div>
    <w:div w:id="1106074570">
      <w:bodyDiv w:val="1"/>
      <w:marLeft w:val="0"/>
      <w:marRight w:val="0"/>
      <w:marTop w:val="0"/>
      <w:marBottom w:val="0"/>
      <w:divBdr>
        <w:top w:val="none" w:sz="0" w:space="0" w:color="auto"/>
        <w:left w:val="none" w:sz="0" w:space="0" w:color="auto"/>
        <w:bottom w:val="none" w:sz="0" w:space="0" w:color="auto"/>
        <w:right w:val="none" w:sz="0" w:space="0" w:color="auto"/>
      </w:divBdr>
      <w:divsChild>
        <w:div w:id="686180275">
          <w:marLeft w:val="0"/>
          <w:marRight w:val="0"/>
          <w:marTop w:val="0"/>
          <w:marBottom w:val="0"/>
          <w:divBdr>
            <w:top w:val="none" w:sz="0" w:space="0" w:color="auto"/>
            <w:left w:val="none" w:sz="0" w:space="0" w:color="auto"/>
            <w:bottom w:val="none" w:sz="0" w:space="0" w:color="auto"/>
            <w:right w:val="none" w:sz="0" w:space="0" w:color="auto"/>
          </w:divBdr>
          <w:divsChild>
            <w:div w:id="1337541981">
              <w:marLeft w:val="0"/>
              <w:marRight w:val="0"/>
              <w:marTop w:val="0"/>
              <w:marBottom w:val="0"/>
              <w:divBdr>
                <w:top w:val="none" w:sz="0" w:space="0" w:color="auto"/>
                <w:left w:val="none" w:sz="0" w:space="0" w:color="auto"/>
                <w:bottom w:val="none" w:sz="0" w:space="0" w:color="auto"/>
                <w:right w:val="none" w:sz="0" w:space="0" w:color="auto"/>
              </w:divBdr>
              <w:divsChild>
                <w:div w:id="992413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0344206">
      <w:bodyDiv w:val="1"/>
      <w:marLeft w:val="0"/>
      <w:marRight w:val="0"/>
      <w:marTop w:val="0"/>
      <w:marBottom w:val="0"/>
      <w:divBdr>
        <w:top w:val="none" w:sz="0" w:space="0" w:color="auto"/>
        <w:left w:val="none" w:sz="0" w:space="0" w:color="auto"/>
        <w:bottom w:val="none" w:sz="0" w:space="0" w:color="auto"/>
        <w:right w:val="none" w:sz="0" w:space="0" w:color="auto"/>
      </w:divBdr>
    </w:div>
    <w:div w:id="1174880087">
      <w:bodyDiv w:val="1"/>
      <w:marLeft w:val="0"/>
      <w:marRight w:val="0"/>
      <w:marTop w:val="0"/>
      <w:marBottom w:val="0"/>
      <w:divBdr>
        <w:top w:val="none" w:sz="0" w:space="0" w:color="auto"/>
        <w:left w:val="none" w:sz="0" w:space="0" w:color="auto"/>
        <w:bottom w:val="none" w:sz="0" w:space="0" w:color="auto"/>
        <w:right w:val="none" w:sz="0" w:space="0" w:color="auto"/>
      </w:divBdr>
    </w:div>
    <w:div w:id="1219786414">
      <w:bodyDiv w:val="1"/>
      <w:marLeft w:val="0"/>
      <w:marRight w:val="0"/>
      <w:marTop w:val="0"/>
      <w:marBottom w:val="0"/>
      <w:divBdr>
        <w:top w:val="none" w:sz="0" w:space="0" w:color="auto"/>
        <w:left w:val="none" w:sz="0" w:space="0" w:color="auto"/>
        <w:bottom w:val="none" w:sz="0" w:space="0" w:color="auto"/>
        <w:right w:val="none" w:sz="0" w:space="0" w:color="auto"/>
      </w:divBdr>
    </w:div>
    <w:div w:id="1257057523">
      <w:bodyDiv w:val="1"/>
      <w:marLeft w:val="0"/>
      <w:marRight w:val="0"/>
      <w:marTop w:val="0"/>
      <w:marBottom w:val="0"/>
      <w:divBdr>
        <w:top w:val="none" w:sz="0" w:space="0" w:color="auto"/>
        <w:left w:val="none" w:sz="0" w:space="0" w:color="auto"/>
        <w:bottom w:val="none" w:sz="0" w:space="0" w:color="auto"/>
        <w:right w:val="none" w:sz="0" w:space="0" w:color="auto"/>
      </w:divBdr>
    </w:div>
    <w:div w:id="1268855571">
      <w:bodyDiv w:val="1"/>
      <w:marLeft w:val="0"/>
      <w:marRight w:val="0"/>
      <w:marTop w:val="0"/>
      <w:marBottom w:val="0"/>
      <w:divBdr>
        <w:top w:val="none" w:sz="0" w:space="0" w:color="auto"/>
        <w:left w:val="none" w:sz="0" w:space="0" w:color="auto"/>
        <w:bottom w:val="none" w:sz="0" w:space="0" w:color="auto"/>
        <w:right w:val="none" w:sz="0" w:space="0" w:color="auto"/>
      </w:divBdr>
      <w:divsChild>
        <w:div w:id="1814177176">
          <w:marLeft w:val="0"/>
          <w:marRight w:val="0"/>
          <w:marTop w:val="0"/>
          <w:marBottom w:val="0"/>
          <w:divBdr>
            <w:top w:val="none" w:sz="0" w:space="0" w:color="auto"/>
            <w:left w:val="none" w:sz="0" w:space="0" w:color="auto"/>
            <w:bottom w:val="none" w:sz="0" w:space="0" w:color="auto"/>
            <w:right w:val="none" w:sz="0" w:space="0" w:color="auto"/>
          </w:divBdr>
          <w:divsChild>
            <w:div w:id="1521162811">
              <w:marLeft w:val="0"/>
              <w:marRight w:val="0"/>
              <w:marTop w:val="0"/>
              <w:marBottom w:val="0"/>
              <w:divBdr>
                <w:top w:val="none" w:sz="0" w:space="0" w:color="auto"/>
                <w:left w:val="none" w:sz="0" w:space="0" w:color="auto"/>
                <w:bottom w:val="none" w:sz="0" w:space="0" w:color="auto"/>
                <w:right w:val="none" w:sz="0" w:space="0" w:color="auto"/>
              </w:divBdr>
              <w:divsChild>
                <w:div w:id="1386487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3610323">
      <w:bodyDiv w:val="1"/>
      <w:marLeft w:val="0"/>
      <w:marRight w:val="0"/>
      <w:marTop w:val="0"/>
      <w:marBottom w:val="0"/>
      <w:divBdr>
        <w:top w:val="none" w:sz="0" w:space="0" w:color="auto"/>
        <w:left w:val="none" w:sz="0" w:space="0" w:color="auto"/>
        <w:bottom w:val="none" w:sz="0" w:space="0" w:color="auto"/>
        <w:right w:val="none" w:sz="0" w:space="0" w:color="auto"/>
      </w:divBdr>
      <w:divsChild>
        <w:div w:id="407045229">
          <w:marLeft w:val="0"/>
          <w:marRight w:val="0"/>
          <w:marTop w:val="0"/>
          <w:marBottom w:val="0"/>
          <w:divBdr>
            <w:top w:val="none" w:sz="0" w:space="0" w:color="auto"/>
            <w:left w:val="none" w:sz="0" w:space="0" w:color="auto"/>
            <w:bottom w:val="none" w:sz="0" w:space="0" w:color="auto"/>
            <w:right w:val="none" w:sz="0" w:space="0" w:color="auto"/>
          </w:divBdr>
          <w:divsChild>
            <w:div w:id="306251003">
              <w:marLeft w:val="0"/>
              <w:marRight w:val="0"/>
              <w:marTop w:val="0"/>
              <w:marBottom w:val="0"/>
              <w:divBdr>
                <w:top w:val="none" w:sz="0" w:space="0" w:color="auto"/>
                <w:left w:val="none" w:sz="0" w:space="0" w:color="auto"/>
                <w:bottom w:val="none" w:sz="0" w:space="0" w:color="auto"/>
                <w:right w:val="none" w:sz="0" w:space="0" w:color="auto"/>
              </w:divBdr>
              <w:divsChild>
                <w:div w:id="1084378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7494733">
      <w:bodyDiv w:val="1"/>
      <w:marLeft w:val="0"/>
      <w:marRight w:val="0"/>
      <w:marTop w:val="0"/>
      <w:marBottom w:val="0"/>
      <w:divBdr>
        <w:top w:val="none" w:sz="0" w:space="0" w:color="auto"/>
        <w:left w:val="none" w:sz="0" w:space="0" w:color="auto"/>
        <w:bottom w:val="none" w:sz="0" w:space="0" w:color="auto"/>
        <w:right w:val="none" w:sz="0" w:space="0" w:color="auto"/>
      </w:divBdr>
    </w:div>
    <w:div w:id="1389765760">
      <w:bodyDiv w:val="1"/>
      <w:marLeft w:val="0"/>
      <w:marRight w:val="0"/>
      <w:marTop w:val="0"/>
      <w:marBottom w:val="0"/>
      <w:divBdr>
        <w:top w:val="none" w:sz="0" w:space="0" w:color="auto"/>
        <w:left w:val="none" w:sz="0" w:space="0" w:color="auto"/>
        <w:bottom w:val="none" w:sz="0" w:space="0" w:color="auto"/>
        <w:right w:val="none" w:sz="0" w:space="0" w:color="auto"/>
      </w:divBdr>
    </w:div>
    <w:div w:id="1461679760">
      <w:bodyDiv w:val="1"/>
      <w:marLeft w:val="0"/>
      <w:marRight w:val="0"/>
      <w:marTop w:val="0"/>
      <w:marBottom w:val="0"/>
      <w:divBdr>
        <w:top w:val="none" w:sz="0" w:space="0" w:color="auto"/>
        <w:left w:val="none" w:sz="0" w:space="0" w:color="auto"/>
        <w:bottom w:val="none" w:sz="0" w:space="0" w:color="auto"/>
        <w:right w:val="none" w:sz="0" w:space="0" w:color="auto"/>
      </w:divBdr>
    </w:div>
    <w:div w:id="1497307248">
      <w:bodyDiv w:val="1"/>
      <w:marLeft w:val="0"/>
      <w:marRight w:val="0"/>
      <w:marTop w:val="0"/>
      <w:marBottom w:val="0"/>
      <w:divBdr>
        <w:top w:val="none" w:sz="0" w:space="0" w:color="auto"/>
        <w:left w:val="none" w:sz="0" w:space="0" w:color="auto"/>
        <w:bottom w:val="none" w:sz="0" w:space="0" w:color="auto"/>
        <w:right w:val="none" w:sz="0" w:space="0" w:color="auto"/>
      </w:divBdr>
      <w:divsChild>
        <w:div w:id="721296074">
          <w:marLeft w:val="0"/>
          <w:marRight w:val="0"/>
          <w:marTop w:val="0"/>
          <w:marBottom w:val="0"/>
          <w:divBdr>
            <w:top w:val="none" w:sz="0" w:space="0" w:color="auto"/>
            <w:left w:val="none" w:sz="0" w:space="0" w:color="auto"/>
            <w:bottom w:val="none" w:sz="0" w:space="0" w:color="auto"/>
            <w:right w:val="none" w:sz="0" w:space="0" w:color="auto"/>
          </w:divBdr>
          <w:divsChild>
            <w:div w:id="1956018639">
              <w:marLeft w:val="0"/>
              <w:marRight w:val="0"/>
              <w:marTop w:val="0"/>
              <w:marBottom w:val="0"/>
              <w:divBdr>
                <w:top w:val="none" w:sz="0" w:space="0" w:color="auto"/>
                <w:left w:val="none" w:sz="0" w:space="0" w:color="auto"/>
                <w:bottom w:val="none" w:sz="0" w:space="0" w:color="auto"/>
                <w:right w:val="none" w:sz="0" w:space="0" w:color="auto"/>
              </w:divBdr>
              <w:divsChild>
                <w:div w:id="2032997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4248997">
      <w:bodyDiv w:val="1"/>
      <w:marLeft w:val="0"/>
      <w:marRight w:val="0"/>
      <w:marTop w:val="0"/>
      <w:marBottom w:val="0"/>
      <w:divBdr>
        <w:top w:val="none" w:sz="0" w:space="0" w:color="auto"/>
        <w:left w:val="none" w:sz="0" w:space="0" w:color="auto"/>
        <w:bottom w:val="none" w:sz="0" w:space="0" w:color="auto"/>
        <w:right w:val="none" w:sz="0" w:space="0" w:color="auto"/>
      </w:divBdr>
    </w:div>
    <w:div w:id="1532257541">
      <w:bodyDiv w:val="1"/>
      <w:marLeft w:val="0"/>
      <w:marRight w:val="0"/>
      <w:marTop w:val="0"/>
      <w:marBottom w:val="0"/>
      <w:divBdr>
        <w:top w:val="none" w:sz="0" w:space="0" w:color="auto"/>
        <w:left w:val="none" w:sz="0" w:space="0" w:color="auto"/>
        <w:bottom w:val="none" w:sz="0" w:space="0" w:color="auto"/>
        <w:right w:val="none" w:sz="0" w:space="0" w:color="auto"/>
      </w:divBdr>
    </w:div>
    <w:div w:id="1537281093">
      <w:bodyDiv w:val="1"/>
      <w:marLeft w:val="0"/>
      <w:marRight w:val="0"/>
      <w:marTop w:val="0"/>
      <w:marBottom w:val="0"/>
      <w:divBdr>
        <w:top w:val="none" w:sz="0" w:space="0" w:color="auto"/>
        <w:left w:val="none" w:sz="0" w:space="0" w:color="auto"/>
        <w:bottom w:val="none" w:sz="0" w:space="0" w:color="auto"/>
        <w:right w:val="none" w:sz="0" w:space="0" w:color="auto"/>
      </w:divBdr>
    </w:div>
    <w:div w:id="1570068577">
      <w:bodyDiv w:val="1"/>
      <w:marLeft w:val="0"/>
      <w:marRight w:val="0"/>
      <w:marTop w:val="0"/>
      <w:marBottom w:val="0"/>
      <w:divBdr>
        <w:top w:val="none" w:sz="0" w:space="0" w:color="auto"/>
        <w:left w:val="none" w:sz="0" w:space="0" w:color="auto"/>
        <w:bottom w:val="none" w:sz="0" w:space="0" w:color="auto"/>
        <w:right w:val="none" w:sz="0" w:space="0" w:color="auto"/>
      </w:divBdr>
    </w:div>
    <w:div w:id="1581328147">
      <w:bodyDiv w:val="1"/>
      <w:marLeft w:val="0"/>
      <w:marRight w:val="0"/>
      <w:marTop w:val="0"/>
      <w:marBottom w:val="0"/>
      <w:divBdr>
        <w:top w:val="none" w:sz="0" w:space="0" w:color="auto"/>
        <w:left w:val="none" w:sz="0" w:space="0" w:color="auto"/>
        <w:bottom w:val="none" w:sz="0" w:space="0" w:color="auto"/>
        <w:right w:val="none" w:sz="0" w:space="0" w:color="auto"/>
      </w:divBdr>
    </w:div>
    <w:div w:id="1582254980">
      <w:bodyDiv w:val="1"/>
      <w:marLeft w:val="0"/>
      <w:marRight w:val="0"/>
      <w:marTop w:val="0"/>
      <w:marBottom w:val="0"/>
      <w:divBdr>
        <w:top w:val="none" w:sz="0" w:space="0" w:color="auto"/>
        <w:left w:val="none" w:sz="0" w:space="0" w:color="auto"/>
        <w:bottom w:val="none" w:sz="0" w:space="0" w:color="auto"/>
        <w:right w:val="none" w:sz="0" w:space="0" w:color="auto"/>
      </w:divBdr>
    </w:div>
    <w:div w:id="1642075662">
      <w:bodyDiv w:val="1"/>
      <w:marLeft w:val="0"/>
      <w:marRight w:val="0"/>
      <w:marTop w:val="0"/>
      <w:marBottom w:val="0"/>
      <w:divBdr>
        <w:top w:val="none" w:sz="0" w:space="0" w:color="auto"/>
        <w:left w:val="none" w:sz="0" w:space="0" w:color="auto"/>
        <w:bottom w:val="none" w:sz="0" w:space="0" w:color="auto"/>
        <w:right w:val="none" w:sz="0" w:space="0" w:color="auto"/>
      </w:divBdr>
    </w:div>
    <w:div w:id="1681393225">
      <w:bodyDiv w:val="1"/>
      <w:marLeft w:val="0"/>
      <w:marRight w:val="0"/>
      <w:marTop w:val="0"/>
      <w:marBottom w:val="0"/>
      <w:divBdr>
        <w:top w:val="none" w:sz="0" w:space="0" w:color="auto"/>
        <w:left w:val="none" w:sz="0" w:space="0" w:color="auto"/>
        <w:bottom w:val="none" w:sz="0" w:space="0" w:color="auto"/>
        <w:right w:val="none" w:sz="0" w:space="0" w:color="auto"/>
      </w:divBdr>
    </w:div>
    <w:div w:id="1692536106">
      <w:bodyDiv w:val="1"/>
      <w:marLeft w:val="0"/>
      <w:marRight w:val="0"/>
      <w:marTop w:val="0"/>
      <w:marBottom w:val="0"/>
      <w:divBdr>
        <w:top w:val="none" w:sz="0" w:space="0" w:color="auto"/>
        <w:left w:val="none" w:sz="0" w:space="0" w:color="auto"/>
        <w:bottom w:val="none" w:sz="0" w:space="0" w:color="auto"/>
        <w:right w:val="none" w:sz="0" w:space="0" w:color="auto"/>
      </w:divBdr>
    </w:div>
    <w:div w:id="1698237730">
      <w:bodyDiv w:val="1"/>
      <w:marLeft w:val="0"/>
      <w:marRight w:val="0"/>
      <w:marTop w:val="0"/>
      <w:marBottom w:val="0"/>
      <w:divBdr>
        <w:top w:val="none" w:sz="0" w:space="0" w:color="auto"/>
        <w:left w:val="none" w:sz="0" w:space="0" w:color="auto"/>
        <w:bottom w:val="none" w:sz="0" w:space="0" w:color="auto"/>
        <w:right w:val="none" w:sz="0" w:space="0" w:color="auto"/>
      </w:divBdr>
      <w:divsChild>
        <w:div w:id="1098059239">
          <w:marLeft w:val="0"/>
          <w:marRight w:val="0"/>
          <w:marTop w:val="0"/>
          <w:marBottom w:val="0"/>
          <w:divBdr>
            <w:top w:val="none" w:sz="0" w:space="0" w:color="auto"/>
            <w:left w:val="none" w:sz="0" w:space="0" w:color="auto"/>
            <w:bottom w:val="none" w:sz="0" w:space="0" w:color="auto"/>
            <w:right w:val="none" w:sz="0" w:space="0" w:color="auto"/>
          </w:divBdr>
          <w:divsChild>
            <w:div w:id="1457020656">
              <w:marLeft w:val="0"/>
              <w:marRight w:val="0"/>
              <w:marTop w:val="0"/>
              <w:marBottom w:val="0"/>
              <w:divBdr>
                <w:top w:val="none" w:sz="0" w:space="0" w:color="auto"/>
                <w:left w:val="none" w:sz="0" w:space="0" w:color="auto"/>
                <w:bottom w:val="none" w:sz="0" w:space="0" w:color="auto"/>
                <w:right w:val="none" w:sz="0" w:space="0" w:color="auto"/>
              </w:divBdr>
              <w:divsChild>
                <w:div w:id="474179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0743690">
      <w:bodyDiv w:val="1"/>
      <w:marLeft w:val="0"/>
      <w:marRight w:val="0"/>
      <w:marTop w:val="0"/>
      <w:marBottom w:val="0"/>
      <w:divBdr>
        <w:top w:val="none" w:sz="0" w:space="0" w:color="auto"/>
        <w:left w:val="none" w:sz="0" w:space="0" w:color="auto"/>
        <w:bottom w:val="none" w:sz="0" w:space="0" w:color="auto"/>
        <w:right w:val="none" w:sz="0" w:space="0" w:color="auto"/>
      </w:divBdr>
    </w:div>
    <w:div w:id="1701321146">
      <w:bodyDiv w:val="1"/>
      <w:marLeft w:val="0"/>
      <w:marRight w:val="0"/>
      <w:marTop w:val="0"/>
      <w:marBottom w:val="0"/>
      <w:divBdr>
        <w:top w:val="none" w:sz="0" w:space="0" w:color="auto"/>
        <w:left w:val="none" w:sz="0" w:space="0" w:color="auto"/>
        <w:bottom w:val="none" w:sz="0" w:space="0" w:color="auto"/>
        <w:right w:val="none" w:sz="0" w:space="0" w:color="auto"/>
      </w:divBdr>
      <w:divsChild>
        <w:div w:id="1622493599">
          <w:marLeft w:val="0"/>
          <w:marRight w:val="0"/>
          <w:marTop w:val="0"/>
          <w:marBottom w:val="0"/>
          <w:divBdr>
            <w:top w:val="none" w:sz="0" w:space="0" w:color="auto"/>
            <w:left w:val="none" w:sz="0" w:space="0" w:color="auto"/>
            <w:bottom w:val="none" w:sz="0" w:space="0" w:color="auto"/>
            <w:right w:val="none" w:sz="0" w:space="0" w:color="auto"/>
          </w:divBdr>
          <w:divsChild>
            <w:div w:id="415706675">
              <w:marLeft w:val="0"/>
              <w:marRight w:val="0"/>
              <w:marTop w:val="0"/>
              <w:marBottom w:val="0"/>
              <w:divBdr>
                <w:top w:val="none" w:sz="0" w:space="0" w:color="auto"/>
                <w:left w:val="none" w:sz="0" w:space="0" w:color="auto"/>
                <w:bottom w:val="none" w:sz="0" w:space="0" w:color="auto"/>
                <w:right w:val="none" w:sz="0" w:space="0" w:color="auto"/>
              </w:divBdr>
              <w:divsChild>
                <w:div w:id="351804458">
                  <w:marLeft w:val="0"/>
                  <w:marRight w:val="0"/>
                  <w:marTop w:val="0"/>
                  <w:marBottom w:val="0"/>
                  <w:divBdr>
                    <w:top w:val="none" w:sz="0" w:space="0" w:color="auto"/>
                    <w:left w:val="none" w:sz="0" w:space="0" w:color="auto"/>
                    <w:bottom w:val="none" w:sz="0" w:space="0" w:color="auto"/>
                    <w:right w:val="none" w:sz="0" w:space="0" w:color="auto"/>
                  </w:divBdr>
                </w:div>
                <w:div w:id="111168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0151531">
      <w:bodyDiv w:val="1"/>
      <w:marLeft w:val="0"/>
      <w:marRight w:val="0"/>
      <w:marTop w:val="0"/>
      <w:marBottom w:val="0"/>
      <w:divBdr>
        <w:top w:val="none" w:sz="0" w:space="0" w:color="auto"/>
        <w:left w:val="none" w:sz="0" w:space="0" w:color="auto"/>
        <w:bottom w:val="none" w:sz="0" w:space="0" w:color="auto"/>
        <w:right w:val="none" w:sz="0" w:space="0" w:color="auto"/>
      </w:divBdr>
      <w:divsChild>
        <w:div w:id="1045107663">
          <w:marLeft w:val="0"/>
          <w:marRight w:val="0"/>
          <w:marTop w:val="0"/>
          <w:marBottom w:val="0"/>
          <w:divBdr>
            <w:top w:val="none" w:sz="0" w:space="0" w:color="auto"/>
            <w:left w:val="none" w:sz="0" w:space="0" w:color="auto"/>
            <w:bottom w:val="none" w:sz="0" w:space="0" w:color="auto"/>
            <w:right w:val="none" w:sz="0" w:space="0" w:color="auto"/>
          </w:divBdr>
          <w:divsChild>
            <w:div w:id="1951207006">
              <w:marLeft w:val="0"/>
              <w:marRight w:val="0"/>
              <w:marTop w:val="0"/>
              <w:marBottom w:val="0"/>
              <w:divBdr>
                <w:top w:val="none" w:sz="0" w:space="0" w:color="auto"/>
                <w:left w:val="none" w:sz="0" w:space="0" w:color="auto"/>
                <w:bottom w:val="none" w:sz="0" w:space="0" w:color="auto"/>
                <w:right w:val="none" w:sz="0" w:space="0" w:color="auto"/>
              </w:divBdr>
              <w:divsChild>
                <w:div w:id="721563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1823982">
      <w:bodyDiv w:val="1"/>
      <w:marLeft w:val="0"/>
      <w:marRight w:val="0"/>
      <w:marTop w:val="0"/>
      <w:marBottom w:val="0"/>
      <w:divBdr>
        <w:top w:val="none" w:sz="0" w:space="0" w:color="auto"/>
        <w:left w:val="none" w:sz="0" w:space="0" w:color="auto"/>
        <w:bottom w:val="none" w:sz="0" w:space="0" w:color="auto"/>
        <w:right w:val="none" w:sz="0" w:space="0" w:color="auto"/>
      </w:divBdr>
    </w:div>
    <w:div w:id="1924796106">
      <w:bodyDiv w:val="1"/>
      <w:marLeft w:val="0"/>
      <w:marRight w:val="0"/>
      <w:marTop w:val="0"/>
      <w:marBottom w:val="0"/>
      <w:divBdr>
        <w:top w:val="none" w:sz="0" w:space="0" w:color="auto"/>
        <w:left w:val="none" w:sz="0" w:space="0" w:color="auto"/>
        <w:bottom w:val="none" w:sz="0" w:space="0" w:color="auto"/>
        <w:right w:val="none" w:sz="0" w:space="0" w:color="auto"/>
      </w:divBdr>
    </w:div>
    <w:div w:id="1966429109">
      <w:bodyDiv w:val="1"/>
      <w:marLeft w:val="0"/>
      <w:marRight w:val="0"/>
      <w:marTop w:val="0"/>
      <w:marBottom w:val="0"/>
      <w:divBdr>
        <w:top w:val="none" w:sz="0" w:space="0" w:color="auto"/>
        <w:left w:val="none" w:sz="0" w:space="0" w:color="auto"/>
        <w:bottom w:val="none" w:sz="0" w:space="0" w:color="auto"/>
        <w:right w:val="none" w:sz="0" w:space="0" w:color="auto"/>
      </w:divBdr>
      <w:divsChild>
        <w:div w:id="1615822590">
          <w:marLeft w:val="0"/>
          <w:marRight w:val="0"/>
          <w:marTop w:val="0"/>
          <w:marBottom w:val="0"/>
          <w:divBdr>
            <w:top w:val="none" w:sz="0" w:space="0" w:color="auto"/>
            <w:left w:val="none" w:sz="0" w:space="0" w:color="auto"/>
            <w:bottom w:val="none" w:sz="0" w:space="0" w:color="auto"/>
            <w:right w:val="none" w:sz="0" w:space="0" w:color="auto"/>
          </w:divBdr>
          <w:divsChild>
            <w:div w:id="281814782">
              <w:marLeft w:val="0"/>
              <w:marRight w:val="0"/>
              <w:marTop w:val="0"/>
              <w:marBottom w:val="0"/>
              <w:divBdr>
                <w:top w:val="none" w:sz="0" w:space="0" w:color="auto"/>
                <w:left w:val="none" w:sz="0" w:space="0" w:color="auto"/>
                <w:bottom w:val="none" w:sz="0" w:space="0" w:color="auto"/>
                <w:right w:val="none" w:sz="0" w:space="0" w:color="auto"/>
              </w:divBdr>
              <w:divsChild>
                <w:div w:id="1102915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6157276">
      <w:bodyDiv w:val="1"/>
      <w:marLeft w:val="0"/>
      <w:marRight w:val="0"/>
      <w:marTop w:val="0"/>
      <w:marBottom w:val="0"/>
      <w:divBdr>
        <w:top w:val="none" w:sz="0" w:space="0" w:color="auto"/>
        <w:left w:val="none" w:sz="0" w:space="0" w:color="auto"/>
        <w:bottom w:val="none" w:sz="0" w:space="0" w:color="auto"/>
        <w:right w:val="none" w:sz="0" w:space="0" w:color="auto"/>
      </w:divBdr>
    </w:div>
    <w:div w:id="2024822470">
      <w:bodyDiv w:val="1"/>
      <w:marLeft w:val="0"/>
      <w:marRight w:val="0"/>
      <w:marTop w:val="0"/>
      <w:marBottom w:val="0"/>
      <w:divBdr>
        <w:top w:val="none" w:sz="0" w:space="0" w:color="auto"/>
        <w:left w:val="none" w:sz="0" w:space="0" w:color="auto"/>
        <w:bottom w:val="none" w:sz="0" w:space="0" w:color="auto"/>
        <w:right w:val="none" w:sz="0" w:space="0" w:color="auto"/>
      </w:divBdr>
      <w:divsChild>
        <w:div w:id="419254454">
          <w:marLeft w:val="0"/>
          <w:marRight w:val="0"/>
          <w:marTop w:val="0"/>
          <w:marBottom w:val="0"/>
          <w:divBdr>
            <w:top w:val="none" w:sz="0" w:space="0" w:color="auto"/>
            <w:left w:val="none" w:sz="0" w:space="0" w:color="auto"/>
            <w:bottom w:val="none" w:sz="0" w:space="0" w:color="auto"/>
            <w:right w:val="none" w:sz="0" w:space="0" w:color="auto"/>
          </w:divBdr>
          <w:divsChild>
            <w:div w:id="1805467293">
              <w:marLeft w:val="0"/>
              <w:marRight w:val="0"/>
              <w:marTop w:val="0"/>
              <w:marBottom w:val="0"/>
              <w:divBdr>
                <w:top w:val="none" w:sz="0" w:space="0" w:color="auto"/>
                <w:left w:val="none" w:sz="0" w:space="0" w:color="auto"/>
                <w:bottom w:val="none" w:sz="0" w:space="0" w:color="auto"/>
                <w:right w:val="none" w:sz="0" w:space="0" w:color="auto"/>
              </w:divBdr>
              <w:divsChild>
                <w:div w:id="873932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3649960">
      <w:bodyDiv w:val="1"/>
      <w:marLeft w:val="0"/>
      <w:marRight w:val="0"/>
      <w:marTop w:val="0"/>
      <w:marBottom w:val="0"/>
      <w:divBdr>
        <w:top w:val="none" w:sz="0" w:space="0" w:color="auto"/>
        <w:left w:val="none" w:sz="0" w:space="0" w:color="auto"/>
        <w:bottom w:val="none" w:sz="0" w:space="0" w:color="auto"/>
        <w:right w:val="none" w:sz="0" w:space="0" w:color="auto"/>
      </w:divBdr>
    </w:div>
    <w:div w:id="2085294035">
      <w:bodyDiv w:val="1"/>
      <w:marLeft w:val="0"/>
      <w:marRight w:val="0"/>
      <w:marTop w:val="0"/>
      <w:marBottom w:val="0"/>
      <w:divBdr>
        <w:top w:val="none" w:sz="0" w:space="0" w:color="auto"/>
        <w:left w:val="none" w:sz="0" w:space="0" w:color="auto"/>
        <w:bottom w:val="none" w:sz="0" w:space="0" w:color="auto"/>
        <w:right w:val="none" w:sz="0" w:space="0" w:color="auto"/>
      </w:divBdr>
      <w:divsChild>
        <w:div w:id="186257786">
          <w:marLeft w:val="0"/>
          <w:marRight w:val="0"/>
          <w:marTop w:val="0"/>
          <w:marBottom w:val="0"/>
          <w:divBdr>
            <w:top w:val="none" w:sz="0" w:space="0" w:color="auto"/>
            <w:left w:val="none" w:sz="0" w:space="0" w:color="auto"/>
            <w:bottom w:val="none" w:sz="0" w:space="0" w:color="auto"/>
            <w:right w:val="none" w:sz="0" w:space="0" w:color="auto"/>
          </w:divBdr>
          <w:divsChild>
            <w:div w:id="441386411">
              <w:marLeft w:val="0"/>
              <w:marRight w:val="0"/>
              <w:marTop w:val="0"/>
              <w:marBottom w:val="0"/>
              <w:divBdr>
                <w:top w:val="none" w:sz="0" w:space="0" w:color="auto"/>
                <w:left w:val="none" w:sz="0" w:space="0" w:color="auto"/>
                <w:bottom w:val="none" w:sz="0" w:space="0" w:color="auto"/>
                <w:right w:val="none" w:sz="0" w:space="0" w:color="auto"/>
              </w:divBdr>
              <w:divsChild>
                <w:div w:id="1852062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2235471">
      <w:bodyDiv w:val="1"/>
      <w:marLeft w:val="0"/>
      <w:marRight w:val="0"/>
      <w:marTop w:val="0"/>
      <w:marBottom w:val="0"/>
      <w:divBdr>
        <w:top w:val="none" w:sz="0" w:space="0" w:color="auto"/>
        <w:left w:val="none" w:sz="0" w:space="0" w:color="auto"/>
        <w:bottom w:val="none" w:sz="0" w:space="0" w:color="auto"/>
        <w:right w:val="none" w:sz="0" w:space="0" w:color="auto"/>
      </w:divBdr>
      <w:divsChild>
        <w:div w:id="721750410">
          <w:marLeft w:val="0"/>
          <w:marRight w:val="0"/>
          <w:marTop w:val="0"/>
          <w:marBottom w:val="0"/>
          <w:divBdr>
            <w:top w:val="none" w:sz="0" w:space="0" w:color="auto"/>
            <w:left w:val="none" w:sz="0" w:space="0" w:color="auto"/>
            <w:bottom w:val="none" w:sz="0" w:space="0" w:color="auto"/>
            <w:right w:val="none" w:sz="0" w:space="0" w:color="auto"/>
          </w:divBdr>
          <w:divsChild>
            <w:div w:id="914825306">
              <w:marLeft w:val="0"/>
              <w:marRight w:val="0"/>
              <w:marTop w:val="0"/>
              <w:marBottom w:val="0"/>
              <w:divBdr>
                <w:top w:val="none" w:sz="0" w:space="0" w:color="auto"/>
                <w:left w:val="none" w:sz="0" w:space="0" w:color="auto"/>
                <w:bottom w:val="none" w:sz="0" w:space="0" w:color="auto"/>
                <w:right w:val="none" w:sz="0" w:space="0" w:color="auto"/>
              </w:divBdr>
              <w:divsChild>
                <w:div w:id="1761489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orporatefinanceinstitute.com/resources/commercial-lending/debt-to-equity-ratio-formula/#:~:text=The%20Debt%20to%20Equity%20ratio%20(also%20called%20the%20&#8220;debt%2D,E%20Ratio%20uses%20total%20equity" TargetMode="External"/><Relationship Id="rId18" Type="http://schemas.openxmlformats.org/officeDocument/2006/relationships/hyperlink" Target="https://www.investopedia.com/terms/n/npv.asp" TargetMode="External"/><Relationship Id="rId26" Type="http://schemas.openxmlformats.org/officeDocument/2006/relationships/hyperlink" Target="https://www.forbes.com/sites/melissahouston/2021/03/04/the-importance-of-revenue-diversification-in-business/" TargetMode="External"/><Relationship Id="rId39" Type="http://schemas.openxmlformats.org/officeDocument/2006/relationships/hyperlink" Target="https://www.visa.co.uk/about-visa.html" TargetMode="External"/><Relationship Id="rId21" Type="http://schemas.openxmlformats.org/officeDocument/2006/relationships/hyperlink" Target="https://www.gurufocus.com/term/ROA/MA" TargetMode="External"/><Relationship Id="rId34" Type="http://schemas.openxmlformats.org/officeDocument/2006/relationships/hyperlink" Target="https://www.netcials.com/stock-volatility-nyse/V-Visa-Inc/" TargetMode="External"/><Relationship Id="rId42"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investopedia.com/terms/d/debtequityratio.asp" TargetMode="External"/><Relationship Id="rId29" Type="http://schemas.openxmlformats.org/officeDocument/2006/relationships/hyperlink" Target="https://www.macrotrends.net/stocks/charts/AXP/american-express/roa"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nvestopedia.com/ask/answers/032415/how-asset-turnover-calculated.asp#:~:text=The%20asset%20turnover%20ratio%20measures,efficiency%20of%20the%20company's%20operations" TargetMode="External"/><Relationship Id="rId24" Type="http://schemas.openxmlformats.org/officeDocument/2006/relationships/hyperlink" Target="https://www.investopedia.com/terms/a/assetturnover.asp" TargetMode="External"/><Relationship Id="rId32" Type="http://schemas.openxmlformats.org/officeDocument/2006/relationships/hyperlink" Target="https://www.investopedia.com/terms/a/arr.asp" TargetMode="External"/><Relationship Id="rId37" Type="http://schemas.openxmlformats.org/officeDocument/2006/relationships/hyperlink" Target="https://usa.visa.com/about-visa/newsroom/press-releases.releaseId.16366.html" TargetMode="External"/><Relationship Id="rId40" Type="http://schemas.openxmlformats.org/officeDocument/2006/relationships/hyperlink" Target="https://www.reuters.com/business/visa-profit-rises-resilient-consumer-spending-2023-01-26/"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fastercapital.com/content/Asset-Turnover--Assessing-the-Efficiency-of-Assets-Placed-in-Service.html#:~:text=Asset%20Turnover%20is%20a%20vital,its%20assets%20to%20generate%20sales" TargetMode="External"/><Relationship Id="rId23" Type="http://schemas.openxmlformats.org/officeDocument/2006/relationships/hyperlink" Target="https://www.gov.uk/government/news/deal-between-visa-and-plaid-given-the-go-ahead" TargetMode="External"/><Relationship Id="rId28" Type="http://schemas.openxmlformats.org/officeDocument/2006/relationships/hyperlink" Target="https://www.linkedin.com/pulse/global-debit-card-market-size-share-trend-analysis-q4uec?trk=public_post_main-feed-card_feed-article-content" TargetMode="External"/><Relationship Id="rId36" Type="http://schemas.openxmlformats.org/officeDocument/2006/relationships/hyperlink" Target="https://smf.business.uconn.edu/wp-content/uploads/sites/818/2020/04/V-One-Pager-1.pdf" TargetMode="External"/><Relationship Id="rId10" Type="http://schemas.openxmlformats.org/officeDocument/2006/relationships/hyperlink" Target="https://www.investopedia.com/terms/a/assetturnover.asp#:~:text=The%20asset%20turnover%20ratio%20measures%20the%20efficiency%20of%20a%20company's,by%20the%20average%20total%20assets" TargetMode="External"/><Relationship Id="rId19" Type="http://schemas.openxmlformats.org/officeDocument/2006/relationships/hyperlink" Target="https://www.freshbooks.com/hub/accounting/good-liquidity-ratio#:~:text=A%20good%20current%20ratio%20is,cover%20its%20short%2Dterm%20liabilities" TargetMode="External"/><Relationship Id="rId31" Type="http://schemas.openxmlformats.org/officeDocument/2006/relationships/hyperlink" Target="https://www.reuters.com/article/idUSKBN27D30W/"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dc.ca/en/articles-tools/entrepreneur-toolkit/financial-tools/current-ratio#:~:text=What%20is%20a%20good%20current,higher%20generally%20provides%20a%20cushion" TargetMode="External"/><Relationship Id="rId22" Type="http://schemas.openxmlformats.org/officeDocument/2006/relationships/hyperlink" Target="https://www.gurufocus.com/term/current-ratio/V#:~:text=It%20is%20calculated%20as%20a,a%20current%20ratio%20of%201.45" TargetMode="External"/><Relationship Id="rId27" Type="http://schemas.openxmlformats.org/officeDocument/2006/relationships/hyperlink" Target="https://www.investopedia.com/terms/c/currentratio.asp" TargetMode="External"/><Relationship Id="rId30" Type="http://schemas.openxmlformats.org/officeDocument/2006/relationships/hyperlink" Target="https://www.investopedia.com/articles/fundamental/04/012804.asp#:~:text=A%20company%20can%20arrive%20at,its%20assets%20to%20increase%20sales" TargetMode="External"/><Relationship Id="rId35" Type="http://schemas.openxmlformats.org/officeDocument/2006/relationships/hyperlink" Target="https://www.deskera.com/blog/continuous-innovation/#:~:text=Continuous%20innovation%20is%20important%20because,term%20with%20only%20continuous%20innovation%3F" TargetMode="External"/><Relationship Id="rId43" Type="http://schemas.openxmlformats.org/officeDocument/2006/relationships/footer" Target="footer2.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british-business-bank.co.uk/business-guidance/guidance-articles/finance/what-level-of-debt-is-healthy-for-business#:~:text=Generally%2C%20a%20good%20debt%20ratio,can%20be%20greater%20than%202" TargetMode="External"/><Relationship Id="rId17" Type="http://schemas.openxmlformats.org/officeDocument/2006/relationships/hyperlink" Target="https://www.investopedia.com/terms/c/currentratio.asp" TargetMode="External"/><Relationship Id="rId25" Type="http://schemas.openxmlformats.org/officeDocument/2006/relationships/hyperlink" Target="https://www.investopedia.com/terms/r/returnonassets.asp#:~:text=A%20ROA%20of%20over%205,sheet%20than%20a%20car%20maker" TargetMode="External"/><Relationship Id="rId33" Type="http://schemas.openxmlformats.org/officeDocument/2006/relationships/hyperlink" Target="https://www.investopedia.com/how-visa-makes-money-4799098" TargetMode="External"/><Relationship Id="rId38" Type="http://schemas.openxmlformats.org/officeDocument/2006/relationships/hyperlink" Target="https://usa.visa.com/visa-everywhere/blog/bdp/2020/05/05/covid-19-response-update-1588713283813.html" TargetMode="External"/><Relationship Id="rId20" Type="http://schemas.openxmlformats.org/officeDocument/2006/relationships/hyperlink" Target="https://www.globaldata.com/company-profile/visa-inc/" TargetMode="External"/><Relationship Id="rId4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3AEDD9E-3F66-F14F-959D-BB48CD6F4E0A}">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8AD113-0690-8D40-873F-154890532D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27</Pages>
  <Words>7687</Words>
  <Characters>43820</Characters>
  <Application>Microsoft Office Word</Application>
  <DocSecurity>0</DocSecurity>
  <Lines>365</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Jandova (2020984)</dc:creator>
  <cp:keywords/>
  <dc:description/>
  <cp:lastModifiedBy>Marie Jandova (2020984)</cp:lastModifiedBy>
  <cp:revision>2</cp:revision>
  <dcterms:created xsi:type="dcterms:W3CDTF">2024-04-24T12:29:00Z</dcterms:created>
  <dcterms:modified xsi:type="dcterms:W3CDTF">2024-04-24T12:29:00Z</dcterms:modified>
</cp:coreProperties>
</file>