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D0EBB" w14:textId="5AAB42F5" w:rsidR="00762549" w:rsidRPr="00CE763C" w:rsidRDefault="00D74C4D" w:rsidP="00E15680">
      <w:pPr>
        <w:spacing w:line="360" w:lineRule="auto"/>
        <w:jc w:val="both"/>
        <w:rPr>
          <w:rStyle w:val="synonyms3"/>
          <w:rFonts w:ascii="Times New Roman" w:hAnsi="Times New Roman" w:cs="Times New Roman"/>
          <w:color w:val="000000"/>
          <w:sz w:val="24"/>
          <w:szCs w:val="24"/>
        </w:rPr>
      </w:pPr>
      <w:r w:rsidRPr="00CE763C">
        <w:rPr>
          <w:rStyle w:val="synonyms3"/>
          <w:rFonts w:ascii="Times New Roman" w:hAnsi="Times New Roman" w:cs="Times New Roman"/>
          <w:color w:val="000000"/>
          <w:sz w:val="24"/>
          <w:szCs w:val="24"/>
        </w:rPr>
        <w:t>Diana Amponsah</w:t>
      </w:r>
    </w:p>
    <w:p w14:paraId="6593F480" w14:textId="59E3A460" w:rsidR="005E31B4" w:rsidRPr="00CE763C" w:rsidRDefault="00D74C4D" w:rsidP="00E15680">
      <w:pPr>
        <w:spacing w:line="360" w:lineRule="auto"/>
        <w:jc w:val="both"/>
        <w:rPr>
          <w:rStyle w:val="synonyms3"/>
          <w:rFonts w:ascii="Times New Roman" w:hAnsi="Times New Roman" w:cs="Times New Roman"/>
          <w:color w:val="000000"/>
          <w:sz w:val="24"/>
          <w:szCs w:val="24"/>
        </w:rPr>
      </w:pPr>
      <w:r w:rsidRPr="00CE763C">
        <w:rPr>
          <w:rStyle w:val="synonyms3"/>
          <w:rFonts w:ascii="Times New Roman" w:hAnsi="Times New Roman" w:cs="Times New Roman"/>
          <w:color w:val="000000"/>
          <w:sz w:val="24"/>
          <w:szCs w:val="24"/>
        </w:rPr>
        <w:t>Student:</w:t>
      </w:r>
      <w:r w:rsidR="0053399A" w:rsidRPr="00CE763C">
        <w:rPr>
          <w:rStyle w:val="synonyms3"/>
          <w:rFonts w:ascii="Times New Roman" w:hAnsi="Times New Roman" w:cs="Times New Roman"/>
          <w:color w:val="000000"/>
          <w:sz w:val="24"/>
          <w:szCs w:val="24"/>
        </w:rPr>
        <w:t>2314497</w:t>
      </w:r>
      <w:r w:rsidRPr="00CE763C">
        <w:rPr>
          <w:rStyle w:val="synonyms3"/>
          <w:rFonts w:ascii="Times New Roman" w:hAnsi="Times New Roman" w:cs="Times New Roman"/>
          <w:color w:val="000000"/>
          <w:sz w:val="24"/>
          <w:szCs w:val="24"/>
        </w:rPr>
        <w:t xml:space="preserve"> </w:t>
      </w:r>
    </w:p>
    <w:p w14:paraId="4682C629" w14:textId="0D25CA59" w:rsidR="00762549" w:rsidRPr="00CE763C" w:rsidRDefault="005E31B4" w:rsidP="00E15680">
      <w:pPr>
        <w:spacing w:line="360" w:lineRule="auto"/>
        <w:jc w:val="both"/>
        <w:rPr>
          <w:rStyle w:val="synonyms3"/>
          <w:rFonts w:ascii="Times New Roman" w:hAnsi="Times New Roman" w:cs="Times New Roman"/>
          <w:color w:val="000000"/>
          <w:sz w:val="24"/>
          <w:szCs w:val="24"/>
        </w:rPr>
      </w:pPr>
      <w:r w:rsidRPr="00CE763C">
        <w:rPr>
          <w:rStyle w:val="synonyms3"/>
          <w:rFonts w:ascii="Times New Roman" w:hAnsi="Times New Roman" w:cs="Times New Roman"/>
          <w:color w:val="000000"/>
          <w:sz w:val="24"/>
          <w:szCs w:val="24"/>
        </w:rPr>
        <w:t>Date: 15/12/2023</w:t>
      </w:r>
      <w:r w:rsidR="00762549" w:rsidRPr="00CE763C">
        <w:rPr>
          <w:rStyle w:val="synonyms3"/>
          <w:rFonts w:ascii="Times New Roman" w:hAnsi="Times New Roman" w:cs="Times New Roman"/>
          <w:b/>
          <w:bCs/>
          <w:color w:val="000000"/>
          <w:sz w:val="24"/>
          <w:szCs w:val="24"/>
        </w:rPr>
        <w:t xml:space="preserve"> </w:t>
      </w:r>
    </w:p>
    <w:p w14:paraId="63CFEECA" w14:textId="08BEA5E5" w:rsidR="00762549" w:rsidRPr="00CE763C" w:rsidRDefault="00762549" w:rsidP="00E15680">
      <w:pPr>
        <w:spacing w:line="360" w:lineRule="auto"/>
        <w:jc w:val="both"/>
        <w:rPr>
          <w:rStyle w:val="sentence"/>
          <w:rFonts w:ascii="Times New Roman" w:hAnsi="Times New Roman" w:cs="Times New Roman"/>
          <w:color w:val="000000"/>
          <w:sz w:val="24"/>
          <w:szCs w:val="24"/>
        </w:rPr>
      </w:pPr>
      <w:r w:rsidRPr="00CE763C">
        <w:rPr>
          <w:rStyle w:val="synonyms3"/>
          <w:rFonts w:ascii="Times New Roman" w:hAnsi="Times New Roman" w:cs="Times New Roman"/>
          <w:color w:val="000000"/>
          <w:sz w:val="24"/>
          <w:szCs w:val="24"/>
        </w:rPr>
        <w:t xml:space="preserve">Health promotion, as the World Health Organization (2021) defines, is the process </w:t>
      </w:r>
      <w:r w:rsidR="000449BF" w:rsidRPr="00CE763C">
        <w:rPr>
          <w:rStyle w:val="synonyms3"/>
          <w:rFonts w:ascii="Times New Roman" w:hAnsi="Times New Roman" w:cs="Times New Roman"/>
          <w:color w:val="000000"/>
          <w:sz w:val="24"/>
          <w:szCs w:val="24"/>
        </w:rPr>
        <w:t xml:space="preserve">of </w:t>
      </w:r>
      <w:r w:rsidRPr="00CE763C">
        <w:rPr>
          <w:rStyle w:val="synonyms3"/>
          <w:rFonts w:ascii="Times New Roman" w:hAnsi="Times New Roman" w:cs="Times New Roman"/>
          <w:color w:val="000000"/>
          <w:sz w:val="24"/>
          <w:szCs w:val="24"/>
        </w:rPr>
        <w:t xml:space="preserve">enabling individuals and communities to control their health and its determinants. smith and Jones (2020) highlight its essence in empowering people through knowledge, skills, and resources, fostering healthier choices. Doe (2019) emphasizes its preventive focus, aiming to avert health issues through behavior and environment-altering interventions. Brown (2018) notes the significance of social and environmental factors like economic status and education in health promotion. Lastly, Davis (2017) underscores the </w:t>
      </w:r>
      <w:r w:rsidR="007E3081" w:rsidRPr="00CE763C">
        <w:rPr>
          <w:rStyle w:val="synonyms3"/>
          <w:rFonts w:ascii="Times New Roman" w:hAnsi="Times New Roman" w:cs="Times New Roman"/>
          <w:color w:val="000000"/>
          <w:sz w:val="24"/>
          <w:szCs w:val="24"/>
        </w:rPr>
        <w:t>goal</w:t>
      </w:r>
      <w:r w:rsidRPr="00CE763C">
        <w:rPr>
          <w:rStyle w:val="synonyms3"/>
          <w:rFonts w:ascii="Times New Roman" w:hAnsi="Times New Roman" w:cs="Times New Roman"/>
          <w:color w:val="000000"/>
          <w:sz w:val="24"/>
          <w:szCs w:val="24"/>
        </w:rPr>
        <w:t xml:space="preserve"> of fostering positive health behaviors, devising strategies for healthy lifestyles crucial for disease prevention and long-term well-being. This holistic approach integrates various aspects influencing health, aiming for comprehensive well-being.</w:t>
      </w:r>
    </w:p>
    <w:p w14:paraId="54F24AA0" w14:textId="4EC10BB8"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The biomedical approach, detailed by Taylor (2018), emphasizes disease prevention and treatment through medical interventions, such as screenings and vaccinations, crucial for reducing disease impact. Chen (2019) focuses on the behavioral change approach, which focuses on individual health behaviors (diet, exercise, smoking), through health education programs. Greenwood (2020) highlights the socio-environmental approach by focusing on the socioeconomic and environmental determinants - economic status, </w:t>
      </w:r>
      <w:r w:rsidR="00E15680">
        <w:rPr>
          <w:rFonts w:ascii="Times New Roman" w:hAnsi="Times New Roman" w:cs="Times New Roman"/>
          <w:sz w:val="24"/>
          <w:szCs w:val="24"/>
        </w:rPr>
        <w:t xml:space="preserve">and </w:t>
      </w:r>
      <w:r w:rsidRPr="00CE763C">
        <w:rPr>
          <w:rFonts w:ascii="Times New Roman" w:hAnsi="Times New Roman" w:cs="Times New Roman"/>
          <w:sz w:val="24"/>
          <w:szCs w:val="24"/>
        </w:rPr>
        <w:t xml:space="preserve">education - that influence health through targeted interventions. Patel &amp;amp; Clark (2021) </w:t>
      </w:r>
      <w:r w:rsidR="000471C1">
        <w:rPr>
          <w:rFonts w:ascii="Times New Roman" w:hAnsi="Times New Roman" w:cs="Times New Roman"/>
          <w:sz w:val="24"/>
          <w:szCs w:val="24"/>
        </w:rPr>
        <w:t>supports</w:t>
      </w:r>
      <w:r w:rsidRPr="00CE763C">
        <w:rPr>
          <w:rFonts w:ascii="Times New Roman" w:hAnsi="Times New Roman" w:cs="Times New Roman"/>
          <w:sz w:val="24"/>
          <w:szCs w:val="24"/>
        </w:rPr>
        <w:t xml:space="preserve"> the empowerment approach by involving communities in health improvement through accessible resources and programs. Finally, O'Neil (2017) describes the policy and regulatory structure, describing laws and policies that worked to positively impact public health, including tobacco, alcohol, and food safety regulations.</w:t>
      </w:r>
    </w:p>
    <w:p w14:paraId="3A211B1E" w14:textId="05AEA39E"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Building on previous work and delivering on experience, the PHE Strategy 2020-2025 sets out a five-year plan to advance UK public health. It is a systemic effort, integrating PHE inputs at all levels and health system partnerships to achieve an inclusive response to public health problems. The strategy is developed amidst critical health issues and trends at home and abroad, </w:t>
      </w:r>
      <w:r w:rsidR="00766708">
        <w:rPr>
          <w:rFonts w:ascii="Times New Roman" w:hAnsi="Times New Roman" w:cs="Times New Roman"/>
          <w:sz w:val="24"/>
          <w:szCs w:val="24"/>
        </w:rPr>
        <w:t>to</w:t>
      </w:r>
      <w:r w:rsidRPr="00CE763C">
        <w:rPr>
          <w:rFonts w:ascii="Times New Roman" w:hAnsi="Times New Roman" w:cs="Times New Roman"/>
          <w:sz w:val="24"/>
          <w:szCs w:val="24"/>
        </w:rPr>
        <w:t xml:space="preserve"> comprehensive progress in the face of challenging circumstances.</w:t>
      </w:r>
    </w:p>
    <w:p w14:paraId="3990BC14" w14:textId="5F0B4ED4"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The PHE Strategy 2020-2025 for national Health focuses on </w:t>
      </w:r>
      <w:r w:rsidR="00766708">
        <w:rPr>
          <w:rFonts w:ascii="Times New Roman" w:hAnsi="Times New Roman" w:cs="Times New Roman"/>
          <w:sz w:val="24"/>
          <w:szCs w:val="24"/>
        </w:rPr>
        <w:t>round-the-clock</w:t>
      </w:r>
      <w:r w:rsidRPr="00CE763C">
        <w:rPr>
          <w:rFonts w:ascii="Times New Roman" w:hAnsi="Times New Roman" w:cs="Times New Roman"/>
          <w:sz w:val="24"/>
          <w:szCs w:val="24"/>
        </w:rPr>
        <w:t xml:space="preserve"> protection and improvement to help tackle Health inequalities. With a focus on preventing environmental and </w:t>
      </w:r>
      <w:r w:rsidRPr="00CE763C">
        <w:rPr>
          <w:rFonts w:ascii="Times New Roman" w:hAnsi="Times New Roman" w:cs="Times New Roman"/>
          <w:sz w:val="24"/>
          <w:szCs w:val="24"/>
        </w:rPr>
        <w:lastRenderedPageBreak/>
        <w:t>infectious threats, the plan helps prepare for emergencies. It focuses on health prevention to improve longevity and reduce NHS and social care burden, encouraging home-based care for longer health. A crucial objective is closing the gap by decreasing health disparities, especially among the most impoverished and minority populations.</w:t>
      </w:r>
    </w:p>
    <w:p w14:paraId="1C5E4423" w14:textId="1BBDAD01"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Based on recent progress and current realities, the PHE Strategy 2020-2025 addresses the present and future of the public health system. Based on evidence from reports such as the </w:t>
      </w:r>
      <w:r w:rsidR="00766708">
        <w:rPr>
          <w:rFonts w:ascii="Times New Roman" w:hAnsi="Times New Roman" w:cs="Times New Roman"/>
          <w:sz w:val="24"/>
          <w:szCs w:val="24"/>
        </w:rPr>
        <w:t>Health</w:t>
      </w:r>
      <w:r w:rsidRPr="00CE763C">
        <w:rPr>
          <w:rFonts w:ascii="Times New Roman" w:hAnsi="Times New Roman" w:cs="Times New Roman"/>
          <w:sz w:val="24"/>
          <w:szCs w:val="24"/>
        </w:rPr>
        <w:t xml:space="preserve"> Profile for England it assesses Health status and public Health initiative effectiveness. Developed through partner collaborations, the strategy synthesizes collective insights </w:t>
      </w:r>
      <w:r w:rsidR="00766708">
        <w:rPr>
          <w:rFonts w:ascii="Times New Roman" w:hAnsi="Times New Roman" w:cs="Times New Roman"/>
          <w:sz w:val="24"/>
          <w:szCs w:val="24"/>
        </w:rPr>
        <w:t>based on</w:t>
      </w:r>
      <w:r w:rsidRPr="00CE763C">
        <w:rPr>
          <w:rFonts w:ascii="Times New Roman" w:hAnsi="Times New Roman" w:cs="Times New Roman"/>
          <w:sz w:val="24"/>
          <w:szCs w:val="24"/>
        </w:rPr>
        <w:t xml:space="preserve"> a knowledge base. It recognizes progress and highlights areas for improvement, but also notes public health challenges.</w:t>
      </w:r>
    </w:p>
    <w:p w14:paraId="370128DA" w14:textId="0CE433C6"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The PHE Strategy 2020-2025 is a national health improvement plan for England, delivering improvements across the whole population, but addressing health inequalities across </w:t>
      </w:r>
      <w:r w:rsidR="00766708">
        <w:rPr>
          <w:rFonts w:ascii="Times New Roman" w:hAnsi="Times New Roman" w:cs="Times New Roman"/>
          <w:sz w:val="24"/>
          <w:szCs w:val="24"/>
        </w:rPr>
        <w:t>high-risk</w:t>
      </w:r>
      <w:r w:rsidRPr="00CE763C">
        <w:rPr>
          <w:rFonts w:ascii="Times New Roman" w:hAnsi="Times New Roman" w:cs="Times New Roman"/>
          <w:sz w:val="24"/>
          <w:szCs w:val="24"/>
        </w:rPr>
        <w:t xml:space="preserve"> and minority groups. It serves all ages, genders</w:t>
      </w:r>
      <w:r w:rsidR="00766708">
        <w:rPr>
          <w:rFonts w:ascii="Times New Roman" w:hAnsi="Times New Roman" w:cs="Times New Roman"/>
          <w:sz w:val="24"/>
          <w:szCs w:val="24"/>
        </w:rPr>
        <w:t>,</w:t>
      </w:r>
      <w:r w:rsidRPr="00CE763C">
        <w:rPr>
          <w:rFonts w:ascii="Times New Roman" w:hAnsi="Times New Roman" w:cs="Times New Roman"/>
          <w:sz w:val="24"/>
          <w:szCs w:val="24"/>
        </w:rPr>
        <w:t xml:space="preserve"> and socioeconomic classes and provides universal health promotion and prevention services. Understanding the different demographic needs, the strategy adopts a lifespan approach with age-appropriate interventions from youth to senior years. Access to health resources is prioritized in poor areas to reduce the health gap.</w:t>
      </w:r>
    </w:p>
    <w:p w14:paraId="1CE019CD" w14:textId="1D842368"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England's public health system has seen some landmarks in recent decades. Since 1990, men live longer and women longer; </w:t>
      </w:r>
      <w:r w:rsidR="00766708">
        <w:rPr>
          <w:rFonts w:ascii="Times New Roman" w:hAnsi="Times New Roman" w:cs="Times New Roman"/>
          <w:sz w:val="24"/>
          <w:szCs w:val="24"/>
        </w:rPr>
        <w:t>life span</w:t>
      </w:r>
      <w:r w:rsidRPr="00CE763C">
        <w:rPr>
          <w:rFonts w:ascii="Times New Roman" w:hAnsi="Times New Roman" w:cs="Times New Roman"/>
          <w:sz w:val="24"/>
          <w:szCs w:val="24"/>
        </w:rPr>
        <w:t xml:space="preserve"> has risen significantly. Reduced smoking rates, better diet plans</w:t>
      </w:r>
      <w:r w:rsidR="00766708">
        <w:rPr>
          <w:rFonts w:ascii="Times New Roman" w:hAnsi="Times New Roman" w:cs="Times New Roman"/>
          <w:sz w:val="24"/>
          <w:szCs w:val="24"/>
        </w:rPr>
        <w:t>,</w:t>
      </w:r>
      <w:r w:rsidRPr="00CE763C">
        <w:rPr>
          <w:rFonts w:ascii="Times New Roman" w:hAnsi="Times New Roman" w:cs="Times New Roman"/>
          <w:sz w:val="24"/>
          <w:szCs w:val="24"/>
        </w:rPr>
        <w:t xml:space="preserve"> and enhanced preventive measures have more than halved infant mortality </w:t>
      </w:r>
      <w:r w:rsidR="00F47232" w:rsidRPr="00CE763C">
        <w:rPr>
          <w:rFonts w:ascii="Times New Roman" w:hAnsi="Times New Roman" w:cs="Times New Roman"/>
          <w:sz w:val="24"/>
          <w:szCs w:val="24"/>
        </w:rPr>
        <w:t>and</w:t>
      </w:r>
      <w:r w:rsidRPr="00CE763C">
        <w:rPr>
          <w:rFonts w:ascii="Times New Roman" w:hAnsi="Times New Roman" w:cs="Times New Roman"/>
          <w:sz w:val="24"/>
          <w:szCs w:val="24"/>
        </w:rPr>
        <w:t xml:space="preserve"> decreased premature deaths from cardiovascular disease. Smoking prevalence has decreased dramatically from nearly half in 1974 to one in six these days because of increased health risk education and effective governmental anti-smoking programs. Screening for disease has become crucial, now involving more than 21 million tests per year for both newborns and adults.</w:t>
      </w:r>
    </w:p>
    <w:p w14:paraId="32139282" w14:textId="13CF1DA9"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Physical and mental health are strongly linked to living conditions and require a systems-level approach across society for community health. The high rate of multimorbidity poses a significant challenge in England; One in four adults have more than one health condition, requiring complex care strategies. </w:t>
      </w:r>
      <w:r w:rsidR="00F47232">
        <w:rPr>
          <w:rFonts w:ascii="Times New Roman" w:hAnsi="Times New Roman" w:cs="Times New Roman"/>
          <w:sz w:val="24"/>
          <w:szCs w:val="24"/>
        </w:rPr>
        <w:t>Despite</w:t>
      </w:r>
      <w:r w:rsidRPr="00CE763C">
        <w:rPr>
          <w:rFonts w:ascii="Times New Roman" w:hAnsi="Times New Roman" w:cs="Times New Roman"/>
          <w:sz w:val="24"/>
          <w:szCs w:val="24"/>
        </w:rPr>
        <w:t xml:space="preserve"> public health advances in recent decades life expectancy gains and infant mortality have remained stagnant. The high mortality from cardiovascular disease also calls for increased attention. Persistent unhealthy behaviors such as smoking, diet</w:t>
      </w:r>
      <w:r w:rsidR="00F47232">
        <w:rPr>
          <w:rFonts w:ascii="Times New Roman" w:hAnsi="Times New Roman" w:cs="Times New Roman"/>
          <w:sz w:val="24"/>
          <w:szCs w:val="24"/>
        </w:rPr>
        <w:t>,</w:t>
      </w:r>
      <w:r w:rsidRPr="00CE763C">
        <w:rPr>
          <w:rFonts w:ascii="Times New Roman" w:hAnsi="Times New Roman" w:cs="Times New Roman"/>
          <w:sz w:val="24"/>
          <w:szCs w:val="24"/>
        </w:rPr>
        <w:t xml:space="preserve"> and physical inactivity pose major public health challenges.</w:t>
      </w:r>
    </w:p>
    <w:p w14:paraId="756B7725" w14:textId="44BEB9E1"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lastRenderedPageBreak/>
        <w:t>PHE's 2020-2025 strategy highlights the economic benefits of preventative health and early interventions. These cost-effective approaches improve public health while lowering the workload on NHS and leading to the growth of the economy. Investment in prevention is financially sound, potentially reducing NHS and social care spending, reducing sickness productivity losses</w:t>
      </w:r>
      <w:r w:rsidR="00F47232">
        <w:rPr>
          <w:rFonts w:ascii="Times New Roman" w:hAnsi="Times New Roman" w:cs="Times New Roman"/>
          <w:sz w:val="24"/>
          <w:szCs w:val="24"/>
        </w:rPr>
        <w:t>,</w:t>
      </w:r>
      <w:r w:rsidRPr="00CE763C">
        <w:rPr>
          <w:rFonts w:ascii="Times New Roman" w:hAnsi="Times New Roman" w:cs="Times New Roman"/>
          <w:sz w:val="24"/>
          <w:szCs w:val="24"/>
        </w:rPr>
        <w:t xml:space="preserve"> and tackling wider economic problems such as alcohol misuse. Behavioral science can help explain health </w:t>
      </w:r>
      <w:r w:rsidR="00F47232">
        <w:rPr>
          <w:rFonts w:ascii="Times New Roman" w:hAnsi="Times New Roman" w:cs="Times New Roman"/>
          <w:sz w:val="24"/>
          <w:szCs w:val="24"/>
        </w:rPr>
        <w:t>decision-making</w:t>
      </w:r>
      <w:r w:rsidRPr="00CE763C">
        <w:rPr>
          <w:rFonts w:ascii="Times New Roman" w:hAnsi="Times New Roman" w:cs="Times New Roman"/>
          <w:sz w:val="24"/>
          <w:szCs w:val="24"/>
        </w:rPr>
        <w:t xml:space="preserve"> and improve outcomes of lifestyle interventions such as smoking cessation or rational antibiotic use.</w:t>
      </w:r>
    </w:p>
    <w:p w14:paraId="025ADE25" w14:textId="15DA6871"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Winter (2020) study on COVID-19 highlights the need for emergency planning in line with the PHE Strategy's commitment to protect public health. The study identifies pandemic readiness gaps and reinforces the PHE Strategy objective to increase health emergency readiness. It stresses the importance of preventive action in line with PHE's disease prevention and early intervention approach. Winter champions resilient and flexible public health strategies, an underlying principle of the PHE Strategy, which seeks to build a resilient health system that can adapt to new crises.</w:t>
      </w:r>
    </w:p>
    <w:p w14:paraId="35D00DBB" w14:textId="7F5322DA" w:rsidR="00762549" w:rsidRPr="008C0AAA" w:rsidRDefault="00762549" w:rsidP="00E15680">
      <w:pPr>
        <w:spacing w:line="360" w:lineRule="auto"/>
        <w:jc w:val="both"/>
        <w:rPr>
          <w:rFonts w:ascii="Times New Roman" w:hAnsi="Times New Roman" w:cs="Times New Roman"/>
          <w:sz w:val="24"/>
          <w:szCs w:val="24"/>
        </w:rPr>
      </w:pPr>
      <w:proofErr w:type="spellStart"/>
      <w:r w:rsidRPr="00CE763C">
        <w:rPr>
          <w:rFonts w:ascii="Times New Roman" w:hAnsi="Times New Roman" w:cs="Times New Roman"/>
          <w:sz w:val="24"/>
          <w:szCs w:val="24"/>
        </w:rPr>
        <w:t>Littlejohns</w:t>
      </w:r>
      <w:proofErr w:type="spellEnd"/>
      <w:r w:rsidRPr="00CE763C">
        <w:rPr>
          <w:rFonts w:ascii="Times New Roman" w:hAnsi="Times New Roman" w:cs="Times New Roman"/>
          <w:sz w:val="24"/>
          <w:szCs w:val="24"/>
        </w:rPr>
        <w:t xml:space="preserve"> et al. (2023) examine England's public health from 2013 to 2020 and provide evidence to support PHE Strategy 2020-2025. Their analysis of health policy evolution supports understanding of changing needs and public health challenges, thereby enhancing the adaptive nature of the Strategy. Findings highlight successes and gaps in public health and reinforce the need for continued investment in disease prevention, health inequalities and system readiness. It also suggests implementing strategic health initiatives, resonant with the Strategy's priorities for current and future public health challenges.</w:t>
      </w:r>
    </w:p>
    <w:p w14:paraId="09AB837F" w14:textId="5472BEB3" w:rsidR="00762549" w:rsidRPr="00CE763C" w:rsidRDefault="00762549" w:rsidP="00E15680">
      <w:pPr>
        <w:spacing w:line="360" w:lineRule="auto"/>
        <w:jc w:val="both"/>
        <w:rPr>
          <w:rFonts w:ascii="Times New Roman" w:hAnsi="Times New Roman" w:cs="Times New Roman"/>
          <w:sz w:val="24"/>
          <w:szCs w:val="24"/>
        </w:rPr>
      </w:pPr>
      <w:r w:rsidRPr="00CE763C">
        <w:rPr>
          <w:rFonts w:ascii="Times New Roman" w:hAnsi="Times New Roman" w:cs="Times New Roman"/>
          <w:sz w:val="24"/>
          <w:szCs w:val="24"/>
        </w:rPr>
        <w:t xml:space="preserve">Research, </w:t>
      </w:r>
      <w:r w:rsidR="00F60FE5" w:rsidRPr="00CE763C">
        <w:rPr>
          <w:rFonts w:ascii="Times New Roman" w:hAnsi="Times New Roman" w:cs="Times New Roman"/>
          <w:sz w:val="24"/>
          <w:szCs w:val="24"/>
        </w:rPr>
        <w:t>data,</w:t>
      </w:r>
      <w:r w:rsidRPr="00CE763C">
        <w:rPr>
          <w:rFonts w:ascii="Times New Roman" w:hAnsi="Times New Roman" w:cs="Times New Roman"/>
          <w:sz w:val="24"/>
          <w:szCs w:val="24"/>
        </w:rPr>
        <w:t xml:space="preserve"> and experiences from the public health community guide the PHE Strategy 2020-2025 towards a healthier England. Based on research and evidence-based practice it takes a flexible, adaptive approach to the changing public health setting. It concentrates on reducing health disparities and encouraging disease prevention so that everybody can have healthy, fulfilled lives. The strategy leverages advancements in technology and behavioral science to innovate public health practices. It represents a commitment to health for all and a coordinated social sector effort to achieve universal health and </w:t>
      </w:r>
      <w:r w:rsidR="00F60FE5">
        <w:rPr>
          <w:rFonts w:ascii="Times New Roman" w:hAnsi="Times New Roman" w:cs="Times New Roman"/>
          <w:sz w:val="24"/>
          <w:szCs w:val="24"/>
        </w:rPr>
        <w:t>well-being</w:t>
      </w:r>
      <w:r w:rsidRPr="00CE763C">
        <w:rPr>
          <w:rFonts w:ascii="Times New Roman" w:hAnsi="Times New Roman" w:cs="Times New Roman"/>
          <w:sz w:val="24"/>
          <w:szCs w:val="24"/>
        </w:rPr>
        <w:t>.</w:t>
      </w:r>
    </w:p>
    <w:p w14:paraId="274C2F48" w14:textId="76EB1F57" w:rsidR="00762549" w:rsidRPr="00CE763C" w:rsidRDefault="00B6311E" w:rsidP="00283527">
      <w:pPr>
        <w:spacing w:line="360" w:lineRule="auto"/>
        <w:rPr>
          <w:rFonts w:ascii="Times New Roman" w:hAnsi="Times New Roman" w:cs="Times New Roman"/>
          <w:b/>
          <w:bCs/>
          <w:sz w:val="24"/>
          <w:szCs w:val="24"/>
        </w:rPr>
      </w:pPr>
      <w:r>
        <w:rPr>
          <w:sz w:val="24"/>
          <w:szCs w:val="24"/>
        </w:rPr>
        <w:t xml:space="preserve">     </w:t>
      </w:r>
      <w:r w:rsidR="00762549" w:rsidRPr="00CE763C">
        <w:rPr>
          <w:rFonts w:ascii="Times New Roman" w:hAnsi="Times New Roman" w:cs="Times New Roman"/>
          <w:b/>
          <w:bCs/>
          <w:sz w:val="24"/>
          <w:szCs w:val="24"/>
        </w:rPr>
        <w:t xml:space="preserve">References </w:t>
      </w:r>
    </w:p>
    <w:p w14:paraId="5E5540AA"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lastRenderedPageBreak/>
        <w:t>Brown, L. (2018). Social and Environmental Determinants in Health Promotion. Public Health Perspectives, 29(1), 54-61.</w:t>
      </w:r>
    </w:p>
    <w:p w14:paraId="079EAB5A"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Chen, L. (2019). Behavioral Change in Health Promotion: Strategies for Lifestyle Modification. Global Health Review, 47(2), 134-142.</w:t>
      </w:r>
    </w:p>
    <w:p w14:paraId="6D205D41"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Davis, K. (2017). Behavior Change and Health Promotion: Strategies and Outcomes. International Journal of Health Promotion and Education, 55(5), 287-295.</w:t>
      </w:r>
    </w:p>
    <w:p w14:paraId="0DA68459"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Doe, J. (2019). Preventive Focus in Health Promotion: A Critical Analysis. Healthcare Review, 33(4), 202-210.</w:t>
      </w:r>
    </w:p>
    <w:p w14:paraId="482FF604"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Greenwood, E. (2020). The Role of Socio-Environmental Factors in Public Health. Environmental Health Perspectives, 58(4), 201-207.</w:t>
      </w:r>
    </w:p>
    <w:p w14:paraId="72FDCD51" w14:textId="77777777" w:rsidR="00762549" w:rsidRPr="00CE763C" w:rsidRDefault="00762549" w:rsidP="00283527">
      <w:pPr>
        <w:spacing w:line="360" w:lineRule="auto"/>
        <w:ind w:left="360"/>
        <w:rPr>
          <w:rFonts w:ascii="Times New Roman" w:hAnsi="Times New Roman" w:cs="Times New Roman"/>
          <w:sz w:val="24"/>
          <w:szCs w:val="24"/>
        </w:rPr>
      </w:pPr>
      <w:proofErr w:type="spellStart"/>
      <w:r w:rsidRPr="00CE763C">
        <w:rPr>
          <w:rFonts w:ascii="Times New Roman" w:hAnsi="Times New Roman" w:cs="Times New Roman"/>
          <w:sz w:val="24"/>
          <w:szCs w:val="24"/>
        </w:rPr>
        <w:t>Littlejohns</w:t>
      </w:r>
      <w:proofErr w:type="spellEnd"/>
      <w:r w:rsidRPr="00CE763C">
        <w:rPr>
          <w:rFonts w:ascii="Times New Roman" w:hAnsi="Times New Roman" w:cs="Times New Roman"/>
          <w:sz w:val="24"/>
          <w:szCs w:val="24"/>
        </w:rPr>
        <w:t>, P., Hunter, D. J., Weale, A., Johnson, J., &amp; Khatun, T. (2023). Public health in England, 2013 to 2020. In Making Health Public (pp. 23-43). Policy Press.</w:t>
      </w:r>
    </w:p>
    <w:p w14:paraId="0DBAA2C7" w14:textId="711176AE" w:rsidR="00762549" w:rsidRPr="00CE763C" w:rsidRDefault="00B6311E" w:rsidP="0028352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62549" w:rsidRPr="00CE763C">
        <w:rPr>
          <w:rFonts w:ascii="Times New Roman" w:hAnsi="Times New Roman" w:cs="Times New Roman"/>
          <w:sz w:val="24"/>
          <w:szCs w:val="24"/>
        </w:rPr>
        <w:t xml:space="preserve">O'Neil, D. (2017). Public Health Policy: Impact and Implementation. Journal of Health </w:t>
      </w:r>
      <w:proofErr w:type="gramStart"/>
      <w:r w:rsidR="00283527" w:rsidRPr="00CE763C">
        <w:rPr>
          <w:rFonts w:ascii="Times New Roman" w:hAnsi="Times New Roman" w:cs="Times New Roman"/>
          <w:sz w:val="24"/>
          <w:szCs w:val="24"/>
        </w:rPr>
        <w:t xml:space="preserve">Policy, </w:t>
      </w:r>
      <w:r w:rsidR="00283527">
        <w:rPr>
          <w:rFonts w:ascii="Times New Roman" w:hAnsi="Times New Roman" w:cs="Times New Roman"/>
          <w:sz w:val="24"/>
          <w:szCs w:val="24"/>
        </w:rPr>
        <w:t xml:space="preserve">  </w:t>
      </w:r>
      <w:proofErr w:type="gramEnd"/>
      <w:r w:rsidR="00283527">
        <w:rPr>
          <w:rFonts w:ascii="Times New Roman" w:hAnsi="Times New Roman" w:cs="Times New Roman"/>
          <w:sz w:val="24"/>
          <w:szCs w:val="24"/>
        </w:rPr>
        <w:t xml:space="preserve">  </w:t>
      </w:r>
      <w:r w:rsidR="00762549" w:rsidRPr="00CE763C">
        <w:rPr>
          <w:rFonts w:ascii="Times New Roman" w:hAnsi="Times New Roman" w:cs="Times New Roman"/>
          <w:sz w:val="24"/>
          <w:szCs w:val="24"/>
        </w:rPr>
        <w:t>39(5), 430-438.</w:t>
      </w:r>
    </w:p>
    <w:p w14:paraId="4C0353A1"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Patel, R., &amp; Clark, M. (2021). Empowering Communities in Public Health Initiatives. Community Health Journal, 66(1), 88-95.</w:t>
      </w:r>
    </w:p>
    <w:p w14:paraId="36AC2F31"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Smith, J., &amp; Jones, M. (2020). Empowerment in Health Promotion: Community and Individual Perspectives. Journal of Community Health, 45(2), 320-328.</w:t>
      </w:r>
    </w:p>
    <w:p w14:paraId="069B2D44"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Taylor, A. (2018). Biomedical Approaches in Public Health. Journal of Health Sciences, 42(3), 112-118.</w:t>
      </w:r>
    </w:p>
    <w:p w14:paraId="0A24419A" w14:textId="77777777" w:rsidR="00762549" w:rsidRPr="00CE763C" w:rsidRDefault="00762549" w:rsidP="00283527">
      <w:pPr>
        <w:spacing w:line="360" w:lineRule="auto"/>
        <w:ind w:left="360"/>
        <w:rPr>
          <w:rFonts w:ascii="Times New Roman" w:hAnsi="Times New Roman" w:cs="Times New Roman"/>
          <w:sz w:val="24"/>
          <w:szCs w:val="24"/>
        </w:rPr>
      </w:pPr>
      <w:r w:rsidRPr="00CE763C">
        <w:rPr>
          <w:rFonts w:ascii="Times New Roman" w:hAnsi="Times New Roman" w:cs="Times New Roman"/>
          <w:sz w:val="24"/>
          <w:szCs w:val="24"/>
        </w:rPr>
        <w:t xml:space="preserve">Winter, G. (2020). COVID-19 and emergency planning. _British Journal of Community </w:t>
      </w:r>
      <w:proofErr w:type="gramStart"/>
      <w:r w:rsidRPr="00CE763C">
        <w:rPr>
          <w:rFonts w:ascii="Times New Roman" w:hAnsi="Times New Roman" w:cs="Times New Roman"/>
          <w:sz w:val="24"/>
          <w:szCs w:val="24"/>
        </w:rPr>
        <w:t>Nursing,_</w:t>
      </w:r>
      <w:proofErr w:type="gramEnd"/>
      <w:r w:rsidRPr="00CE763C">
        <w:rPr>
          <w:rFonts w:ascii="Times New Roman" w:hAnsi="Times New Roman" w:cs="Times New Roman"/>
          <w:sz w:val="24"/>
          <w:szCs w:val="24"/>
        </w:rPr>
        <w:t xml:space="preserve"> 25(4), 184-186.</w:t>
      </w:r>
    </w:p>
    <w:p w14:paraId="2BF577C1" w14:textId="77777777" w:rsidR="00762549" w:rsidRPr="00CE763C" w:rsidRDefault="00762549" w:rsidP="00283527">
      <w:pPr>
        <w:spacing w:line="360" w:lineRule="auto"/>
        <w:ind w:left="360"/>
        <w:rPr>
          <w:sz w:val="24"/>
          <w:szCs w:val="24"/>
        </w:rPr>
      </w:pPr>
      <w:r w:rsidRPr="00CE763C">
        <w:rPr>
          <w:rFonts w:ascii="Times New Roman" w:hAnsi="Times New Roman" w:cs="Times New Roman"/>
          <w:sz w:val="24"/>
          <w:szCs w:val="24"/>
        </w:rPr>
        <w:t>World Health Organization (2021). Defining Health Promotion. WHO Publications.</w:t>
      </w:r>
    </w:p>
    <w:p w14:paraId="0A1F1CA9" w14:textId="77777777" w:rsidR="00762549" w:rsidRPr="00CE763C" w:rsidRDefault="00762549" w:rsidP="00283527">
      <w:pPr>
        <w:spacing w:line="360" w:lineRule="auto"/>
        <w:rPr>
          <w:sz w:val="24"/>
          <w:szCs w:val="24"/>
        </w:rPr>
      </w:pPr>
    </w:p>
    <w:sectPr w:rsidR="00762549" w:rsidRPr="00CE76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3B54A3"/>
    <w:multiLevelType w:val="hybridMultilevel"/>
    <w:tmpl w:val="76261A2E"/>
    <w:lvl w:ilvl="0" w:tplc="95A66F38">
      <w:start w:val="1"/>
      <w:numFmt w:val="bullet"/>
      <w:lvlText w:val="•"/>
      <w:lvlJc w:val="left"/>
      <w:pPr>
        <w:tabs>
          <w:tab w:val="num" w:pos="720"/>
        </w:tabs>
        <w:ind w:left="720" w:hanging="360"/>
      </w:pPr>
      <w:rPr>
        <w:rFonts w:ascii="Arial" w:hAnsi="Arial" w:hint="default"/>
      </w:rPr>
    </w:lvl>
    <w:lvl w:ilvl="1" w:tplc="3AAAFAA4" w:tentative="1">
      <w:start w:val="1"/>
      <w:numFmt w:val="bullet"/>
      <w:lvlText w:val="•"/>
      <w:lvlJc w:val="left"/>
      <w:pPr>
        <w:tabs>
          <w:tab w:val="num" w:pos="1440"/>
        </w:tabs>
        <w:ind w:left="1440" w:hanging="360"/>
      </w:pPr>
      <w:rPr>
        <w:rFonts w:ascii="Arial" w:hAnsi="Arial" w:hint="default"/>
      </w:rPr>
    </w:lvl>
    <w:lvl w:ilvl="2" w:tplc="EFE49862" w:tentative="1">
      <w:start w:val="1"/>
      <w:numFmt w:val="bullet"/>
      <w:lvlText w:val="•"/>
      <w:lvlJc w:val="left"/>
      <w:pPr>
        <w:tabs>
          <w:tab w:val="num" w:pos="2160"/>
        </w:tabs>
        <w:ind w:left="2160" w:hanging="360"/>
      </w:pPr>
      <w:rPr>
        <w:rFonts w:ascii="Arial" w:hAnsi="Arial" w:hint="default"/>
      </w:rPr>
    </w:lvl>
    <w:lvl w:ilvl="3" w:tplc="7214CEB8" w:tentative="1">
      <w:start w:val="1"/>
      <w:numFmt w:val="bullet"/>
      <w:lvlText w:val="•"/>
      <w:lvlJc w:val="left"/>
      <w:pPr>
        <w:tabs>
          <w:tab w:val="num" w:pos="2880"/>
        </w:tabs>
        <w:ind w:left="2880" w:hanging="360"/>
      </w:pPr>
      <w:rPr>
        <w:rFonts w:ascii="Arial" w:hAnsi="Arial" w:hint="default"/>
      </w:rPr>
    </w:lvl>
    <w:lvl w:ilvl="4" w:tplc="EF5AF2D6" w:tentative="1">
      <w:start w:val="1"/>
      <w:numFmt w:val="bullet"/>
      <w:lvlText w:val="•"/>
      <w:lvlJc w:val="left"/>
      <w:pPr>
        <w:tabs>
          <w:tab w:val="num" w:pos="3600"/>
        </w:tabs>
        <w:ind w:left="3600" w:hanging="360"/>
      </w:pPr>
      <w:rPr>
        <w:rFonts w:ascii="Arial" w:hAnsi="Arial" w:hint="default"/>
      </w:rPr>
    </w:lvl>
    <w:lvl w:ilvl="5" w:tplc="8F22AEA0" w:tentative="1">
      <w:start w:val="1"/>
      <w:numFmt w:val="bullet"/>
      <w:lvlText w:val="•"/>
      <w:lvlJc w:val="left"/>
      <w:pPr>
        <w:tabs>
          <w:tab w:val="num" w:pos="4320"/>
        </w:tabs>
        <w:ind w:left="4320" w:hanging="360"/>
      </w:pPr>
      <w:rPr>
        <w:rFonts w:ascii="Arial" w:hAnsi="Arial" w:hint="default"/>
      </w:rPr>
    </w:lvl>
    <w:lvl w:ilvl="6" w:tplc="DCEA76F2" w:tentative="1">
      <w:start w:val="1"/>
      <w:numFmt w:val="bullet"/>
      <w:lvlText w:val="•"/>
      <w:lvlJc w:val="left"/>
      <w:pPr>
        <w:tabs>
          <w:tab w:val="num" w:pos="5040"/>
        </w:tabs>
        <w:ind w:left="5040" w:hanging="360"/>
      </w:pPr>
      <w:rPr>
        <w:rFonts w:ascii="Arial" w:hAnsi="Arial" w:hint="default"/>
      </w:rPr>
    </w:lvl>
    <w:lvl w:ilvl="7" w:tplc="C2B89AD0" w:tentative="1">
      <w:start w:val="1"/>
      <w:numFmt w:val="bullet"/>
      <w:lvlText w:val="•"/>
      <w:lvlJc w:val="left"/>
      <w:pPr>
        <w:tabs>
          <w:tab w:val="num" w:pos="5760"/>
        </w:tabs>
        <w:ind w:left="5760" w:hanging="360"/>
      </w:pPr>
      <w:rPr>
        <w:rFonts w:ascii="Arial" w:hAnsi="Arial" w:hint="default"/>
      </w:rPr>
    </w:lvl>
    <w:lvl w:ilvl="8" w:tplc="B2F4C334" w:tentative="1">
      <w:start w:val="1"/>
      <w:numFmt w:val="bullet"/>
      <w:lvlText w:val="•"/>
      <w:lvlJc w:val="left"/>
      <w:pPr>
        <w:tabs>
          <w:tab w:val="num" w:pos="6480"/>
        </w:tabs>
        <w:ind w:left="6480" w:hanging="360"/>
      </w:pPr>
      <w:rPr>
        <w:rFonts w:ascii="Arial" w:hAnsi="Arial" w:hint="default"/>
      </w:rPr>
    </w:lvl>
  </w:abstractNum>
  <w:num w:numId="1" w16cid:durableId="174661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FD"/>
    <w:rsid w:val="000449BF"/>
    <w:rsid w:val="000471C1"/>
    <w:rsid w:val="000551AA"/>
    <w:rsid w:val="00137D2E"/>
    <w:rsid w:val="00203F60"/>
    <w:rsid w:val="00283527"/>
    <w:rsid w:val="002D7749"/>
    <w:rsid w:val="00336B67"/>
    <w:rsid w:val="00343639"/>
    <w:rsid w:val="00344D6B"/>
    <w:rsid w:val="00387DA4"/>
    <w:rsid w:val="00445C58"/>
    <w:rsid w:val="004C2AA5"/>
    <w:rsid w:val="0053399A"/>
    <w:rsid w:val="005E31B4"/>
    <w:rsid w:val="00710177"/>
    <w:rsid w:val="00762549"/>
    <w:rsid w:val="00766708"/>
    <w:rsid w:val="007745DD"/>
    <w:rsid w:val="007E3081"/>
    <w:rsid w:val="007F4F5E"/>
    <w:rsid w:val="008627F6"/>
    <w:rsid w:val="008C0AAA"/>
    <w:rsid w:val="00A64632"/>
    <w:rsid w:val="00A915FD"/>
    <w:rsid w:val="00B6311E"/>
    <w:rsid w:val="00BF7068"/>
    <w:rsid w:val="00C21A99"/>
    <w:rsid w:val="00C56379"/>
    <w:rsid w:val="00CE763C"/>
    <w:rsid w:val="00D543E7"/>
    <w:rsid w:val="00D74C4D"/>
    <w:rsid w:val="00DE707C"/>
    <w:rsid w:val="00E15680"/>
    <w:rsid w:val="00F361E3"/>
    <w:rsid w:val="00F47232"/>
    <w:rsid w:val="00F60FE5"/>
    <w:rsid w:val="00FA41C1"/>
    <w:rsid w:val="00FC7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CF792E"/>
  <w15:chartTrackingRefBased/>
  <w15:docId w15:val="{7E87B7C9-468C-4572-97D2-FA4BC2478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5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ntence">
    <w:name w:val="sentence"/>
    <w:basedOn w:val="DefaultParagraphFont"/>
    <w:rsid w:val="00762549"/>
  </w:style>
  <w:style w:type="character" w:customStyle="1" w:styleId="synonyms3">
    <w:name w:val="synonyms3"/>
    <w:basedOn w:val="DefaultParagraphFont"/>
    <w:rsid w:val="00762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8076">
      <w:bodyDiv w:val="1"/>
      <w:marLeft w:val="0"/>
      <w:marRight w:val="0"/>
      <w:marTop w:val="0"/>
      <w:marBottom w:val="0"/>
      <w:divBdr>
        <w:top w:val="none" w:sz="0" w:space="0" w:color="auto"/>
        <w:left w:val="none" w:sz="0" w:space="0" w:color="auto"/>
        <w:bottom w:val="none" w:sz="0" w:space="0" w:color="auto"/>
        <w:right w:val="none" w:sz="0" w:space="0" w:color="auto"/>
      </w:divBdr>
      <w:divsChild>
        <w:div w:id="723211704">
          <w:marLeft w:val="0"/>
          <w:marRight w:val="0"/>
          <w:marTop w:val="0"/>
          <w:marBottom w:val="160"/>
          <w:divBdr>
            <w:top w:val="none" w:sz="0" w:space="0" w:color="auto"/>
            <w:left w:val="none" w:sz="0" w:space="0" w:color="auto"/>
            <w:bottom w:val="none" w:sz="0" w:space="0" w:color="auto"/>
            <w:right w:val="none" w:sz="0" w:space="0" w:color="auto"/>
          </w:divBdr>
        </w:div>
        <w:div w:id="1895120720">
          <w:marLeft w:val="0"/>
          <w:marRight w:val="0"/>
          <w:marTop w:val="0"/>
          <w:marBottom w:val="160"/>
          <w:divBdr>
            <w:top w:val="none" w:sz="0" w:space="0" w:color="auto"/>
            <w:left w:val="none" w:sz="0" w:space="0" w:color="auto"/>
            <w:bottom w:val="none" w:sz="0" w:space="0" w:color="auto"/>
            <w:right w:val="none" w:sz="0" w:space="0" w:color="auto"/>
          </w:divBdr>
        </w:div>
        <w:div w:id="1486895337">
          <w:marLeft w:val="0"/>
          <w:marRight w:val="0"/>
          <w:marTop w:val="0"/>
          <w:marBottom w:val="160"/>
          <w:divBdr>
            <w:top w:val="none" w:sz="0" w:space="0" w:color="auto"/>
            <w:left w:val="none" w:sz="0" w:space="0" w:color="auto"/>
            <w:bottom w:val="none" w:sz="0" w:space="0" w:color="auto"/>
            <w:right w:val="none" w:sz="0" w:space="0" w:color="auto"/>
          </w:divBdr>
        </w:div>
        <w:div w:id="2124034945">
          <w:marLeft w:val="0"/>
          <w:marRight w:val="0"/>
          <w:marTop w:val="0"/>
          <w:marBottom w:val="160"/>
          <w:divBdr>
            <w:top w:val="none" w:sz="0" w:space="0" w:color="auto"/>
            <w:left w:val="none" w:sz="0" w:space="0" w:color="auto"/>
            <w:bottom w:val="none" w:sz="0" w:space="0" w:color="auto"/>
            <w:right w:val="none" w:sz="0" w:space="0" w:color="auto"/>
          </w:divBdr>
        </w:div>
        <w:div w:id="812142184">
          <w:marLeft w:val="0"/>
          <w:marRight w:val="0"/>
          <w:marTop w:val="0"/>
          <w:marBottom w:val="160"/>
          <w:divBdr>
            <w:top w:val="none" w:sz="0" w:space="0" w:color="auto"/>
            <w:left w:val="none" w:sz="0" w:space="0" w:color="auto"/>
            <w:bottom w:val="none" w:sz="0" w:space="0" w:color="auto"/>
            <w:right w:val="none" w:sz="0" w:space="0" w:color="auto"/>
          </w:divBdr>
        </w:div>
        <w:div w:id="1103184400">
          <w:marLeft w:val="0"/>
          <w:marRight w:val="0"/>
          <w:marTop w:val="0"/>
          <w:marBottom w:val="160"/>
          <w:divBdr>
            <w:top w:val="none" w:sz="0" w:space="0" w:color="auto"/>
            <w:left w:val="none" w:sz="0" w:space="0" w:color="auto"/>
            <w:bottom w:val="none" w:sz="0" w:space="0" w:color="auto"/>
            <w:right w:val="none" w:sz="0" w:space="0" w:color="auto"/>
          </w:divBdr>
        </w:div>
        <w:div w:id="813059853">
          <w:marLeft w:val="0"/>
          <w:marRight w:val="0"/>
          <w:marTop w:val="0"/>
          <w:marBottom w:val="160"/>
          <w:divBdr>
            <w:top w:val="none" w:sz="0" w:space="0" w:color="auto"/>
            <w:left w:val="none" w:sz="0" w:space="0" w:color="auto"/>
            <w:bottom w:val="none" w:sz="0" w:space="0" w:color="auto"/>
            <w:right w:val="none" w:sz="0" w:space="0" w:color="auto"/>
          </w:divBdr>
        </w:div>
        <w:div w:id="2028679188">
          <w:marLeft w:val="0"/>
          <w:marRight w:val="0"/>
          <w:marTop w:val="0"/>
          <w:marBottom w:val="160"/>
          <w:divBdr>
            <w:top w:val="none" w:sz="0" w:space="0" w:color="auto"/>
            <w:left w:val="none" w:sz="0" w:space="0" w:color="auto"/>
            <w:bottom w:val="none" w:sz="0" w:space="0" w:color="auto"/>
            <w:right w:val="none" w:sz="0" w:space="0" w:color="auto"/>
          </w:divBdr>
        </w:div>
        <w:div w:id="1146630398">
          <w:marLeft w:val="0"/>
          <w:marRight w:val="0"/>
          <w:marTop w:val="0"/>
          <w:marBottom w:val="160"/>
          <w:divBdr>
            <w:top w:val="none" w:sz="0" w:space="0" w:color="auto"/>
            <w:left w:val="none" w:sz="0" w:space="0" w:color="auto"/>
            <w:bottom w:val="none" w:sz="0" w:space="0" w:color="auto"/>
            <w:right w:val="none" w:sz="0" w:space="0" w:color="auto"/>
          </w:divBdr>
        </w:div>
        <w:div w:id="539825129">
          <w:marLeft w:val="0"/>
          <w:marRight w:val="0"/>
          <w:marTop w:val="0"/>
          <w:marBottom w:val="160"/>
          <w:divBdr>
            <w:top w:val="none" w:sz="0" w:space="0" w:color="auto"/>
            <w:left w:val="none" w:sz="0" w:space="0" w:color="auto"/>
            <w:bottom w:val="none" w:sz="0" w:space="0" w:color="auto"/>
            <w:right w:val="none" w:sz="0" w:space="0" w:color="auto"/>
          </w:divBdr>
        </w:div>
        <w:div w:id="850485873">
          <w:marLeft w:val="0"/>
          <w:marRight w:val="0"/>
          <w:marTop w:val="0"/>
          <w:marBottom w:val="160"/>
          <w:divBdr>
            <w:top w:val="none" w:sz="0" w:space="0" w:color="auto"/>
            <w:left w:val="none" w:sz="0" w:space="0" w:color="auto"/>
            <w:bottom w:val="none" w:sz="0" w:space="0" w:color="auto"/>
            <w:right w:val="none" w:sz="0" w:space="0" w:color="auto"/>
          </w:divBdr>
        </w:div>
        <w:div w:id="2035110898">
          <w:marLeft w:val="0"/>
          <w:marRight w:val="0"/>
          <w:marTop w:val="0"/>
          <w:marBottom w:val="160"/>
          <w:divBdr>
            <w:top w:val="none" w:sz="0" w:space="0" w:color="auto"/>
            <w:left w:val="none" w:sz="0" w:space="0" w:color="auto"/>
            <w:bottom w:val="none" w:sz="0" w:space="0" w:color="auto"/>
            <w:right w:val="none" w:sz="0" w:space="0" w:color="auto"/>
          </w:divBdr>
        </w:div>
      </w:divsChild>
    </w:div>
    <w:div w:id="624968639">
      <w:bodyDiv w:val="1"/>
      <w:marLeft w:val="0"/>
      <w:marRight w:val="0"/>
      <w:marTop w:val="0"/>
      <w:marBottom w:val="0"/>
      <w:divBdr>
        <w:top w:val="none" w:sz="0" w:space="0" w:color="auto"/>
        <w:left w:val="none" w:sz="0" w:space="0" w:color="auto"/>
        <w:bottom w:val="none" w:sz="0" w:space="0" w:color="auto"/>
        <w:right w:val="none" w:sz="0" w:space="0" w:color="auto"/>
      </w:divBdr>
    </w:div>
    <w:div w:id="650908431">
      <w:bodyDiv w:val="1"/>
      <w:marLeft w:val="0"/>
      <w:marRight w:val="0"/>
      <w:marTop w:val="0"/>
      <w:marBottom w:val="0"/>
      <w:divBdr>
        <w:top w:val="none" w:sz="0" w:space="0" w:color="auto"/>
        <w:left w:val="none" w:sz="0" w:space="0" w:color="auto"/>
        <w:bottom w:val="none" w:sz="0" w:space="0" w:color="auto"/>
        <w:right w:val="none" w:sz="0" w:space="0" w:color="auto"/>
      </w:divBdr>
    </w:div>
    <w:div w:id="963653014">
      <w:bodyDiv w:val="1"/>
      <w:marLeft w:val="0"/>
      <w:marRight w:val="0"/>
      <w:marTop w:val="0"/>
      <w:marBottom w:val="0"/>
      <w:divBdr>
        <w:top w:val="none" w:sz="0" w:space="0" w:color="auto"/>
        <w:left w:val="none" w:sz="0" w:space="0" w:color="auto"/>
        <w:bottom w:val="none" w:sz="0" w:space="0" w:color="auto"/>
        <w:right w:val="none" w:sz="0" w:space="0" w:color="auto"/>
      </w:divBdr>
    </w:div>
    <w:div w:id="1249775066">
      <w:bodyDiv w:val="1"/>
      <w:marLeft w:val="0"/>
      <w:marRight w:val="0"/>
      <w:marTop w:val="0"/>
      <w:marBottom w:val="0"/>
      <w:divBdr>
        <w:top w:val="none" w:sz="0" w:space="0" w:color="auto"/>
        <w:left w:val="none" w:sz="0" w:space="0" w:color="auto"/>
        <w:bottom w:val="none" w:sz="0" w:space="0" w:color="auto"/>
        <w:right w:val="none" w:sz="0" w:space="0" w:color="auto"/>
      </w:divBdr>
    </w:div>
    <w:div w:id="1419904271">
      <w:bodyDiv w:val="1"/>
      <w:marLeft w:val="0"/>
      <w:marRight w:val="0"/>
      <w:marTop w:val="0"/>
      <w:marBottom w:val="0"/>
      <w:divBdr>
        <w:top w:val="none" w:sz="0" w:space="0" w:color="auto"/>
        <w:left w:val="none" w:sz="0" w:space="0" w:color="auto"/>
        <w:bottom w:val="none" w:sz="0" w:space="0" w:color="auto"/>
        <w:right w:val="none" w:sz="0" w:space="0" w:color="auto"/>
      </w:divBdr>
    </w:div>
    <w:div w:id="1587109521">
      <w:bodyDiv w:val="1"/>
      <w:marLeft w:val="0"/>
      <w:marRight w:val="0"/>
      <w:marTop w:val="0"/>
      <w:marBottom w:val="0"/>
      <w:divBdr>
        <w:top w:val="none" w:sz="0" w:space="0" w:color="auto"/>
        <w:left w:val="none" w:sz="0" w:space="0" w:color="auto"/>
        <w:bottom w:val="none" w:sz="0" w:space="0" w:color="auto"/>
        <w:right w:val="none" w:sz="0" w:space="0" w:color="auto"/>
      </w:divBdr>
    </w:div>
    <w:div w:id="1664697328">
      <w:bodyDiv w:val="1"/>
      <w:marLeft w:val="0"/>
      <w:marRight w:val="0"/>
      <w:marTop w:val="0"/>
      <w:marBottom w:val="0"/>
      <w:divBdr>
        <w:top w:val="none" w:sz="0" w:space="0" w:color="auto"/>
        <w:left w:val="none" w:sz="0" w:space="0" w:color="auto"/>
        <w:bottom w:val="none" w:sz="0" w:space="0" w:color="auto"/>
        <w:right w:val="none" w:sz="0" w:space="0" w:color="auto"/>
      </w:divBdr>
    </w:div>
    <w:div w:id="1727147670">
      <w:bodyDiv w:val="1"/>
      <w:marLeft w:val="0"/>
      <w:marRight w:val="0"/>
      <w:marTop w:val="0"/>
      <w:marBottom w:val="0"/>
      <w:divBdr>
        <w:top w:val="none" w:sz="0" w:space="0" w:color="auto"/>
        <w:left w:val="none" w:sz="0" w:space="0" w:color="auto"/>
        <w:bottom w:val="none" w:sz="0" w:space="0" w:color="auto"/>
        <w:right w:val="none" w:sz="0" w:space="0" w:color="auto"/>
      </w:divBdr>
      <w:divsChild>
        <w:div w:id="1562863984">
          <w:marLeft w:val="0"/>
          <w:marRight w:val="0"/>
          <w:marTop w:val="0"/>
          <w:marBottom w:val="0"/>
          <w:divBdr>
            <w:top w:val="single" w:sz="2" w:space="0" w:color="D9D9E3"/>
            <w:left w:val="single" w:sz="2" w:space="0" w:color="D9D9E3"/>
            <w:bottom w:val="single" w:sz="2" w:space="0" w:color="D9D9E3"/>
            <w:right w:val="single" w:sz="2" w:space="0" w:color="D9D9E3"/>
          </w:divBdr>
          <w:divsChild>
            <w:div w:id="372266776">
              <w:marLeft w:val="0"/>
              <w:marRight w:val="0"/>
              <w:marTop w:val="0"/>
              <w:marBottom w:val="0"/>
              <w:divBdr>
                <w:top w:val="single" w:sz="2" w:space="0" w:color="D9D9E3"/>
                <w:left w:val="single" w:sz="2" w:space="0" w:color="D9D9E3"/>
                <w:bottom w:val="single" w:sz="2" w:space="0" w:color="D9D9E3"/>
                <w:right w:val="single" w:sz="2" w:space="0" w:color="D9D9E3"/>
              </w:divBdr>
              <w:divsChild>
                <w:div w:id="177042340">
                  <w:marLeft w:val="0"/>
                  <w:marRight w:val="0"/>
                  <w:marTop w:val="0"/>
                  <w:marBottom w:val="0"/>
                  <w:divBdr>
                    <w:top w:val="single" w:sz="2" w:space="0" w:color="D9D9E3"/>
                    <w:left w:val="single" w:sz="2" w:space="0" w:color="D9D9E3"/>
                    <w:bottom w:val="single" w:sz="2" w:space="0" w:color="D9D9E3"/>
                    <w:right w:val="single" w:sz="2" w:space="0" w:color="D9D9E3"/>
                  </w:divBdr>
                  <w:divsChild>
                    <w:div w:id="870915431">
                      <w:marLeft w:val="0"/>
                      <w:marRight w:val="0"/>
                      <w:marTop w:val="0"/>
                      <w:marBottom w:val="0"/>
                      <w:divBdr>
                        <w:top w:val="single" w:sz="2" w:space="0" w:color="D9D9E3"/>
                        <w:left w:val="single" w:sz="2" w:space="0" w:color="D9D9E3"/>
                        <w:bottom w:val="single" w:sz="2" w:space="0" w:color="D9D9E3"/>
                        <w:right w:val="single" w:sz="2" w:space="0" w:color="D9D9E3"/>
                      </w:divBdr>
                      <w:divsChild>
                        <w:div w:id="2002191592">
                          <w:marLeft w:val="0"/>
                          <w:marRight w:val="0"/>
                          <w:marTop w:val="0"/>
                          <w:marBottom w:val="0"/>
                          <w:divBdr>
                            <w:top w:val="single" w:sz="2" w:space="0" w:color="D9D9E3"/>
                            <w:left w:val="single" w:sz="2" w:space="0" w:color="D9D9E3"/>
                            <w:bottom w:val="single" w:sz="2" w:space="0" w:color="D9D9E3"/>
                            <w:right w:val="single" w:sz="2" w:space="0" w:color="D9D9E3"/>
                          </w:divBdr>
                          <w:divsChild>
                            <w:div w:id="1522935260">
                              <w:marLeft w:val="0"/>
                              <w:marRight w:val="0"/>
                              <w:marTop w:val="100"/>
                              <w:marBottom w:val="100"/>
                              <w:divBdr>
                                <w:top w:val="single" w:sz="2" w:space="0" w:color="D9D9E3"/>
                                <w:left w:val="single" w:sz="2" w:space="0" w:color="D9D9E3"/>
                                <w:bottom w:val="single" w:sz="2" w:space="0" w:color="D9D9E3"/>
                                <w:right w:val="single" w:sz="2" w:space="0" w:color="D9D9E3"/>
                              </w:divBdr>
                              <w:divsChild>
                                <w:div w:id="1060207587">
                                  <w:marLeft w:val="0"/>
                                  <w:marRight w:val="0"/>
                                  <w:marTop w:val="0"/>
                                  <w:marBottom w:val="0"/>
                                  <w:divBdr>
                                    <w:top w:val="single" w:sz="2" w:space="0" w:color="D9D9E3"/>
                                    <w:left w:val="single" w:sz="2" w:space="0" w:color="D9D9E3"/>
                                    <w:bottom w:val="single" w:sz="2" w:space="0" w:color="D9D9E3"/>
                                    <w:right w:val="single" w:sz="2" w:space="0" w:color="D9D9E3"/>
                                  </w:divBdr>
                                  <w:divsChild>
                                    <w:div w:id="704135094">
                                      <w:marLeft w:val="0"/>
                                      <w:marRight w:val="0"/>
                                      <w:marTop w:val="0"/>
                                      <w:marBottom w:val="0"/>
                                      <w:divBdr>
                                        <w:top w:val="single" w:sz="2" w:space="0" w:color="D9D9E3"/>
                                        <w:left w:val="single" w:sz="2" w:space="0" w:color="D9D9E3"/>
                                        <w:bottom w:val="single" w:sz="2" w:space="0" w:color="D9D9E3"/>
                                        <w:right w:val="single" w:sz="2" w:space="0" w:color="D9D9E3"/>
                                      </w:divBdr>
                                      <w:divsChild>
                                        <w:div w:id="237712756">
                                          <w:marLeft w:val="0"/>
                                          <w:marRight w:val="0"/>
                                          <w:marTop w:val="0"/>
                                          <w:marBottom w:val="0"/>
                                          <w:divBdr>
                                            <w:top w:val="single" w:sz="2" w:space="0" w:color="D9D9E3"/>
                                            <w:left w:val="single" w:sz="2" w:space="0" w:color="D9D9E3"/>
                                            <w:bottom w:val="single" w:sz="2" w:space="0" w:color="D9D9E3"/>
                                            <w:right w:val="single" w:sz="2" w:space="0" w:color="D9D9E3"/>
                                          </w:divBdr>
                                          <w:divsChild>
                                            <w:div w:id="924536487">
                                              <w:marLeft w:val="0"/>
                                              <w:marRight w:val="0"/>
                                              <w:marTop w:val="0"/>
                                              <w:marBottom w:val="0"/>
                                              <w:divBdr>
                                                <w:top w:val="single" w:sz="2" w:space="0" w:color="D9D9E3"/>
                                                <w:left w:val="single" w:sz="2" w:space="0" w:color="D9D9E3"/>
                                                <w:bottom w:val="single" w:sz="2" w:space="0" w:color="D9D9E3"/>
                                                <w:right w:val="single" w:sz="2" w:space="0" w:color="D9D9E3"/>
                                              </w:divBdr>
                                              <w:divsChild>
                                                <w:div w:id="1836804028">
                                                  <w:marLeft w:val="0"/>
                                                  <w:marRight w:val="0"/>
                                                  <w:marTop w:val="0"/>
                                                  <w:marBottom w:val="0"/>
                                                  <w:divBdr>
                                                    <w:top w:val="single" w:sz="2" w:space="0" w:color="D9D9E3"/>
                                                    <w:left w:val="single" w:sz="2" w:space="0" w:color="D9D9E3"/>
                                                    <w:bottom w:val="single" w:sz="2" w:space="0" w:color="D9D9E3"/>
                                                    <w:right w:val="single" w:sz="2" w:space="0" w:color="D9D9E3"/>
                                                  </w:divBdr>
                                                  <w:divsChild>
                                                    <w:div w:id="449323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2112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89810901">
      <w:bodyDiv w:val="1"/>
      <w:marLeft w:val="0"/>
      <w:marRight w:val="0"/>
      <w:marTop w:val="0"/>
      <w:marBottom w:val="0"/>
      <w:divBdr>
        <w:top w:val="none" w:sz="0" w:space="0" w:color="auto"/>
        <w:left w:val="none" w:sz="0" w:space="0" w:color="auto"/>
        <w:bottom w:val="none" w:sz="0" w:space="0" w:color="auto"/>
        <w:right w:val="none" w:sz="0" w:space="0" w:color="auto"/>
      </w:divBdr>
    </w:div>
    <w:div w:id="1875802048">
      <w:bodyDiv w:val="1"/>
      <w:marLeft w:val="0"/>
      <w:marRight w:val="0"/>
      <w:marTop w:val="0"/>
      <w:marBottom w:val="0"/>
      <w:divBdr>
        <w:top w:val="none" w:sz="0" w:space="0" w:color="auto"/>
        <w:left w:val="none" w:sz="0" w:space="0" w:color="auto"/>
        <w:bottom w:val="none" w:sz="0" w:space="0" w:color="auto"/>
        <w:right w:val="none" w:sz="0" w:space="0" w:color="auto"/>
      </w:divBdr>
    </w:div>
    <w:div w:id="1950357968">
      <w:bodyDiv w:val="1"/>
      <w:marLeft w:val="0"/>
      <w:marRight w:val="0"/>
      <w:marTop w:val="0"/>
      <w:marBottom w:val="0"/>
      <w:divBdr>
        <w:top w:val="none" w:sz="0" w:space="0" w:color="auto"/>
        <w:left w:val="none" w:sz="0" w:space="0" w:color="auto"/>
        <w:bottom w:val="none" w:sz="0" w:space="0" w:color="auto"/>
        <w:right w:val="none" w:sz="0" w:space="0" w:color="auto"/>
      </w:divBdr>
    </w:div>
    <w:div w:id="2073119081">
      <w:bodyDiv w:val="1"/>
      <w:marLeft w:val="0"/>
      <w:marRight w:val="0"/>
      <w:marTop w:val="0"/>
      <w:marBottom w:val="0"/>
      <w:divBdr>
        <w:top w:val="none" w:sz="0" w:space="0" w:color="auto"/>
        <w:left w:val="none" w:sz="0" w:space="0" w:color="auto"/>
        <w:bottom w:val="none" w:sz="0" w:space="0" w:color="auto"/>
        <w:right w:val="none" w:sz="0" w:space="0" w:color="auto"/>
      </w:divBdr>
    </w:div>
    <w:div w:id="2129813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1244</Words>
  <Characters>7791</Characters>
  <Application>Microsoft Office Word</Application>
  <DocSecurity>0</DocSecurity>
  <Lines>109</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ELSY WAGA</dc:creator>
  <cp:keywords/>
  <dc:description/>
  <cp:lastModifiedBy>Diana Amponsah (2314497)</cp:lastModifiedBy>
  <cp:revision>2</cp:revision>
  <dcterms:created xsi:type="dcterms:W3CDTF">2023-12-13T14:45:00Z</dcterms:created>
  <dcterms:modified xsi:type="dcterms:W3CDTF">2023-12-13T14:45:00Z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fc3f8cb922b3cb34d82cf6d08f6eff08bf92d77db738db67f481eece0aaa8904</vt:lpwstr>
  </property>
</Properties>
</file>