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C82E6A" w14:textId="77777777" w:rsidR="0058526D" w:rsidRPr="00CC6C4C" w:rsidRDefault="0058526D" w:rsidP="00CC6C4C">
      <w:pPr>
        <w:spacing w:line="360" w:lineRule="auto"/>
        <w:jc w:val="both"/>
        <w:rPr>
          <w:rFonts w:ascii="Times New Roman" w:hAnsi="Times New Roman" w:cs="Times New Roman"/>
          <w:sz w:val="24"/>
          <w:szCs w:val="24"/>
          <w:lang w:val="en-GB"/>
        </w:rPr>
      </w:pPr>
    </w:p>
    <w:p w14:paraId="62A987C6" w14:textId="77777777" w:rsidR="00A663FA" w:rsidRPr="00CC6C4C" w:rsidRDefault="00A663FA" w:rsidP="00CC6C4C">
      <w:pPr>
        <w:spacing w:line="360" w:lineRule="auto"/>
        <w:jc w:val="both"/>
        <w:rPr>
          <w:rFonts w:ascii="Times New Roman" w:hAnsi="Times New Roman" w:cs="Times New Roman"/>
          <w:sz w:val="24"/>
          <w:szCs w:val="24"/>
          <w:lang w:val="en-GB"/>
        </w:rPr>
      </w:pPr>
    </w:p>
    <w:p w14:paraId="1CCAAD05" w14:textId="77777777" w:rsidR="00A663FA" w:rsidRPr="00CC6C4C" w:rsidRDefault="00A663FA" w:rsidP="00CC6C4C">
      <w:pPr>
        <w:spacing w:line="360" w:lineRule="auto"/>
        <w:jc w:val="both"/>
        <w:rPr>
          <w:rFonts w:ascii="Times New Roman" w:hAnsi="Times New Roman" w:cs="Times New Roman"/>
          <w:sz w:val="24"/>
          <w:szCs w:val="24"/>
          <w:lang w:val="en-GB"/>
        </w:rPr>
      </w:pPr>
    </w:p>
    <w:p w14:paraId="265C567C" w14:textId="77777777" w:rsidR="00A663FA" w:rsidRPr="00CC6C4C" w:rsidRDefault="00A663FA" w:rsidP="00CC6C4C">
      <w:pPr>
        <w:spacing w:line="360" w:lineRule="auto"/>
        <w:jc w:val="both"/>
        <w:rPr>
          <w:rFonts w:ascii="Times New Roman" w:hAnsi="Times New Roman" w:cs="Times New Roman"/>
          <w:sz w:val="24"/>
          <w:szCs w:val="24"/>
          <w:lang w:val="en-GB"/>
        </w:rPr>
      </w:pPr>
    </w:p>
    <w:p w14:paraId="3F6E9954" w14:textId="77777777" w:rsidR="00A663FA" w:rsidRPr="00CC6C4C" w:rsidRDefault="00A663FA" w:rsidP="00CC6C4C">
      <w:pPr>
        <w:spacing w:line="360" w:lineRule="auto"/>
        <w:jc w:val="both"/>
        <w:rPr>
          <w:rFonts w:ascii="Times New Roman" w:hAnsi="Times New Roman" w:cs="Times New Roman"/>
          <w:sz w:val="24"/>
          <w:szCs w:val="24"/>
          <w:lang w:val="en-GB"/>
        </w:rPr>
      </w:pPr>
    </w:p>
    <w:p w14:paraId="10FD13E5" w14:textId="77777777" w:rsidR="00A663FA" w:rsidRPr="00CC6C4C" w:rsidRDefault="00A663FA" w:rsidP="00CC6C4C">
      <w:pPr>
        <w:spacing w:line="360" w:lineRule="auto"/>
        <w:jc w:val="both"/>
        <w:rPr>
          <w:rFonts w:ascii="Times New Roman" w:hAnsi="Times New Roman" w:cs="Times New Roman"/>
          <w:sz w:val="24"/>
          <w:szCs w:val="24"/>
          <w:lang w:val="en-GB"/>
        </w:rPr>
      </w:pPr>
    </w:p>
    <w:p w14:paraId="57F0ECA4" w14:textId="77777777" w:rsidR="00A663FA" w:rsidRPr="0083771B" w:rsidRDefault="00A663FA" w:rsidP="00CC6C4C">
      <w:pPr>
        <w:spacing w:line="360" w:lineRule="auto"/>
        <w:jc w:val="both"/>
        <w:rPr>
          <w:rFonts w:ascii="Times New Roman" w:hAnsi="Times New Roman" w:cs="Times New Roman"/>
          <w:b/>
          <w:sz w:val="24"/>
          <w:szCs w:val="24"/>
          <w:lang w:val="en-GB"/>
        </w:rPr>
      </w:pPr>
      <w:r w:rsidRPr="0083771B">
        <w:rPr>
          <w:rFonts w:ascii="Times New Roman" w:hAnsi="Times New Roman" w:cs="Times New Roman"/>
          <w:b/>
          <w:sz w:val="24"/>
          <w:szCs w:val="24"/>
          <w:lang w:val="en-GB"/>
        </w:rPr>
        <w:t xml:space="preserve">The Impact of COVID19 and Rebuilding the Workforce (London Hilton </w:t>
      </w:r>
      <w:r w:rsidR="0083771B">
        <w:rPr>
          <w:rFonts w:ascii="Times New Roman" w:hAnsi="Times New Roman" w:cs="Times New Roman"/>
          <w:b/>
          <w:sz w:val="24"/>
          <w:szCs w:val="24"/>
          <w:lang w:val="en-GB"/>
        </w:rPr>
        <w:t xml:space="preserve">Hotel </w:t>
      </w:r>
      <w:r w:rsidRPr="0083771B">
        <w:rPr>
          <w:rFonts w:ascii="Times New Roman" w:hAnsi="Times New Roman" w:cs="Times New Roman"/>
          <w:b/>
          <w:sz w:val="24"/>
          <w:szCs w:val="24"/>
          <w:lang w:val="en-GB"/>
        </w:rPr>
        <w:t>UK)</w:t>
      </w:r>
    </w:p>
    <w:p w14:paraId="50B32F1C" w14:textId="77777777" w:rsidR="00A663FA" w:rsidRPr="00CC6C4C" w:rsidRDefault="00A663FA" w:rsidP="00CC6C4C">
      <w:pPr>
        <w:spacing w:line="360" w:lineRule="auto"/>
        <w:jc w:val="both"/>
        <w:rPr>
          <w:rFonts w:ascii="Times New Roman" w:hAnsi="Times New Roman" w:cs="Times New Roman"/>
          <w:sz w:val="24"/>
          <w:szCs w:val="24"/>
          <w:lang w:val="en-GB"/>
        </w:rPr>
      </w:pPr>
    </w:p>
    <w:p w14:paraId="052335B8" w14:textId="77777777" w:rsidR="00A663FA" w:rsidRPr="00CC6C4C" w:rsidRDefault="00A663FA" w:rsidP="00CC6C4C">
      <w:pPr>
        <w:spacing w:line="360" w:lineRule="auto"/>
        <w:jc w:val="both"/>
        <w:rPr>
          <w:rFonts w:ascii="Times New Roman" w:hAnsi="Times New Roman" w:cs="Times New Roman"/>
          <w:sz w:val="24"/>
          <w:szCs w:val="24"/>
          <w:lang w:val="en-GB"/>
        </w:rPr>
      </w:pPr>
    </w:p>
    <w:p w14:paraId="32D08094" w14:textId="77777777" w:rsidR="00A663FA" w:rsidRPr="00CC6C4C" w:rsidRDefault="00A663FA" w:rsidP="00CC6C4C">
      <w:pPr>
        <w:spacing w:line="360" w:lineRule="auto"/>
        <w:jc w:val="both"/>
        <w:rPr>
          <w:rFonts w:ascii="Times New Roman" w:hAnsi="Times New Roman" w:cs="Times New Roman"/>
          <w:sz w:val="24"/>
          <w:szCs w:val="24"/>
          <w:lang w:val="en-GB"/>
        </w:rPr>
      </w:pPr>
    </w:p>
    <w:p w14:paraId="03E1721B" w14:textId="77777777" w:rsidR="00A663FA" w:rsidRPr="00CC6C4C" w:rsidRDefault="00A663FA" w:rsidP="00CC6C4C">
      <w:pPr>
        <w:spacing w:line="360" w:lineRule="auto"/>
        <w:jc w:val="both"/>
        <w:rPr>
          <w:rFonts w:ascii="Times New Roman" w:hAnsi="Times New Roman" w:cs="Times New Roman"/>
          <w:sz w:val="24"/>
          <w:szCs w:val="24"/>
          <w:lang w:val="en-GB"/>
        </w:rPr>
      </w:pPr>
    </w:p>
    <w:p w14:paraId="7AE31C18" w14:textId="77777777" w:rsidR="00A663FA" w:rsidRPr="00CC6C4C" w:rsidRDefault="00A663FA" w:rsidP="00CC6C4C">
      <w:pPr>
        <w:spacing w:line="360" w:lineRule="auto"/>
        <w:jc w:val="both"/>
        <w:rPr>
          <w:rFonts w:ascii="Times New Roman" w:hAnsi="Times New Roman" w:cs="Times New Roman"/>
          <w:sz w:val="24"/>
          <w:szCs w:val="24"/>
          <w:lang w:val="en-GB"/>
        </w:rPr>
      </w:pPr>
    </w:p>
    <w:p w14:paraId="71B90F95" w14:textId="002C43F8" w:rsidR="00A663FA" w:rsidRDefault="00A663FA" w:rsidP="00CC6C4C">
      <w:pPr>
        <w:spacing w:line="360" w:lineRule="auto"/>
        <w:jc w:val="both"/>
        <w:rPr>
          <w:rFonts w:ascii="Times New Roman" w:hAnsi="Times New Roman" w:cs="Times New Roman"/>
          <w:sz w:val="24"/>
          <w:szCs w:val="24"/>
          <w:lang w:val="en-GB"/>
        </w:rPr>
      </w:pPr>
      <w:r w:rsidRPr="00CC6C4C">
        <w:rPr>
          <w:rFonts w:ascii="Times New Roman" w:hAnsi="Times New Roman" w:cs="Times New Roman"/>
          <w:sz w:val="24"/>
          <w:szCs w:val="24"/>
          <w:lang w:val="en-GB"/>
        </w:rPr>
        <w:t>Student Name/ID:</w:t>
      </w:r>
      <w:r w:rsidR="00F12622">
        <w:rPr>
          <w:rFonts w:ascii="Times New Roman" w:hAnsi="Times New Roman" w:cs="Times New Roman"/>
          <w:sz w:val="24"/>
          <w:szCs w:val="24"/>
          <w:lang w:val="en-GB"/>
        </w:rPr>
        <w:t xml:space="preserve"> </w:t>
      </w:r>
      <w:r w:rsidR="00E44720">
        <w:rPr>
          <w:rFonts w:ascii="Times New Roman" w:hAnsi="Times New Roman" w:cs="Times New Roman"/>
          <w:sz w:val="24"/>
          <w:szCs w:val="24"/>
          <w:lang w:val="en-GB"/>
        </w:rPr>
        <w:t>Mariana Condurache</w:t>
      </w:r>
      <w:r w:rsidR="00F12622">
        <w:rPr>
          <w:rFonts w:ascii="Times New Roman" w:hAnsi="Times New Roman" w:cs="Times New Roman"/>
          <w:sz w:val="24"/>
          <w:szCs w:val="24"/>
          <w:lang w:val="en-GB"/>
        </w:rPr>
        <w:t>/</w:t>
      </w:r>
      <w:r w:rsidR="00945C33">
        <w:rPr>
          <w:rFonts w:ascii="Times New Roman" w:hAnsi="Times New Roman" w:cs="Times New Roman"/>
          <w:sz w:val="24"/>
          <w:szCs w:val="24"/>
          <w:lang w:val="en-GB"/>
        </w:rPr>
        <w:t>1906797</w:t>
      </w:r>
    </w:p>
    <w:p w14:paraId="1BDE0E4C" w14:textId="6CE20425" w:rsidR="00654354" w:rsidRDefault="00523737" w:rsidP="00CC6C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Module: </w:t>
      </w:r>
      <w:r w:rsidR="001D006E">
        <w:rPr>
          <w:rFonts w:ascii="Times New Roman" w:hAnsi="Times New Roman" w:cs="Times New Roman"/>
          <w:sz w:val="24"/>
          <w:szCs w:val="24"/>
          <w:lang w:val="en-GB"/>
        </w:rPr>
        <w:t>P</w:t>
      </w:r>
      <w:r w:rsidR="005F3D6D">
        <w:rPr>
          <w:rFonts w:ascii="Times New Roman" w:hAnsi="Times New Roman" w:cs="Times New Roman"/>
          <w:sz w:val="24"/>
          <w:szCs w:val="24"/>
          <w:lang w:val="en-GB"/>
        </w:rPr>
        <w:t>erso</w:t>
      </w:r>
      <w:r w:rsidR="001D006E">
        <w:rPr>
          <w:rFonts w:ascii="Times New Roman" w:hAnsi="Times New Roman" w:cs="Times New Roman"/>
          <w:sz w:val="24"/>
          <w:szCs w:val="24"/>
          <w:lang w:val="en-GB"/>
        </w:rPr>
        <w:t xml:space="preserve">nnel </w:t>
      </w:r>
      <w:r w:rsidR="00D46410">
        <w:rPr>
          <w:rFonts w:ascii="Times New Roman" w:hAnsi="Times New Roman" w:cs="Times New Roman"/>
          <w:sz w:val="24"/>
          <w:szCs w:val="24"/>
          <w:lang w:val="en-GB"/>
        </w:rPr>
        <w:t>Resourcing and Development</w:t>
      </w:r>
    </w:p>
    <w:p w14:paraId="4FFFF641" w14:textId="3F62EA78" w:rsidR="00654354" w:rsidRPr="00CC6C4C" w:rsidRDefault="00624647" w:rsidP="00CC6C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Lecturer: Emily Williams </w:t>
      </w:r>
    </w:p>
    <w:p w14:paraId="6397AE27" w14:textId="69B37A59" w:rsidR="00A663FA" w:rsidRPr="00CC6C4C" w:rsidRDefault="00A663FA" w:rsidP="00CC6C4C">
      <w:pPr>
        <w:spacing w:line="360" w:lineRule="auto"/>
        <w:jc w:val="both"/>
        <w:rPr>
          <w:rFonts w:ascii="Times New Roman" w:hAnsi="Times New Roman" w:cs="Times New Roman"/>
          <w:sz w:val="24"/>
          <w:szCs w:val="24"/>
          <w:lang w:val="en-GB"/>
        </w:rPr>
      </w:pPr>
      <w:r w:rsidRPr="00CC6C4C">
        <w:rPr>
          <w:rFonts w:ascii="Times New Roman" w:hAnsi="Times New Roman" w:cs="Times New Roman"/>
          <w:sz w:val="24"/>
          <w:szCs w:val="24"/>
          <w:lang w:val="en-GB"/>
        </w:rPr>
        <w:t>Date:</w:t>
      </w:r>
      <w:r w:rsidR="00624647">
        <w:rPr>
          <w:rFonts w:ascii="Times New Roman" w:hAnsi="Times New Roman" w:cs="Times New Roman"/>
          <w:sz w:val="24"/>
          <w:szCs w:val="24"/>
          <w:lang w:val="en-GB"/>
        </w:rPr>
        <w:t xml:space="preserve"> </w:t>
      </w:r>
      <w:r w:rsidR="008E5002">
        <w:rPr>
          <w:rFonts w:ascii="Times New Roman" w:hAnsi="Times New Roman" w:cs="Times New Roman"/>
          <w:sz w:val="24"/>
          <w:szCs w:val="24"/>
          <w:lang w:val="en-GB"/>
        </w:rPr>
        <w:t>02 June 2021</w:t>
      </w:r>
    </w:p>
    <w:p w14:paraId="4D010514" w14:textId="77777777" w:rsidR="00A663FA" w:rsidRPr="00CC6C4C" w:rsidRDefault="00A663FA" w:rsidP="00CC6C4C">
      <w:pPr>
        <w:spacing w:line="360" w:lineRule="auto"/>
        <w:jc w:val="both"/>
        <w:rPr>
          <w:rFonts w:ascii="Times New Roman" w:hAnsi="Times New Roman" w:cs="Times New Roman"/>
          <w:sz w:val="24"/>
          <w:szCs w:val="24"/>
          <w:lang w:val="en-GB"/>
        </w:rPr>
      </w:pPr>
    </w:p>
    <w:p w14:paraId="3B2CB438" w14:textId="77777777" w:rsidR="00A663FA" w:rsidRPr="00CC6C4C" w:rsidRDefault="00A663FA" w:rsidP="00CC6C4C">
      <w:pPr>
        <w:spacing w:line="360" w:lineRule="auto"/>
        <w:jc w:val="both"/>
        <w:rPr>
          <w:rFonts w:ascii="Times New Roman" w:hAnsi="Times New Roman" w:cs="Times New Roman"/>
          <w:sz w:val="24"/>
          <w:szCs w:val="24"/>
          <w:lang w:val="en-GB"/>
        </w:rPr>
      </w:pPr>
    </w:p>
    <w:p w14:paraId="3D0AAE06" w14:textId="77777777" w:rsidR="00A663FA" w:rsidRPr="00CC6C4C" w:rsidRDefault="00A663FA" w:rsidP="00CC6C4C">
      <w:pPr>
        <w:spacing w:line="360" w:lineRule="auto"/>
        <w:jc w:val="both"/>
        <w:rPr>
          <w:rFonts w:ascii="Times New Roman" w:hAnsi="Times New Roman" w:cs="Times New Roman"/>
          <w:sz w:val="24"/>
          <w:szCs w:val="24"/>
          <w:lang w:val="en-GB"/>
        </w:rPr>
      </w:pPr>
    </w:p>
    <w:p w14:paraId="5DC2E250" w14:textId="77777777" w:rsidR="00A663FA" w:rsidRDefault="00A663FA" w:rsidP="00CC6C4C">
      <w:pPr>
        <w:spacing w:line="360" w:lineRule="auto"/>
        <w:jc w:val="both"/>
        <w:rPr>
          <w:rFonts w:ascii="Times New Roman" w:hAnsi="Times New Roman" w:cs="Times New Roman"/>
          <w:sz w:val="24"/>
          <w:szCs w:val="24"/>
          <w:lang w:val="en-GB"/>
        </w:rPr>
      </w:pPr>
    </w:p>
    <w:p w14:paraId="1870F181" w14:textId="77777777" w:rsidR="00CC6C4C" w:rsidRDefault="00CC6C4C" w:rsidP="00CC6C4C">
      <w:pPr>
        <w:spacing w:line="360" w:lineRule="auto"/>
        <w:jc w:val="both"/>
        <w:rPr>
          <w:rFonts w:ascii="Times New Roman" w:hAnsi="Times New Roman" w:cs="Times New Roman"/>
          <w:sz w:val="24"/>
          <w:szCs w:val="24"/>
          <w:lang w:val="en-GB"/>
        </w:rPr>
      </w:pPr>
    </w:p>
    <w:p w14:paraId="3FED9E8E" w14:textId="77777777" w:rsidR="00CC6C4C" w:rsidRPr="00CC6C4C" w:rsidRDefault="00CC6C4C" w:rsidP="00CC6C4C">
      <w:pPr>
        <w:spacing w:line="360" w:lineRule="auto"/>
        <w:jc w:val="both"/>
        <w:rPr>
          <w:rFonts w:ascii="Times New Roman" w:hAnsi="Times New Roman" w:cs="Times New Roman"/>
          <w:sz w:val="24"/>
          <w:szCs w:val="24"/>
          <w:lang w:val="en-GB"/>
        </w:rPr>
      </w:pPr>
    </w:p>
    <w:p w14:paraId="19E88C5F" w14:textId="77777777" w:rsidR="00A663FA" w:rsidRPr="00CC6C4C" w:rsidRDefault="00A663FA" w:rsidP="00CC6C4C">
      <w:pPr>
        <w:spacing w:line="360" w:lineRule="auto"/>
        <w:jc w:val="both"/>
        <w:rPr>
          <w:rFonts w:ascii="Times New Roman" w:hAnsi="Times New Roman" w:cs="Times New Roman"/>
          <w:sz w:val="24"/>
          <w:szCs w:val="24"/>
          <w:lang w:val="en-GB"/>
        </w:rPr>
      </w:pPr>
    </w:p>
    <w:p w14:paraId="095DE9BD" w14:textId="77777777" w:rsidR="00A663FA" w:rsidRPr="00CC6C4C" w:rsidRDefault="00A663FA" w:rsidP="00CC6C4C">
      <w:pPr>
        <w:spacing w:line="360" w:lineRule="auto"/>
        <w:jc w:val="both"/>
        <w:rPr>
          <w:rFonts w:ascii="Times New Roman" w:hAnsi="Times New Roman" w:cs="Times New Roman"/>
          <w:sz w:val="24"/>
          <w:szCs w:val="24"/>
          <w:lang w:val="en-GB"/>
        </w:rPr>
      </w:pPr>
    </w:p>
    <w:p w14:paraId="72DCA73D" w14:textId="77777777" w:rsidR="00A663FA" w:rsidRPr="004B11E4" w:rsidRDefault="00A663FA" w:rsidP="00CC6C4C">
      <w:pPr>
        <w:spacing w:line="360" w:lineRule="auto"/>
        <w:jc w:val="both"/>
        <w:rPr>
          <w:rFonts w:ascii="Arial" w:hAnsi="Arial" w:cs="Arial"/>
          <w:b/>
          <w:iCs/>
          <w:sz w:val="24"/>
          <w:szCs w:val="24"/>
          <w:lang w:val="en-GB"/>
        </w:rPr>
      </w:pPr>
      <w:r w:rsidRPr="004B11E4">
        <w:rPr>
          <w:rFonts w:ascii="Arial" w:hAnsi="Arial" w:cs="Arial"/>
          <w:b/>
          <w:iCs/>
          <w:sz w:val="24"/>
          <w:szCs w:val="24"/>
          <w:lang w:val="en-GB"/>
        </w:rPr>
        <w:t>Introduction</w:t>
      </w:r>
    </w:p>
    <w:p w14:paraId="1608B61D" w14:textId="77777777" w:rsidR="00954B6B" w:rsidRPr="004B11E4" w:rsidRDefault="00954B6B" w:rsidP="00CC6C4C">
      <w:pPr>
        <w:spacing w:line="360" w:lineRule="auto"/>
        <w:jc w:val="both"/>
        <w:rPr>
          <w:rFonts w:ascii="Arial" w:hAnsi="Arial" w:cs="Arial"/>
          <w:sz w:val="24"/>
          <w:szCs w:val="24"/>
          <w:lang w:val="en-GB"/>
        </w:rPr>
      </w:pPr>
      <w:r w:rsidRPr="004B11E4">
        <w:rPr>
          <w:rFonts w:ascii="Arial" w:hAnsi="Arial" w:cs="Arial"/>
          <w:sz w:val="24"/>
          <w:szCs w:val="24"/>
          <w:lang w:val="en-GB"/>
        </w:rPr>
        <w:t xml:space="preserve">Hospitality has been lacking in skills for decades and generally recognized as a </w:t>
      </w:r>
      <w:r w:rsidR="008F5862" w:rsidRPr="004B11E4">
        <w:rPr>
          <w:rFonts w:ascii="Arial" w:hAnsi="Arial" w:cs="Arial"/>
          <w:sz w:val="24"/>
          <w:szCs w:val="24"/>
          <w:lang w:val="en-GB"/>
        </w:rPr>
        <w:t>labour</w:t>
      </w:r>
      <w:r w:rsidRPr="004B11E4">
        <w:rPr>
          <w:rFonts w:ascii="Arial" w:hAnsi="Arial" w:cs="Arial"/>
          <w:sz w:val="24"/>
          <w:szCs w:val="24"/>
          <w:lang w:val="en-GB"/>
        </w:rPr>
        <w:t xml:space="preserve"> issue by 2019. With too few hospitality jobs available, firms were aggressively hunting for fresh talent pools at entry levels, such as elderly employees, ex-offenders or other industry applicants. The impact of COVID lockdowns has the time changed that vision more into something with job losses that create a temporary pool of candidates available</w:t>
      </w:r>
      <w:r w:rsidR="007947AB">
        <w:rPr>
          <w:rFonts w:ascii="Arial" w:hAnsi="Arial" w:cs="Arial"/>
          <w:sz w:val="24"/>
          <w:szCs w:val="24"/>
          <w:lang w:val="en-GB"/>
        </w:rPr>
        <w:t>. Still,</w:t>
      </w:r>
      <w:r w:rsidRPr="004B11E4">
        <w:rPr>
          <w:rFonts w:ascii="Arial" w:hAnsi="Arial" w:cs="Arial"/>
          <w:sz w:val="24"/>
          <w:szCs w:val="24"/>
          <w:lang w:val="en-GB"/>
        </w:rPr>
        <w:t xml:space="preserve"> with COVID 19's influence on the workforce being felt repeatedly, a new image will develop.</w:t>
      </w:r>
      <w:r w:rsidR="00A44C04" w:rsidRPr="004B11E4">
        <w:rPr>
          <w:rFonts w:ascii="Arial" w:hAnsi="Arial" w:cs="Arial"/>
          <w:sz w:val="24"/>
          <w:szCs w:val="24"/>
          <w:lang w:val="en-GB"/>
        </w:rPr>
        <w:t xml:space="preserve"> </w:t>
      </w:r>
      <w:r w:rsidR="007947AB">
        <w:rPr>
          <w:rFonts w:ascii="Arial" w:hAnsi="Arial" w:cs="Arial"/>
          <w:sz w:val="24"/>
          <w:szCs w:val="24"/>
          <w:lang w:val="en-GB"/>
        </w:rPr>
        <w:t>Several</w:t>
      </w:r>
      <w:r w:rsidR="00A44C04" w:rsidRPr="004B11E4">
        <w:rPr>
          <w:rFonts w:ascii="Arial" w:hAnsi="Arial" w:cs="Arial"/>
          <w:sz w:val="24"/>
          <w:szCs w:val="24"/>
          <w:lang w:val="en-GB"/>
        </w:rPr>
        <w:t xml:space="preserve"> UK companies have become a lengthy fight for economic survival, after the COVID-19 pandemic, from a brief departure from the "regular" one. In addition, no business affected more than leisure and hospitality – places for events, hotels, restaurants and travel that depend on social and interaction between groups.</w:t>
      </w:r>
      <w:r w:rsidR="00FA5E5A" w:rsidRPr="004B11E4">
        <w:rPr>
          <w:rFonts w:ascii="Arial" w:hAnsi="Arial" w:cs="Arial"/>
          <w:sz w:val="24"/>
          <w:szCs w:val="24"/>
          <w:lang w:val="en-GB"/>
        </w:rPr>
        <w:t xml:space="preserve"> When the illness swept over the world, hotels almost dried up overnight. In the UK, for example, household occupancy rates dropped, hotel and entertainment businesses lay off around half of their employees.</w:t>
      </w:r>
      <w:r w:rsidR="00062BE5" w:rsidRPr="004B11E4">
        <w:rPr>
          <w:rFonts w:ascii="Arial" w:hAnsi="Arial" w:cs="Arial"/>
          <w:sz w:val="24"/>
          <w:szCs w:val="24"/>
          <w:lang w:val="en-GB"/>
        </w:rPr>
        <w:t xml:space="preserve"> I have selected</w:t>
      </w:r>
      <w:r w:rsidR="00AD7BC2">
        <w:rPr>
          <w:rFonts w:ascii="Arial" w:hAnsi="Arial" w:cs="Arial"/>
          <w:sz w:val="24"/>
          <w:szCs w:val="24"/>
          <w:lang w:val="en-GB"/>
        </w:rPr>
        <w:t xml:space="preserve"> the</w:t>
      </w:r>
      <w:r w:rsidR="00062BE5" w:rsidRPr="004B11E4">
        <w:rPr>
          <w:rFonts w:ascii="Arial" w:hAnsi="Arial" w:cs="Arial"/>
          <w:sz w:val="24"/>
          <w:szCs w:val="24"/>
          <w:lang w:val="en-GB"/>
        </w:rPr>
        <w:t xml:space="preserve"> London Hilton hotel UK for this study</w:t>
      </w:r>
      <w:sdt>
        <w:sdtPr>
          <w:rPr>
            <w:rFonts w:ascii="Arial" w:hAnsi="Arial" w:cs="Arial"/>
            <w:sz w:val="24"/>
            <w:szCs w:val="24"/>
            <w:lang w:val="en-GB"/>
          </w:rPr>
          <w:id w:val="605471057"/>
          <w:citation/>
        </w:sdtPr>
        <w:sdtContent>
          <w:r w:rsidR="00801004" w:rsidRPr="004B11E4">
            <w:rPr>
              <w:rFonts w:ascii="Arial" w:hAnsi="Arial" w:cs="Arial"/>
              <w:sz w:val="24"/>
              <w:szCs w:val="24"/>
              <w:lang w:val="en-GB"/>
            </w:rPr>
            <w:fldChar w:fldCharType="begin"/>
          </w:r>
          <w:r w:rsidR="00801004" w:rsidRPr="004B11E4">
            <w:rPr>
              <w:rFonts w:ascii="Arial" w:hAnsi="Arial" w:cs="Arial"/>
              <w:sz w:val="24"/>
              <w:szCs w:val="24"/>
            </w:rPr>
            <w:instrText xml:space="preserve"> CITATION Pet20 \l 1033 </w:instrText>
          </w:r>
          <w:r w:rsidR="00801004"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(Maina, 2020)</w:t>
          </w:r>
          <w:r w:rsidR="00801004" w:rsidRPr="004B11E4">
            <w:rPr>
              <w:rFonts w:ascii="Arial" w:hAnsi="Arial" w:cs="Arial"/>
              <w:sz w:val="24"/>
              <w:szCs w:val="24"/>
              <w:lang w:val="en-GB"/>
            </w:rPr>
            <w:fldChar w:fldCharType="end"/>
          </w:r>
        </w:sdtContent>
      </w:sdt>
      <w:r w:rsidR="00062BE5" w:rsidRPr="004B11E4">
        <w:rPr>
          <w:rFonts w:ascii="Arial" w:hAnsi="Arial" w:cs="Arial"/>
          <w:sz w:val="24"/>
          <w:szCs w:val="24"/>
          <w:lang w:val="en-GB"/>
        </w:rPr>
        <w:t>.</w:t>
      </w:r>
    </w:p>
    <w:p w14:paraId="673F4030" w14:textId="77777777" w:rsidR="00062BE5" w:rsidRPr="004B11E4" w:rsidRDefault="00062BE5" w:rsidP="00CC6C4C">
      <w:pPr>
        <w:spacing w:line="360" w:lineRule="auto"/>
        <w:jc w:val="both"/>
        <w:rPr>
          <w:rFonts w:ascii="Arial" w:hAnsi="Arial" w:cs="Arial"/>
          <w:b/>
          <w:iCs/>
          <w:sz w:val="24"/>
          <w:szCs w:val="24"/>
          <w:lang w:val="en-GB"/>
        </w:rPr>
      </w:pPr>
      <w:r w:rsidRPr="004B11E4">
        <w:rPr>
          <w:rFonts w:ascii="Arial" w:hAnsi="Arial" w:cs="Arial"/>
          <w:b/>
          <w:iCs/>
          <w:sz w:val="24"/>
          <w:szCs w:val="24"/>
          <w:lang w:val="en-GB"/>
        </w:rPr>
        <w:t>Main Body</w:t>
      </w:r>
    </w:p>
    <w:p w14:paraId="008E607C" w14:textId="77777777" w:rsidR="003B5F0C" w:rsidRPr="004B11E4" w:rsidRDefault="00CC6C4C" w:rsidP="00CC6C4C">
      <w:pPr>
        <w:spacing w:line="360" w:lineRule="auto"/>
        <w:jc w:val="both"/>
        <w:rPr>
          <w:rFonts w:ascii="Arial" w:hAnsi="Arial" w:cs="Arial"/>
          <w:sz w:val="24"/>
          <w:szCs w:val="24"/>
          <w:lang w:val="en-GB"/>
        </w:rPr>
      </w:pPr>
      <w:r w:rsidRPr="004B11E4">
        <w:rPr>
          <w:rFonts w:ascii="Arial" w:hAnsi="Arial" w:cs="Arial"/>
          <w:sz w:val="24"/>
          <w:szCs w:val="24"/>
          <w:lang w:val="en-GB"/>
        </w:rPr>
        <w:t>For hotels, coronavirus sanitation has shown to be an organisational and public relations challenge that calls for a number of new supply chains, a complete revamp of cleaning processes and a strictly managed public account. Though some of the changes are probably transitory, breakfast buffets will certainly come back now, while others will endure for a longer time.</w:t>
      </w:r>
      <w:r w:rsidR="006034A7" w:rsidRPr="004B11E4">
        <w:rPr>
          <w:rFonts w:ascii="Arial" w:hAnsi="Arial" w:cs="Arial"/>
          <w:sz w:val="24"/>
          <w:szCs w:val="24"/>
          <w:lang w:val="en-GB"/>
        </w:rPr>
        <w:t xml:space="preserve"> </w:t>
      </w:r>
      <w:r w:rsidR="003B5F0C" w:rsidRPr="004B11E4">
        <w:rPr>
          <w:rFonts w:ascii="Arial" w:hAnsi="Arial" w:cs="Arial"/>
          <w:sz w:val="24"/>
          <w:szCs w:val="24"/>
          <w:lang w:val="en-GB"/>
        </w:rPr>
        <w:t xml:space="preserve">Although the concept of "workforce" has increased, today's workforce management techniques still concentrate heavily on full/part time employees, and although investment in this group remains significant, organisations' investment must </w:t>
      </w:r>
      <w:r w:rsidR="007E7A1F">
        <w:rPr>
          <w:rFonts w:ascii="Arial" w:hAnsi="Arial" w:cs="Arial"/>
          <w:sz w:val="24"/>
          <w:szCs w:val="24"/>
          <w:lang w:val="en-GB"/>
        </w:rPr>
        <w:t>be combined</w:t>
      </w:r>
      <w:r w:rsidR="003B5F0C" w:rsidRPr="004B11E4">
        <w:rPr>
          <w:rFonts w:ascii="Arial" w:hAnsi="Arial" w:cs="Arial"/>
          <w:sz w:val="24"/>
          <w:szCs w:val="24"/>
          <w:lang w:val="en-GB"/>
        </w:rPr>
        <w:t xml:space="preserve"> with the knowledge and management of their overall staff</w:t>
      </w:r>
      <w:sdt>
        <w:sdtPr>
          <w:rPr>
            <w:rFonts w:ascii="Arial" w:hAnsi="Arial" w:cs="Arial"/>
            <w:sz w:val="24"/>
            <w:szCs w:val="24"/>
            <w:lang w:val="en-GB"/>
          </w:rPr>
          <w:id w:val="-1166943552"/>
          <w:citation/>
        </w:sdtPr>
        <w:sdtContent>
          <w:r w:rsidR="00801004" w:rsidRPr="004B11E4">
            <w:rPr>
              <w:rFonts w:ascii="Arial" w:hAnsi="Arial" w:cs="Arial"/>
              <w:sz w:val="24"/>
              <w:szCs w:val="24"/>
              <w:lang w:val="en-GB"/>
            </w:rPr>
            <w:fldChar w:fldCharType="begin"/>
          </w:r>
          <w:r w:rsidR="00801004" w:rsidRPr="004B11E4">
            <w:rPr>
              <w:rFonts w:ascii="Arial" w:hAnsi="Arial" w:cs="Arial"/>
              <w:sz w:val="24"/>
              <w:szCs w:val="24"/>
            </w:rPr>
            <w:instrText xml:space="preserve"> CITATION Pet201 \l 1033 </w:instrText>
          </w:r>
          <w:r w:rsidR="00801004"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(Maina, 2020)</w:t>
          </w:r>
          <w:r w:rsidR="00801004" w:rsidRPr="004B11E4">
            <w:rPr>
              <w:rFonts w:ascii="Arial" w:hAnsi="Arial" w:cs="Arial"/>
              <w:sz w:val="24"/>
              <w:szCs w:val="24"/>
              <w:lang w:val="en-GB"/>
            </w:rPr>
            <w:fldChar w:fldCharType="end"/>
          </w:r>
        </w:sdtContent>
      </w:sdt>
      <w:r w:rsidR="003B5F0C" w:rsidRPr="004B11E4">
        <w:rPr>
          <w:rFonts w:ascii="Arial" w:hAnsi="Arial" w:cs="Arial"/>
          <w:sz w:val="24"/>
          <w:szCs w:val="24"/>
          <w:lang w:val="en-GB"/>
        </w:rPr>
        <w:t>. Data reveal that although interviewees rely on external players more over the following 18-24 months, employee tactics continue not to continue.</w:t>
      </w:r>
    </w:p>
    <w:p w14:paraId="71182FDD" w14:textId="77777777" w:rsidR="00205C05" w:rsidRPr="004B11E4" w:rsidRDefault="00205C05" w:rsidP="00CC6C4C">
      <w:pPr>
        <w:spacing w:line="360" w:lineRule="auto"/>
        <w:jc w:val="both"/>
        <w:rPr>
          <w:rFonts w:ascii="Arial" w:hAnsi="Arial" w:cs="Arial"/>
          <w:sz w:val="24"/>
          <w:szCs w:val="24"/>
          <w:lang w:val="en-GB"/>
        </w:rPr>
      </w:pPr>
      <w:r w:rsidRPr="004B11E4">
        <w:rPr>
          <w:rFonts w:ascii="Arial" w:hAnsi="Arial" w:cs="Arial"/>
          <w:sz w:val="24"/>
          <w:szCs w:val="24"/>
          <w:lang w:val="en-GB"/>
        </w:rPr>
        <w:t xml:space="preserve">As the </w:t>
      </w:r>
      <w:r w:rsidR="005C6197" w:rsidRPr="004B11E4">
        <w:rPr>
          <w:rFonts w:ascii="Arial" w:hAnsi="Arial" w:cs="Arial"/>
          <w:sz w:val="24"/>
          <w:szCs w:val="24"/>
          <w:lang w:val="en-GB"/>
        </w:rPr>
        <w:t>post-pandemic</w:t>
      </w:r>
      <w:r w:rsidRPr="004B11E4">
        <w:rPr>
          <w:rFonts w:ascii="Arial" w:hAnsi="Arial" w:cs="Arial"/>
          <w:sz w:val="24"/>
          <w:szCs w:val="24"/>
          <w:lang w:val="en-GB"/>
        </w:rPr>
        <w:t xml:space="preserve"> </w:t>
      </w:r>
      <w:r w:rsidR="005C6197" w:rsidRPr="004B11E4">
        <w:rPr>
          <w:rFonts w:ascii="Arial" w:hAnsi="Arial" w:cs="Arial"/>
          <w:sz w:val="24"/>
          <w:szCs w:val="24"/>
          <w:lang w:val="en-GB"/>
        </w:rPr>
        <w:t>economy,</w:t>
      </w:r>
      <w:r w:rsidRPr="004B11E4">
        <w:rPr>
          <w:rFonts w:ascii="Arial" w:hAnsi="Arial" w:cs="Arial"/>
          <w:sz w:val="24"/>
          <w:szCs w:val="24"/>
          <w:lang w:val="en-GB"/>
        </w:rPr>
        <w:t xml:space="preserve"> progresses to recovery, human resources professionals and recruiting managers are facing a completely new work environment. Many find a contrary reality: location has never mattered so much at a labour force ever more remote from the workplace</w:t>
      </w:r>
      <w:r w:rsidR="00525584">
        <w:rPr>
          <w:rFonts w:ascii="Arial" w:hAnsi="Arial" w:cs="Arial"/>
          <w:sz w:val="24"/>
          <w:szCs w:val="24"/>
          <w:lang w:val="en-GB"/>
        </w:rPr>
        <w:t>, and</w:t>
      </w:r>
      <w:r w:rsidRPr="004B11E4">
        <w:rPr>
          <w:rFonts w:ascii="Arial" w:hAnsi="Arial" w:cs="Arial"/>
          <w:sz w:val="24"/>
          <w:szCs w:val="24"/>
          <w:lang w:val="en-GB"/>
        </w:rPr>
        <w:t xml:space="preserve"> </w:t>
      </w:r>
      <w:r w:rsidR="00525584">
        <w:rPr>
          <w:rFonts w:ascii="Arial" w:hAnsi="Arial" w:cs="Arial"/>
          <w:sz w:val="24"/>
          <w:szCs w:val="24"/>
          <w:lang w:val="en-GB"/>
        </w:rPr>
        <w:t>the workforce’s</w:t>
      </w:r>
      <w:r w:rsidRPr="004B11E4">
        <w:rPr>
          <w:rFonts w:ascii="Arial" w:hAnsi="Arial" w:cs="Arial"/>
          <w:sz w:val="24"/>
          <w:szCs w:val="24"/>
          <w:lang w:val="en-GB"/>
        </w:rPr>
        <w:t xml:space="preserve"> analysis has to develop to keep up</w:t>
      </w:r>
      <w:sdt>
        <w:sdtPr>
          <w:rPr>
            <w:rFonts w:ascii="Arial" w:hAnsi="Arial" w:cs="Arial"/>
            <w:sz w:val="24"/>
            <w:szCs w:val="24"/>
            <w:lang w:val="en-GB"/>
          </w:rPr>
          <w:id w:val="-67504071"/>
          <w:citation/>
        </w:sdtPr>
        <w:sdtContent>
          <w:r w:rsidR="00801004" w:rsidRPr="004B11E4">
            <w:rPr>
              <w:rFonts w:ascii="Arial" w:hAnsi="Arial" w:cs="Arial"/>
              <w:sz w:val="24"/>
              <w:szCs w:val="24"/>
              <w:lang w:val="en-GB"/>
            </w:rPr>
            <w:fldChar w:fldCharType="begin"/>
          </w:r>
          <w:r w:rsidR="00801004" w:rsidRPr="004B11E4">
            <w:rPr>
              <w:rFonts w:ascii="Arial" w:hAnsi="Arial" w:cs="Arial"/>
              <w:sz w:val="24"/>
              <w:szCs w:val="24"/>
            </w:rPr>
            <w:instrText xml:space="preserve"> CITATION Jol21 \l 1033 </w:instrText>
          </w:r>
          <w:r w:rsidR="00801004"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(Stoffers, et al., 2021)</w:t>
          </w:r>
          <w:r w:rsidR="00801004" w:rsidRPr="004B11E4">
            <w:rPr>
              <w:rFonts w:ascii="Arial" w:hAnsi="Arial" w:cs="Arial"/>
              <w:sz w:val="24"/>
              <w:szCs w:val="24"/>
              <w:lang w:val="en-GB"/>
            </w:rPr>
            <w:fldChar w:fldCharType="end"/>
          </w:r>
        </w:sdtContent>
      </w:sdt>
      <w:r w:rsidRPr="004B11E4">
        <w:rPr>
          <w:rFonts w:ascii="Arial" w:hAnsi="Arial" w:cs="Arial"/>
          <w:sz w:val="24"/>
          <w:szCs w:val="24"/>
          <w:lang w:val="en-GB"/>
        </w:rPr>
        <w:t>. The increased use of remote work caused by the health issue seems to have changed the culture of the workplace constantly.</w:t>
      </w:r>
    </w:p>
    <w:p w14:paraId="47F121AE" w14:textId="77777777" w:rsidR="005C6197" w:rsidRPr="004B11E4" w:rsidRDefault="005C6197" w:rsidP="00CC6C4C">
      <w:pPr>
        <w:spacing w:line="360" w:lineRule="auto"/>
        <w:jc w:val="both"/>
        <w:rPr>
          <w:rFonts w:ascii="Arial" w:hAnsi="Arial" w:cs="Arial"/>
          <w:sz w:val="24"/>
          <w:szCs w:val="24"/>
          <w:lang w:val="en-GB"/>
        </w:rPr>
      </w:pPr>
      <w:r w:rsidRPr="004B11E4">
        <w:rPr>
          <w:rFonts w:ascii="Arial" w:hAnsi="Arial" w:cs="Arial"/>
          <w:sz w:val="24"/>
          <w:szCs w:val="24"/>
          <w:lang w:val="en-GB"/>
        </w:rPr>
        <w:t>The necessity of cost reduction in recent years has multiplied due to the prevalent coronavirus, which has</w:t>
      </w:r>
      <w:r w:rsidR="005101B8">
        <w:rPr>
          <w:rFonts w:ascii="Arial" w:hAnsi="Arial" w:cs="Arial"/>
          <w:sz w:val="24"/>
          <w:szCs w:val="24"/>
          <w:lang w:val="en-GB"/>
        </w:rPr>
        <w:t xml:space="preserve"> </w:t>
      </w:r>
      <w:r w:rsidRPr="004B11E4">
        <w:rPr>
          <w:rFonts w:ascii="Arial" w:hAnsi="Arial" w:cs="Arial"/>
          <w:sz w:val="24"/>
          <w:szCs w:val="24"/>
          <w:lang w:val="en-GB"/>
        </w:rPr>
        <w:t>resulted in forced lock-downs and social isolation</w:t>
      </w:r>
      <w:r w:rsidR="00BC6092">
        <w:rPr>
          <w:rFonts w:ascii="Arial" w:hAnsi="Arial" w:cs="Arial"/>
          <w:sz w:val="24"/>
          <w:szCs w:val="24"/>
          <w:lang w:val="en-GB"/>
        </w:rPr>
        <w:t xml:space="preserve"> and </w:t>
      </w:r>
      <w:r w:rsidRPr="004B11E4">
        <w:rPr>
          <w:rFonts w:ascii="Arial" w:hAnsi="Arial" w:cs="Arial"/>
          <w:sz w:val="24"/>
          <w:szCs w:val="24"/>
          <w:lang w:val="en-GB"/>
        </w:rPr>
        <w:t>represents a threat to the bas</w:t>
      </w:r>
      <w:r w:rsidR="00D97462" w:rsidRPr="004B11E4">
        <w:rPr>
          <w:rFonts w:ascii="Arial" w:hAnsi="Arial" w:cs="Arial"/>
          <w:sz w:val="24"/>
          <w:szCs w:val="24"/>
          <w:lang w:val="en-GB"/>
        </w:rPr>
        <w:t>ic life of humans and London Hilton hotels</w:t>
      </w:r>
      <w:r w:rsidRPr="004B11E4">
        <w:rPr>
          <w:rFonts w:ascii="Arial" w:hAnsi="Arial" w:cs="Arial"/>
          <w:sz w:val="24"/>
          <w:szCs w:val="24"/>
          <w:lang w:val="en-GB"/>
        </w:rPr>
        <w:t xml:space="preserve">. The </w:t>
      </w:r>
      <w:r w:rsidR="00D97462" w:rsidRPr="004B11E4">
        <w:rPr>
          <w:rFonts w:ascii="Arial" w:hAnsi="Arial" w:cs="Arial"/>
          <w:sz w:val="24"/>
          <w:szCs w:val="24"/>
          <w:lang w:val="en-GB"/>
        </w:rPr>
        <w:t>London Hilton hotel</w:t>
      </w:r>
      <w:r w:rsidRPr="004B11E4">
        <w:rPr>
          <w:rFonts w:ascii="Arial" w:hAnsi="Arial" w:cs="Arial"/>
          <w:sz w:val="24"/>
          <w:szCs w:val="24"/>
          <w:lang w:val="en-GB"/>
        </w:rPr>
        <w:t>'s income has already fallen substantially</w:t>
      </w:r>
      <w:r w:rsidR="00BC6092">
        <w:rPr>
          <w:rFonts w:ascii="Arial" w:hAnsi="Arial" w:cs="Arial"/>
          <w:sz w:val="24"/>
          <w:szCs w:val="24"/>
          <w:lang w:val="en-GB"/>
        </w:rPr>
        <w:t xml:space="preserve">, </w:t>
      </w:r>
      <w:r w:rsidRPr="004B11E4">
        <w:rPr>
          <w:rFonts w:ascii="Arial" w:hAnsi="Arial" w:cs="Arial"/>
          <w:sz w:val="24"/>
          <w:szCs w:val="24"/>
          <w:lang w:val="en-GB"/>
        </w:rPr>
        <w:t>and laying off additional workers, will just lead to skill loss</w:t>
      </w:r>
      <w:r w:rsidR="00FE5B6D">
        <w:rPr>
          <w:rFonts w:ascii="Arial" w:hAnsi="Arial" w:cs="Arial"/>
          <w:sz w:val="24"/>
          <w:szCs w:val="24"/>
          <w:lang w:val="en-GB"/>
        </w:rPr>
        <w:t xml:space="preserve">; </w:t>
      </w:r>
      <w:r w:rsidRPr="004B11E4">
        <w:rPr>
          <w:rFonts w:ascii="Arial" w:hAnsi="Arial" w:cs="Arial"/>
          <w:sz w:val="24"/>
          <w:szCs w:val="24"/>
          <w:lang w:val="en-GB"/>
        </w:rPr>
        <w:t xml:space="preserve">with nobody to rely on </w:t>
      </w:r>
      <w:r w:rsidR="00801004" w:rsidRPr="004B11E4">
        <w:rPr>
          <w:rFonts w:ascii="Arial" w:hAnsi="Arial" w:cs="Arial"/>
          <w:sz w:val="24"/>
          <w:szCs w:val="24"/>
          <w:lang w:val="en-GB"/>
        </w:rPr>
        <w:t>once,</w:t>
      </w:r>
      <w:r w:rsidRPr="004B11E4">
        <w:rPr>
          <w:rFonts w:ascii="Arial" w:hAnsi="Arial" w:cs="Arial"/>
          <w:sz w:val="24"/>
          <w:szCs w:val="24"/>
          <w:lang w:val="en-GB"/>
        </w:rPr>
        <w:t xml:space="preserve"> the situation stabilises and the mom</w:t>
      </w:r>
      <w:r w:rsidR="00D97462" w:rsidRPr="004B11E4">
        <w:rPr>
          <w:rFonts w:ascii="Arial" w:hAnsi="Arial" w:cs="Arial"/>
          <w:sz w:val="24"/>
          <w:szCs w:val="24"/>
          <w:lang w:val="en-GB"/>
        </w:rPr>
        <w:t>ent has come for the gears to</w:t>
      </w:r>
      <w:r w:rsidRPr="004B11E4">
        <w:rPr>
          <w:rFonts w:ascii="Arial" w:hAnsi="Arial" w:cs="Arial"/>
          <w:sz w:val="24"/>
          <w:szCs w:val="24"/>
          <w:lang w:val="en-GB"/>
        </w:rPr>
        <w:t xml:space="preserve"> remove</w:t>
      </w:r>
      <w:r w:rsidR="00801004" w:rsidRPr="004B11E4">
        <w:rPr>
          <w:rFonts w:ascii="Arial" w:hAnsi="Arial" w:cs="Arial"/>
          <w:sz w:val="24"/>
          <w:szCs w:val="24"/>
          <w:lang w:val="en-GB"/>
        </w:rPr>
        <w:t xml:space="preserve">d, blinders and the downturn </w:t>
      </w:r>
      <w:r w:rsidRPr="004B11E4">
        <w:rPr>
          <w:rFonts w:ascii="Arial" w:hAnsi="Arial" w:cs="Arial"/>
          <w:sz w:val="24"/>
          <w:szCs w:val="24"/>
          <w:lang w:val="en-GB"/>
        </w:rPr>
        <w:t>quickly advance</w:t>
      </w:r>
      <w:sdt>
        <w:sdtPr>
          <w:rPr>
            <w:rFonts w:ascii="Arial" w:hAnsi="Arial" w:cs="Arial"/>
            <w:sz w:val="24"/>
            <w:szCs w:val="24"/>
            <w:lang w:val="en-GB"/>
          </w:rPr>
          <w:id w:val="620727950"/>
          <w:citation/>
        </w:sdtPr>
        <w:sdtContent>
          <w:r w:rsidR="00801004" w:rsidRPr="004B11E4">
            <w:rPr>
              <w:rFonts w:ascii="Arial" w:hAnsi="Arial" w:cs="Arial"/>
              <w:sz w:val="24"/>
              <w:szCs w:val="24"/>
              <w:lang w:val="en-GB"/>
            </w:rPr>
            <w:fldChar w:fldCharType="begin"/>
          </w:r>
          <w:r w:rsidR="00801004" w:rsidRPr="004B11E4">
            <w:rPr>
              <w:rFonts w:ascii="Arial" w:hAnsi="Arial" w:cs="Arial"/>
              <w:sz w:val="24"/>
              <w:szCs w:val="24"/>
            </w:rPr>
            <w:instrText xml:space="preserve"> CITATION Ade21 \l 1033 </w:instrText>
          </w:r>
          <w:r w:rsidR="00801004"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(Mcmurray, et al., 2021)</w:t>
          </w:r>
          <w:r w:rsidR="00801004" w:rsidRPr="004B11E4">
            <w:rPr>
              <w:rFonts w:ascii="Arial" w:hAnsi="Arial" w:cs="Arial"/>
              <w:sz w:val="24"/>
              <w:szCs w:val="24"/>
              <w:lang w:val="en-GB"/>
            </w:rPr>
            <w:fldChar w:fldCharType="end"/>
          </w:r>
        </w:sdtContent>
      </w:sdt>
      <w:r w:rsidRPr="004B11E4">
        <w:rPr>
          <w:rFonts w:ascii="Arial" w:hAnsi="Arial" w:cs="Arial"/>
          <w:sz w:val="24"/>
          <w:szCs w:val="24"/>
          <w:lang w:val="en-GB"/>
        </w:rPr>
        <w:t>.</w:t>
      </w:r>
    </w:p>
    <w:p w14:paraId="08A5E0EA" w14:textId="77777777" w:rsidR="00E45D85" w:rsidRPr="004B11E4" w:rsidRDefault="00E45D85" w:rsidP="00CC6C4C">
      <w:pPr>
        <w:spacing w:line="360" w:lineRule="auto"/>
        <w:jc w:val="both"/>
        <w:rPr>
          <w:rFonts w:ascii="Arial" w:hAnsi="Arial" w:cs="Arial"/>
          <w:sz w:val="24"/>
          <w:szCs w:val="24"/>
          <w:lang w:val="en-GB"/>
        </w:rPr>
      </w:pPr>
      <w:r w:rsidRPr="004B11E4">
        <w:rPr>
          <w:rFonts w:ascii="Arial" w:hAnsi="Arial" w:cs="Arial"/>
          <w:sz w:val="24"/>
          <w:szCs w:val="24"/>
          <w:lang w:val="en-GB"/>
        </w:rPr>
        <w:t xml:space="preserve">London Hilton hotel </w:t>
      </w:r>
      <w:r w:rsidR="00AD75D0">
        <w:rPr>
          <w:rFonts w:ascii="Arial" w:hAnsi="Arial" w:cs="Arial"/>
          <w:sz w:val="24"/>
          <w:szCs w:val="24"/>
          <w:lang w:val="en-GB"/>
        </w:rPr>
        <w:t>knows</w:t>
      </w:r>
      <w:r w:rsidRPr="004B11E4">
        <w:rPr>
          <w:rFonts w:ascii="Arial" w:hAnsi="Arial" w:cs="Arial"/>
          <w:sz w:val="24"/>
          <w:szCs w:val="24"/>
          <w:lang w:val="en-GB"/>
        </w:rPr>
        <w:t xml:space="preserve"> the consequences of the worldwide pandemic on </w:t>
      </w:r>
      <w:r w:rsidR="00C76208">
        <w:rPr>
          <w:rFonts w:ascii="Arial" w:hAnsi="Arial" w:cs="Arial"/>
          <w:sz w:val="24"/>
          <w:szCs w:val="24"/>
          <w:lang w:val="en-GB"/>
        </w:rPr>
        <w:t>the employees’</w:t>
      </w:r>
      <w:r w:rsidRPr="004B11E4">
        <w:rPr>
          <w:rFonts w:ascii="Arial" w:hAnsi="Arial" w:cs="Arial"/>
          <w:sz w:val="24"/>
          <w:szCs w:val="24"/>
          <w:lang w:val="en-GB"/>
        </w:rPr>
        <w:t xml:space="preserve"> working and personal </w:t>
      </w:r>
      <w:r w:rsidR="00C76208">
        <w:rPr>
          <w:rFonts w:ascii="Arial" w:hAnsi="Arial" w:cs="Arial"/>
          <w:sz w:val="24"/>
          <w:szCs w:val="24"/>
          <w:lang w:val="en-GB"/>
        </w:rPr>
        <w:t>lives</w:t>
      </w:r>
      <w:r w:rsidRPr="004B11E4">
        <w:rPr>
          <w:rFonts w:ascii="Arial" w:hAnsi="Arial" w:cs="Arial"/>
          <w:sz w:val="24"/>
          <w:szCs w:val="24"/>
          <w:lang w:val="en-GB"/>
        </w:rPr>
        <w:t xml:space="preserve"> and </w:t>
      </w:r>
      <w:r w:rsidR="00EF0A34">
        <w:rPr>
          <w:rFonts w:ascii="Arial" w:hAnsi="Arial" w:cs="Arial"/>
          <w:sz w:val="24"/>
          <w:szCs w:val="24"/>
          <w:lang w:val="en-GB"/>
        </w:rPr>
        <w:t>has</w:t>
      </w:r>
      <w:r w:rsidRPr="004B11E4">
        <w:rPr>
          <w:rFonts w:ascii="Arial" w:hAnsi="Arial" w:cs="Arial"/>
          <w:sz w:val="24"/>
          <w:szCs w:val="24"/>
          <w:lang w:val="en-GB"/>
        </w:rPr>
        <w:t xml:space="preserve"> come up with a range of solutions throughout the globe to maintain cost under control and employees' payroll</w:t>
      </w:r>
      <w:r w:rsidR="00AD75D0">
        <w:rPr>
          <w:rFonts w:ascii="Arial" w:hAnsi="Arial" w:cs="Arial"/>
          <w:sz w:val="24"/>
          <w:szCs w:val="24"/>
          <w:lang w:val="en-GB"/>
        </w:rPr>
        <w:t xml:space="preserve"> t</w:t>
      </w:r>
      <w:r w:rsidRPr="004B11E4">
        <w:rPr>
          <w:rFonts w:ascii="Arial" w:hAnsi="Arial" w:cs="Arial"/>
          <w:sz w:val="24"/>
          <w:szCs w:val="24"/>
          <w:lang w:val="en-GB"/>
        </w:rPr>
        <w:t>o enable their workers to sail through harsh times.</w:t>
      </w:r>
      <w:r w:rsidR="00D946B1" w:rsidRPr="004B11E4">
        <w:rPr>
          <w:rFonts w:ascii="Arial" w:hAnsi="Arial" w:cs="Arial"/>
          <w:sz w:val="24"/>
          <w:szCs w:val="24"/>
          <w:lang w:val="en-GB"/>
        </w:rPr>
        <w:t xml:space="preserve"> Because of the growing COVID</w:t>
      </w:r>
      <w:r w:rsidR="00D946B1" w:rsidRPr="004B11E4">
        <w:rPr>
          <w:rFonts w:ascii="Cambria Math" w:hAnsi="Cambria Math" w:cs="Cambria Math"/>
          <w:sz w:val="24"/>
          <w:szCs w:val="24"/>
          <w:lang w:val="en-GB"/>
        </w:rPr>
        <w:t>‐</w:t>
      </w:r>
      <w:r w:rsidR="00D946B1" w:rsidRPr="004B11E4">
        <w:rPr>
          <w:rFonts w:ascii="Arial" w:hAnsi="Arial" w:cs="Arial"/>
          <w:sz w:val="24"/>
          <w:szCs w:val="24"/>
          <w:lang w:val="en-GB"/>
        </w:rPr>
        <w:t>19 instances, most</w:t>
      </w:r>
      <w:r w:rsidR="00AD75D0">
        <w:rPr>
          <w:rFonts w:ascii="Arial" w:hAnsi="Arial" w:cs="Arial"/>
          <w:sz w:val="24"/>
          <w:szCs w:val="24"/>
          <w:lang w:val="en-GB"/>
        </w:rPr>
        <w:t xml:space="preserve"> </w:t>
      </w:r>
      <w:r w:rsidR="00D946B1" w:rsidRPr="004B11E4">
        <w:rPr>
          <w:rFonts w:ascii="Arial" w:hAnsi="Arial" w:cs="Arial"/>
          <w:sz w:val="24"/>
          <w:szCs w:val="24"/>
          <w:lang w:val="en-GB"/>
        </w:rPr>
        <w:t>London Hilton hotel’s workers are under stress</w:t>
      </w:r>
      <w:sdt>
        <w:sdtPr>
          <w:rPr>
            <w:rFonts w:ascii="Arial" w:hAnsi="Arial" w:cs="Arial"/>
            <w:sz w:val="24"/>
            <w:szCs w:val="24"/>
            <w:lang w:val="en-GB"/>
          </w:rPr>
          <w:id w:val="1030609402"/>
          <w:citation/>
        </w:sdtPr>
        <w:sdtContent>
          <w:r w:rsidR="00A20213" w:rsidRPr="004B11E4">
            <w:rPr>
              <w:rFonts w:ascii="Arial" w:hAnsi="Arial" w:cs="Arial"/>
              <w:sz w:val="24"/>
              <w:szCs w:val="24"/>
              <w:lang w:val="en-GB"/>
            </w:rPr>
            <w:fldChar w:fldCharType="begin"/>
          </w:r>
          <w:r w:rsidR="00A20213" w:rsidRPr="004B11E4">
            <w:rPr>
              <w:rFonts w:ascii="Arial" w:hAnsi="Arial" w:cs="Arial"/>
              <w:sz w:val="24"/>
              <w:szCs w:val="24"/>
            </w:rPr>
            <w:instrText xml:space="preserve"> CITATION Mic211 \l 1033 </w:instrText>
          </w:r>
          <w:r w:rsidR="00A20213"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(Adarkwah, 2021)</w:t>
          </w:r>
          <w:r w:rsidR="00A20213" w:rsidRPr="004B11E4">
            <w:rPr>
              <w:rFonts w:ascii="Arial" w:hAnsi="Arial" w:cs="Arial"/>
              <w:sz w:val="24"/>
              <w:szCs w:val="24"/>
              <w:lang w:val="en-GB"/>
            </w:rPr>
            <w:fldChar w:fldCharType="end"/>
          </w:r>
        </w:sdtContent>
      </w:sdt>
      <w:r w:rsidR="00D946B1" w:rsidRPr="004B11E4">
        <w:rPr>
          <w:rFonts w:ascii="Arial" w:hAnsi="Arial" w:cs="Arial"/>
          <w:sz w:val="24"/>
          <w:szCs w:val="24"/>
          <w:lang w:val="en-GB"/>
        </w:rPr>
        <w:t>. They are not confident about their safety at work and their wages too. These challenges prevent employees from focusing on their jobs</w:t>
      </w:r>
      <w:r w:rsidR="00EF0A34">
        <w:rPr>
          <w:rFonts w:ascii="Arial" w:hAnsi="Arial" w:cs="Arial"/>
          <w:sz w:val="24"/>
          <w:szCs w:val="24"/>
          <w:lang w:val="en-GB"/>
        </w:rPr>
        <w:t xml:space="preserve">. </w:t>
      </w:r>
      <w:proofErr w:type="gramStart"/>
      <w:r w:rsidR="00EF0A34">
        <w:rPr>
          <w:rFonts w:ascii="Arial" w:hAnsi="Arial" w:cs="Arial"/>
          <w:sz w:val="24"/>
          <w:szCs w:val="24"/>
          <w:lang w:val="en-GB"/>
        </w:rPr>
        <w:t>T</w:t>
      </w:r>
      <w:r w:rsidR="00D946B1" w:rsidRPr="004B11E4">
        <w:rPr>
          <w:rFonts w:ascii="Arial" w:hAnsi="Arial" w:cs="Arial"/>
          <w:sz w:val="24"/>
          <w:szCs w:val="24"/>
          <w:lang w:val="en-GB"/>
        </w:rPr>
        <w:t>hus</w:t>
      </w:r>
      <w:proofErr w:type="gramEnd"/>
      <w:r w:rsidR="00D946B1" w:rsidRPr="004B11E4">
        <w:rPr>
          <w:rFonts w:ascii="Arial" w:hAnsi="Arial" w:cs="Arial"/>
          <w:sz w:val="24"/>
          <w:szCs w:val="24"/>
          <w:lang w:val="en-GB"/>
        </w:rPr>
        <w:t xml:space="preserve"> employee involvement is necessary. The Hotel is primarily responsible for the well-being of its personnel and their participation. The well-engaged staff are 100% successful. Leaders must provide encouraging conversation lectures, increase moral standards, and establish a secure and open workplace so that employees may raise their voices if they have problems. Leaders may communicate via multimedia</w:t>
      </w:r>
      <w:sdt>
        <w:sdtPr>
          <w:rPr>
            <w:rFonts w:ascii="Arial" w:hAnsi="Arial" w:cs="Arial"/>
            <w:sz w:val="24"/>
            <w:szCs w:val="24"/>
            <w:lang w:val="en-GB"/>
          </w:rPr>
          <w:id w:val="-599636364"/>
          <w:citation/>
        </w:sdtPr>
        <w:sdtContent>
          <w:r w:rsidR="00A20213" w:rsidRPr="004B11E4">
            <w:rPr>
              <w:rFonts w:ascii="Arial" w:hAnsi="Arial" w:cs="Arial"/>
              <w:sz w:val="24"/>
              <w:szCs w:val="24"/>
              <w:lang w:val="en-GB"/>
            </w:rPr>
            <w:fldChar w:fldCharType="begin"/>
          </w:r>
          <w:r w:rsidR="00A20213" w:rsidRPr="004B11E4">
            <w:rPr>
              <w:rFonts w:ascii="Arial" w:hAnsi="Arial" w:cs="Arial"/>
              <w:sz w:val="24"/>
              <w:szCs w:val="24"/>
            </w:rPr>
            <w:instrText xml:space="preserve"> CITATION Alı20 \l 1033 </w:instrText>
          </w:r>
          <w:r w:rsidR="00A20213"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(Alıcı &amp; Polat, 2020)</w:t>
          </w:r>
          <w:r w:rsidR="00A20213" w:rsidRPr="004B11E4">
            <w:rPr>
              <w:rFonts w:ascii="Arial" w:hAnsi="Arial" w:cs="Arial"/>
              <w:sz w:val="24"/>
              <w:szCs w:val="24"/>
              <w:lang w:val="en-GB"/>
            </w:rPr>
            <w:fldChar w:fldCharType="end"/>
          </w:r>
        </w:sdtContent>
      </w:sdt>
      <w:r w:rsidR="00D946B1" w:rsidRPr="004B11E4">
        <w:rPr>
          <w:rFonts w:ascii="Arial" w:hAnsi="Arial" w:cs="Arial"/>
          <w:sz w:val="24"/>
          <w:szCs w:val="24"/>
          <w:lang w:val="en-GB"/>
        </w:rPr>
        <w:t>.</w:t>
      </w:r>
    </w:p>
    <w:p w14:paraId="5EB2162C" w14:textId="77777777" w:rsidR="00047077" w:rsidRPr="004B11E4" w:rsidRDefault="00047077" w:rsidP="00CC6C4C">
      <w:pPr>
        <w:spacing w:line="360" w:lineRule="auto"/>
        <w:jc w:val="both"/>
        <w:rPr>
          <w:rFonts w:ascii="Arial" w:hAnsi="Arial" w:cs="Arial"/>
          <w:sz w:val="24"/>
          <w:szCs w:val="24"/>
          <w:lang w:val="en-GB"/>
        </w:rPr>
      </w:pPr>
      <w:r w:rsidRPr="004B11E4">
        <w:rPr>
          <w:rFonts w:ascii="Arial" w:hAnsi="Arial" w:cs="Arial"/>
          <w:sz w:val="24"/>
          <w:szCs w:val="24"/>
          <w:lang w:val="en-GB"/>
        </w:rPr>
        <w:t>Initial ILO figures show that unemployment and underemployment have increased significantly following the pandemic. Based on several scenarios for the impact of COVID-19 on global GDP growth</w:t>
      </w:r>
      <w:r w:rsidR="00EF0A34">
        <w:rPr>
          <w:rFonts w:ascii="Arial" w:hAnsi="Arial" w:cs="Arial"/>
          <w:sz w:val="24"/>
          <w:szCs w:val="24"/>
          <w:lang w:val="en-GB"/>
        </w:rPr>
        <w:t xml:space="preserve">, </w:t>
      </w:r>
      <w:r w:rsidRPr="004B11E4">
        <w:rPr>
          <w:rFonts w:ascii="Arial" w:hAnsi="Arial" w:cs="Arial"/>
          <w:sz w:val="24"/>
          <w:szCs w:val="24"/>
          <w:lang w:val="en-GB"/>
        </w:rPr>
        <w:t>the early estimates by the ILO show that worldwide unemployment has risen from a base level of 188 million in 2019 between 5.3 million and 24.7 million ("high" scenarios). The "middle" option indicates that 13 million are increased (7.4 million in high-income countries). Although these estimates remain quite questionable, all numbers imply that worldwide unemployment is rising substantially. By comparison, unemployment surged by 22 million in the 2008-9 global financial crisis</w:t>
      </w:r>
      <w:sdt>
        <w:sdtPr>
          <w:rPr>
            <w:rFonts w:ascii="Arial" w:hAnsi="Arial" w:cs="Arial"/>
            <w:sz w:val="24"/>
            <w:szCs w:val="24"/>
            <w:lang w:val="en-GB"/>
          </w:rPr>
          <w:id w:val="-878697291"/>
          <w:citation/>
        </w:sdtPr>
        <w:sdtContent>
          <w:r w:rsidR="00A20213" w:rsidRPr="004B11E4">
            <w:rPr>
              <w:rFonts w:ascii="Arial" w:hAnsi="Arial" w:cs="Arial"/>
              <w:sz w:val="24"/>
              <w:szCs w:val="24"/>
              <w:lang w:val="en-GB"/>
            </w:rPr>
            <w:fldChar w:fldCharType="begin"/>
          </w:r>
          <w:r w:rsidR="00A20213" w:rsidRPr="004B11E4">
            <w:rPr>
              <w:rFonts w:ascii="Arial" w:hAnsi="Arial" w:cs="Arial"/>
              <w:sz w:val="24"/>
              <w:szCs w:val="24"/>
            </w:rPr>
            <w:instrText xml:space="preserve"> CITATION Are21 \l 1033 </w:instrText>
          </w:r>
          <w:r w:rsidR="00A20213"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(Arena &amp; Aprea, 2021)</w:t>
          </w:r>
          <w:r w:rsidR="00A20213" w:rsidRPr="004B11E4">
            <w:rPr>
              <w:rFonts w:ascii="Arial" w:hAnsi="Arial" w:cs="Arial"/>
              <w:sz w:val="24"/>
              <w:szCs w:val="24"/>
              <w:lang w:val="en-GB"/>
            </w:rPr>
            <w:fldChar w:fldCharType="end"/>
          </w:r>
        </w:sdtContent>
      </w:sdt>
      <w:r w:rsidRPr="004B11E4">
        <w:rPr>
          <w:rFonts w:ascii="Arial" w:hAnsi="Arial" w:cs="Arial"/>
          <w:sz w:val="24"/>
          <w:szCs w:val="24"/>
          <w:lang w:val="en-GB"/>
        </w:rPr>
        <w:t>.</w:t>
      </w:r>
    </w:p>
    <w:p w14:paraId="7109736B" w14:textId="77777777" w:rsidR="00B263B8" w:rsidRPr="004B11E4" w:rsidRDefault="00B263B8" w:rsidP="00CC6C4C">
      <w:pPr>
        <w:spacing w:line="360" w:lineRule="auto"/>
        <w:jc w:val="both"/>
        <w:rPr>
          <w:rFonts w:ascii="Arial" w:hAnsi="Arial" w:cs="Arial"/>
          <w:sz w:val="24"/>
          <w:szCs w:val="24"/>
          <w:lang w:val="en-GB"/>
        </w:rPr>
      </w:pPr>
      <w:r w:rsidRPr="004B11E4">
        <w:rPr>
          <w:rFonts w:ascii="Arial" w:hAnsi="Arial" w:cs="Arial"/>
          <w:sz w:val="24"/>
          <w:szCs w:val="24"/>
          <w:lang w:val="en-GB"/>
        </w:rPr>
        <w:t xml:space="preserve">Due to the virtual stalemate of travel, operations in many managed and franchised hotels have discontinued, with hotels remaining open to customers having lower occupancy rates. Hilton takes the following measures at a corporate level to drastically decrease costs and maintain liquidity: President and CEO Christopher </w:t>
      </w:r>
      <w:proofErr w:type="spellStart"/>
      <w:r w:rsidRPr="004B11E4">
        <w:rPr>
          <w:rFonts w:ascii="Arial" w:hAnsi="Arial" w:cs="Arial"/>
          <w:sz w:val="24"/>
          <w:szCs w:val="24"/>
          <w:lang w:val="en-GB"/>
        </w:rPr>
        <w:t>Nassetta</w:t>
      </w:r>
      <w:proofErr w:type="spellEnd"/>
      <w:r w:rsidRPr="004B11E4">
        <w:rPr>
          <w:rFonts w:ascii="Arial" w:hAnsi="Arial" w:cs="Arial"/>
          <w:sz w:val="24"/>
          <w:szCs w:val="24"/>
          <w:lang w:val="en-GB"/>
        </w:rPr>
        <w:t xml:space="preserve"> will giv</w:t>
      </w:r>
      <w:r w:rsidR="00842D8C" w:rsidRPr="004B11E4">
        <w:rPr>
          <w:rFonts w:ascii="Arial" w:hAnsi="Arial" w:cs="Arial"/>
          <w:sz w:val="24"/>
          <w:szCs w:val="24"/>
          <w:lang w:val="en-GB"/>
        </w:rPr>
        <w:t>e up his income by 2020, the CEO</w:t>
      </w:r>
      <w:r w:rsidRPr="004B11E4">
        <w:rPr>
          <w:rFonts w:ascii="Arial" w:hAnsi="Arial" w:cs="Arial"/>
          <w:sz w:val="24"/>
          <w:szCs w:val="24"/>
          <w:lang w:val="en-GB"/>
        </w:rPr>
        <w:t xml:space="preserve"> will bear a 50% pay cut during the crisis and many of his team will have restricted schedules or be flooded for up to 90 days by April 4. CEO Christopher </w:t>
      </w:r>
      <w:proofErr w:type="spellStart"/>
      <w:r w:rsidRPr="004B11E4">
        <w:rPr>
          <w:rFonts w:ascii="Arial" w:hAnsi="Arial" w:cs="Arial"/>
          <w:sz w:val="24"/>
          <w:szCs w:val="24"/>
          <w:lang w:val="en-GB"/>
        </w:rPr>
        <w:t>Nassetta</w:t>
      </w:r>
      <w:proofErr w:type="spellEnd"/>
      <w:r w:rsidRPr="004B11E4">
        <w:rPr>
          <w:rFonts w:ascii="Arial" w:hAnsi="Arial" w:cs="Arial"/>
          <w:sz w:val="24"/>
          <w:szCs w:val="24"/>
          <w:lang w:val="en-GB"/>
        </w:rPr>
        <w:t xml:space="preserve"> will be the first member of his team</w:t>
      </w:r>
      <w:sdt>
        <w:sdtPr>
          <w:rPr>
            <w:rFonts w:ascii="Arial" w:hAnsi="Arial" w:cs="Arial"/>
            <w:sz w:val="24"/>
            <w:szCs w:val="24"/>
            <w:lang w:val="en-GB"/>
          </w:rPr>
          <w:id w:val="1344902378"/>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Bar20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(Barmania &amp; Reiss, 2020)</w:t>
          </w:r>
          <w:r w:rsidR="00D628FD" w:rsidRPr="004B11E4">
            <w:rPr>
              <w:rFonts w:ascii="Arial" w:hAnsi="Arial" w:cs="Arial"/>
              <w:sz w:val="24"/>
              <w:szCs w:val="24"/>
              <w:lang w:val="en-GB"/>
            </w:rPr>
            <w:fldChar w:fldCharType="end"/>
          </w:r>
        </w:sdtContent>
      </w:sdt>
      <w:r w:rsidRPr="004B11E4">
        <w:rPr>
          <w:rFonts w:ascii="Arial" w:hAnsi="Arial" w:cs="Arial"/>
          <w:sz w:val="24"/>
          <w:szCs w:val="24"/>
          <w:lang w:val="en-GB"/>
        </w:rPr>
        <w:t>.</w:t>
      </w:r>
      <w:r w:rsidR="001F2497" w:rsidRPr="004B11E4">
        <w:rPr>
          <w:rFonts w:ascii="Arial" w:hAnsi="Arial" w:cs="Arial"/>
          <w:sz w:val="24"/>
          <w:szCs w:val="24"/>
          <w:lang w:val="en-GB"/>
        </w:rPr>
        <w:t xml:space="preserve"> These team members will retain health benefits and will be eligible for unemployment benefits in accordance with local regulations, corporate team members who not flown will have their salary cut by up to 20% for the duration of this crisis, eliminating non-essential costs (including capital expenditure) and suspending any share buyback or pausing.</w:t>
      </w:r>
    </w:p>
    <w:p w14:paraId="129DBD1F" w14:textId="77777777" w:rsidR="00F3465C" w:rsidRPr="004B11E4" w:rsidRDefault="00F3465C" w:rsidP="00CC6C4C">
      <w:pPr>
        <w:spacing w:line="360" w:lineRule="auto"/>
        <w:jc w:val="both"/>
        <w:rPr>
          <w:rFonts w:ascii="Arial" w:hAnsi="Arial" w:cs="Arial"/>
          <w:sz w:val="24"/>
          <w:szCs w:val="24"/>
          <w:lang w:val="en-GB"/>
        </w:rPr>
      </w:pPr>
      <w:r w:rsidRPr="004B11E4">
        <w:rPr>
          <w:rFonts w:ascii="Arial" w:hAnsi="Arial" w:cs="Arial"/>
          <w:sz w:val="24"/>
          <w:szCs w:val="24"/>
          <w:lang w:val="en-GB"/>
        </w:rPr>
        <w:t>For corporate executives to announce job layoffs, it is not rare to comment highly on employee attendance. It is another thing to support deeds in those words. However, for his people it is what Hilton did. Hilton has developed a collaboration with prominent firms with employment opens to help the successful team members worldwide</w:t>
      </w:r>
      <w:sdt>
        <w:sdtPr>
          <w:rPr>
            <w:rFonts w:ascii="Arial" w:hAnsi="Arial" w:cs="Arial"/>
            <w:sz w:val="24"/>
            <w:szCs w:val="24"/>
            <w:lang w:val="en-GB"/>
          </w:rPr>
          <w:id w:val="633152530"/>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Ber21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(Bermejo-Martins, et al., 2021)</w:t>
          </w:r>
          <w:r w:rsidR="00D628FD" w:rsidRPr="004B11E4">
            <w:rPr>
              <w:rFonts w:ascii="Arial" w:hAnsi="Arial" w:cs="Arial"/>
              <w:sz w:val="24"/>
              <w:szCs w:val="24"/>
              <w:lang w:val="en-GB"/>
            </w:rPr>
            <w:fldChar w:fldCharType="end"/>
          </w:r>
        </w:sdtContent>
      </w:sdt>
      <w:r w:rsidRPr="004B11E4">
        <w:rPr>
          <w:rFonts w:ascii="Arial" w:hAnsi="Arial" w:cs="Arial"/>
          <w:sz w:val="24"/>
          <w:szCs w:val="24"/>
          <w:lang w:val="en-GB"/>
        </w:rPr>
        <w:t>. The Global Initiative brings together employees from the hotels and corporate offices of Hilton displaced by the epidemic to over one million short-term jobs. By the middle of September, Hilton had temporarily positioned thousands of team members worldwide. Albertsons, Amazon, CVS, Lidl, Wegmans and Walgreens are among the partner firms.</w:t>
      </w:r>
    </w:p>
    <w:p w14:paraId="486CFB71" w14:textId="77777777" w:rsidR="00DA1C26" w:rsidRPr="004B11E4" w:rsidRDefault="00DA1C26" w:rsidP="00CC6C4C">
      <w:pPr>
        <w:spacing w:line="360" w:lineRule="auto"/>
        <w:jc w:val="both"/>
        <w:rPr>
          <w:rFonts w:ascii="Arial" w:hAnsi="Arial" w:cs="Arial"/>
          <w:sz w:val="24"/>
          <w:szCs w:val="24"/>
          <w:lang w:val="en-GB"/>
        </w:rPr>
      </w:pPr>
      <w:r w:rsidRPr="004B11E4">
        <w:rPr>
          <w:rFonts w:ascii="Arial" w:hAnsi="Arial" w:cs="Arial"/>
          <w:sz w:val="24"/>
          <w:szCs w:val="24"/>
          <w:lang w:val="en-GB"/>
        </w:rPr>
        <w:t>In addition to inventive methods to accommodate displaced people, Hilton has innovated how it serves the broader community – turning unemployed rooms into a key resource amid the crisis. He said in April that it will provide up to 1 million nights to medical professionals building up to the COVID-19 fight. Hilton launched a cooperation with American Express</w:t>
      </w:r>
      <w:sdt>
        <w:sdtPr>
          <w:rPr>
            <w:rFonts w:ascii="Arial" w:hAnsi="Arial" w:cs="Arial"/>
            <w:sz w:val="24"/>
            <w:szCs w:val="24"/>
            <w:lang w:val="en-GB"/>
          </w:rPr>
          <w:id w:val="1330246606"/>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Ele21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(Bermejo-Martins, et al., 2021)</w:t>
          </w:r>
          <w:r w:rsidR="00D628FD" w:rsidRPr="004B11E4">
            <w:rPr>
              <w:rFonts w:ascii="Arial" w:hAnsi="Arial" w:cs="Arial"/>
              <w:sz w:val="24"/>
              <w:szCs w:val="24"/>
              <w:lang w:val="en-GB"/>
            </w:rPr>
            <w:fldChar w:fldCharType="end"/>
          </w:r>
        </w:sdtContent>
      </w:sdt>
      <w:r w:rsidRPr="004B11E4">
        <w:rPr>
          <w:rFonts w:ascii="Arial" w:hAnsi="Arial" w:cs="Arial"/>
          <w:sz w:val="24"/>
          <w:szCs w:val="24"/>
          <w:lang w:val="en-GB"/>
        </w:rPr>
        <w:t>. In May, Hilton expanded this essential effort by providing healthy and fresh meals to the health care heroes who stayed at participating facilities with a $1 million gift from the American Express to World Central Kitchen.</w:t>
      </w:r>
      <w:r w:rsidR="002558E0" w:rsidRPr="004B11E4">
        <w:rPr>
          <w:rFonts w:ascii="Arial" w:hAnsi="Arial" w:cs="Arial"/>
        </w:rPr>
        <w:t xml:space="preserve"> </w:t>
      </w:r>
      <w:r w:rsidR="002558E0" w:rsidRPr="004B11E4">
        <w:rPr>
          <w:rFonts w:ascii="Arial" w:hAnsi="Arial" w:cs="Arial"/>
          <w:sz w:val="24"/>
          <w:szCs w:val="24"/>
          <w:lang w:val="en-GB"/>
        </w:rPr>
        <w:t>Hilton felt the sorrow together with his peers during a catastrophic year for the hotel business. All of this, however, they worked hard for their goal and ideals to remain true. The firm has shown its inventiveness in caring for its staff and the community at large in particular</w:t>
      </w:r>
      <w:sdt>
        <w:sdtPr>
          <w:rPr>
            <w:rFonts w:ascii="Arial" w:hAnsi="Arial" w:cs="Arial"/>
            <w:sz w:val="24"/>
            <w:szCs w:val="24"/>
            <w:lang w:val="en-GB"/>
          </w:rPr>
          <w:id w:val="1443486993"/>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Ele18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(Chatburn, et al., 2018)</w:t>
          </w:r>
          <w:r w:rsidR="00D628FD" w:rsidRPr="004B11E4">
            <w:rPr>
              <w:rFonts w:ascii="Arial" w:hAnsi="Arial" w:cs="Arial"/>
              <w:sz w:val="24"/>
              <w:szCs w:val="24"/>
              <w:lang w:val="en-GB"/>
            </w:rPr>
            <w:fldChar w:fldCharType="end"/>
          </w:r>
        </w:sdtContent>
      </w:sdt>
      <w:r w:rsidR="002558E0" w:rsidRPr="004B11E4">
        <w:rPr>
          <w:rFonts w:ascii="Arial" w:hAnsi="Arial" w:cs="Arial"/>
          <w:sz w:val="24"/>
          <w:szCs w:val="24"/>
          <w:lang w:val="en-GB"/>
        </w:rPr>
        <w:t>. This care and the larger, open ethos of Hilton will undoubtedly help the legendary brand rebuild once the epidemic eases.</w:t>
      </w:r>
    </w:p>
    <w:p w14:paraId="17F70C33" w14:textId="77777777" w:rsidR="005A2DCD" w:rsidRPr="004B11E4" w:rsidRDefault="007F0FF4" w:rsidP="00CC6C4C">
      <w:pPr>
        <w:spacing w:line="360" w:lineRule="auto"/>
        <w:jc w:val="both"/>
        <w:rPr>
          <w:rFonts w:ascii="Arial" w:hAnsi="Arial" w:cs="Arial"/>
          <w:sz w:val="24"/>
          <w:szCs w:val="24"/>
          <w:lang w:val="en-GB"/>
        </w:rPr>
      </w:pPr>
      <w:r w:rsidRPr="00F94164">
        <w:rPr>
          <w:rFonts w:ascii="Arial" w:hAnsi="Arial" w:cs="Arial"/>
          <w:b/>
          <w:bCs/>
          <w:sz w:val="24"/>
          <w:szCs w:val="24"/>
          <w:lang w:val="en-GB"/>
        </w:rPr>
        <w:t>Political</w:t>
      </w:r>
      <w:r w:rsidRPr="004B11E4">
        <w:rPr>
          <w:rFonts w:ascii="Arial" w:hAnsi="Arial" w:cs="Arial"/>
          <w:sz w:val="24"/>
          <w:szCs w:val="24"/>
          <w:lang w:val="en-GB"/>
        </w:rPr>
        <w:t xml:space="preserve">: </w:t>
      </w:r>
      <w:r w:rsidR="006B7594" w:rsidRPr="004B11E4">
        <w:rPr>
          <w:rFonts w:ascii="Arial" w:hAnsi="Arial" w:cs="Arial"/>
          <w:sz w:val="24"/>
          <w:szCs w:val="24"/>
          <w:lang w:val="en-GB"/>
        </w:rPr>
        <w:t>The determination of elements that might affect London Hilton Hotels' long-term profitability in the UK market plays an important part in political issues. Hilton Hotel operates in more than a dozen countries in Lodging and exposed to diverse kinds of risk from the political environment and system. In such a dynamic lodging business in several nations, success achieved by diversifying systematic risk of politics</w:t>
      </w:r>
      <w:sdt>
        <w:sdtPr>
          <w:rPr>
            <w:rFonts w:ascii="Arial" w:hAnsi="Arial" w:cs="Arial"/>
            <w:sz w:val="24"/>
            <w:szCs w:val="24"/>
            <w:lang w:val="en-GB"/>
          </w:rPr>
          <w:id w:val="1280999057"/>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Har141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(Harzing &amp; Ruysseveldt, 2014)</w:t>
          </w:r>
          <w:r w:rsidR="00D628FD" w:rsidRPr="004B11E4">
            <w:rPr>
              <w:rFonts w:ascii="Arial" w:hAnsi="Arial" w:cs="Arial"/>
              <w:sz w:val="24"/>
              <w:szCs w:val="24"/>
              <w:lang w:val="en-GB"/>
            </w:rPr>
            <w:fldChar w:fldCharType="end"/>
          </w:r>
        </w:sdtContent>
      </w:sdt>
      <w:r w:rsidR="006B7594" w:rsidRPr="004B11E4">
        <w:rPr>
          <w:rFonts w:ascii="Arial" w:hAnsi="Arial" w:cs="Arial"/>
          <w:sz w:val="24"/>
          <w:szCs w:val="24"/>
          <w:lang w:val="en-GB"/>
        </w:rPr>
        <w:t>.</w:t>
      </w:r>
    </w:p>
    <w:p w14:paraId="7B9BB473" w14:textId="77777777" w:rsidR="0000382A" w:rsidRPr="004B11E4" w:rsidRDefault="007F0FF4" w:rsidP="00CC6C4C">
      <w:pPr>
        <w:spacing w:line="360" w:lineRule="auto"/>
        <w:jc w:val="both"/>
        <w:rPr>
          <w:rFonts w:ascii="Arial" w:hAnsi="Arial" w:cs="Arial"/>
          <w:sz w:val="24"/>
          <w:szCs w:val="24"/>
          <w:lang w:val="en-GB"/>
        </w:rPr>
      </w:pPr>
      <w:r w:rsidRPr="00126C38">
        <w:rPr>
          <w:rFonts w:ascii="Arial" w:hAnsi="Arial" w:cs="Arial"/>
          <w:b/>
          <w:bCs/>
          <w:sz w:val="24"/>
          <w:szCs w:val="24"/>
          <w:lang w:val="en-GB"/>
        </w:rPr>
        <w:t>Economical</w:t>
      </w:r>
      <w:r w:rsidRPr="004B11E4">
        <w:rPr>
          <w:rFonts w:ascii="Arial" w:hAnsi="Arial" w:cs="Arial"/>
          <w:sz w:val="24"/>
          <w:szCs w:val="24"/>
          <w:lang w:val="en-GB"/>
        </w:rPr>
        <w:t xml:space="preserve">: </w:t>
      </w:r>
      <w:r w:rsidR="006B7594" w:rsidRPr="004B11E4">
        <w:rPr>
          <w:rFonts w:ascii="Arial" w:hAnsi="Arial" w:cs="Arial"/>
          <w:sz w:val="24"/>
          <w:szCs w:val="24"/>
          <w:lang w:val="en-GB"/>
        </w:rPr>
        <w:t>The environmental elements in the Macro economy such as inflation, savings, interest rates, foreign currency and economic cycles affect aggregate demand and aggregate investment in the economy. The competitive advantage of the company driven by microenvironment elements such as competition standards</w:t>
      </w:r>
      <w:sdt>
        <w:sdtPr>
          <w:rPr>
            <w:rFonts w:ascii="Arial" w:hAnsi="Arial" w:cs="Arial"/>
            <w:sz w:val="24"/>
            <w:szCs w:val="24"/>
            <w:lang w:val="en-GB"/>
          </w:rPr>
          <w:id w:val="-1636251535"/>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Kew13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(Kew &amp; Stredwick, 2013)</w:t>
          </w:r>
          <w:r w:rsidR="00D628FD" w:rsidRPr="004B11E4">
            <w:rPr>
              <w:rFonts w:ascii="Arial" w:hAnsi="Arial" w:cs="Arial"/>
              <w:sz w:val="24"/>
              <w:szCs w:val="24"/>
              <w:lang w:val="en-GB"/>
            </w:rPr>
            <w:fldChar w:fldCharType="end"/>
          </w:r>
        </w:sdtContent>
      </w:sdt>
      <w:r w:rsidR="006B7594" w:rsidRPr="004B11E4">
        <w:rPr>
          <w:rFonts w:ascii="Arial" w:hAnsi="Arial" w:cs="Arial"/>
          <w:sz w:val="24"/>
          <w:szCs w:val="24"/>
          <w:lang w:val="en-GB"/>
        </w:rPr>
        <w:t>. The economic component of the nation, such as the rate of economic growth, inflation and economic indicators of industry such hosting industry growth, consumption expenditures etc., may be used by Hilton hotel to anticipate the trajectory of growth, not only of the sector but also of the organisations.</w:t>
      </w:r>
    </w:p>
    <w:p w14:paraId="1F669B43" w14:textId="77777777" w:rsidR="0000382A" w:rsidRPr="004B11E4" w:rsidRDefault="007F0FF4" w:rsidP="00CC6C4C">
      <w:pPr>
        <w:spacing w:line="360" w:lineRule="auto"/>
        <w:jc w:val="both"/>
        <w:rPr>
          <w:rFonts w:ascii="Arial" w:hAnsi="Arial" w:cs="Arial"/>
          <w:sz w:val="24"/>
          <w:szCs w:val="24"/>
          <w:lang w:val="en-GB"/>
        </w:rPr>
      </w:pPr>
      <w:r w:rsidRPr="006E214E">
        <w:rPr>
          <w:rFonts w:ascii="Arial" w:hAnsi="Arial" w:cs="Arial"/>
          <w:b/>
          <w:bCs/>
          <w:sz w:val="24"/>
          <w:szCs w:val="24"/>
          <w:lang w:val="en-GB"/>
        </w:rPr>
        <w:t>Social</w:t>
      </w:r>
      <w:r w:rsidRPr="004B11E4">
        <w:rPr>
          <w:rFonts w:ascii="Arial" w:hAnsi="Arial" w:cs="Arial"/>
          <w:sz w:val="24"/>
          <w:szCs w:val="24"/>
          <w:lang w:val="en-GB"/>
        </w:rPr>
        <w:t xml:space="preserve">: </w:t>
      </w:r>
      <w:r w:rsidR="0000382A" w:rsidRPr="004B11E4">
        <w:rPr>
          <w:rFonts w:ascii="Arial" w:hAnsi="Arial" w:cs="Arial"/>
          <w:sz w:val="24"/>
          <w:szCs w:val="24"/>
          <w:lang w:val="en-GB"/>
        </w:rPr>
        <w:t>The style and manner of doing things of the company have an influence on the culture of an organisation. The common convictions and attitudes of the public play a major influence in the way marketers at Hilton Hotels identify the customers on a certain market and in designing the marketing message for consumers in the lodging business</w:t>
      </w:r>
      <w:sdt>
        <w:sdtPr>
          <w:rPr>
            <w:rFonts w:ascii="Arial" w:hAnsi="Arial" w:cs="Arial"/>
            <w:sz w:val="24"/>
            <w:szCs w:val="24"/>
            <w:lang w:val="en-GB"/>
          </w:rPr>
          <w:id w:val="1549417499"/>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Kev20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(Kniffin, et al., 2020)</w:t>
          </w:r>
          <w:r w:rsidR="00D628FD" w:rsidRPr="004B11E4">
            <w:rPr>
              <w:rFonts w:ascii="Arial" w:hAnsi="Arial" w:cs="Arial"/>
              <w:sz w:val="24"/>
              <w:szCs w:val="24"/>
              <w:lang w:val="en-GB"/>
            </w:rPr>
            <w:fldChar w:fldCharType="end"/>
          </w:r>
        </w:sdtContent>
      </w:sdt>
      <w:r w:rsidR="0000382A" w:rsidRPr="004B11E4">
        <w:rPr>
          <w:rFonts w:ascii="Arial" w:hAnsi="Arial" w:cs="Arial"/>
          <w:sz w:val="24"/>
          <w:szCs w:val="24"/>
          <w:lang w:val="en-GB"/>
        </w:rPr>
        <w:t>. Social aspects that should be analysed for PESTEL study by Hilton hotels leadership are demographics and population level of skill, class structures, hierarchy and societal power structures; Level of education and stan</w:t>
      </w:r>
      <w:r w:rsidR="00D63E9E" w:rsidRPr="004B11E4">
        <w:rPr>
          <w:rFonts w:ascii="Arial" w:hAnsi="Arial" w:cs="Arial"/>
          <w:sz w:val="24"/>
          <w:szCs w:val="24"/>
          <w:lang w:val="en-GB"/>
        </w:rPr>
        <w:t xml:space="preserve">dards of education in </w:t>
      </w:r>
      <w:r w:rsidR="0000382A" w:rsidRPr="004B11E4">
        <w:rPr>
          <w:rFonts w:ascii="Arial" w:hAnsi="Arial" w:cs="Arial"/>
          <w:sz w:val="24"/>
          <w:szCs w:val="24"/>
          <w:lang w:val="en-GB"/>
        </w:rPr>
        <w:t>Hilton</w:t>
      </w:r>
      <w:r w:rsidR="00D63E9E" w:rsidRPr="004B11E4">
        <w:rPr>
          <w:rFonts w:ascii="Arial" w:hAnsi="Arial" w:cs="Arial"/>
          <w:sz w:val="24"/>
          <w:szCs w:val="24"/>
          <w:lang w:val="en-GB"/>
        </w:rPr>
        <w:t xml:space="preserve"> hotel.</w:t>
      </w:r>
    </w:p>
    <w:p w14:paraId="3E5F1A01" w14:textId="77777777" w:rsidR="00274285" w:rsidRPr="004B11E4" w:rsidRDefault="007F0FF4" w:rsidP="00CC6C4C">
      <w:pPr>
        <w:spacing w:line="360" w:lineRule="auto"/>
        <w:jc w:val="both"/>
        <w:rPr>
          <w:rFonts w:ascii="Arial" w:hAnsi="Arial" w:cs="Arial"/>
          <w:sz w:val="24"/>
          <w:szCs w:val="24"/>
          <w:lang w:val="en-GB"/>
        </w:rPr>
      </w:pPr>
      <w:r w:rsidRPr="006E214E">
        <w:rPr>
          <w:rFonts w:ascii="Arial" w:hAnsi="Arial" w:cs="Arial"/>
          <w:b/>
          <w:bCs/>
          <w:sz w:val="24"/>
          <w:szCs w:val="24"/>
          <w:lang w:val="en-GB"/>
        </w:rPr>
        <w:t>Technological</w:t>
      </w:r>
      <w:r w:rsidRPr="004B11E4">
        <w:rPr>
          <w:rFonts w:ascii="Arial" w:hAnsi="Arial" w:cs="Arial"/>
          <w:sz w:val="24"/>
          <w:szCs w:val="24"/>
          <w:lang w:val="en-GB"/>
        </w:rPr>
        <w:t xml:space="preserve">: </w:t>
      </w:r>
      <w:r w:rsidR="00274285" w:rsidRPr="004B11E4">
        <w:rPr>
          <w:rFonts w:ascii="Arial" w:hAnsi="Arial" w:cs="Arial"/>
          <w:sz w:val="24"/>
          <w:szCs w:val="24"/>
          <w:lang w:val="en-GB"/>
        </w:rPr>
        <w:t>A company should not just analyse the industries' technology, but also the speed at which technology disrupts the sector. Slow pace will give longer while rapid technological disturbance may allow a little time for solid handling and profitability. The Internet makes it easy to reserve rooms and gives all sorts of information, even reviews by former customers, about Hilton hotels. Social media offers Hilton Worldwide a new method of interacting with guests. Clients share their hotel tales on Internet sites like TripAdvisor, Twitter and Facebook</w:t>
      </w:r>
      <w:sdt>
        <w:sdtPr>
          <w:rPr>
            <w:rFonts w:ascii="Arial" w:hAnsi="Arial" w:cs="Arial"/>
            <w:sz w:val="24"/>
            <w:szCs w:val="24"/>
            <w:lang w:val="en-GB"/>
          </w:rPr>
          <w:id w:val="1736051317"/>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Pet20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(Maina, 2020)</w:t>
          </w:r>
          <w:r w:rsidR="00D628FD" w:rsidRPr="004B11E4">
            <w:rPr>
              <w:rFonts w:ascii="Arial" w:hAnsi="Arial" w:cs="Arial"/>
              <w:sz w:val="24"/>
              <w:szCs w:val="24"/>
              <w:lang w:val="en-GB"/>
            </w:rPr>
            <w:fldChar w:fldCharType="end"/>
          </w:r>
        </w:sdtContent>
      </w:sdt>
      <w:r w:rsidR="00274285" w:rsidRPr="004B11E4">
        <w:rPr>
          <w:rFonts w:ascii="Arial" w:hAnsi="Arial" w:cs="Arial"/>
          <w:sz w:val="24"/>
          <w:szCs w:val="24"/>
          <w:lang w:val="en-GB"/>
        </w:rPr>
        <w:t>.</w:t>
      </w:r>
      <w:r w:rsidR="00274285" w:rsidRPr="004B11E4">
        <w:rPr>
          <w:rFonts w:ascii="Arial" w:hAnsi="Arial" w:cs="Arial"/>
        </w:rPr>
        <w:t xml:space="preserve"> </w:t>
      </w:r>
      <w:r w:rsidR="00274285" w:rsidRPr="004B11E4">
        <w:rPr>
          <w:rFonts w:ascii="Arial" w:hAnsi="Arial" w:cs="Arial"/>
          <w:sz w:val="24"/>
          <w:szCs w:val="24"/>
          <w:lang w:val="en-GB"/>
        </w:rPr>
        <w:t>The Hilton Hotel cannot only build brand recognition, but also draw new clients if it engaged and present on these famous platforms.</w:t>
      </w:r>
    </w:p>
    <w:p w14:paraId="617568D6" w14:textId="77777777" w:rsidR="002B7EC9" w:rsidRPr="004B11E4" w:rsidRDefault="007F0FF4" w:rsidP="00CC6C4C">
      <w:pPr>
        <w:spacing w:line="360" w:lineRule="auto"/>
        <w:jc w:val="both"/>
        <w:rPr>
          <w:rFonts w:ascii="Arial" w:hAnsi="Arial" w:cs="Arial"/>
          <w:sz w:val="24"/>
          <w:szCs w:val="24"/>
          <w:lang w:val="en-GB"/>
        </w:rPr>
      </w:pPr>
      <w:r w:rsidRPr="006E214E">
        <w:rPr>
          <w:rFonts w:ascii="Arial" w:hAnsi="Arial" w:cs="Arial"/>
          <w:b/>
          <w:bCs/>
          <w:sz w:val="24"/>
          <w:szCs w:val="24"/>
          <w:lang w:val="en-GB"/>
        </w:rPr>
        <w:t>Environmental</w:t>
      </w:r>
      <w:r w:rsidRPr="004B11E4">
        <w:rPr>
          <w:rFonts w:ascii="Arial" w:hAnsi="Arial" w:cs="Arial"/>
          <w:sz w:val="24"/>
          <w:szCs w:val="24"/>
          <w:lang w:val="en-GB"/>
        </w:rPr>
        <w:t xml:space="preserve">: </w:t>
      </w:r>
      <w:r w:rsidR="002B7EC9" w:rsidRPr="004B11E4">
        <w:rPr>
          <w:rFonts w:ascii="Arial" w:hAnsi="Arial" w:cs="Arial"/>
          <w:sz w:val="24"/>
          <w:szCs w:val="24"/>
          <w:lang w:val="en-GB"/>
        </w:rPr>
        <w:t>Environmental attentio</w:t>
      </w:r>
      <w:r w:rsidR="00A7324A" w:rsidRPr="004B11E4">
        <w:rPr>
          <w:rFonts w:ascii="Arial" w:hAnsi="Arial" w:cs="Arial"/>
          <w:sz w:val="24"/>
          <w:szCs w:val="24"/>
          <w:lang w:val="en-GB"/>
        </w:rPr>
        <w:t xml:space="preserve">n and social responsibility </w:t>
      </w:r>
      <w:r w:rsidR="002B7EC9" w:rsidRPr="004B11E4">
        <w:rPr>
          <w:rFonts w:ascii="Arial" w:hAnsi="Arial" w:cs="Arial"/>
          <w:sz w:val="24"/>
          <w:szCs w:val="24"/>
          <w:lang w:val="en-GB"/>
        </w:rPr>
        <w:t>regarded to be the focus of customer choices and expectations. Customers that are more attentive to the environment and are more diligent in taking on company activities to reduce pollutio</w:t>
      </w:r>
      <w:r w:rsidR="00A7324A" w:rsidRPr="004B11E4">
        <w:rPr>
          <w:rFonts w:ascii="Arial" w:hAnsi="Arial" w:cs="Arial"/>
          <w:sz w:val="24"/>
          <w:szCs w:val="24"/>
          <w:lang w:val="en-GB"/>
        </w:rPr>
        <w:t>n and correct waste disposal</w:t>
      </w:r>
      <w:r w:rsidR="002B7EC9" w:rsidRPr="004B11E4">
        <w:rPr>
          <w:rFonts w:ascii="Arial" w:hAnsi="Arial" w:cs="Arial"/>
          <w:sz w:val="24"/>
          <w:szCs w:val="24"/>
          <w:lang w:val="en-GB"/>
        </w:rPr>
        <w:t xml:space="preserve"> typically supported by the organisations. One of Hilton's main core competencies is the heavy emphasis on Corporate Social Responsibility (CRS). They have built a strong "Good Together" and "Whitbread" CRS strategy</w:t>
      </w:r>
      <w:sdt>
        <w:sdtPr>
          <w:rPr>
            <w:rFonts w:ascii="Arial" w:hAnsi="Arial" w:cs="Arial"/>
            <w:sz w:val="24"/>
            <w:szCs w:val="24"/>
            <w:lang w:val="en-GB"/>
          </w:rPr>
          <w:id w:val="1545021787"/>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Bar20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(Barmania &amp; Reiss, 2020)</w:t>
          </w:r>
          <w:r w:rsidR="00D628FD" w:rsidRPr="004B11E4">
            <w:rPr>
              <w:rFonts w:ascii="Arial" w:hAnsi="Arial" w:cs="Arial"/>
              <w:sz w:val="24"/>
              <w:szCs w:val="24"/>
              <w:lang w:val="en-GB"/>
            </w:rPr>
            <w:fldChar w:fldCharType="end"/>
          </w:r>
        </w:sdtContent>
      </w:sdt>
      <w:r w:rsidR="002B7EC9" w:rsidRPr="004B11E4">
        <w:rPr>
          <w:rFonts w:ascii="Arial" w:hAnsi="Arial" w:cs="Arial"/>
          <w:sz w:val="24"/>
          <w:szCs w:val="24"/>
          <w:lang w:val="en-GB"/>
        </w:rPr>
        <w:t>. They analysed and established a Good Together programme to their Corporate Responsibility Strategy.</w:t>
      </w:r>
    </w:p>
    <w:p w14:paraId="7043B6BA" w14:textId="77777777" w:rsidR="00D43406" w:rsidRPr="004B11E4" w:rsidRDefault="007F0FF4" w:rsidP="00CC6C4C">
      <w:pPr>
        <w:spacing w:line="360" w:lineRule="auto"/>
        <w:jc w:val="both"/>
        <w:rPr>
          <w:rFonts w:ascii="Arial" w:hAnsi="Arial" w:cs="Arial"/>
          <w:sz w:val="24"/>
          <w:szCs w:val="24"/>
          <w:lang w:val="en-GB"/>
        </w:rPr>
      </w:pPr>
      <w:r w:rsidRPr="006E214E">
        <w:rPr>
          <w:rFonts w:ascii="Arial" w:hAnsi="Arial" w:cs="Arial"/>
          <w:b/>
          <w:bCs/>
          <w:sz w:val="24"/>
          <w:szCs w:val="24"/>
          <w:lang w:val="en-GB"/>
        </w:rPr>
        <w:t>Legal</w:t>
      </w:r>
      <w:r w:rsidRPr="004B11E4">
        <w:rPr>
          <w:rFonts w:ascii="Arial" w:hAnsi="Arial" w:cs="Arial"/>
          <w:sz w:val="24"/>
          <w:szCs w:val="24"/>
          <w:lang w:val="en-GB"/>
        </w:rPr>
        <w:t xml:space="preserve">: </w:t>
      </w:r>
      <w:r w:rsidR="00D43406" w:rsidRPr="004B11E4">
        <w:rPr>
          <w:rFonts w:ascii="Arial" w:hAnsi="Arial" w:cs="Arial"/>
          <w:sz w:val="24"/>
          <w:szCs w:val="24"/>
          <w:lang w:val="en-GB"/>
        </w:rPr>
        <w:t>The UK Government increased the salary minimum rate by 15.5 percent, which will raise operational expenses for budget hotels (Low Pay Committee Report National Minimum Wage). This would increase manufacturing costs and impair the objective of providing customers with competitive rates. They have devised a responsible source policy to prevent legal concerns and maintain high standards, which sets the basic requirements and cooperation principles that the Hilton Hotel expects from suppliers, contractors and business partners</w:t>
      </w:r>
      <w:sdt>
        <w:sdtPr>
          <w:rPr>
            <w:rFonts w:ascii="Arial" w:hAnsi="Arial" w:cs="Arial"/>
            <w:sz w:val="24"/>
            <w:szCs w:val="24"/>
            <w:lang w:val="en-GB"/>
          </w:rPr>
          <w:id w:val="-2143421994"/>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Olu16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(Osunsan, et al., 2016)</w:t>
          </w:r>
          <w:r w:rsidR="00D628FD" w:rsidRPr="004B11E4">
            <w:rPr>
              <w:rFonts w:ascii="Arial" w:hAnsi="Arial" w:cs="Arial"/>
              <w:sz w:val="24"/>
              <w:szCs w:val="24"/>
              <w:lang w:val="en-GB"/>
            </w:rPr>
            <w:fldChar w:fldCharType="end"/>
          </w:r>
        </w:sdtContent>
      </w:sdt>
      <w:r w:rsidR="00D43406" w:rsidRPr="004B11E4">
        <w:rPr>
          <w:rFonts w:ascii="Arial" w:hAnsi="Arial" w:cs="Arial"/>
          <w:sz w:val="24"/>
          <w:szCs w:val="24"/>
          <w:lang w:val="en-GB"/>
        </w:rPr>
        <w:t>. It also provides an obligation to collaborate with providers to help execute the policy, where appropriate.</w:t>
      </w:r>
    </w:p>
    <w:p w14:paraId="70C5E75E" w14:textId="77777777" w:rsidR="004A6454" w:rsidRPr="004B11E4" w:rsidRDefault="00787117" w:rsidP="00CC6C4C">
      <w:pPr>
        <w:spacing w:line="360" w:lineRule="auto"/>
        <w:jc w:val="both"/>
        <w:rPr>
          <w:rFonts w:ascii="Arial" w:hAnsi="Arial" w:cs="Arial"/>
          <w:sz w:val="24"/>
          <w:szCs w:val="24"/>
        </w:rPr>
      </w:pPr>
      <w:r w:rsidRPr="004B11E4">
        <w:rPr>
          <w:rFonts w:ascii="Arial" w:hAnsi="Arial" w:cs="Arial"/>
          <w:sz w:val="24"/>
          <w:szCs w:val="24"/>
          <w:lang w:val="en-GB"/>
        </w:rPr>
        <w:t>For Hilton, turnover rates among new workers are frequently significant. This scenario is especially disturbing because the hotel could make considerable efforts into recruiting, selection and training, and because the firm does not have high turnover at all. Research has indicated that socialising might allo</w:t>
      </w:r>
      <w:r w:rsidR="001A056A" w:rsidRPr="004B11E4">
        <w:rPr>
          <w:rFonts w:ascii="Arial" w:hAnsi="Arial" w:cs="Arial"/>
          <w:sz w:val="24"/>
          <w:szCs w:val="24"/>
          <w:lang w:val="en-GB"/>
        </w:rPr>
        <w:t>w new employees to</w:t>
      </w:r>
      <w:r w:rsidR="00EF46C2" w:rsidRPr="004B11E4">
        <w:rPr>
          <w:rFonts w:ascii="Arial" w:hAnsi="Arial" w:cs="Arial"/>
          <w:sz w:val="24"/>
          <w:szCs w:val="24"/>
          <w:lang w:val="en-GB"/>
        </w:rPr>
        <w:t xml:space="preserve"> </w:t>
      </w:r>
      <w:r w:rsidR="001A056A" w:rsidRPr="004B11E4">
        <w:rPr>
          <w:rFonts w:ascii="Arial" w:hAnsi="Arial" w:cs="Arial"/>
          <w:sz w:val="24"/>
          <w:szCs w:val="24"/>
          <w:lang w:val="en-GB"/>
        </w:rPr>
        <w:t>integrate</w:t>
      </w:r>
      <w:r w:rsidRPr="004B11E4">
        <w:rPr>
          <w:rFonts w:ascii="Arial" w:hAnsi="Arial" w:cs="Arial"/>
          <w:sz w:val="24"/>
          <w:szCs w:val="24"/>
          <w:lang w:val="en-GB"/>
        </w:rPr>
        <w:t xml:space="preserve"> into the hotel and so to remain more likely</w:t>
      </w:r>
      <w:sdt>
        <w:sdtPr>
          <w:rPr>
            <w:rFonts w:ascii="Arial" w:hAnsi="Arial" w:cs="Arial"/>
            <w:sz w:val="24"/>
            <w:szCs w:val="24"/>
            <w:lang w:val="en-GB"/>
          </w:rPr>
          <w:id w:val="1827093924"/>
          <w:citation/>
        </w:sdtPr>
        <w:sdtContent>
          <w:r w:rsidR="00D628FD" w:rsidRPr="004B11E4">
            <w:rPr>
              <w:rFonts w:ascii="Arial" w:hAnsi="Arial" w:cs="Arial"/>
              <w:sz w:val="24"/>
              <w:szCs w:val="24"/>
              <w:lang w:val="en-GB"/>
            </w:rPr>
            <w:fldChar w:fldCharType="begin"/>
          </w:r>
          <w:r w:rsidR="00D628FD" w:rsidRPr="004B11E4">
            <w:rPr>
              <w:rFonts w:ascii="Arial" w:hAnsi="Arial" w:cs="Arial"/>
              <w:sz w:val="24"/>
              <w:szCs w:val="24"/>
            </w:rPr>
            <w:instrText xml:space="preserve"> CITATION Alı20 \l 1033 </w:instrText>
          </w:r>
          <w:r w:rsidR="00D628FD" w:rsidRPr="004B11E4">
            <w:rPr>
              <w:rFonts w:ascii="Arial" w:hAnsi="Arial" w:cs="Arial"/>
              <w:sz w:val="24"/>
              <w:szCs w:val="24"/>
              <w:lang w:val="en-GB"/>
            </w:rPr>
            <w:fldChar w:fldCharType="separate"/>
          </w:r>
          <w:r w:rsidR="009A66E9">
            <w:rPr>
              <w:rFonts w:ascii="Arial" w:hAnsi="Arial" w:cs="Arial"/>
              <w:noProof/>
              <w:sz w:val="24"/>
              <w:szCs w:val="24"/>
            </w:rPr>
            <w:t xml:space="preserve"> </w:t>
          </w:r>
          <w:r w:rsidR="009A66E9" w:rsidRPr="009A66E9">
            <w:rPr>
              <w:rFonts w:ascii="Arial" w:hAnsi="Arial" w:cs="Arial"/>
              <w:noProof/>
              <w:sz w:val="24"/>
              <w:szCs w:val="24"/>
            </w:rPr>
            <w:t>(Alıcı &amp; Polat, 2020)</w:t>
          </w:r>
          <w:r w:rsidR="00D628FD" w:rsidRPr="004B11E4">
            <w:rPr>
              <w:rFonts w:ascii="Arial" w:hAnsi="Arial" w:cs="Arial"/>
              <w:sz w:val="24"/>
              <w:szCs w:val="24"/>
              <w:lang w:val="en-GB"/>
            </w:rPr>
            <w:fldChar w:fldCharType="end"/>
          </w:r>
        </w:sdtContent>
      </w:sdt>
      <w:r w:rsidRPr="004B11E4">
        <w:rPr>
          <w:rFonts w:ascii="Arial" w:hAnsi="Arial" w:cs="Arial"/>
          <w:sz w:val="24"/>
          <w:szCs w:val="24"/>
          <w:lang w:val="en-GB"/>
        </w:rPr>
        <w:t>. These techniques include shared and personal experience, official and informal events which will assist individuals to become acquainted, and the appointment of more qualified staff as role models for newcomers.</w:t>
      </w:r>
    </w:p>
    <w:p w14:paraId="7349ED44" w14:textId="531621AC" w:rsidR="00A663FA" w:rsidRPr="004B11E4" w:rsidRDefault="00A663FA" w:rsidP="00CC6C4C">
      <w:pPr>
        <w:spacing w:line="360" w:lineRule="auto"/>
        <w:jc w:val="both"/>
        <w:rPr>
          <w:rFonts w:ascii="Arial" w:hAnsi="Arial" w:cs="Arial"/>
          <w:b/>
          <w:iCs/>
          <w:sz w:val="24"/>
          <w:szCs w:val="24"/>
          <w:lang w:val="en-GB"/>
        </w:rPr>
      </w:pPr>
    </w:p>
    <w:p w14:paraId="54129F67" w14:textId="63AA7FF5" w:rsidR="00D32E58" w:rsidRDefault="00790054" w:rsidP="00CC6C4C">
      <w:pPr>
        <w:spacing w:line="360" w:lineRule="auto"/>
        <w:jc w:val="both"/>
        <w:rPr>
          <w:rFonts w:ascii="Arial" w:hAnsi="Arial" w:cs="Arial"/>
          <w:b/>
          <w:bCs/>
          <w:sz w:val="24"/>
          <w:szCs w:val="24"/>
          <w:lang w:val="en-GB"/>
        </w:rPr>
      </w:pPr>
      <w:r>
        <w:rPr>
          <w:rFonts w:ascii="Arial" w:hAnsi="Arial" w:cs="Arial"/>
          <w:b/>
          <w:bCs/>
          <w:sz w:val="24"/>
          <w:szCs w:val="24"/>
          <w:lang w:val="en-GB"/>
        </w:rPr>
        <w:t xml:space="preserve">Conclusion </w:t>
      </w:r>
    </w:p>
    <w:p w14:paraId="1EFBB8A4" w14:textId="77777777" w:rsidR="00790054" w:rsidRPr="00790054" w:rsidRDefault="00790054" w:rsidP="00CC6C4C">
      <w:pPr>
        <w:spacing w:line="360" w:lineRule="auto"/>
        <w:jc w:val="both"/>
        <w:rPr>
          <w:rFonts w:ascii="Arial" w:hAnsi="Arial" w:cs="Arial"/>
          <w:b/>
          <w:bCs/>
          <w:sz w:val="24"/>
          <w:szCs w:val="24"/>
          <w:lang w:val="en-GB"/>
        </w:rPr>
      </w:pPr>
    </w:p>
    <w:p w14:paraId="76204E19" w14:textId="208CC948" w:rsidR="00A54B77" w:rsidRDefault="00A54B77" w:rsidP="00CC6C4C">
      <w:pPr>
        <w:spacing w:line="360" w:lineRule="auto"/>
        <w:jc w:val="both"/>
        <w:rPr>
          <w:rFonts w:ascii="Arial" w:hAnsi="Arial" w:cs="Arial"/>
          <w:sz w:val="24"/>
          <w:szCs w:val="24"/>
          <w:lang w:val="en-GB"/>
        </w:rPr>
      </w:pPr>
      <w:r w:rsidRPr="004B11E4">
        <w:rPr>
          <w:rFonts w:ascii="Arial" w:hAnsi="Arial" w:cs="Arial"/>
          <w:sz w:val="24"/>
          <w:szCs w:val="24"/>
          <w:lang w:val="en-GB"/>
        </w:rPr>
        <w:t>Many UK hotels are under increased cash flow strain when they reopen their facility in the first place with fewer customers and an increase in operating costs depending on how successfully they handle post-furlough return to work. Many hoteliers are very probably aware that their post-lockdown staffing supplement does not have to look like it used to be, which leads to a constant decline in the number of employees. Hotel operators would also have carefully examine whe</w:t>
      </w:r>
      <w:r w:rsidR="005E02EB" w:rsidRPr="004B11E4">
        <w:rPr>
          <w:rFonts w:ascii="Arial" w:hAnsi="Arial" w:cs="Arial"/>
          <w:sz w:val="24"/>
          <w:szCs w:val="24"/>
          <w:lang w:val="en-GB"/>
        </w:rPr>
        <w:t>ther their brand criteria may</w:t>
      </w:r>
      <w:r w:rsidRPr="004B11E4">
        <w:rPr>
          <w:rFonts w:ascii="Arial" w:hAnsi="Arial" w:cs="Arial"/>
          <w:sz w:val="24"/>
          <w:szCs w:val="24"/>
          <w:lang w:val="en-GB"/>
        </w:rPr>
        <w:t xml:space="preserve"> loosened to ensure optimum profitability for each hotel.</w:t>
      </w:r>
      <w:r w:rsidR="005E02EB" w:rsidRPr="004B11E4">
        <w:rPr>
          <w:rFonts w:ascii="Arial" w:hAnsi="Arial" w:cs="Arial"/>
        </w:rPr>
        <w:t xml:space="preserve"> </w:t>
      </w:r>
      <w:r w:rsidR="005E02EB" w:rsidRPr="004B11E4">
        <w:rPr>
          <w:rFonts w:ascii="Arial" w:hAnsi="Arial" w:cs="Arial"/>
          <w:sz w:val="24"/>
          <w:szCs w:val="24"/>
          <w:lang w:val="en-GB"/>
        </w:rPr>
        <w:t>Hilton announced the launch of a new cleaning service guaranteeing high-quality hygiene from check-in to checkout. Hilton is working with Reckitt Benckiser, a manufacturer of Lysol and Dettol cleaning goods, to enhance its cleaning methods to suit the growing consumer expectations under the COVID 19 pandemic. The Hilton Clean Stay effort will start in June to ensure thorough cleaning across guest rooms, restaurants, gyms and in other public areas.</w:t>
      </w:r>
      <w:r w:rsidR="00B35FF2" w:rsidRPr="004B11E4">
        <w:rPr>
          <w:rFonts w:ascii="Arial" w:hAnsi="Arial" w:cs="Arial"/>
          <w:sz w:val="24"/>
          <w:szCs w:val="24"/>
          <w:lang w:val="en-GB"/>
        </w:rPr>
        <w:t xml:space="preserve"> Hilton Clean Stay improves on its best practises and standards over the previous several months, enabling their guests to rest easily with each other and have the amazing experience they need – whilst safeguarding their hospitality staff.</w:t>
      </w:r>
    </w:p>
    <w:p w14:paraId="506113C9" w14:textId="77777777" w:rsidR="004B11E4" w:rsidRDefault="004B11E4" w:rsidP="00CC6C4C">
      <w:pPr>
        <w:spacing w:line="360" w:lineRule="auto"/>
        <w:jc w:val="both"/>
        <w:rPr>
          <w:rFonts w:ascii="Arial" w:hAnsi="Arial" w:cs="Arial"/>
          <w:sz w:val="24"/>
          <w:szCs w:val="24"/>
          <w:lang w:val="en-GB"/>
        </w:rPr>
      </w:pPr>
    </w:p>
    <w:p w14:paraId="3740E5DB" w14:textId="77777777" w:rsidR="004B11E4" w:rsidRDefault="004B11E4" w:rsidP="00CC6C4C">
      <w:pPr>
        <w:spacing w:line="360" w:lineRule="auto"/>
        <w:jc w:val="both"/>
        <w:rPr>
          <w:rFonts w:ascii="Arial" w:hAnsi="Arial" w:cs="Arial"/>
          <w:sz w:val="24"/>
          <w:szCs w:val="24"/>
          <w:lang w:val="en-GB"/>
        </w:rPr>
      </w:pPr>
    </w:p>
    <w:p w14:paraId="4FBEC23F" w14:textId="77777777" w:rsidR="004B11E4" w:rsidRDefault="004B11E4" w:rsidP="00CC6C4C">
      <w:pPr>
        <w:spacing w:line="360" w:lineRule="auto"/>
        <w:jc w:val="both"/>
        <w:rPr>
          <w:rFonts w:ascii="Arial" w:hAnsi="Arial" w:cs="Arial"/>
          <w:sz w:val="24"/>
          <w:szCs w:val="24"/>
          <w:lang w:val="en-GB"/>
        </w:rPr>
      </w:pPr>
    </w:p>
    <w:p w14:paraId="642ED3DC" w14:textId="77777777" w:rsidR="004B11E4" w:rsidRDefault="004B11E4" w:rsidP="00CC6C4C">
      <w:pPr>
        <w:spacing w:line="360" w:lineRule="auto"/>
        <w:jc w:val="both"/>
        <w:rPr>
          <w:rFonts w:ascii="Arial" w:hAnsi="Arial" w:cs="Arial"/>
          <w:sz w:val="24"/>
          <w:szCs w:val="24"/>
          <w:lang w:val="en-GB"/>
        </w:rPr>
      </w:pPr>
    </w:p>
    <w:p w14:paraId="73828B1E" w14:textId="77777777" w:rsidR="004B11E4" w:rsidRDefault="004B11E4" w:rsidP="00CC6C4C">
      <w:pPr>
        <w:spacing w:line="360" w:lineRule="auto"/>
        <w:jc w:val="both"/>
        <w:rPr>
          <w:rFonts w:ascii="Arial" w:hAnsi="Arial" w:cs="Arial"/>
          <w:sz w:val="24"/>
          <w:szCs w:val="24"/>
          <w:lang w:val="en-GB"/>
        </w:rPr>
      </w:pPr>
    </w:p>
    <w:p w14:paraId="721FE2D3" w14:textId="77777777" w:rsidR="004B11E4" w:rsidRDefault="004B11E4" w:rsidP="00CC6C4C">
      <w:pPr>
        <w:spacing w:line="360" w:lineRule="auto"/>
        <w:jc w:val="both"/>
        <w:rPr>
          <w:rFonts w:ascii="Arial" w:hAnsi="Arial" w:cs="Arial"/>
          <w:sz w:val="24"/>
          <w:szCs w:val="24"/>
          <w:lang w:val="en-GB"/>
        </w:rPr>
      </w:pPr>
    </w:p>
    <w:p w14:paraId="4C4DAC44" w14:textId="77777777" w:rsidR="004B11E4" w:rsidRDefault="004B11E4" w:rsidP="00CC6C4C">
      <w:pPr>
        <w:spacing w:line="360" w:lineRule="auto"/>
        <w:jc w:val="both"/>
        <w:rPr>
          <w:rFonts w:ascii="Arial" w:hAnsi="Arial" w:cs="Arial"/>
          <w:sz w:val="24"/>
          <w:szCs w:val="24"/>
          <w:lang w:val="en-GB"/>
        </w:rPr>
      </w:pPr>
    </w:p>
    <w:p w14:paraId="5AD69108" w14:textId="77777777" w:rsidR="004B11E4" w:rsidRDefault="004B11E4" w:rsidP="00CC6C4C">
      <w:pPr>
        <w:spacing w:line="360" w:lineRule="auto"/>
        <w:jc w:val="both"/>
        <w:rPr>
          <w:rFonts w:ascii="Arial" w:hAnsi="Arial" w:cs="Arial"/>
          <w:sz w:val="24"/>
          <w:szCs w:val="24"/>
          <w:lang w:val="en-GB"/>
        </w:rPr>
      </w:pPr>
    </w:p>
    <w:p w14:paraId="7486C20F" w14:textId="77777777" w:rsidR="004B11E4" w:rsidRDefault="004B11E4" w:rsidP="00CC6C4C">
      <w:pPr>
        <w:spacing w:line="360" w:lineRule="auto"/>
        <w:jc w:val="both"/>
        <w:rPr>
          <w:rFonts w:ascii="Arial" w:hAnsi="Arial" w:cs="Arial"/>
          <w:sz w:val="24"/>
          <w:szCs w:val="24"/>
          <w:lang w:val="en-GB"/>
        </w:rPr>
      </w:pPr>
    </w:p>
    <w:p w14:paraId="70CFB7B3" w14:textId="77777777" w:rsidR="004B11E4" w:rsidRDefault="004B11E4" w:rsidP="00CC6C4C">
      <w:pPr>
        <w:spacing w:line="360" w:lineRule="auto"/>
        <w:jc w:val="both"/>
        <w:rPr>
          <w:rFonts w:ascii="Arial" w:hAnsi="Arial" w:cs="Arial"/>
          <w:sz w:val="24"/>
          <w:szCs w:val="24"/>
          <w:lang w:val="en-GB"/>
        </w:rPr>
      </w:pPr>
    </w:p>
    <w:p w14:paraId="6BC750C6" w14:textId="77777777" w:rsidR="004B11E4" w:rsidRDefault="004B11E4" w:rsidP="00CC6C4C">
      <w:pPr>
        <w:spacing w:line="360" w:lineRule="auto"/>
        <w:jc w:val="both"/>
        <w:rPr>
          <w:rFonts w:ascii="Arial" w:hAnsi="Arial" w:cs="Arial"/>
          <w:sz w:val="24"/>
          <w:szCs w:val="24"/>
          <w:lang w:val="en-GB"/>
        </w:rPr>
      </w:pPr>
    </w:p>
    <w:p w14:paraId="5872BAC8" w14:textId="77777777" w:rsidR="004B11E4" w:rsidRPr="004B11E4" w:rsidRDefault="004B11E4" w:rsidP="00CC6C4C">
      <w:pPr>
        <w:spacing w:line="360" w:lineRule="auto"/>
        <w:jc w:val="both"/>
        <w:rPr>
          <w:rFonts w:ascii="Arial" w:hAnsi="Arial" w:cs="Arial"/>
          <w:sz w:val="24"/>
          <w:szCs w:val="24"/>
          <w:lang w:val="en-GB"/>
        </w:rPr>
      </w:pPr>
    </w:p>
    <w:sdt>
      <w:sdtPr>
        <w:rPr>
          <w:rFonts w:asciiTheme="minorHAnsi" w:eastAsiaTheme="minorHAnsi" w:hAnsiTheme="minorHAnsi" w:cstheme="minorBidi"/>
          <w:color w:val="auto"/>
          <w:sz w:val="22"/>
          <w:szCs w:val="22"/>
        </w:rPr>
        <w:id w:val="1145164896"/>
        <w:docPartObj>
          <w:docPartGallery w:val="Bibliographies"/>
          <w:docPartUnique/>
        </w:docPartObj>
      </w:sdtPr>
      <w:sdtContent>
        <w:p w14:paraId="4474786D" w14:textId="77777777" w:rsidR="0057351D" w:rsidRDefault="0057351D">
          <w:pPr>
            <w:pStyle w:val="Heading1"/>
          </w:pPr>
          <w:r>
            <w:t>References</w:t>
          </w:r>
        </w:p>
        <w:sdt>
          <w:sdtPr>
            <w:id w:val="-573587230"/>
            <w:bibliography/>
          </w:sdtPr>
          <w:sdtContent>
            <w:p w14:paraId="433CCB68" w14:textId="77777777" w:rsidR="009A66E9" w:rsidRDefault="0057351D" w:rsidP="009A66E9">
              <w:pPr>
                <w:pStyle w:val="Bibliography"/>
                <w:rPr>
                  <w:noProof/>
                  <w:sz w:val="24"/>
                  <w:szCs w:val="24"/>
                </w:rPr>
              </w:pPr>
              <w:r w:rsidRPr="004B11E4">
                <w:rPr>
                  <w:rFonts w:ascii="Arial" w:hAnsi="Arial" w:cs="Arial"/>
                  <w:sz w:val="24"/>
                  <w:szCs w:val="24"/>
                </w:rPr>
                <w:fldChar w:fldCharType="begin"/>
              </w:r>
              <w:r w:rsidRPr="004B11E4">
                <w:rPr>
                  <w:rFonts w:ascii="Arial" w:hAnsi="Arial" w:cs="Arial"/>
                  <w:sz w:val="24"/>
                  <w:szCs w:val="24"/>
                </w:rPr>
                <w:instrText xml:space="preserve"> BIBLIOGRAPHY </w:instrText>
              </w:r>
              <w:r w:rsidRPr="004B11E4">
                <w:rPr>
                  <w:rFonts w:ascii="Arial" w:hAnsi="Arial" w:cs="Arial"/>
                  <w:sz w:val="24"/>
                  <w:szCs w:val="24"/>
                </w:rPr>
                <w:fldChar w:fldCharType="separate"/>
              </w:r>
              <w:r w:rsidR="009A66E9">
                <w:rPr>
                  <w:noProof/>
                </w:rPr>
                <w:t xml:space="preserve">Adarkwah, M., 2021. An Outbreak of Online Learning in the COVID-19 Outbreak in Sub- Saharan Africa: Prospects and Challenges. </w:t>
              </w:r>
              <w:r w:rsidR="009A66E9">
                <w:rPr>
                  <w:i/>
                  <w:iCs/>
                  <w:noProof/>
                </w:rPr>
                <w:t xml:space="preserve">Global Journal of Computer Science and Technology, </w:t>
              </w:r>
              <w:r w:rsidR="009A66E9">
                <w:rPr>
                  <w:noProof/>
                </w:rPr>
                <w:t>Volume 21(2), pp. 1-10.</w:t>
              </w:r>
            </w:p>
            <w:p w14:paraId="0E543E82" w14:textId="77777777" w:rsidR="009A66E9" w:rsidRDefault="009A66E9" w:rsidP="009A66E9">
              <w:pPr>
                <w:pStyle w:val="Bibliography"/>
                <w:rPr>
                  <w:noProof/>
                </w:rPr>
              </w:pPr>
              <w:r>
                <w:rPr>
                  <w:noProof/>
                </w:rPr>
                <w:t xml:space="preserve">Alıcı, A. &amp; Polat, L., 2020. Economic Effect of Coronavirus (COVID-19) Outbreak on Airline Businesses (Coronavirüs (COVİD-19) Salgınının Havayolu İşletmelerine Ekonomik Etkisi). </w:t>
              </w:r>
              <w:r>
                <w:rPr>
                  <w:i/>
                  <w:iCs/>
                  <w:noProof/>
                </w:rPr>
                <w:t xml:space="preserve">Turkish Studies, </w:t>
              </w:r>
              <w:r>
                <w:rPr>
                  <w:noProof/>
                </w:rPr>
                <w:t>Volume 15(6), pp. 49-61.</w:t>
              </w:r>
            </w:p>
            <w:p w14:paraId="50EEC004" w14:textId="77777777" w:rsidR="009A66E9" w:rsidRDefault="009A66E9" w:rsidP="009A66E9">
              <w:pPr>
                <w:pStyle w:val="Bibliography"/>
                <w:rPr>
                  <w:noProof/>
                </w:rPr>
              </w:pPr>
              <w:r>
                <w:rPr>
                  <w:noProof/>
                </w:rPr>
                <w:t xml:space="preserve">Arena, M. &amp; Aprea, C., 2021. Impact of Covid-19 Pandemic on Air Transport: Overview and Implications. </w:t>
              </w:r>
            </w:p>
            <w:p w14:paraId="72493B88" w14:textId="77777777" w:rsidR="009A66E9" w:rsidRDefault="009A66E9" w:rsidP="009A66E9">
              <w:pPr>
                <w:pStyle w:val="Bibliography"/>
                <w:rPr>
                  <w:noProof/>
                </w:rPr>
              </w:pPr>
              <w:r>
                <w:rPr>
                  <w:noProof/>
                </w:rPr>
                <w:t xml:space="preserve">Barmania, S. &amp; Reiss, M. J., 2020. Health promotion perspectives on the COVID-19 pandemic: The importance of religion. </w:t>
              </w:r>
              <w:r>
                <w:rPr>
                  <w:i/>
                  <w:iCs/>
                  <w:noProof/>
                </w:rPr>
                <w:t>Global Health Promotion.</w:t>
              </w:r>
            </w:p>
            <w:p w14:paraId="7E7DC7B0" w14:textId="77777777" w:rsidR="009A66E9" w:rsidRDefault="009A66E9" w:rsidP="009A66E9">
              <w:pPr>
                <w:pStyle w:val="Bibliography"/>
                <w:rPr>
                  <w:noProof/>
                </w:rPr>
              </w:pPr>
              <w:r>
                <w:rPr>
                  <w:noProof/>
                </w:rPr>
                <w:t>Bermejo-Martins, E., Luis, E., Sarrionandia, A. &amp; Villar, M. M., 2021. Different Responses to Stress, Health Practices and Self-care during COVID-19 Lockdown: A Stratified Analysis. p. 44.</w:t>
              </w:r>
            </w:p>
            <w:p w14:paraId="3A62B1BC" w14:textId="77777777" w:rsidR="009A66E9" w:rsidRDefault="009A66E9" w:rsidP="009A66E9">
              <w:pPr>
                <w:pStyle w:val="Bibliography"/>
                <w:rPr>
                  <w:noProof/>
                </w:rPr>
              </w:pPr>
              <w:r>
                <w:rPr>
                  <w:noProof/>
                </w:rPr>
                <w:t xml:space="preserve">Bermejo-Martins, E., Luis, E., Sarrionandia, A. &amp; Villar, M. M., 2021. Different Responses to Stress, Health Practices, and Self-Care during COVID-19 Lockdown: A Stratified Analysis. </w:t>
              </w:r>
              <w:r>
                <w:rPr>
                  <w:i/>
                  <w:iCs/>
                  <w:noProof/>
                </w:rPr>
                <w:t xml:space="preserve">International Journal of Environmental Research and Public Health , </w:t>
              </w:r>
              <w:r>
                <w:rPr>
                  <w:noProof/>
                </w:rPr>
                <w:t>Volume 18(5), p. 2253.</w:t>
              </w:r>
            </w:p>
            <w:p w14:paraId="77494A71" w14:textId="77777777" w:rsidR="009A66E9" w:rsidRDefault="009A66E9" w:rsidP="009A66E9">
              <w:pPr>
                <w:pStyle w:val="Bibliography"/>
                <w:rPr>
                  <w:noProof/>
                </w:rPr>
              </w:pPr>
              <w:r>
                <w:rPr>
                  <w:noProof/>
                </w:rPr>
                <w:t xml:space="preserve">Chatburn, E., Carthey, J., Macrae, C. &amp; Vincent, C. A., 2018. Measurement and monitoring of safety: Impact and challenges of putting a conceptual framework into practice. </w:t>
              </w:r>
              <w:r>
                <w:rPr>
                  <w:i/>
                  <w:iCs/>
                  <w:noProof/>
                </w:rPr>
                <w:t xml:space="preserve">BMJ quality &amp; safety , </w:t>
              </w:r>
              <w:r>
                <w:rPr>
                  <w:noProof/>
                </w:rPr>
                <w:t>Volume 27(10), p. 66.</w:t>
              </w:r>
            </w:p>
            <w:p w14:paraId="51B9C663" w14:textId="77777777" w:rsidR="009A66E9" w:rsidRDefault="009A66E9" w:rsidP="009A66E9">
              <w:pPr>
                <w:pStyle w:val="Bibliography"/>
                <w:rPr>
                  <w:noProof/>
                </w:rPr>
              </w:pPr>
              <w:r>
                <w:rPr>
                  <w:noProof/>
                </w:rPr>
                <w:t xml:space="preserve">Harzing, A. &amp; Ruysseveldt, J., 2014. International Human Resource Management. </w:t>
              </w:r>
              <w:r>
                <w:rPr>
                  <w:i/>
                  <w:iCs/>
                  <w:noProof/>
                </w:rPr>
                <w:t xml:space="preserve">Sage, </w:t>
              </w:r>
              <w:r>
                <w:rPr>
                  <w:noProof/>
                </w:rPr>
                <w:t>Volume 4th Ed. London.</w:t>
              </w:r>
            </w:p>
            <w:p w14:paraId="5EFCAF30" w14:textId="77777777" w:rsidR="009A66E9" w:rsidRDefault="009A66E9" w:rsidP="009A66E9">
              <w:pPr>
                <w:pStyle w:val="Bibliography"/>
                <w:rPr>
                  <w:noProof/>
                </w:rPr>
              </w:pPr>
              <w:r>
                <w:rPr>
                  <w:noProof/>
                </w:rPr>
                <w:t xml:space="preserve">Hodges, J., 2021. Engaging Employees with Organizational Change. </w:t>
              </w:r>
              <w:r>
                <w:rPr>
                  <w:i/>
                  <w:iCs/>
                  <w:noProof/>
                </w:rPr>
                <w:t xml:space="preserve">Journal of Financial Management and Analysis , </w:t>
              </w:r>
              <w:r>
                <w:rPr>
                  <w:noProof/>
                </w:rPr>
                <w:t>Volume 52, pp. 68-75.</w:t>
              </w:r>
            </w:p>
            <w:p w14:paraId="1ED99B82" w14:textId="77777777" w:rsidR="009A66E9" w:rsidRDefault="009A66E9" w:rsidP="009A66E9">
              <w:pPr>
                <w:pStyle w:val="Bibliography"/>
                <w:rPr>
                  <w:noProof/>
                </w:rPr>
              </w:pPr>
              <w:r>
                <w:rPr>
                  <w:noProof/>
                </w:rPr>
                <w:t xml:space="preserve">Kew, J. &amp; Stredwick, J., 2013. Human Resources Management in a Business Context. </w:t>
              </w:r>
              <w:r>
                <w:rPr>
                  <w:i/>
                  <w:iCs/>
                  <w:noProof/>
                </w:rPr>
                <w:t xml:space="preserve">Chartered Institute of Personnel and Development, </w:t>
              </w:r>
              <w:r>
                <w:rPr>
                  <w:noProof/>
                </w:rPr>
                <w:t>Volume 2nd Edition.</w:t>
              </w:r>
            </w:p>
            <w:p w14:paraId="1D2F8041" w14:textId="77777777" w:rsidR="009A66E9" w:rsidRDefault="009A66E9" w:rsidP="009A66E9">
              <w:pPr>
                <w:pStyle w:val="Bibliography"/>
                <w:rPr>
                  <w:noProof/>
                </w:rPr>
              </w:pPr>
              <w:r>
                <w:rPr>
                  <w:noProof/>
                </w:rPr>
                <w:t xml:space="preserve">Kniffin, K. M., Narayanan, J. &amp; Anseel, F., 2020. COVID-19 and the workplace: Implications, issues, and insights for future research and action. </w:t>
              </w:r>
              <w:r>
                <w:rPr>
                  <w:i/>
                  <w:iCs/>
                  <w:noProof/>
                </w:rPr>
                <w:t xml:space="preserve">American Psychologist , </w:t>
              </w:r>
              <w:r>
                <w:rPr>
                  <w:noProof/>
                </w:rPr>
                <w:t>Volume 76(1).</w:t>
              </w:r>
            </w:p>
            <w:p w14:paraId="4257EFAA" w14:textId="77777777" w:rsidR="009A66E9" w:rsidRDefault="009A66E9" w:rsidP="009A66E9">
              <w:pPr>
                <w:pStyle w:val="Bibliography"/>
                <w:rPr>
                  <w:noProof/>
                </w:rPr>
              </w:pPr>
              <w:r>
                <w:rPr>
                  <w:noProof/>
                </w:rPr>
                <w:t xml:space="preserve">Maina, P., 2020. A Case Study of Hilton Hotels 1 A CASE STUDY OF HILTON HOTELS Name Course Professor Institution City Date A Case Study of Hilton Hotels 2 A Case Study of Hilton Hotels. </w:t>
              </w:r>
              <w:r>
                <w:rPr>
                  <w:i/>
                  <w:iCs/>
                  <w:noProof/>
                </w:rPr>
                <w:t>A CASE STUDY OF HILTON HOTELS.</w:t>
              </w:r>
            </w:p>
            <w:p w14:paraId="4292337C" w14:textId="77777777" w:rsidR="009A66E9" w:rsidRDefault="009A66E9" w:rsidP="009A66E9">
              <w:pPr>
                <w:pStyle w:val="Bibliography"/>
                <w:rPr>
                  <w:noProof/>
                </w:rPr>
              </w:pPr>
              <w:r>
                <w:rPr>
                  <w:noProof/>
                </w:rPr>
                <w:t xml:space="preserve">Maina, P., 2020. Hilton Hotels' Performance Management Analysis 1 Hilton Hotels' Performance Management Analysis Name Course Professor Institution City Date Hilton Hotels' Performance Management Analysis 2 Hilton Hotels' Performance Management Analysis. </w:t>
              </w:r>
            </w:p>
            <w:p w14:paraId="7DCDF702" w14:textId="77777777" w:rsidR="009A66E9" w:rsidRDefault="009A66E9" w:rsidP="009A66E9">
              <w:pPr>
                <w:pStyle w:val="Bibliography"/>
                <w:rPr>
                  <w:noProof/>
                </w:rPr>
              </w:pPr>
              <w:r>
                <w:rPr>
                  <w:noProof/>
                </w:rPr>
                <w:t>Mason, K., 2020. Covid-19 and the long-term implications for the business travel market: Has Zoom and Teams killed business travel?. p. 54.</w:t>
              </w:r>
            </w:p>
            <w:p w14:paraId="6189F532" w14:textId="77777777" w:rsidR="009A66E9" w:rsidRDefault="009A66E9" w:rsidP="009A66E9">
              <w:pPr>
                <w:pStyle w:val="Bibliography"/>
                <w:rPr>
                  <w:noProof/>
                </w:rPr>
              </w:pPr>
              <w:r>
                <w:rPr>
                  <w:noProof/>
                </w:rPr>
                <w:t xml:space="preserve">Mcmurray, A., Muenjohn, N. &amp; Scott, D., 2021. Measuring workplace innovation: Scale development. </w:t>
              </w:r>
              <w:r>
                <w:rPr>
                  <w:i/>
                  <w:iCs/>
                  <w:noProof/>
                </w:rPr>
                <w:t>Journal of Small Business Management.</w:t>
              </w:r>
            </w:p>
            <w:p w14:paraId="0490678B" w14:textId="77777777" w:rsidR="009A66E9" w:rsidRDefault="009A66E9" w:rsidP="009A66E9">
              <w:pPr>
                <w:pStyle w:val="Bibliography"/>
                <w:rPr>
                  <w:noProof/>
                </w:rPr>
              </w:pPr>
              <w:r>
                <w:rPr>
                  <w:noProof/>
                </w:rPr>
                <w:t xml:space="preserve">Osunsan, O. K., Nowak, J. &amp; Mpora, B. E., 2016. Business Strategy and Sales in Small Scale Enterprises.. </w:t>
              </w:r>
            </w:p>
            <w:p w14:paraId="32E0F3F2" w14:textId="77777777" w:rsidR="009A66E9" w:rsidRDefault="009A66E9" w:rsidP="009A66E9">
              <w:pPr>
                <w:pStyle w:val="Bibliography"/>
                <w:rPr>
                  <w:noProof/>
                </w:rPr>
              </w:pPr>
              <w:r>
                <w:rPr>
                  <w:noProof/>
                </w:rPr>
                <w:t xml:space="preserve">Stoffers, J., Eringa, K., Niks, J. &amp; Kleefstra, A., 2021. Workplace Innovation and Organizational Performance in the Hospitality Industry. </w:t>
              </w:r>
              <w:r>
                <w:rPr>
                  <w:i/>
                  <w:iCs/>
                  <w:noProof/>
                </w:rPr>
                <w:t xml:space="preserve">Sustainability , </w:t>
              </w:r>
              <w:r>
                <w:rPr>
                  <w:noProof/>
                </w:rPr>
                <w:t>Volume 13(11), p. 5847.</w:t>
              </w:r>
            </w:p>
            <w:p w14:paraId="7AFB6A72" w14:textId="77777777" w:rsidR="009A66E9" w:rsidRDefault="009A66E9" w:rsidP="009A66E9">
              <w:pPr>
                <w:pStyle w:val="Bibliography"/>
                <w:rPr>
                  <w:noProof/>
                </w:rPr>
              </w:pPr>
              <w:r>
                <w:rPr>
                  <w:noProof/>
                </w:rPr>
                <w:t xml:space="preserve">Xu, Y., Berryessa, C. M. &amp; Dowd, M., 2021. Essentialist Thinking Predicts Culpability and Punishment Judgments. </w:t>
              </w:r>
              <w:r>
                <w:rPr>
                  <w:i/>
                  <w:iCs/>
                  <w:noProof/>
                </w:rPr>
                <w:t>Psychology Crime and Law.</w:t>
              </w:r>
            </w:p>
            <w:p w14:paraId="1A2F87F6" w14:textId="77777777" w:rsidR="009A66E9" w:rsidRDefault="009A66E9" w:rsidP="009A66E9">
              <w:pPr>
                <w:pStyle w:val="Bibliography"/>
                <w:rPr>
                  <w:noProof/>
                </w:rPr>
              </w:pPr>
              <w:r>
                <w:rPr>
                  <w:noProof/>
                </w:rPr>
                <w:t xml:space="preserve">Yaffe, T. &amp; Kark, R., 2011. Leading by example: The case of leader OCB. </w:t>
              </w:r>
              <w:r>
                <w:rPr>
                  <w:i/>
                  <w:iCs/>
                  <w:noProof/>
                </w:rPr>
                <w:t xml:space="preserve">Journal of Applied Psychology, </w:t>
              </w:r>
              <w:r>
                <w:rPr>
                  <w:noProof/>
                </w:rPr>
                <w:t>Volume 96(4), pp. 806-26.</w:t>
              </w:r>
            </w:p>
            <w:p w14:paraId="2C7F9540" w14:textId="77777777" w:rsidR="009A66E9" w:rsidRDefault="009A66E9" w:rsidP="009A66E9">
              <w:pPr>
                <w:pStyle w:val="Bibliography"/>
                <w:rPr>
                  <w:noProof/>
                </w:rPr>
              </w:pPr>
              <w:r>
                <w:rPr>
                  <w:noProof/>
                </w:rPr>
                <w:t xml:space="preserve">Zhu, Q., Sarkis, J. &amp; Lai, K.-h., 2013. Institutional-based antecedents and performance outcomes of internal and external green supply chain management practices. </w:t>
              </w:r>
              <w:r>
                <w:rPr>
                  <w:i/>
                  <w:iCs/>
                  <w:noProof/>
                </w:rPr>
                <w:t xml:space="preserve">Journal of Purchasing and Supply Management , </w:t>
              </w:r>
              <w:r>
                <w:rPr>
                  <w:noProof/>
                </w:rPr>
                <w:t>Volume 19(2), pp. 106-117.</w:t>
              </w:r>
            </w:p>
            <w:p w14:paraId="358D8A86" w14:textId="77777777" w:rsidR="0057351D" w:rsidRDefault="0057351D" w:rsidP="009A66E9">
              <w:pPr>
                <w:spacing w:line="360" w:lineRule="auto"/>
                <w:jc w:val="both"/>
              </w:pPr>
              <w:r w:rsidRPr="004B11E4">
                <w:rPr>
                  <w:rFonts w:ascii="Arial" w:hAnsi="Arial" w:cs="Arial"/>
                  <w:b/>
                  <w:bCs/>
                  <w:noProof/>
                  <w:sz w:val="24"/>
                  <w:szCs w:val="24"/>
                </w:rPr>
                <w:fldChar w:fldCharType="end"/>
              </w:r>
            </w:p>
          </w:sdtContent>
        </w:sdt>
      </w:sdtContent>
    </w:sdt>
    <w:p w14:paraId="1207FB18" w14:textId="77777777" w:rsidR="0057351D" w:rsidRPr="00CC6C4C" w:rsidRDefault="0057351D" w:rsidP="00CC6C4C">
      <w:pPr>
        <w:spacing w:line="360" w:lineRule="auto"/>
        <w:jc w:val="both"/>
        <w:rPr>
          <w:rFonts w:ascii="Times New Roman" w:hAnsi="Times New Roman" w:cs="Times New Roman"/>
          <w:sz w:val="24"/>
          <w:szCs w:val="24"/>
          <w:lang w:val="en-GB"/>
        </w:rPr>
      </w:pPr>
    </w:p>
    <w:sectPr w:rsidR="0057351D" w:rsidRPr="00CC6C4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3C2FC1" w14:textId="77777777" w:rsidR="008A021A" w:rsidRDefault="008A021A" w:rsidP="009126CF">
      <w:pPr>
        <w:spacing w:after="0" w:line="240" w:lineRule="auto"/>
      </w:pPr>
      <w:r>
        <w:separator/>
      </w:r>
    </w:p>
  </w:endnote>
  <w:endnote w:type="continuationSeparator" w:id="0">
    <w:p w14:paraId="79F7ACAC" w14:textId="77777777" w:rsidR="008A021A" w:rsidRDefault="008A021A" w:rsidP="009126CF">
      <w:pPr>
        <w:spacing w:after="0" w:line="240" w:lineRule="auto"/>
      </w:pPr>
      <w:r>
        <w:continuationSeparator/>
      </w:r>
    </w:p>
  </w:endnote>
  <w:endnote w:type="continuationNotice" w:id="1">
    <w:p w14:paraId="2C779BA6" w14:textId="77777777" w:rsidR="003722F3" w:rsidRDefault="003722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BFFA62" w14:textId="77777777" w:rsidR="008A021A" w:rsidRDefault="008A021A" w:rsidP="009126CF">
      <w:pPr>
        <w:spacing w:after="0" w:line="240" w:lineRule="auto"/>
      </w:pPr>
      <w:r>
        <w:separator/>
      </w:r>
    </w:p>
  </w:footnote>
  <w:footnote w:type="continuationSeparator" w:id="0">
    <w:p w14:paraId="445748FF" w14:textId="77777777" w:rsidR="008A021A" w:rsidRDefault="008A021A" w:rsidP="009126CF">
      <w:pPr>
        <w:spacing w:after="0" w:line="240" w:lineRule="auto"/>
      </w:pPr>
      <w:r>
        <w:continuationSeparator/>
      </w:r>
    </w:p>
  </w:footnote>
  <w:footnote w:type="continuationNotice" w:id="1">
    <w:p w14:paraId="640B9759" w14:textId="77777777" w:rsidR="003722F3" w:rsidRDefault="003722F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3440830"/>
      <w:docPartObj>
        <w:docPartGallery w:val="Page Numbers (Top of Page)"/>
        <w:docPartUnique/>
      </w:docPartObj>
    </w:sdtPr>
    <w:sdtEndPr>
      <w:rPr>
        <w:noProof/>
      </w:rPr>
    </w:sdtEndPr>
    <w:sdtContent>
      <w:p w14:paraId="6CC5EDA6" w14:textId="77777777" w:rsidR="009126CF" w:rsidRDefault="009126CF">
        <w:pPr>
          <w:pStyle w:val="Header"/>
          <w:jc w:val="right"/>
        </w:pPr>
        <w:r>
          <w:fldChar w:fldCharType="begin"/>
        </w:r>
        <w:r>
          <w:instrText xml:space="preserve"> PAGE   \* MERGEFORMAT </w:instrText>
        </w:r>
        <w:r>
          <w:fldChar w:fldCharType="separate"/>
        </w:r>
        <w:r w:rsidR="009A66E9">
          <w:rPr>
            <w:noProof/>
          </w:rPr>
          <w:t>9</w:t>
        </w:r>
        <w:r>
          <w:rPr>
            <w:noProof/>
          </w:rPr>
          <w:fldChar w:fldCharType="end"/>
        </w:r>
      </w:p>
    </w:sdtContent>
  </w:sdt>
  <w:p w14:paraId="003AE0A3" w14:textId="77777777" w:rsidR="009126CF" w:rsidRDefault="009126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63FA"/>
    <w:rsid w:val="0000382A"/>
    <w:rsid w:val="00047077"/>
    <w:rsid w:val="00062BE5"/>
    <w:rsid w:val="00126C38"/>
    <w:rsid w:val="001A056A"/>
    <w:rsid w:val="001D006E"/>
    <w:rsid w:val="001F2497"/>
    <w:rsid w:val="00205C05"/>
    <w:rsid w:val="002558E0"/>
    <w:rsid w:val="00274285"/>
    <w:rsid w:val="002B7EC9"/>
    <w:rsid w:val="002E5076"/>
    <w:rsid w:val="003028B1"/>
    <w:rsid w:val="003722F3"/>
    <w:rsid w:val="003B5F0C"/>
    <w:rsid w:val="004A6454"/>
    <w:rsid w:val="004B11E4"/>
    <w:rsid w:val="004B1F54"/>
    <w:rsid w:val="005101B8"/>
    <w:rsid w:val="00523737"/>
    <w:rsid w:val="00525584"/>
    <w:rsid w:val="0057351D"/>
    <w:rsid w:val="005755FD"/>
    <w:rsid w:val="0058526D"/>
    <w:rsid w:val="005A2DCD"/>
    <w:rsid w:val="005C6197"/>
    <w:rsid w:val="005E02EB"/>
    <w:rsid w:val="005F3D6D"/>
    <w:rsid w:val="006034A7"/>
    <w:rsid w:val="00624647"/>
    <w:rsid w:val="00654354"/>
    <w:rsid w:val="006B7594"/>
    <w:rsid w:val="006C72A2"/>
    <w:rsid w:val="006E214E"/>
    <w:rsid w:val="00787117"/>
    <w:rsid w:val="00790054"/>
    <w:rsid w:val="007947AB"/>
    <w:rsid w:val="007E7A1F"/>
    <w:rsid w:val="007F0FF4"/>
    <w:rsid w:val="00801004"/>
    <w:rsid w:val="00803592"/>
    <w:rsid w:val="0083771B"/>
    <w:rsid w:val="00842D8C"/>
    <w:rsid w:val="008956E5"/>
    <w:rsid w:val="008A021A"/>
    <w:rsid w:val="008E5002"/>
    <w:rsid w:val="008F5862"/>
    <w:rsid w:val="0091068F"/>
    <w:rsid w:val="009126CF"/>
    <w:rsid w:val="00945C33"/>
    <w:rsid w:val="00954B6B"/>
    <w:rsid w:val="009A66E9"/>
    <w:rsid w:val="00A20213"/>
    <w:rsid w:val="00A44C04"/>
    <w:rsid w:val="00A54B77"/>
    <w:rsid w:val="00A663FA"/>
    <w:rsid w:val="00A7324A"/>
    <w:rsid w:val="00AD75D0"/>
    <w:rsid w:val="00AD7BC2"/>
    <w:rsid w:val="00B263B8"/>
    <w:rsid w:val="00B35FF2"/>
    <w:rsid w:val="00B50C5D"/>
    <w:rsid w:val="00B81D0E"/>
    <w:rsid w:val="00BC6092"/>
    <w:rsid w:val="00BF3697"/>
    <w:rsid w:val="00C76208"/>
    <w:rsid w:val="00C94E2B"/>
    <w:rsid w:val="00CC6C4C"/>
    <w:rsid w:val="00D32E58"/>
    <w:rsid w:val="00D43406"/>
    <w:rsid w:val="00D46410"/>
    <w:rsid w:val="00D628FD"/>
    <w:rsid w:val="00D63E9E"/>
    <w:rsid w:val="00D91D15"/>
    <w:rsid w:val="00D946B1"/>
    <w:rsid w:val="00D97462"/>
    <w:rsid w:val="00DA1C26"/>
    <w:rsid w:val="00DA59C1"/>
    <w:rsid w:val="00DD2A09"/>
    <w:rsid w:val="00E07857"/>
    <w:rsid w:val="00E44720"/>
    <w:rsid w:val="00E45D85"/>
    <w:rsid w:val="00ED6D10"/>
    <w:rsid w:val="00EF0A34"/>
    <w:rsid w:val="00EF46C2"/>
    <w:rsid w:val="00F12622"/>
    <w:rsid w:val="00F33195"/>
    <w:rsid w:val="00F3465C"/>
    <w:rsid w:val="00F94164"/>
    <w:rsid w:val="00FA3C28"/>
    <w:rsid w:val="00FA5E5A"/>
    <w:rsid w:val="00FE5B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A38B3"/>
  <w15:chartTrackingRefBased/>
  <w15:docId w15:val="{A5147A13-AFDB-4FB4-A8F6-C0BAE2C69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5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51D"/>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57351D"/>
  </w:style>
  <w:style w:type="paragraph" w:styleId="Header">
    <w:name w:val="header"/>
    <w:basedOn w:val="Normal"/>
    <w:link w:val="HeaderChar"/>
    <w:uiPriority w:val="99"/>
    <w:unhideWhenUsed/>
    <w:rsid w:val="009126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26CF"/>
  </w:style>
  <w:style w:type="paragraph" w:styleId="Footer">
    <w:name w:val="footer"/>
    <w:basedOn w:val="Normal"/>
    <w:link w:val="FooterChar"/>
    <w:uiPriority w:val="99"/>
    <w:unhideWhenUsed/>
    <w:rsid w:val="009126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26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7525">
      <w:bodyDiv w:val="1"/>
      <w:marLeft w:val="0"/>
      <w:marRight w:val="0"/>
      <w:marTop w:val="0"/>
      <w:marBottom w:val="0"/>
      <w:divBdr>
        <w:top w:val="none" w:sz="0" w:space="0" w:color="auto"/>
        <w:left w:val="none" w:sz="0" w:space="0" w:color="auto"/>
        <w:bottom w:val="none" w:sz="0" w:space="0" w:color="auto"/>
        <w:right w:val="none" w:sz="0" w:space="0" w:color="auto"/>
      </w:divBdr>
    </w:div>
    <w:div w:id="117652621">
      <w:bodyDiv w:val="1"/>
      <w:marLeft w:val="0"/>
      <w:marRight w:val="0"/>
      <w:marTop w:val="0"/>
      <w:marBottom w:val="0"/>
      <w:divBdr>
        <w:top w:val="none" w:sz="0" w:space="0" w:color="auto"/>
        <w:left w:val="none" w:sz="0" w:space="0" w:color="auto"/>
        <w:bottom w:val="none" w:sz="0" w:space="0" w:color="auto"/>
        <w:right w:val="none" w:sz="0" w:space="0" w:color="auto"/>
      </w:divBdr>
    </w:div>
    <w:div w:id="125129241">
      <w:bodyDiv w:val="1"/>
      <w:marLeft w:val="0"/>
      <w:marRight w:val="0"/>
      <w:marTop w:val="0"/>
      <w:marBottom w:val="0"/>
      <w:divBdr>
        <w:top w:val="none" w:sz="0" w:space="0" w:color="auto"/>
        <w:left w:val="none" w:sz="0" w:space="0" w:color="auto"/>
        <w:bottom w:val="none" w:sz="0" w:space="0" w:color="auto"/>
        <w:right w:val="none" w:sz="0" w:space="0" w:color="auto"/>
      </w:divBdr>
    </w:div>
    <w:div w:id="216011114">
      <w:bodyDiv w:val="1"/>
      <w:marLeft w:val="0"/>
      <w:marRight w:val="0"/>
      <w:marTop w:val="0"/>
      <w:marBottom w:val="0"/>
      <w:divBdr>
        <w:top w:val="none" w:sz="0" w:space="0" w:color="auto"/>
        <w:left w:val="none" w:sz="0" w:space="0" w:color="auto"/>
        <w:bottom w:val="none" w:sz="0" w:space="0" w:color="auto"/>
        <w:right w:val="none" w:sz="0" w:space="0" w:color="auto"/>
      </w:divBdr>
    </w:div>
    <w:div w:id="240529942">
      <w:bodyDiv w:val="1"/>
      <w:marLeft w:val="0"/>
      <w:marRight w:val="0"/>
      <w:marTop w:val="0"/>
      <w:marBottom w:val="0"/>
      <w:divBdr>
        <w:top w:val="none" w:sz="0" w:space="0" w:color="auto"/>
        <w:left w:val="none" w:sz="0" w:space="0" w:color="auto"/>
        <w:bottom w:val="none" w:sz="0" w:space="0" w:color="auto"/>
        <w:right w:val="none" w:sz="0" w:space="0" w:color="auto"/>
      </w:divBdr>
    </w:div>
    <w:div w:id="258489683">
      <w:bodyDiv w:val="1"/>
      <w:marLeft w:val="0"/>
      <w:marRight w:val="0"/>
      <w:marTop w:val="0"/>
      <w:marBottom w:val="0"/>
      <w:divBdr>
        <w:top w:val="none" w:sz="0" w:space="0" w:color="auto"/>
        <w:left w:val="none" w:sz="0" w:space="0" w:color="auto"/>
        <w:bottom w:val="none" w:sz="0" w:space="0" w:color="auto"/>
        <w:right w:val="none" w:sz="0" w:space="0" w:color="auto"/>
      </w:divBdr>
    </w:div>
    <w:div w:id="306856432">
      <w:bodyDiv w:val="1"/>
      <w:marLeft w:val="0"/>
      <w:marRight w:val="0"/>
      <w:marTop w:val="0"/>
      <w:marBottom w:val="0"/>
      <w:divBdr>
        <w:top w:val="none" w:sz="0" w:space="0" w:color="auto"/>
        <w:left w:val="none" w:sz="0" w:space="0" w:color="auto"/>
        <w:bottom w:val="none" w:sz="0" w:space="0" w:color="auto"/>
        <w:right w:val="none" w:sz="0" w:space="0" w:color="auto"/>
      </w:divBdr>
    </w:div>
    <w:div w:id="315111465">
      <w:bodyDiv w:val="1"/>
      <w:marLeft w:val="0"/>
      <w:marRight w:val="0"/>
      <w:marTop w:val="0"/>
      <w:marBottom w:val="0"/>
      <w:divBdr>
        <w:top w:val="none" w:sz="0" w:space="0" w:color="auto"/>
        <w:left w:val="none" w:sz="0" w:space="0" w:color="auto"/>
        <w:bottom w:val="none" w:sz="0" w:space="0" w:color="auto"/>
        <w:right w:val="none" w:sz="0" w:space="0" w:color="auto"/>
      </w:divBdr>
    </w:div>
    <w:div w:id="381099521">
      <w:bodyDiv w:val="1"/>
      <w:marLeft w:val="0"/>
      <w:marRight w:val="0"/>
      <w:marTop w:val="0"/>
      <w:marBottom w:val="0"/>
      <w:divBdr>
        <w:top w:val="none" w:sz="0" w:space="0" w:color="auto"/>
        <w:left w:val="none" w:sz="0" w:space="0" w:color="auto"/>
        <w:bottom w:val="none" w:sz="0" w:space="0" w:color="auto"/>
        <w:right w:val="none" w:sz="0" w:space="0" w:color="auto"/>
      </w:divBdr>
    </w:div>
    <w:div w:id="433476237">
      <w:bodyDiv w:val="1"/>
      <w:marLeft w:val="0"/>
      <w:marRight w:val="0"/>
      <w:marTop w:val="0"/>
      <w:marBottom w:val="0"/>
      <w:divBdr>
        <w:top w:val="none" w:sz="0" w:space="0" w:color="auto"/>
        <w:left w:val="none" w:sz="0" w:space="0" w:color="auto"/>
        <w:bottom w:val="none" w:sz="0" w:space="0" w:color="auto"/>
        <w:right w:val="none" w:sz="0" w:space="0" w:color="auto"/>
      </w:divBdr>
    </w:div>
    <w:div w:id="441800621">
      <w:bodyDiv w:val="1"/>
      <w:marLeft w:val="0"/>
      <w:marRight w:val="0"/>
      <w:marTop w:val="0"/>
      <w:marBottom w:val="0"/>
      <w:divBdr>
        <w:top w:val="none" w:sz="0" w:space="0" w:color="auto"/>
        <w:left w:val="none" w:sz="0" w:space="0" w:color="auto"/>
        <w:bottom w:val="none" w:sz="0" w:space="0" w:color="auto"/>
        <w:right w:val="none" w:sz="0" w:space="0" w:color="auto"/>
      </w:divBdr>
    </w:div>
    <w:div w:id="458038583">
      <w:bodyDiv w:val="1"/>
      <w:marLeft w:val="0"/>
      <w:marRight w:val="0"/>
      <w:marTop w:val="0"/>
      <w:marBottom w:val="0"/>
      <w:divBdr>
        <w:top w:val="none" w:sz="0" w:space="0" w:color="auto"/>
        <w:left w:val="none" w:sz="0" w:space="0" w:color="auto"/>
        <w:bottom w:val="none" w:sz="0" w:space="0" w:color="auto"/>
        <w:right w:val="none" w:sz="0" w:space="0" w:color="auto"/>
      </w:divBdr>
    </w:div>
    <w:div w:id="481971937">
      <w:bodyDiv w:val="1"/>
      <w:marLeft w:val="0"/>
      <w:marRight w:val="0"/>
      <w:marTop w:val="0"/>
      <w:marBottom w:val="0"/>
      <w:divBdr>
        <w:top w:val="none" w:sz="0" w:space="0" w:color="auto"/>
        <w:left w:val="none" w:sz="0" w:space="0" w:color="auto"/>
        <w:bottom w:val="none" w:sz="0" w:space="0" w:color="auto"/>
        <w:right w:val="none" w:sz="0" w:space="0" w:color="auto"/>
      </w:divBdr>
    </w:div>
    <w:div w:id="599215397">
      <w:bodyDiv w:val="1"/>
      <w:marLeft w:val="0"/>
      <w:marRight w:val="0"/>
      <w:marTop w:val="0"/>
      <w:marBottom w:val="0"/>
      <w:divBdr>
        <w:top w:val="none" w:sz="0" w:space="0" w:color="auto"/>
        <w:left w:val="none" w:sz="0" w:space="0" w:color="auto"/>
        <w:bottom w:val="none" w:sz="0" w:space="0" w:color="auto"/>
        <w:right w:val="none" w:sz="0" w:space="0" w:color="auto"/>
      </w:divBdr>
    </w:div>
    <w:div w:id="612517551">
      <w:bodyDiv w:val="1"/>
      <w:marLeft w:val="0"/>
      <w:marRight w:val="0"/>
      <w:marTop w:val="0"/>
      <w:marBottom w:val="0"/>
      <w:divBdr>
        <w:top w:val="none" w:sz="0" w:space="0" w:color="auto"/>
        <w:left w:val="none" w:sz="0" w:space="0" w:color="auto"/>
        <w:bottom w:val="none" w:sz="0" w:space="0" w:color="auto"/>
        <w:right w:val="none" w:sz="0" w:space="0" w:color="auto"/>
      </w:divBdr>
    </w:div>
    <w:div w:id="723524730">
      <w:bodyDiv w:val="1"/>
      <w:marLeft w:val="0"/>
      <w:marRight w:val="0"/>
      <w:marTop w:val="0"/>
      <w:marBottom w:val="0"/>
      <w:divBdr>
        <w:top w:val="none" w:sz="0" w:space="0" w:color="auto"/>
        <w:left w:val="none" w:sz="0" w:space="0" w:color="auto"/>
        <w:bottom w:val="none" w:sz="0" w:space="0" w:color="auto"/>
        <w:right w:val="none" w:sz="0" w:space="0" w:color="auto"/>
      </w:divBdr>
    </w:div>
    <w:div w:id="765810409">
      <w:bodyDiv w:val="1"/>
      <w:marLeft w:val="0"/>
      <w:marRight w:val="0"/>
      <w:marTop w:val="0"/>
      <w:marBottom w:val="0"/>
      <w:divBdr>
        <w:top w:val="none" w:sz="0" w:space="0" w:color="auto"/>
        <w:left w:val="none" w:sz="0" w:space="0" w:color="auto"/>
        <w:bottom w:val="none" w:sz="0" w:space="0" w:color="auto"/>
        <w:right w:val="none" w:sz="0" w:space="0" w:color="auto"/>
      </w:divBdr>
    </w:div>
    <w:div w:id="794252073">
      <w:bodyDiv w:val="1"/>
      <w:marLeft w:val="0"/>
      <w:marRight w:val="0"/>
      <w:marTop w:val="0"/>
      <w:marBottom w:val="0"/>
      <w:divBdr>
        <w:top w:val="none" w:sz="0" w:space="0" w:color="auto"/>
        <w:left w:val="none" w:sz="0" w:space="0" w:color="auto"/>
        <w:bottom w:val="none" w:sz="0" w:space="0" w:color="auto"/>
        <w:right w:val="none" w:sz="0" w:space="0" w:color="auto"/>
      </w:divBdr>
    </w:div>
    <w:div w:id="825243957">
      <w:bodyDiv w:val="1"/>
      <w:marLeft w:val="0"/>
      <w:marRight w:val="0"/>
      <w:marTop w:val="0"/>
      <w:marBottom w:val="0"/>
      <w:divBdr>
        <w:top w:val="none" w:sz="0" w:space="0" w:color="auto"/>
        <w:left w:val="none" w:sz="0" w:space="0" w:color="auto"/>
        <w:bottom w:val="none" w:sz="0" w:space="0" w:color="auto"/>
        <w:right w:val="none" w:sz="0" w:space="0" w:color="auto"/>
      </w:divBdr>
    </w:div>
    <w:div w:id="830294159">
      <w:bodyDiv w:val="1"/>
      <w:marLeft w:val="0"/>
      <w:marRight w:val="0"/>
      <w:marTop w:val="0"/>
      <w:marBottom w:val="0"/>
      <w:divBdr>
        <w:top w:val="none" w:sz="0" w:space="0" w:color="auto"/>
        <w:left w:val="none" w:sz="0" w:space="0" w:color="auto"/>
        <w:bottom w:val="none" w:sz="0" w:space="0" w:color="auto"/>
        <w:right w:val="none" w:sz="0" w:space="0" w:color="auto"/>
      </w:divBdr>
    </w:div>
    <w:div w:id="885944798">
      <w:bodyDiv w:val="1"/>
      <w:marLeft w:val="0"/>
      <w:marRight w:val="0"/>
      <w:marTop w:val="0"/>
      <w:marBottom w:val="0"/>
      <w:divBdr>
        <w:top w:val="none" w:sz="0" w:space="0" w:color="auto"/>
        <w:left w:val="none" w:sz="0" w:space="0" w:color="auto"/>
        <w:bottom w:val="none" w:sz="0" w:space="0" w:color="auto"/>
        <w:right w:val="none" w:sz="0" w:space="0" w:color="auto"/>
      </w:divBdr>
    </w:div>
    <w:div w:id="905527578">
      <w:bodyDiv w:val="1"/>
      <w:marLeft w:val="0"/>
      <w:marRight w:val="0"/>
      <w:marTop w:val="0"/>
      <w:marBottom w:val="0"/>
      <w:divBdr>
        <w:top w:val="none" w:sz="0" w:space="0" w:color="auto"/>
        <w:left w:val="none" w:sz="0" w:space="0" w:color="auto"/>
        <w:bottom w:val="none" w:sz="0" w:space="0" w:color="auto"/>
        <w:right w:val="none" w:sz="0" w:space="0" w:color="auto"/>
      </w:divBdr>
    </w:div>
    <w:div w:id="982152560">
      <w:bodyDiv w:val="1"/>
      <w:marLeft w:val="0"/>
      <w:marRight w:val="0"/>
      <w:marTop w:val="0"/>
      <w:marBottom w:val="0"/>
      <w:divBdr>
        <w:top w:val="none" w:sz="0" w:space="0" w:color="auto"/>
        <w:left w:val="none" w:sz="0" w:space="0" w:color="auto"/>
        <w:bottom w:val="none" w:sz="0" w:space="0" w:color="auto"/>
        <w:right w:val="none" w:sz="0" w:space="0" w:color="auto"/>
      </w:divBdr>
    </w:div>
    <w:div w:id="1164786570">
      <w:bodyDiv w:val="1"/>
      <w:marLeft w:val="0"/>
      <w:marRight w:val="0"/>
      <w:marTop w:val="0"/>
      <w:marBottom w:val="0"/>
      <w:divBdr>
        <w:top w:val="none" w:sz="0" w:space="0" w:color="auto"/>
        <w:left w:val="none" w:sz="0" w:space="0" w:color="auto"/>
        <w:bottom w:val="none" w:sz="0" w:space="0" w:color="auto"/>
        <w:right w:val="none" w:sz="0" w:space="0" w:color="auto"/>
      </w:divBdr>
    </w:div>
    <w:div w:id="1274367351">
      <w:bodyDiv w:val="1"/>
      <w:marLeft w:val="0"/>
      <w:marRight w:val="0"/>
      <w:marTop w:val="0"/>
      <w:marBottom w:val="0"/>
      <w:divBdr>
        <w:top w:val="none" w:sz="0" w:space="0" w:color="auto"/>
        <w:left w:val="none" w:sz="0" w:space="0" w:color="auto"/>
        <w:bottom w:val="none" w:sz="0" w:space="0" w:color="auto"/>
        <w:right w:val="none" w:sz="0" w:space="0" w:color="auto"/>
      </w:divBdr>
    </w:div>
    <w:div w:id="1293949142">
      <w:bodyDiv w:val="1"/>
      <w:marLeft w:val="0"/>
      <w:marRight w:val="0"/>
      <w:marTop w:val="0"/>
      <w:marBottom w:val="0"/>
      <w:divBdr>
        <w:top w:val="none" w:sz="0" w:space="0" w:color="auto"/>
        <w:left w:val="none" w:sz="0" w:space="0" w:color="auto"/>
        <w:bottom w:val="none" w:sz="0" w:space="0" w:color="auto"/>
        <w:right w:val="none" w:sz="0" w:space="0" w:color="auto"/>
      </w:divBdr>
    </w:div>
    <w:div w:id="1299653804">
      <w:bodyDiv w:val="1"/>
      <w:marLeft w:val="0"/>
      <w:marRight w:val="0"/>
      <w:marTop w:val="0"/>
      <w:marBottom w:val="0"/>
      <w:divBdr>
        <w:top w:val="none" w:sz="0" w:space="0" w:color="auto"/>
        <w:left w:val="none" w:sz="0" w:space="0" w:color="auto"/>
        <w:bottom w:val="none" w:sz="0" w:space="0" w:color="auto"/>
        <w:right w:val="none" w:sz="0" w:space="0" w:color="auto"/>
      </w:divBdr>
    </w:div>
    <w:div w:id="1346635829">
      <w:bodyDiv w:val="1"/>
      <w:marLeft w:val="0"/>
      <w:marRight w:val="0"/>
      <w:marTop w:val="0"/>
      <w:marBottom w:val="0"/>
      <w:divBdr>
        <w:top w:val="none" w:sz="0" w:space="0" w:color="auto"/>
        <w:left w:val="none" w:sz="0" w:space="0" w:color="auto"/>
        <w:bottom w:val="none" w:sz="0" w:space="0" w:color="auto"/>
        <w:right w:val="none" w:sz="0" w:space="0" w:color="auto"/>
      </w:divBdr>
    </w:div>
    <w:div w:id="1388990412">
      <w:bodyDiv w:val="1"/>
      <w:marLeft w:val="0"/>
      <w:marRight w:val="0"/>
      <w:marTop w:val="0"/>
      <w:marBottom w:val="0"/>
      <w:divBdr>
        <w:top w:val="none" w:sz="0" w:space="0" w:color="auto"/>
        <w:left w:val="none" w:sz="0" w:space="0" w:color="auto"/>
        <w:bottom w:val="none" w:sz="0" w:space="0" w:color="auto"/>
        <w:right w:val="none" w:sz="0" w:space="0" w:color="auto"/>
      </w:divBdr>
    </w:div>
    <w:div w:id="1530683136">
      <w:bodyDiv w:val="1"/>
      <w:marLeft w:val="0"/>
      <w:marRight w:val="0"/>
      <w:marTop w:val="0"/>
      <w:marBottom w:val="0"/>
      <w:divBdr>
        <w:top w:val="none" w:sz="0" w:space="0" w:color="auto"/>
        <w:left w:val="none" w:sz="0" w:space="0" w:color="auto"/>
        <w:bottom w:val="none" w:sz="0" w:space="0" w:color="auto"/>
        <w:right w:val="none" w:sz="0" w:space="0" w:color="auto"/>
      </w:divBdr>
    </w:div>
    <w:div w:id="1551458117">
      <w:bodyDiv w:val="1"/>
      <w:marLeft w:val="0"/>
      <w:marRight w:val="0"/>
      <w:marTop w:val="0"/>
      <w:marBottom w:val="0"/>
      <w:divBdr>
        <w:top w:val="none" w:sz="0" w:space="0" w:color="auto"/>
        <w:left w:val="none" w:sz="0" w:space="0" w:color="auto"/>
        <w:bottom w:val="none" w:sz="0" w:space="0" w:color="auto"/>
        <w:right w:val="none" w:sz="0" w:space="0" w:color="auto"/>
      </w:divBdr>
    </w:div>
    <w:div w:id="1699812035">
      <w:bodyDiv w:val="1"/>
      <w:marLeft w:val="0"/>
      <w:marRight w:val="0"/>
      <w:marTop w:val="0"/>
      <w:marBottom w:val="0"/>
      <w:divBdr>
        <w:top w:val="none" w:sz="0" w:space="0" w:color="auto"/>
        <w:left w:val="none" w:sz="0" w:space="0" w:color="auto"/>
        <w:bottom w:val="none" w:sz="0" w:space="0" w:color="auto"/>
        <w:right w:val="none" w:sz="0" w:space="0" w:color="auto"/>
      </w:divBdr>
    </w:div>
    <w:div w:id="1761098084">
      <w:bodyDiv w:val="1"/>
      <w:marLeft w:val="0"/>
      <w:marRight w:val="0"/>
      <w:marTop w:val="0"/>
      <w:marBottom w:val="0"/>
      <w:divBdr>
        <w:top w:val="none" w:sz="0" w:space="0" w:color="auto"/>
        <w:left w:val="none" w:sz="0" w:space="0" w:color="auto"/>
        <w:bottom w:val="none" w:sz="0" w:space="0" w:color="auto"/>
        <w:right w:val="none" w:sz="0" w:space="0" w:color="auto"/>
      </w:divBdr>
    </w:div>
    <w:div w:id="1894006241">
      <w:bodyDiv w:val="1"/>
      <w:marLeft w:val="0"/>
      <w:marRight w:val="0"/>
      <w:marTop w:val="0"/>
      <w:marBottom w:val="0"/>
      <w:divBdr>
        <w:top w:val="none" w:sz="0" w:space="0" w:color="auto"/>
        <w:left w:val="none" w:sz="0" w:space="0" w:color="auto"/>
        <w:bottom w:val="none" w:sz="0" w:space="0" w:color="auto"/>
        <w:right w:val="none" w:sz="0" w:space="0" w:color="auto"/>
      </w:divBdr>
    </w:div>
    <w:div w:id="1954702791">
      <w:bodyDiv w:val="1"/>
      <w:marLeft w:val="0"/>
      <w:marRight w:val="0"/>
      <w:marTop w:val="0"/>
      <w:marBottom w:val="0"/>
      <w:divBdr>
        <w:top w:val="none" w:sz="0" w:space="0" w:color="auto"/>
        <w:left w:val="none" w:sz="0" w:space="0" w:color="auto"/>
        <w:bottom w:val="none" w:sz="0" w:space="0" w:color="auto"/>
        <w:right w:val="none" w:sz="0" w:space="0" w:color="auto"/>
      </w:divBdr>
    </w:div>
    <w:div w:id="2003198604">
      <w:bodyDiv w:val="1"/>
      <w:marLeft w:val="0"/>
      <w:marRight w:val="0"/>
      <w:marTop w:val="0"/>
      <w:marBottom w:val="0"/>
      <w:divBdr>
        <w:top w:val="none" w:sz="0" w:space="0" w:color="auto"/>
        <w:left w:val="none" w:sz="0" w:space="0" w:color="auto"/>
        <w:bottom w:val="none" w:sz="0" w:space="0" w:color="auto"/>
        <w:right w:val="none" w:sz="0" w:space="0" w:color="auto"/>
      </w:divBdr>
    </w:div>
    <w:div w:id="2039892037">
      <w:bodyDiv w:val="1"/>
      <w:marLeft w:val="0"/>
      <w:marRight w:val="0"/>
      <w:marTop w:val="0"/>
      <w:marBottom w:val="0"/>
      <w:divBdr>
        <w:top w:val="none" w:sz="0" w:space="0" w:color="auto"/>
        <w:left w:val="none" w:sz="0" w:space="0" w:color="auto"/>
        <w:bottom w:val="none" w:sz="0" w:space="0" w:color="auto"/>
        <w:right w:val="none" w:sz="0" w:space="0" w:color="auto"/>
      </w:divBdr>
    </w:div>
    <w:div w:id="2141458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Pet20</b:Tag>
    <b:SourceType>JournalArticle</b:SourceType>
    <b:Guid>{F16AADC1-9072-4870-AE9D-BCF7FB4597DA}</b:Guid>
    <b:Author>
      <b:Author>
        <b:NameList>
          <b:Person>
            <b:Last>Maina</b:Last>
            <b:First>Peter</b:First>
          </b:Person>
        </b:NameList>
      </b:Author>
    </b:Author>
    <b:Title>A Case Study of Hilton Hotels 1 A CASE STUDY OF HILTON HOTELS Name Course Professor Institution City Date A Case Study of Hilton Hotels 2 A Case Study of Hilton Hotels</b:Title>
    <b:JournalName>A CASE STUDY OF HILTON HOTELS</b:JournalName>
    <b:Year>2020</b:Year>
    <b:RefOrder>1</b:RefOrder>
  </b:Source>
  <b:Source>
    <b:Tag>Pet201</b:Tag>
    <b:SourceType>JournalArticle</b:SourceType>
    <b:Guid>{B51F6480-D705-4B5C-8805-FC5BB29CDE4C}</b:Guid>
    <b:Author>
      <b:Author>
        <b:NameList>
          <b:Person>
            <b:Last>Maina</b:Last>
            <b:First>Peter</b:First>
          </b:Person>
        </b:NameList>
      </b:Author>
    </b:Author>
    <b:Title>Hilton Hotels' Performance Management Analysis 1 Hilton Hotels' Performance Management Analysis Name Course Professor Institution City Date Hilton Hotels' Performance Management Analysis 2 Hilton Hotels' Performance Management Analysis</b:Title>
    <b:Year>2020</b:Year>
    <b:RefOrder>2</b:RefOrder>
  </b:Source>
  <b:Source>
    <b:Tag>Jol21</b:Tag>
    <b:SourceType>JournalArticle</b:SourceType>
    <b:Guid>{88CD8CEA-D6EE-4F08-A794-A9C0A32B1AA0}</b:Guid>
    <b:Author>
      <b:Author>
        <b:NameList>
          <b:Person>
            <b:Last>Stoffers</b:Last>
            <b:First>Jol</b:First>
          </b:Person>
          <b:Person>
            <b:Last>Eringa</b:Last>
            <b:First>Klaes</b:First>
          </b:Person>
          <b:Person>
            <b:Last>Niks</b:Last>
            <b:First>Jamie</b:First>
          </b:Person>
          <b:Person>
            <b:Last>Kleefstra</b:Last>
            <b:First>Anne</b:First>
          </b:Person>
        </b:NameList>
      </b:Author>
    </b:Author>
    <b:Title>Workplace Innovation and Organizational Performance in the Hospitality Industry</b:Title>
    <b:JournalName>Sustainability </b:JournalName>
    <b:Year>2021</b:Year>
    <b:Pages>5847</b:Pages>
    <b:Volume>13(11)</b:Volume>
    <b:RefOrder>3</b:RefOrder>
  </b:Source>
  <b:Source>
    <b:Tag>Ade21</b:Tag>
    <b:SourceType>JournalArticle</b:SourceType>
    <b:Guid>{0FAB5A48-37C7-4B04-B7C6-6150607958B6}</b:Guid>
    <b:Author>
      <b:Author>
        <b:NameList>
          <b:Person>
            <b:Last>Mcmurray</b:Last>
            <b:First>Adela</b:First>
          </b:Person>
          <b:Person>
            <b:Last>Muenjohn</b:Last>
            <b:First>N.</b:First>
          </b:Person>
          <b:Person>
            <b:Last>Scott</b:Last>
            <b:First>Don</b:First>
          </b:Person>
        </b:NameList>
      </b:Author>
    </b:Author>
    <b:Title>Measuring workplace innovation: Scale development</b:Title>
    <b:JournalName>Journal of Small Business Management</b:JournalName>
    <b:Year>2021</b:Year>
    <b:RefOrder>4</b:RefOrder>
  </b:Source>
  <b:Source>
    <b:Tag>Mic211</b:Tag>
    <b:SourceType>JournalArticle</b:SourceType>
    <b:Guid>{BA55BACE-0D8B-4BCF-8BE3-387DE401E1FA}</b:Guid>
    <b:Title>An Outbreak of Online Learning in the COVID-19 Outbreak in Sub- Saharan Africa: Prospects and Challenges</b:Title>
    <b:JournalName>Global Journal of Computer Science and Technology</b:JournalName>
    <b:Year>2021</b:Year>
    <b:Pages>1-10</b:Pages>
    <b:Author>
      <b:Author>
        <b:NameList>
          <b:Person>
            <b:Last>Adarkwah</b:Last>
            <b:First>Michael</b:First>
          </b:Person>
        </b:NameList>
      </b:Author>
    </b:Author>
    <b:Volume>21(2)</b:Volume>
    <b:RefOrder>5</b:RefOrder>
  </b:Source>
  <b:Source>
    <b:Tag>Alı20</b:Tag>
    <b:SourceType>JournalArticle</b:SourceType>
    <b:Guid>{61337AA9-E3F9-468B-B133-58A30BB51AFB}</b:Guid>
    <b:Author>
      <b:Author>
        <b:NameList>
          <b:Person>
            <b:Last>Alıcı</b:Last>
            <b:First>Abdulkadir</b:First>
          </b:Person>
          <b:Person>
            <b:Last>Polat</b:Last>
            <b:First>Leyla</b:First>
          </b:Person>
        </b:NameList>
      </b:Author>
    </b:Author>
    <b:Title>Economic Effect of Coronavirus (COVID-19) Outbreak on Airline Businesses (Coronavirüs (COVİD-19) Salgınının Havayolu İşletmelerine Ekonomik Etkisi)</b:Title>
    <b:JournalName>Turkish Studies</b:JournalName>
    <b:Year>2020</b:Year>
    <b:Pages>49-61</b:Pages>
    <b:Volume>15(6)</b:Volume>
    <b:DOI>10.7827/TurkishStudies.44143</b:DOI>
    <b:RefOrder>6</b:RefOrder>
  </b:Source>
  <b:Source>
    <b:Tag>Are21</b:Tag>
    <b:SourceType>JournalArticle</b:SourceType>
    <b:Guid>{1D1D6BF4-85DA-4019-B1A1-EB8D3A2DB87D}</b:Guid>
    <b:Author>
      <b:Author>
        <b:NameList>
          <b:Person>
            <b:Last>Arena</b:Last>
            <b:First>Maurizio</b:First>
          </b:Person>
          <b:Person>
            <b:Last>Aprea</b:Last>
            <b:First>Claudia</b:First>
          </b:Person>
        </b:NameList>
      </b:Author>
    </b:Author>
    <b:Title>Impact of Covid-19 Pandemic on Air Transport: Overview and Implications</b:Title>
    <b:Year>2021</b:Year>
    <b:DOI>10.21926/aeer.2101002</b:DOI>
    <b:RefOrder>7</b:RefOrder>
  </b:Source>
  <b:Source>
    <b:Tag>Bar20</b:Tag>
    <b:SourceType>JournalArticle</b:SourceType>
    <b:Guid>{1C17D370-BA2F-4852-8638-9861863B462B}</b:Guid>
    <b:Author>
      <b:Author>
        <b:NameList>
          <b:Person>
            <b:Last>Barmania</b:Last>
            <b:First>Sima</b:First>
          </b:Person>
          <b:Person>
            <b:Last>Reiss</b:Last>
            <b:First>Michael</b:First>
            <b:Middle>J.</b:Middle>
          </b:Person>
        </b:NameList>
      </b:Author>
    </b:Author>
    <b:Title>Health promotion perspectives on the COVID-19 pandemic: The importance of religion</b:Title>
    <b:JournalName>Global Health Promotion</b:JournalName>
    <b:Year>2020</b:Year>
    <b:DOI>10.1177/1757975920972992</b:DOI>
    <b:RefOrder>8</b:RefOrder>
  </b:Source>
  <b:Source>
    <b:Tag>Ber21</b:Tag>
    <b:SourceType>JournalArticle</b:SourceType>
    <b:Guid>{A01E1EBD-22F8-46C6-8CAF-E5D4C31DA67F}</b:Guid>
    <b:Author>
      <b:Author>
        <b:NameList>
          <b:Person>
            <b:Last>Bermejo-Martins</b:Last>
            <b:First>Elena</b:First>
          </b:Person>
          <b:Person>
            <b:Last>Luis</b:Last>
            <b:First>Elkin</b:First>
          </b:Person>
          <b:Person>
            <b:Last>Sarrionandia</b:Last>
            <b:First>Ainize</b:First>
          </b:Person>
          <b:Person>
            <b:Last>Villar</b:Last>
            <b:First>Martín</b:First>
            <b:Middle>Martínez</b:Middle>
          </b:Person>
        </b:NameList>
      </b:Author>
    </b:Author>
    <b:Title>Different Responses to Stress, Health Practices and Self-care during COVID-19 Lockdown: A Stratified Analysis</b:Title>
    <b:Year>2021</b:Year>
    <b:Pages>44</b:Pages>
    <b:DOI>10.20944/preprints202102.0092.v1</b:DOI>
    <b:RefOrder>9</b:RefOrder>
  </b:Source>
  <b:Source>
    <b:Tag>Ele21</b:Tag>
    <b:SourceType>JournalArticle</b:SourceType>
    <b:Guid>{A057957B-8445-4CF4-B9E2-8E3B6551A333}</b:Guid>
    <b:Title>Different Responses to Stress, Health Practices, and Self-Care during COVID-19 Lockdown: A Stratified Analysis</b:Title>
    <b:JournalName>International Journal of Environmental Research and Public Health </b:JournalName>
    <b:Year>2021</b:Year>
    <b:Pages>2253</b:Pages>
    <b:Author>
      <b:Author>
        <b:NameList>
          <b:Person>
            <b:Last>Bermejo-Martins</b:Last>
            <b:First>Elena</b:First>
          </b:Person>
          <b:Person>
            <b:Last>Luis</b:Last>
            <b:First>Elkin</b:First>
          </b:Person>
          <b:Person>
            <b:Last>Sarrionandia</b:Last>
            <b:First>Ainize</b:First>
          </b:Person>
          <b:Person>
            <b:Last>Villar</b:Last>
            <b:First>Martín</b:First>
            <b:Middle>Martínez</b:Middle>
          </b:Person>
        </b:NameList>
      </b:Author>
    </b:Author>
    <b:Volume>18(5)</b:Volume>
    <b:DOI>10.3390/ijerph18052253</b:DOI>
    <b:RefOrder>10</b:RefOrder>
  </b:Source>
  <b:Source>
    <b:Tag>Ele18</b:Tag>
    <b:SourceType>JournalArticle</b:SourceType>
    <b:Guid>{F24D2F21-8F20-4347-BF15-B8857364961C}</b:Guid>
    <b:Author>
      <b:Author>
        <b:NameList>
          <b:Person>
            <b:Last>Chatburn</b:Last>
            <b:First>Eleanor</b:First>
          </b:Person>
          <b:Person>
            <b:Last>Carthey</b:Last>
            <b:First>Jane</b:First>
          </b:Person>
          <b:Person>
            <b:Last>Macrae</b:Last>
            <b:First>Carl</b:First>
          </b:Person>
          <b:Person>
            <b:Last>Vincent</b:Last>
            <b:First>Charles</b:First>
            <b:Middle>A</b:Middle>
          </b:Person>
        </b:NameList>
      </b:Author>
    </b:Author>
    <b:Title>Measurement and monitoring of safety: Impact and challenges of putting a conceptual framework into practice</b:Title>
    <b:JournalName>BMJ quality &amp; safety </b:JournalName>
    <b:Year>2018</b:Year>
    <b:Pages>66</b:Pages>
    <b:Volume>27(10)</b:Volume>
    <b:RefOrder>11</b:RefOrder>
  </b:Source>
  <b:Source>
    <b:Tag>Har141</b:Tag>
    <b:SourceType>JournalArticle</b:SourceType>
    <b:Guid>{CC5DBD7F-776F-49F0-A1EB-0E7C04F91049}</b:Guid>
    <b:Author>
      <b:Author>
        <b:NameList>
          <b:Person>
            <b:Last>Harzing</b:Last>
            <b:First>A.</b:First>
          </b:Person>
          <b:Person>
            <b:Last>Ruysseveldt</b:Last>
            <b:First>J.V.</b:First>
          </b:Person>
        </b:NameList>
      </b:Author>
    </b:Author>
    <b:Title>International Human Resource Management</b:Title>
    <b:JournalName>Sage</b:JournalName>
    <b:Year>2014</b:Year>
    <b:Volume>4th Ed. London</b:Volume>
    <b:RefOrder>12</b:RefOrder>
  </b:Source>
  <b:Source>
    <b:Tag>Jul211</b:Tag>
    <b:SourceType>JournalArticle</b:SourceType>
    <b:Guid>{0F163614-7280-404D-851E-90AB0E4E40A4}</b:Guid>
    <b:Author>
      <b:Author>
        <b:NameList>
          <b:Person>
            <b:Last>Hodges</b:Last>
            <b:First>Julie</b:First>
          </b:Person>
        </b:NameList>
      </b:Author>
    </b:Author>
    <b:Title>Engaging Employees with Organizational Change</b:Title>
    <b:JournalName>Journal of Financial Management and Analysis </b:JournalName>
    <b:Year>2021</b:Year>
    <b:Pages>68-75</b:Pages>
    <b:Volume>52</b:Volume>
    <b:RefOrder>16</b:RefOrder>
  </b:Source>
  <b:Source>
    <b:Tag>Kew13</b:Tag>
    <b:SourceType>JournalArticle</b:SourceType>
    <b:Guid>{517A87F0-F242-4579-B982-2EB872BCF1BB}</b:Guid>
    <b:Author>
      <b:Author>
        <b:NameList>
          <b:Person>
            <b:Last>Kew</b:Last>
            <b:First>J</b:First>
          </b:Person>
          <b:Person>
            <b:Last>Stredwick</b:Last>
            <b:First>J</b:First>
          </b:Person>
        </b:NameList>
      </b:Author>
    </b:Author>
    <b:Title>Human Resources Management in a Business Context</b:Title>
    <b:JournalName>Chartered Institute of Personnel and Development</b:JournalName>
    <b:Year>2013</b:Year>
    <b:Volume> 2nd Edition</b:Volume>
    <b:RefOrder>13</b:RefOrder>
  </b:Source>
  <b:Source>
    <b:Tag>Kev20</b:Tag>
    <b:SourceType>JournalArticle</b:SourceType>
    <b:Guid>{97A2A47B-DDAE-4206-85CA-930345C8411A}</b:Guid>
    <b:Author>
      <b:Author>
        <b:NameList>
          <b:Person>
            <b:Last>Kniffin</b:Last>
            <b:First>Kevin</b:First>
            <b:Middle>M</b:Middle>
          </b:Person>
          <b:Person>
            <b:Last>Narayanan</b:Last>
            <b:First>Jayanth</b:First>
          </b:Person>
          <b:Person>
            <b:Last>Anseel</b:Last>
            <b:First>Frederik</b:First>
          </b:Person>
        </b:NameList>
      </b:Author>
    </b:Author>
    <b:Title>COVID-19 and the workplace: Implications, issues, and insights for future research and action</b:Title>
    <b:JournalName>American Psychologist </b:JournalName>
    <b:Year>2020</b:Year>
    <b:Volume>76(1)</b:Volume>
    <b:RefOrder>14</b:RefOrder>
  </b:Source>
  <b:Source>
    <b:Tag>Kei20</b:Tag>
    <b:SourceType>JournalArticle</b:SourceType>
    <b:Guid>{9B082BEC-F3EB-4164-A504-C8D3872EB0CF}</b:Guid>
    <b:Author>
      <b:Author>
        <b:NameList>
          <b:Person>
            <b:Last>Mason</b:Last>
            <b:First>Keith</b:First>
          </b:Person>
        </b:NameList>
      </b:Author>
    </b:Author>
    <b:Title>Covid-19 and the long-term implications for the business travel market: Has Zoom and Teams killed business travel?</b:Title>
    <b:Year>2020</b:Year>
    <b:Pages>54</b:Pages>
    <b:RefOrder>17</b:RefOrder>
  </b:Source>
  <b:Source>
    <b:Tag>Olu16</b:Tag>
    <b:SourceType>JournalArticle</b:SourceType>
    <b:Guid>{D80EAAA7-211F-48F8-9B38-F12609AF6C5F}</b:Guid>
    <b:Author>
      <b:Author>
        <b:NameList>
          <b:Person>
            <b:Last>Osunsan</b:Last>
            <b:First>Olutayo</b:First>
            <b:Middle>Kadmiel</b:Middle>
          </b:Person>
          <b:Person>
            <b:Last>Nowak</b:Last>
            <b:First>Jadwiga</b:First>
          </b:Person>
          <b:Person>
            <b:Last>Mpora</b:Last>
            <b:First>Byamukama</b:First>
            <b:Middle>Eliab</b:Middle>
          </b:Person>
        </b:NameList>
      </b:Author>
    </b:Author>
    <b:Title>Business Strategy and Sales in Small Scale Enterprises.</b:Title>
    <b:Year>2016</b:Year>
    <b:RefOrder>15</b:RefOrder>
  </b:Source>
  <b:Source>
    <b:Tag>Qin13</b:Tag>
    <b:SourceType>JournalArticle</b:SourceType>
    <b:Guid>{54C7FC95-6964-4ABB-9509-8FD8F79EACFB}</b:Guid>
    <b:Author>
      <b:Author>
        <b:NameList>
          <b:Person>
            <b:Last>Zhu</b:Last>
            <b:First>Qinghua</b:First>
          </b:Person>
          <b:Person>
            <b:Last>Sarkis</b:Last>
            <b:First>Joseph</b:First>
          </b:Person>
          <b:Person>
            <b:Last>Lai</b:Last>
            <b:First>Kee-hung</b:First>
          </b:Person>
        </b:NameList>
      </b:Author>
    </b:Author>
    <b:Title>Institutional-based antecedents and performance outcomes of internal and external green supply chain management practices</b:Title>
    <b:JournalName>Journal of Purchasing and Supply Management </b:JournalName>
    <b:Year>2013</b:Year>
    <b:Pages>106-117</b:Pages>
    <b:Volume>19(2)</b:Volume>
    <b:RefOrder>18</b:RefOrder>
  </b:Source>
  <b:Source>
    <b:Tag>Tal11</b:Tag>
    <b:SourceType>JournalArticle</b:SourceType>
    <b:Guid>{F9A536C3-8FBE-4CF7-AC86-1E55CC706D16}</b:Guid>
    <b:Title>Leading by example: The case of leader OCB</b:Title>
    <b:Year>2011</b:Year>
    <b:JournalName>Journal of Applied Psychology</b:JournalName>
    <b:Pages>806-26</b:Pages>
    <b:Author>
      <b:Author>
        <b:NameList>
          <b:Person>
            <b:Last>Yaffe</b:Last>
            <b:First>Tal</b:First>
          </b:Person>
          <b:Person>
            <b:Last>Kark</b:Last>
            <b:First>Ronit</b:First>
          </b:Person>
        </b:NameList>
      </b:Author>
    </b:Author>
    <b:Volume>96(4)</b:Volume>
    <b:DOI>0.1037/a0022464</b:DOI>
    <b:RefOrder>19</b:RefOrder>
  </b:Source>
  <b:Source>
    <b:Tag>Yia21</b:Tag>
    <b:SourceType>JournalArticle</b:SourceType>
    <b:Guid>{FB6B0D56-18D4-458F-9D69-B2E04938AA42}</b:Guid>
    <b:Author>
      <b:Author>
        <b:NameList>
          <b:Person>
            <b:Last>Xu</b:Last>
            <b:First>Yian</b:First>
          </b:Person>
          <b:Person>
            <b:Last>Berryessa</b:Last>
            <b:First>Colleen</b:First>
            <b:Middle>M.</b:Middle>
          </b:Person>
          <b:Person>
            <b:Last>Dowd</b:Last>
            <b:First>Mackenzie</b:First>
          </b:Person>
        </b:NameList>
      </b:Author>
    </b:Author>
    <b:Title>Essentialist Thinking Predicts Culpability and Punishment Judgments</b:Title>
    <b:JournalName>Psychology Crime and Law</b:JournalName>
    <b:Year>2021</b:Year>
    <b:RefOrder>20</b:RefOrder>
  </b:Source>
</b:Sources>
</file>

<file path=customXml/itemProps1.xml><?xml version="1.0" encoding="utf-8"?>
<ds:datastoreItem xmlns:ds="http://schemas.openxmlformats.org/officeDocument/2006/customXml" ds:itemID="{E7ED0B41-AB1A-4777-98AE-5D8F3E4355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2573</Words>
  <Characters>14669</Characters>
  <Application>Microsoft Office Word</Application>
  <DocSecurity>4</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Mary Condurache</cp:lastModifiedBy>
  <cp:revision>3</cp:revision>
  <dcterms:created xsi:type="dcterms:W3CDTF">2021-06-02T17:00:00Z</dcterms:created>
  <dcterms:modified xsi:type="dcterms:W3CDTF">2021-06-02T17:03:00Z</dcterms:modified>
</cp:coreProperties>
</file>