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B0B17" w14:textId="32698130" w:rsidR="001F07B6" w:rsidRPr="004B36A2" w:rsidRDefault="001F07B6" w:rsidP="001F07B6">
      <w:pPr>
        <w:spacing w:before="120" w:after="120" w:line="360" w:lineRule="auto"/>
        <w:rPr>
          <w:b/>
          <w:bCs/>
          <w:sz w:val="36"/>
          <w:szCs w:val="36"/>
        </w:rPr>
      </w:pPr>
      <w:r w:rsidRPr="004B36A2">
        <w:rPr>
          <w:noProof/>
        </w:rPr>
        <w:drawing>
          <wp:anchor distT="0" distB="0" distL="114300" distR="114300" simplePos="0" relativeHeight="251659264" behindDoc="0" locked="0" layoutInCell="1" hidden="0" allowOverlap="1" wp14:anchorId="18859E50" wp14:editId="4EEA3C9F">
            <wp:simplePos x="0" y="0"/>
            <wp:positionH relativeFrom="column">
              <wp:posOffset>1677311</wp:posOffset>
            </wp:positionH>
            <wp:positionV relativeFrom="paragraph">
              <wp:posOffset>28</wp:posOffset>
            </wp:positionV>
            <wp:extent cx="2837815" cy="1103630"/>
            <wp:effectExtent l="0" t="0" r="635"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2837815" cy="1103630"/>
                    </a:xfrm>
                    <a:prstGeom prst="rect">
                      <a:avLst/>
                    </a:prstGeom>
                    <a:ln/>
                  </pic:spPr>
                </pic:pic>
              </a:graphicData>
            </a:graphic>
            <wp14:sizeRelH relativeFrom="margin">
              <wp14:pctWidth>0</wp14:pctWidth>
            </wp14:sizeRelH>
            <wp14:sizeRelV relativeFrom="margin">
              <wp14:pctHeight>0</wp14:pctHeight>
            </wp14:sizeRelV>
          </wp:anchor>
        </w:drawing>
      </w:r>
    </w:p>
    <w:p w14:paraId="2C85528A" w14:textId="68A238CA" w:rsidR="001F07B6" w:rsidRDefault="001F07B6" w:rsidP="001F07B6">
      <w:pPr>
        <w:spacing w:before="120" w:after="120" w:line="360" w:lineRule="auto"/>
        <w:rPr>
          <w:b/>
          <w:bCs/>
          <w:sz w:val="36"/>
          <w:szCs w:val="36"/>
        </w:rPr>
      </w:pPr>
    </w:p>
    <w:p w14:paraId="11BC422A" w14:textId="77777777" w:rsidR="001F07B6" w:rsidRDefault="001F07B6" w:rsidP="001F07B6">
      <w:pPr>
        <w:spacing w:before="120" w:after="120" w:line="360" w:lineRule="auto"/>
        <w:jc w:val="center"/>
        <w:rPr>
          <w:b/>
          <w:bCs/>
          <w:sz w:val="36"/>
          <w:szCs w:val="36"/>
        </w:rPr>
      </w:pPr>
    </w:p>
    <w:p w14:paraId="119637E8" w14:textId="77777777" w:rsidR="001F07B6" w:rsidRPr="004B36A2" w:rsidRDefault="001F07B6" w:rsidP="001F07B6">
      <w:pPr>
        <w:spacing w:before="120" w:after="120" w:line="360" w:lineRule="auto"/>
        <w:jc w:val="center"/>
        <w:rPr>
          <w:b/>
          <w:bCs/>
          <w:sz w:val="36"/>
          <w:szCs w:val="36"/>
        </w:rPr>
      </w:pPr>
    </w:p>
    <w:p w14:paraId="7E430A6A" w14:textId="77777777" w:rsidR="001F07B6" w:rsidRPr="004B36A2" w:rsidRDefault="001F07B6" w:rsidP="001F07B6">
      <w:pPr>
        <w:spacing w:before="120" w:after="120" w:line="360" w:lineRule="auto"/>
        <w:jc w:val="center"/>
        <w:rPr>
          <w:b/>
          <w:bCs/>
          <w:sz w:val="36"/>
          <w:szCs w:val="36"/>
        </w:rPr>
      </w:pPr>
      <w:r w:rsidRPr="004B36A2">
        <w:rPr>
          <w:b/>
          <w:bCs/>
          <w:sz w:val="36"/>
          <w:szCs w:val="36"/>
        </w:rPr>
        <w:t xml:space="preserve">MSc Sustainable Construction </w:t>
      </w:r>
    </w:p>
    <w:p w14:paraId="6CF37772" w14:textId="77777777" w:rsidR="001F07B6" w:rsidRPr="004B36A2" w:rsidRDefault="001F07B6" w:rsidP="001F07B6">
      <w:pPr>
        <w:spacing w:before="120" w:after="120" w:line="360" w:lineRule="auto"/>
        <w:jc w:val="center"/>
        <w:rPr>
          <w:b/>
          <w:bCs/>
          <w:sz w:val="36"/>
          <w:szCs w:val="36"/>
        </w:rPr>
      </w:pPr>
      <w:r w:rsidRPr="004B36A2">
        <w:rPr>
          <w:b/>
          <w:bCs/>
          <w:sz w:val="36"/>
          <w:szCs w:val="36"/>
        </w:rPr>
        <w:t xml:space="preserve">ACBA 7006 </w:t>
      </w:r>
      <w:r>
        <w:rPr>
          <w:b/>
          <w:bCs/>
          <w:sz w:val="36"/>
          <w:szCs w:val="36"/>
        </w:rPr>
        <w:t>Management</w:t>
      </w:r>
      <w:r w:rsidRPr="004B36A2">
        <w:rPr>
          <w:b/>
          <w:bCs/>
          <w:sz w:val="36"/>
          <w:szCs w:val="36"/>
        </w:rPr>
        <w:t xml:space="preserve"> of the Integrated Work Environment</w:t>
      </w:r>
    </w:p>
    <w:p w14:paraId="533A42D4" w14:textId="77777777" w:rsidR="001F07B6" w:rsidRDefault="001F07B6" w:rsidP="001F07B6">
      <w:pPr>
        <w:spacing w:before="120" w:after="120" w:line="360" w:lineRule="auto"/>
        <w:jc w:val="center"/>
        <w:rPr>
          <w:b/>
          <w:bCs/>
          <w:sz w:val="36"/>
          <w:szCs w:val="36"/>
        </w:rPr>
      </w:pPr>
      <w:r w:rsidRPr="004B36A2">
        <w:rPr>
          <w:b/>
          <w:bCs/>
          <w:sz w:val="36"/>
          <w:szCs w:val="36"/>
        </w:rPr>
        <w:t>Business Risk Report</w:t>
      </w:r>
    </w:p>
    <w:p w14:paraId="7D22A6F0" w14:textId="77777777" w:rsidR="001F07B6" w:rsidRDefault="001F07B6" w:rsidP="001F07B6">
      <w:pPr>
        <w:spacing w:before="120" w:after="120" w:line="360" w:lineRule="auto"/>
        <w:jc w:val="center"/>
        <w:rPr>
          <w:b/>
          <w:bCs/>
          <w:sz w:val="36"/>
          <w:szCs w:val="36"/>
        </w:rPr>
      </w:pPr>
      <w:r>
        <w:rPr>
          <w:b/>
          <w:bCs/>
          <w:sz w:val="36"/>
          <w:szCs w:val="36"/>
        </w:rPr>
        <w:t xml:space="preserve">Submitted by </w:t>
      </w:r>
    </w:p>
    <w:p w14:paraId="356B42EB" w14:textId="77777777" w:rsidR="001F07B6" w:rsidRDefault="001F07B6" w:rsidP="001F07B6">
      <w:pPr>
        <w:spacing w:before="120" w:after="120" w:line="360" w:lineRule="auto"/>
        <w:jc w:val="center"/>
        <w:rPr>
          <w:b/>
          <w:bCs/>
          <w:sz w:val="36"/>
          <w:szCs w:val="36"/>
        </w:rPr>
      </w:pPr>
      <w:r>
        <w:rPr>
          <w:b/>
          <w:bCs/>
          <w:sz w:val="36"/>
          <w:szCs w:val="36"/>
        </w:rPr>
        <w:t>Md Ahsan Alahi Rafi</w:t>
      </w:r>
    </w:p>
    <w:p w14:paraId="6EF3036A" w14:textId="77777777" w:rsidR="001F07B6" w:rsidRDefault="001F07B6" w:rsidP="001F07B6">
      <w:pPr>
        <w:spacing w:before="120" w:after="120" w:line="360" w:lineRule="auto"/>
        <w:jc w:val="center"/>
        <w:rPr>
          <w:b/>
          <w:bCs/>
          <w:sz w:val="36"/>
          <w:szCs w:val="36"/>
        </w:rPr>
      </w:pPr>
      <w:r>
        <w:rPr>
          <w:b/>
          <w:bCs/>
          <w:sz w:val="36"/>
          <w:szCs w:val="36"/>
        </w:rPr>
        <w:t>ID:2511326</w:t>
      </w:r>
    </w:p>
    <w:p w14:paraId="55962ACA" w14:textId="5706F6EB" w:rsidR="001F07B6" w:rsidRDefault="001F07B6" w:rsidP="001F07B6">
      <w:pPr>
        <w:spacing w:before="120" w:after="120" w:line="360" w:lineRule="auto"/>
        <w:jc w:val="center"/>
        <w:rPr>
          <w:b/>
          <w:bCs/>
          <w:sz w:val="36"/>
          <w:szCs w:val="36"/>
        </w:rPr>
      </w:pPr>
      <w:r>
        <w:rPr>
          <w:b/>
          <w:bCs/>
          <w:sz w:val="36"/>
          <w:szCs w:val="36"/>
        </w:rPr>
        <w:t xml:space="preserve">Submitted </w:t>
      </w:r>
      <w:r>
        <w:rPr>
          <w:b/>
          <w:bCs/>
          <w:sz w:val="36"/>
          <w:szCs w:val="36"/>
        </w:rPr>
        <w:t>to</w:t>
      </w:r>
    </w:p>
    <w:p w14:paraId="7368953F" w14:textId="4B3606B6" w:rsidR="00714A36" w:rsidRDefault="00714A36" w:rsidP="001F07B6">
      <w:pPr>
        <w:spacing w:before="120" w:after="120" w:line="360" w:lineRule="auto"/>
        <w:jc w:val="center"/>
        <w:rPr>
          <w:b/>
          <w:bCs/>
          <w:sz w:val="36"/>
          <w:szCs w:val="36"/>
        </w:rPr>
      </w:pPr>
      <w:r>
        <w:rPr>
          <w:b/>
          <w:bCs/>
          <w:sz w:val="36"/>
          <w:szCs w:val="36"/>
        </w:rPr>
        <w:t>Debrah Hughes</w:t>
      </w:r>
    </w:p>
    <w:p w14:paraId="0538027E" w14:textId="72AC432A" w:rsidR="00714A36" w:rsidRDefault="00714A36" w:rsidP="00714A36">
      <w:pPr>
        <w:rPr>
          <w:b/>
          <w:iCs/>
          <w:szCs w:val="24"/>
        </w:rPr>
      </w:pPr>
    </w:p>
    <w:p w14:paraId="23FA7031" w14:textId="77777777" w:rsidR="001F07B6" w:rsidRDefault="001F07B6" w:rsidP="001F07B6">
      <w:pPr>
        <w:spacing w:before="120" w:after="120" w:line="360" w:lineRule="auto"/>
        <w:jc w:val="center"/>
        <w:rPr>
          <w:b/>
          <w:bCs/>
          <w:sz w:val="36"/>
          <w:szCs w:val="36"/>
        </w:rPr>
      </w:pPr>
    </w:p>
    <w:p w14:paraId="40DC1172" w14:textId="77777777" w:rsidR="001F07B6" w:rsidRDefault="001F07B6" w:rsidP="001F07B6">
      <w:pPr>
        <w:spacing w:before="120" w:after="120" w:line="360" w:lineRule="auto"/>
        <w:jc w:val="center"/>
        <w:rPr>
          <w:b/>
          <w:bCs/>
          <w:sz w:val="36"/>
          <w:szCs w:val="36"/>
        </w:rPr>
      </w:pPr>
    </w:p>
    <w:p w14:paraId="7BBDBEDD" w14:textId="77777777" w:rsidR="001F07B6" w:rsidRDefault="001F07B6" w:rsidP="001F07B6">
      <w:pPr>
        <w:spacing w:before="120" w:after="120" w:line="360" w:lineRule="auto"/>
        <w:jc w:val="center"/>
        <w:rPr>
          <w:b/>
          <w:bCs/>
          <w:sz w:val="36"/>
          <w:szCs w:val="36"/>
        </w:rPr>
      </w:pPr>
    </w:p>
    <w:p w14:paraId="7BD6F5BC" w14:textId="77777777" w:rsidR="001F07B6" w:rsidRDefault="001F07B6" w:rsidP="001F07B6">
      <w:pPr>
        <w:spacing w:before="120" w:after="120" w:line="360" w:lineRule="auto"/>
        <w:jc w:val="center"/>
        <w:rPr>
          <w:b/>
          <w:bCs/>
          <w:sz w:val="36"/>
          <w:szCs w:val="36"/>
        </w:rPr>
      </w:pPr>
    </w:p>
    <w:p w14:paraId="009E33CC" w14:textId="77777777" w:rsidR="001F07B6" w:rsidRPr="004B36A2" w:rsidRDefault="001F07B6" w:rsidP="001F07B6">
      <w:pPr>
        <w:spacing w:before="120" w:after="120" w:line="360" w:lineRule="auto"/>
        <w:jc w:val="center"/>
        <w:rPr>
          <w:b/>
          <w:bCs/>
          <w:sz w:val="36"/>
          <w:szCs w:val="36"/>
        </w:rPr>
      </w:pPr>
    </w:p>
    <w:p w14:paraId="5035CE62" w14:textId="77777777" w:rsidR="001F07B6" w:rsidRDefault="001F07B6" w:rsidP="001F07B6">
      <w:pPr>
        <w:spacing w:after="160" w:line="278" w:lineRule="auto"/>
        <w:rPr>
          <w:rFonts w:asciiTheme="majorHAnsi" w:eastAsiaTheme="majorEastAsia" w:hAnsiTheme="majorHAnsi" w:cstheme="majorBidi"/>
          <w:b/>
          <w:color w:val="2F5496" w:themeColor="accent1" w:themeShade="BF"/>
          <w:sz w:val="40"/>
          <w:szCs w:val="40"/>
          <w:lang w:val="en-US" w:eastAsia="en-US"/>
        </w:rPr>
      </w:pPr>
    </w:p>
    <w:p w14:paraId="3B3B6510" w14:textId="77777777" w:rsidR="001F07B6" w:rsidRDefault="001F07B6" w:rsidP="001F07B6">
      <w:pPr>
        <w:pStyle w:val="TOCHeading"/>
        <w:spacing w:before="120" w:after="120"/>
        <w:rPr>
          <w:sz w:val="40"/>
          <w:szCs w:val="40"/>
        </w:rPr>
      </w:pPr>
    </w:p>
    <w:p w14:paraId="44147FDE" w14:textId="77777777" w:rsidR="001F07B6" w:rsidRDefault="001F07B6" w:rsidP="001F07B6">
      <w:pPr>
        <w:rPr>
          <w:lang w:val="en-US" w:eastAsia="en-US"/>
        </w:rPr>
      </w:pPr>
    </w:p>
    <w:p w14:paraId="287D1D9D" w14:textId="77777777" w:rsidR="001F07B6" w:rsidRDefault="001F07B6" w:rsidP="001F07B6">
      <w:pPr>
        <w:rPr>
          <w:lang w:val="en-US" w:eastAsia="en-US"/>
        </w:rPr>
      </w:pPr>
    </w:p>
    <w:p w14:paraId="24BDDC6D" w14:textId="77777777" w:rsidR="001F07B6" w:rsidRDefault="001F07B6" w:rsidP="001F07B6">
      <w:pPr>
        <w:rPr>
          <w:lang w:val="en-US" w:eastAsia="en-US"/>
        </w:rPr>
      </w:pPr>
    </w:p>
    <w:p w14:paraId="6F46EADA" w14:textId="77777777" w:rsidR="001F07B6" w:rsidRDefault="001F07B6" w:rsidP="001F07B6">
      <w:pPr>
        <w:rPr>
          <w:lang w:val="en-US" w:eastAsia="en-US"/>
        </w:rPr>
      </w:pPr>
    </w:p>
    <w:p w14:paraId="106E206D" w14:textId="77777777" w:rsidR="001F07B6" w:rsidRDefault="001F07B6" w:rsidP="001F07B6">
      <w:pPr>
        <w:rPr>
          <w:lang w:val="en-US" w:eastAsia="en-US"/>
        </w:rPr>
      </w:pPr>
    </w:p>
    <w:p w14:paraId="56B8BEB4" w14:textId="77777777" w:rsidR="001F07B6" w:rsidRDefault="001F07B6" w:rsidP="001F07B6">
      <w:pPr>
        <w:rPr>
          <w:lang w:val="en-US" w:eastAsia="en-US"/>
        </w:rPr>
      </w:pPr>
    </w:p>
    <w:p w14:paraId="2268991F" w14:textId="77777777" w:rsidR="001F07B6" w:rsidRDefault="001F07B6" w:rsidP="001F07B6">
      <w:pPr>
        <w:rPr>
          <w:lang w:val="en-US" w:eastAsia="en-US"/>
        </w:rPr>
      </w:pPr>
    </w:p>
    <w:p w14:paraId="69222BBE" w14:textId="77777777" w:rsidR="001F07B6" w:rsidRDefault="001F07B6" w:rsidP="001F07B6">
      <w:pPr>
        <w:rPr>
          <w:lang w:val="en-US" w:eastAsia="en-US"/>
        </w:rPr>
      </w:pPr>
    </w:p>
    <w:p w14:paraId="781D23DD" w14:textId="77777777" w:rsidR="001F07B6" w:rsidRDefault="001F07B6" w:rsidP="001F07B6">
      <w:pPr>
        <w:rPr>
          <w:lang w:val="en-US" w:eastAsia="en-US"/>
        </w:rPr>
      </w:pPr>
    </w:p>
    <w:p w14:paraId="42E66454" w14:textId="77777777" w:rsidR="001F07B6" w:rsidRDefault="001F07B6" w:rsidP="001F07B6">
      <w:pPr>
        <w:rPr>
          <w:lang w:val="en-US" w:eastAsia="en-US"/>
        </w:rPr>
      </w:pPr>
    </w:p>
    <w:p w14:paraId="74B94857" w14:textId="77777777" w:rsidR="001F07B6" w:rsidRDefault="001F07B6" w:rsidP="001F07B6">
      <w:pPr>
        <w:rPr>
          <w:lang w:val="en-US" w:eastAsia="en-US"/>
        </w:rPr>
      </w:pPr>
    </w:p>
    <w:p w14:paraId="76AD19FC" w14:textId="77777777" w:rsidR="001F07B6" w:rsidRDefault="001F07B6" w:rsidP="001F07B6">
      <w:pPr>
        <w:rPr>
          <w:lang w:val="en-US" w:eastAsia="en-US"/>
        </w:rPr>
      </w:pPr>
    </w:p>
    <w:p w14:paraId="2238710D" w14:textId="77777777" w:rsidR="001F07B6" w:rsidRDefault="001F07B6" w:rsidP="001F07B6">
      <w:pPr>
        <w:rPr>
          <w:lang w:val="en-US" w:eastAsia="en-US"/>
        </w:rPr>
      </w:pPr>
    </w:p>
    <w:p w14:paraId="765DCAF6" w14:textId="77777777" w:rsidR="001F07B6" w:rsidRDefault="001F07B6" w:rsidP="001F07B6">
      <w:pPr>
        <w:rPr>
          <w:lang w:val="en-US" w:eastAsia="en-US"/>
        </w:rPr>
      </w:pPr>
    </w:p>
    <w:p w14:paraId="45EAC056" w14:textId="77777777" w:rsidR="001F07B6" w:rsidRDefault="001F07B6" w:rsidP="001F07B6">
      <w:pPr>
        <w:rPr>
          <w:lang w:val="en-US" w:eastAsia="en-US"/>
        </w:rPr>
      </w:pPr>
    </w:p>
    <w:p w14:paraId="3AD5FCCF" w14:textId="77777777" w:rsidR="001F07B6" w:rsidRDefault="001F07B6" w:rsidP="001F07B6">
      <w:pPr>
        <w:rPr>
          <w:lang w:val="en-US" w:eastAsia="en-US"/>
        </w:rPr>
      </w:pPr>
    </w:p>
    <w:p w14:paraId="2EA88A7D" w14:textId="77777777" w:rsidR="001F07B6" w:rsidRDefault="001F07B6" w:rsidP="001F07B6">
      <w:pPr>
        <w:rPr>
          <w:lang w:val="en-US" w:eastAsia="en-US"/>
        </w:rPr>
      </w:pPr>
    </w:p>
    <w:p w14:paraId="27073BEC" w14:textId="77777777" w:rsidR="001F07B6" w:rsidRDefault="001F07B6" w:rsidP="001F07B6">
      <w:pPr>
        <w:rPr>
          <w:lang w:val="en-US" w:eastAsia="en-US"/>
        </w:rPr>
      </w:pPr>
    </w:p>
    <w:p w14:paraId="2130280E" w14:textId="77777777" w:rsidR="001F07B6" w:rsidRDefault="001F07B6" w:rsidP="001F07B6">
      <w:pPr>
        <w:rPr>
          <w:lang w:val="en-US" w:eastAsia="en-US"/>
        </w:rPr>
      </w:pPr>
    </w:p>
    <w:p w14:paraId="185270C5" w14:textId="77777777" w:rsidR="001F07B6" w:rsidRDefault="001F07B6" w:rsidP="001F07B6">
      <w:pPr>
        <w:rPr>
          <w:lang w:val="en-US" w:eastAsia="en-US"/>
        </w:rPr>
      </w:pPr>
    </w:p>
    <w:p w14:paraId="438179F4" w14:textId="77777777" w:rsidR="001F07B6" w:rsidRDefault="001F07B6" w:rsidP="001F07B6">
      <w:pPr>
        <w:rPr>
          <w:lang w:val="en-US" w:eastAsia="en-US"/>
        </w:rPr>
      </w:pPr>
    </w:p>
    <w:p w14:paraId="2E41F513" w14:textId="77777777" w:rsidR="001F07B6" w:rsidRDefault="001F07B6" w:rsidP="001F07B6">
      <w:pPr>
        <w:rPr>
          <w:lang w:val="en-US" w:eastAsia="en-US"/>
        </w:rPr>
      </w:pPr>
    </w:p>
    <w:p w14:paraId="1141453A" w14:textId="77777777" w:rsidR="001F07B6" w:rsidRPr="001F07B6" w:rsidRDefault="001F07B6" w:rsidP="001F07B6">
      <w:pPr>
        <w:rPr>
          <w:lang w:val="en-US" w:eastAsia="en-US"/>
        </w:rPr>
      </w:pPr>
    </w:p>
    <w:sdt>
      <w:sdtPr>
        <w:rPr>
          <w:rFonts w:ascii="Times New Roman" w:eastAsia="Arial" w:hAnsi="Times New Roman" w:cs="Times New Roman"/>
          <w:b w:val="0"/>
          <w:color w:val="auto"/>
          <w:sz w:val="22"/>
          <w:szCs w:val="22"/>
          <w:lang w:val="bn" w:eastAsia="zh-CN"/>
        </w:rPr>
        <w:id w:val="1910574288"/>
        <w:docPartObj>
          <w:docPartGallery w:val="Table of Contents"/>
          <w:docPartUnique/>
        </w:docPartObj>
      </w:sdtPr>
      <w:sdtEndPr>
        <w:rPr>
          <w:rFonts w:eastAsia="Times New Roman"/>
          <w:bCs/>
          <w:noProof/>
          <w:sz w:val="20"/>
          <w:szCs w:val="20"/>
          <w:lang w:val="en-GB" w:eastAsia="en-GB"/>
        </w:rPr>
      </w:sdtEndPr>
      <w:sdtContent>
        <w:p w14:paraId="70A0E57C" w14:textId="77777777" w:rsidR="001F07B6" w:rsidRPr="004B36A2" w:rsidRDefault="001F07B6" w:rsidP="001F07B6">
          <w:pPr>
            <w:pStyle w:val="TOCHeading"/>
            <w:spacing w:before="120" w:after="120"/>
            <w:rPr>
              <w:rFonts w:ascii="Times New Roman" w:hAnsi="Times New Roman" w:cs="Times New Roman"/>
            </w:rPr>
          </w:pPr>
          <w:r w:rsidRPr="004B36A2">
            <w:rPr>
              <w:rFonts w:ascii="Times New Roman" w:hAnsi="Times New Roman" w:cs="Times New Roman"/>
            </w:rPr>
            <w:t>Table of Contents</w:t>
          </w:r>
        </w:p>
        <w:p w14:paraId="6790BB9B" w14:textId="5722DFB1"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r w:rsidRPr="004B36A2">
            <w:rPr>
              <w:rFonts w:ascii="Times New Roman" w:hAnsi="Times New Roman" w:cs="Times New Roman"/>
            </w:rPr>
            <w:fldChar w:fldCharType="begin"/>
          </w:r>
          <w:r w:rsidRPr="004B36A2">
            <w:rPr>
              <w:rFonts w:ascii="Times New Roman" w:hAnsi="Times New Roman" w:cs="Times New Roman"/>
            </w:rPr>
            <w:instrText xml:space="preserve"> TOC \o "1-3" \h \z \u </w:instrText>
          </w:r>
          <w:r w:rsidRPr="004B36A2">
            <w:rPr>
              <w:rFonts w:ascii="Times New Roman" w:hAnsi="Times New Roman" w:cs="Times New Roman"/>
            </w:rPr>
            <w:fldChar w:fldCharType="separate"/>
          </w:r>
          <w:hyperlink w:anchor="_Toc229003985" w:history="1">
            <w:r w:rsidRPr="002824CB">
              <w:rPr>
                <w:rStyle w:val="Hyperlink"/>
                <w:rFonts w:ascii="Times New Roman" w:hAnsi="Times New Roman" w:cs="Times New Roman"/>
                <w:noProof/>
              </w:rPr>
              <w:t>Part A</w:t>
            </w:r>
            <w:r>
              <w:rPr>
                <w:noProof/>
                <w:webHidden/>
              </w:rPr>
              <w:tab/>
            </w:r>
            <w:r>
              <w:rPr>
                <w:noProof/>
                <w:webHidden/>
              </w:rPr>
              <w:fldChar w:fldCharType="begin"/>
            </w:r>
            <w:r>
              <w:rPr>
                <w:noProof/>
                <w:webHidden/>
              </w:rPr>
              <w:instrText xml:space="preserve"> PAGEREF _Toc229003985 \h </w:instrText>
            </w:r>
            <w:r>
              <w:rPr>
                <w:noProof/>
                <w:webHidden/>
              </w:rPr>
            </w:r>
            <w:r>
              <w:rPr>
                <w:noProof/>
                <w:webHidden/>
              </w:rPr>
              <w:fldChar w:fldCharType="separate"/>
            </w:r>
            <w:r>
              <w:rPr>
                <w:noProof/>
                <w:webHidden/>
              </w:rPr>
              <w:t>3</w:t>
            </w:r>
            <w:r>
              <w:rPr>
                <w:noProof/>
                <w:webHidden/>
              </w:rPr>
              <w:fldChar w:fldCharType="end"/>
            </w:r>
          </w:hyperlink>
        </w:p>
        <w:p w14:paraId="367A295D" w14:textId="5D7B6D07"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86" w:history="1">
            <w:r w:rsidRPr="002824C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_Toc229003986 \h </w:instrText>
            </w:r>
            <w:r>
              <w:rPr>
                <w:noProof/>
                <w:webHidden/>
              </w:rPr>
            </w:r>
            <w:r>
              <w:rPr>
                <w:noProof/>
                <w:webHidden/>
              </w:rPr>
              <w:fldChar w:fldCharType="separate"/>
            </w:r>
            <w:r>
              <w:rPr>
                <w:noProof/>
                <w:webHidden/>
              </w:rPr>
              <w:t>3</w:t>
            </w:r>
            <w:r>
              <w:rPr>
                <w:noProof/>
                <w:webHidden/>
              </w:rPr>
              <w:fldChar w:fldCharType="end"/>
            </w:r>
          </w:hyperlink>
        </w:p>
        <w:p w14:paraId="07919886" w14:textId="5C596E79"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87" w:history="1">
            <w:r w:rsidRPr="002824CB">
              <w:rPr>
                <w:rStyle w:val="Hyperlink"/>
                <w:rFonts w:ascii="Times New Roman" w:hAnsi="Times New Roman" w:cs="Times New Roman"/>
                <w:noProof/>
              </w:rPr>
              <w:t>Building Overview and Operational Profile</w:t>
            </w:r>
            <w:r>
              <w:rPr>
                <w:noProof/>
                <w:webHidden/>
              </w:rPr>
              <w:tab/>
            </w:r>
            <w:r>
              <w:rPr>
                <w:noProof/>
                <w:webHidden/>
              </w:rPr>
              <w:fldChar w:fldCharType="begin"/>
            </w:r>
            <w:r>
              <w:rPr>
                <w:noProof/>
                <w:webHidden/>
              </w:rPr>
              <w:instrText xml:space="preserve"> PAGEREF _Toc229003987 \h </w:instrText>
            </w:r>
            <w:r>
              <w:rPr>
                <w:noProof/>
                <w:webHidden/>
              </w:rPr>
            </w:r>
            <w:r>
              <w:rPr>
                <w:noProof/>
                <w:webHidden/>
              </w:rPr>
              <w:fldChar w:fldCharType="separate"/>
            </w:r>
            <w:r>
              <w:rPr>
                <w:noProof/>
                <w:webHidden/>
              </w:rPr>
              <w:t>4</w:t>
            </w:r>
            <w:r>
              <w:rPr>
                <w:noProof/>
                <w:webHidden/>
              </w:rPr>
              <w:fldChar w:fldCharType="end"/>
            </w:r>
          </w:hyperlink>
        </w:p>
        <w:p w14:paraId="779507F2" w14:textId="2AD69CDE"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88" w:history="1">
            <w:r w:rsidRPr="002824CB">
              <w:rPr>
                <w:rStyle w:val="Hyperlink"/>
                <w:rFonts w:ascii="Times New Roman" w:hAnsi="Times New Roman" w:cs="Times New Roman"/>
                <w:noProof/>
              </w:rPr>
              <w:t>Technical Operational Risks</w:t>
            </w:r>
            <w:r>
              <w:rPr>
                <w:noProof/>
                <w:webHidden/>
              </w:rPr>
              <w:tab/>
            </w:r>
            <w:r>
              <w:rPr>
                <w:noProof/>
                <w:webHidden/>
              </w:rPr>
              <w:fldChar w:fldCharType="begin"/>
            </w:r>
            <w:r>
              <w:rPr>
                <w:noProof/>
                <w:webHidden/>
              </w:rPr>
              <w:instrText xml:space="preserve"> PAGEREF _Toc229003988 \h </w:instrText>
            </w:r>
            <w:r>
              <w:rPr>
                <w:noProof/>
                <w:webHidden/>
              </w:rPr>
            </w:r>
            <w:r>
              <w:rPr>
                <w:noProof/>
                <w:webHidden/>
              </w:rPr>
              <w:fldChar w:fldCharType="separate"/>
            </w:r>
            <w:r>
              <w:rPr>
                <w:noProof/>
                <w:webHidden/>
              </w:rPr>
              <w:t>4</w:t>
            </w:r>
            <w:r>
              <w:rPr>
                <w:noProof/>
                <w:webHidden/>
              </w:rPr>
              <w:fldChar w:fldCharType="end"/>
            </w:r>
          </w:hyperlink>
        </w:p>
        <w:p w14:paraId="2B5EC2C1" w14:textId="47D093CF" w:rsidR="001F07B6" w:rsidRDefault="001F07B6" w:rsidP="001F07B6">
          <w:pPr>
            <w:pStyle w:val="TOC2"/>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89" w:history="1">
            <w:r w:rsidRPr="002824CB">
              <w:rPr>
                <w:rStyle w:val="Hyperlink"/>
                <w:rFonts w:ascii="Times New Roman" w:hAnsi="Times New Roman" w:cs="Times New Roman"/>
                <w:noProof/>
              </w:rPr>
              <w:t>Creation of Fabric and Maintenance Risks</w:t>
            </w:r>
            <w:r>
              <w:rPr>
                <w:noProof/>
                <w:webHidden/>
              </w:rPr>
              <w:tab/>
            </w:r>
            <w:r>
              <w:rPr>
                <w:noProof/>
                <w:webHidden/>
              </w:rPr>
              <w:fldChar w:fldCharType="begin"/>
            </w:r>
            <w:r>
              <w:rPr>
                <w:noProof/>
                <w:webHidden/>
              </w:rPr>
              <w:instrText xml:space="preserve"> PAGEREF _Toc229003989 \h </w:instrText>
            </w:r>
            <w:r>
              <w:rPr>
                <w:noProof/>
                <w:webHidden/>
              </w:rPr>
            </w:r>
            <w:r>
              <w:rPr>
                <w:noProof/>
                <w:webHidden/>
              </w:rPr>
              <w:fldChar w:fldCharType="separate"/>
            </w:r>
            <w:r>
              <w:rPr>
                <w:noProof/>
                <w:webHidden/>
              </w:rPr>
              <w:t>4</w:t>
            </w:r>
            <w:r>
              <w:rPr>
                <w:noProof/>
                <w:webHidden/>
              </w:rPr>
              <w:fldChar w:fldCharType="end"/>
            </w:r>
          </w:hyperlink>
        </w:p>
        <w:p w14:paraId="6D62390E" w14:textId="0C3CDE76" w:rsidR="001F07B6" w:rsidRDefault="001F07B6" w:rsidP="001F07B6">
          <w:pPr>
            <w:pStyle w:val="TOC2"/>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90" w:history="1">
            <w:r w:rsidRPr="002824CB">
              <w:rPr>
                <w:rStyle w:val="Hyperlink"/>
                <w:rFonts w:ascii="Times New Roman" w:hAnsi="Times New Roman" w:cs="Times New Roman"/>
                <w:noProof/>
              </w:rPr>
              <w:t>Risks of a Mechanical and Electrical System</w:t>
            </w:r>
            <w:r>
              <w:rPr>
                <w:noProof/>
                <w:webHidden/>
              </w:rPr>
              <w:tab/>
            </w:r>
            <w:r>
              <w:rPr>
                <w:noProof/>
                <w:webHidden/>
              </w:rPr>
              <w:fldChar w:fldCharType="begin"/>
            </w:r>
            <w:r>
              <w:rPr>
                <w:noProof/>
                <w:webHidden/>
              </w:rPr>
              <w:instrText xml:space="preserve"> PAGEREF _Toc229003990 \h </w:instrText>
            </w:r>
            <w:r>
              <w:rPr>
                <w:noProof/>
                <w:webHidden/>
              </w:rPr>
            </w:r>
            <w:r>
              <w:rPr>
                <w:noProof/>
                <w:webHidden/>
              </w:rPr>
              <w:fldChar w:fldCharType="separate"/>
            </w:r>
            <w:r>
              <w:rPr>
                <w:noProof/>
                <w:webHidden/>
              </w:rPr>
              <w:t>5</w:t>
            </w:r>
            <w:r>
              <w:rPr>
                <w:noProof/>
                <w:webHidden/>
              </w:rPr>
              <w:fldChar w:fldCharType="end"/>
            </w:r>
          </w:hyperlink>
        </w:p>
        <w:p w14:paraId="6C33D135" w14:textId="23AAFD4D" w:rsidR="001F07B6" w:rsidRDefault="001F07B6" w:rsidP="001F07B6">
          <w:pPr>
            <w:pStyle w:val="TOC2"/>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91" w:history="1">
            <w:r w:rsidRPr="002824CB">
              <w:rPr>
                <w:rStyle w:val="Hyperlink"/>
                <w:rFonts w:ascii="Times New Roman" w:hAnsi="Times New Roman" w:cs="Times New Roman"/>
                <w:noProof/>
              </w:rPr>
              <w:t>Health, Safety and Compliance Risk</w:t>
            </w:r>
            <w:r>
              <w:rPr>
                <w:noProof/>
                <w:webHidden/>
              </w:rPr>
              <w:tab/>
            </w:r>
            <w:r>
              <w:rPr>
                <w:noProof/>
                <w:webHidden/>
              </w:rPr>
              <w:fldChar w:fldCharType="begin"/>
            </w:r>
            <w:r>
              <w:rPr>
                <w:noProof/>
                <w:webHidden/>
              </w:rPr>
              <w:instrText xml:space="preserve"> PAGEREF _Toc229003991 \h </w:instrText>
            </w:r>
            <w:r>
              <w:rPr>
                <w:noProof/>
                <w:webHidden/>
              </w:rPr>
            </w:r>
            <w:r>
              <w:rPr>
                <w:noProof/>
                <w:webHidden/>
              </w:rPr>
              <w:fldChar w:fldCharType="separate"/>
            </w:r>
            <w:r>
              <w:rPr>
                <w:noProof/>
                <w:webHidden/>
              </w:rPr>
              <w:t>5</w:t>
            </w:r>
            <w:r>
              <w:rPr>
                <w:noProof/>
                <w:webHidden/>
              </w:rPr>
              <w:fldChar w:fldCharType="end"/>
            </w:r>
          </w:hyperlink>
        </w:p>
        <w:p w14:paraId="1AEDD9AA" w14:textId="0ED58680"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92" w:history="1">
            <w:r w:rsidRPr="002824CB">
              <w:rPr>
                <w:rStyle w:val="Hyperlink"/>
                <w:rFonts w:ascii="Times New Roman" w:hAnsi="Times New Roman" w:cs="Times New Roman"/>
                <w:noProof/>
              </w:rPr>
              <w:t>Commercial and Operational Risks</w:t>
            </w:r>
            <w:r>
              <w:rPr>
                <w:noProof/>
                <w:webHidden/>
              </w:rPr>
              <w:tab/>
            </w:r>
            <w:r>
              <w:rPr>
                <w:noProof/>
                <w:webHidden/>
              </w:rPr>
              <w:fldChar w:fldCharType="begin"/>
            </w:r>
            <w:r>
              <w:rPr>
                <w:noProof/>
                <w:webHidden/>
              </w:rPr>
              <w:instrText xml:space="preserve"> PAGEREF _Toc229003992 \h </w:instrText>
            </w:r>
            <w:r>
              <w:rPr>
                <w:noProof/>
                <w:webHidden/>
              </w:rPr>
            </w:r>
            <w:r>
              <w:rPr>
                <w:noProof/>
                <w:webHidden/>
              </w:rPr>
              <w:fldChar w:fldCharType="separate"/>
            </w:r>
            <w:r>
              <w:rPr>
                <w:noProof/>
                <w:webHidden/>
              </w:rPr>
              <w:t>6</w:t>
            </w:r>
            <w:r>
              <w:rPr>
                <w:noProof/>
                <w:webHidden/>
              </w:rPr>
              <w:fldChar w:fldCharType="end"/>
            </w:r>
          </w:hyperlink>
        </w:p>
        <w:p w14:paraId="31C40887" w14:textId="781F94B1" w:rsidR="001F07B6" w:rsidRDefault="001F07B6" w:rsidP="001F07B6">
          <w:pPr>
            <w:pStyle w:val="TOC2"/>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93" w:history="1">
            <w:r w:rsidRPr="002824CB">
              <w:rPr>
                <w:rStyle w:val="Hyperlink"/>
                <w:rFonts w:ascii="Times New Roman" w:hAnsi="Times New Roman" w:cs="Times New Roman"/>
                <w:noProof/>
              </w:rPr>
              <w:t>Space Utilisation and Occupancy Risks</w:t>
            </w:r>
            <w:r>
              <w:rPr>
                <w:noProof/>
                <w:webHidden/>
              </w:rPr>
              <w:tab/>
            </w:r>
            <w:r>
              <w:rPr>
                <w:noProof/>
                <w:webHidden/>
              </w:rPr>
              <w:fldChar w:fldCharType="begin"/>
            </w:r>
            <w:r>
              <w:rPr>
                <w:noProof/>
                <w:webHidden/>
              </w:rPr>
              <w:instrText xml:space="preserve"> PAGEREF _Toc229003993 \h </w:instrText>
            </w:r>
            <w:r>
              <w:rPr>
                <w:noProof/>
                <w:webHidden/>
              </w:rPr>
            </w:r>
            <w:r>
              <w:rPr>
                <w:noProof/>
                <w:webHidden/>
              </w:rPr>
              <w:fldChar w:fldCharType="separate"/>
            </w:r>
            <w:r>
              <w:rPr>
                <w:noProof/>
                <w:webHidden/>
              </w:rPr>
              <w:t>6</w:t>
            </w:r>
            <w:r>
              <w:rPr>
                <w:noProof/>
                <w:webHidden/>
              </w:rPr>
              <w:fldChar w:fldCharType="end"/>
            </w:r>
          </w:hyperlink>
        </w:p>
        <w:p w14:paraId="4887FE9B" w14:textId="62105863" w:rsidR="001F07B6" w:rsidRDefault="001F07B6" w:rsidP="001F07B6">
          <w:pPr>
            <w:pStyle w:val="TOC2"/>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94" w:history="1">
            <w:r w:rsidRPr="002824CB">
              <w:rPr>
                <w:rStyle w:val="Hyperlink"/>
                <w:rFonts w:ascii="Times New Roman" w:hAnsi="Times New Roman" w:cs="Times New Roman"/>
                <w:noProof/>
              </w:rPr>
              <w:t>Budget and Financial Risks</w:t>
            </w:r>
            <w:r>
              <w:rPr>
                <w:noProof/>
                <w:webHidden/>
              </w:rPr>
              <w:tab/>
            </w:r>
            <w:r>
              <w:rPr>
                <w:noProof/>
                <w:webHidden/>
              </w:rPr>
              <w:fldChar w:fldCharType="begin"/>
            </w:r>
            <w:r>
              <w:rPr>
                <w:noProof/>
                <w:webHidden/>
              </w:rPr>
              <w:instrText xml:space="preserve"> PAGEREF _Toc229003994 \h </w:instrText>
            </w:r>
            <w:r>
              <w:rPr>
                <w:noProof/>
                <w:webHidden/>
              </w:rPr>
            </w:r>
            <w:r>
              <w:rPr>
                <w:noProof/>
                <w:webHidden/>
              </w:rPr>
              <w:fldChar w:fldCharType="separate"/>
            </w:r>
            <w:r>
              <w:rPr>
                <w:noProof/>
                <w:webHidden/>
              </w:rPr>
              <w:t>6</w:t>
            </w:r>
            <w:r>
              <w:rPr>
                <w:noProof/>
                <w:webHidden/>
              </w:rPr>
              <w:fldChar w:fldCharType="end"/>
            </w:r>
          </w:hyperlink>
        </w:p>
        <w:p w14:paraId="243F58CD" w14:textId="49998925" w:rsidR="001F07B6" w:rsidRDefault="001F07B6" w:rsidP="001F07B6">
          <w:pPr>
            <w:pStyle w:val="TOC2"/>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95" w:history="1">
            <w:r w:rsidRPr="002824CB">
              <w:rPr>
                <w:rStyle w:val="Hyperlink"/>
                <w:rFonts w:ascii="Times New Roman" w:hAnsi="Times New Roman" w:cs="Times New Roman"/>
                <w:noProof/>
              </w:rPr>
              <w:t>Legal and Regulatory Risks</w:t>
            </w:r>
            <w:r>
              <w:rPr>
                <w:noProof/>
                <w:webHidden/>
              </w:rPr>
              <w:tab/>
            </w:r>
            <w:r>
              <w:rPr>
                <w:noProof/>
                <w:webHidden/>
              </w:rPr>
              <w:fldChar w:fldCharType="begin"/>
            </w:r>
            <w:r>
              <w:rPr>
                <w:noProof/>
                <w:webHidden/>
              </w:rPr>
              <w:instrText xml:space="preserve"> PAGEREF _Toc229003995 \h </w:instrText>
            </w:r>
            <w:r>
              <w:rPr>
                <w:noProof/>
                <w:webHidden/>
              </w:rPr>
            </w:r>
            <w:r>
              <w:rPr>
                <w:noProof/>
                <w:webHidden/>
              </w:rPr>
              <w:fldChar w:fldCharType="separate"/>
            </w:r>
            <w:r>
              <w:rPr>
                <w:noProof/>
                <w:webHidden/>
              </w:rPr>
              <w:t>6</w:t>
            </w:r>
            <w:r>
              <w:rPr>
                <w:noProof/>
                <w:webHidden/>
              </w:rPr>
              <w:fldChar w:fldCharType="end"/>
            </w:r>
          </w:hyperlink>
        </w:p>
        <w:p w14:paraId="2D3E77CE" w14:textId="04EEEF6C"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96" w:history="1">
            <w:r w:rsidRPr="002824CB">
              <w:rPr>
                <w:rStyle w:val="Hyperlink"/>
                <w:rFonts w:ascii="Times New Roman" w:hAnsi="Times New Roman" w:cs="Times New Roman"/>
                <w:noProof/>
              </w:rPr>
              <w:t>Environmental, Social and Governmental Risks</w:t>
            </w:r>
            <w:r>
              <w:rPr>
                <w:noProof/>
                <w:webHidden/>
              </w:rPr>
              <w:tab/>
            </w:r>
            <w:r>
              <w:rPr>
                <w:noProof/>
                <w:webHidden/>
              </w:rPr>
              <w:fldChar w:fldCharType="begin"/>
            </w:r>
            <w:r>
              <w:rPr>
                <w:noProof/>
                <w:webHidden/>
              </w:rPr>
              <w:instrText xml:space="preserve"> PAGEREF _Toc229003996 \h </w:instrText>
            </w:r>
            <w:r>
              <w:rPr>
                <w:noProof/>
                <w:webHidden/>
              </w:rPr>
            </w:r>
            <w:r>
              <w:rPr>
                <w:noProof/>
                <w:webHidden/>
              </w:rPr>
              <w:fldChar w:fldCharType="separate"/>
            </w:r>
            <w:r>
              <w:rPr>
                <w:noProof/>
                <w:webHidden/>
              </w:rPr>
              <w:t>7</w:t>
            </w:r>
            <w:r>
              <w:rPr>
                <w:noProof/>
                <w:webHidden/>
              </w:rPr>
              <w:fldChar w:fldCharType="end"/>
            </w:r>
          </w:hyperlink>
        </w:p>
        <w:p w14:paraId="5086F0AD" w14:textId="52EEB36E"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97" w:history="1">
            <w:r w:rsidRPr="002824CB">
              <w:rPr>
                <w:rStyle w:val="Hyperlink"/>
                <w:rFonts w:ascii="Times New Roman" w:hAnsi="Times New Roman" w:cs="Times New Roman"/>
                <w:noProof/>
              </w:rPr>
              <w:t>Strategic Global Risks</w:t>
            </w:r>
            <w:r>
              <w:rPr>
                <w:noProof/>
                <w:webHidden/>
              </w:rPr>
              <w:tab/>
            </w:r>
            <w:r>
              <w:rPr>
                <w:noProof/>
                <w:webHidden/>
              </w:rPr>
              <w:fldChar w:fldCharType="begin"/>
            </w:r>
            <w:r>
              <w:rPr>
                <w:noProof/>
                <w:webHidden/>
              </w:rPr>
              <w:instrText xml:space="preserve"> PAGEREF _Toc229003997 \h </w:instrText>
            </w:r>
            <w:r>
              <w:rPr>
                <w:noProof/>
                <w:webHidden/>
              </w:rPr>
            </w:r>
            <w:r>
              <w:rPr>
                <w:noProof/>
                <w:webHidden/>
              </w:rPr>
              <w:fldChar w:fldCharType="separate"/>
            </w:r>
            <w:r>
              <w:rPr>
                <w:noProof/>
                <w:webHidden/>
              </w:rPr>
              <w:t>7</w:t>
            </w:r>
            <w:r>
              <w:rPr>
                <w:noProof/>
                <w:webHidden/>
              </w:rPr>
              <w:fldChar w:fldCharType="end"/>
            </w:r>
          </w:hyperlink>
        </w:p>
        <w:p w14:paraId="63CC0AB1" w14:textId="34AF6E63"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98" w:history="1">
            <w:r w:rsidRPr="002824CB">
              <w:rPr>
                <w:rStyle w:val="Hyperlink"/>
                <w:rFonts w:ascii="Times New Roman" w:hAnsi="Times New Roman" w:cs="Times New Roman"/>
                <w:noProof/>
              </w:rPr>
              <w:t>Risk Prioritisation Overview</w:t>
            </w:r>
            <w:r>
              <w:rPr>
                <w:noProof/>
                <w:webHidden/>
              </w:rPr>
              <w:tab/>
            </w:r>
            <w:r>
              <w:rPr>
                <w:noProof/>
                <w:webHidden/>
              </w:rPr>
              <w:fldChar w:fldCharType="begin"/>
            </w:r>
            <w:r>
              <w:rPr>
                <w:noProof/>
                <w:webHidden/>
              </w:rPr>
              <w:instrText xml:space="preserve"> PAGEREF _Toc229003998 \h </w:instrText>
            </w:r>
            <w:r>
              <w:rPr>
                <w:noProof/>
                <w:webHidden/>
              </w:rPr>
            </w:r>
            <w:r>
              <w:rPr>
                <w:noProof/>
                <w:webHidden/>
              </w:rPr>
              <w:fldChar w:fldCharType="separate"/>
            </w:r>
            <w:r>
              <w:rPr>
                <w:noProof/>
                <w:webHidden/>
              </w:rPr>
              <w:t>8</w:t>
            </w:r>
            <w:r>
              <w:rPr>
                <w:noProof/>
                <w:webHidden/>
              </w:rPr>
              <w:fldChar w:fldCharType="end"/>
            </w:r>
          </w:hyperlink>
        </w:p>
        <w:p w14:paraId="25C30D15" w14:textId="0186FFC6"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3999" w:history="1">
            <w:r w:rsidRPr="002824CB">
              <w:rPr>
                <w:rStyle w:val="Hyperlink"/>
                <w:rFonts w:ascii="Times New Roman" w:hAnsi="Times New Roman" w:cs="Times New Roman"/>
                <w:noProof/>
              </w:rPr>
              <w:t>Risk Assessment Matrix</w:t>
            </w:r>
            <w:r>
              <w:rPr>
                <w:noProof/>
                <w:webHidden/>
              </w:rPr>
              <w:tab/>
            </w:r>
            <w:r>
              <w:rPr>
                <w:noProof/>
                <w:webHidden/>
              </w:rPr>
              <w:fldChar w:fldCharType="begin"/>
            </w:r>
            <w:r>
              <w:rPr>
                <w:noProof/>
                <w:webHidden/>
              </w:rPr>
              <w:instrText xml:space="preserve"> PAGEREF _Toc229003999 \h </w:instrText>
            </w:r>
            <w:r>
              <w:rPr>
                <w:noProof/>
                <w:webHidden/>
              </w:rPr>
            </w:r>
            <w:r>
              <w:rPr>
                <w:noProof/>
                <w:webHidden/>
              </w:rPr>
              <w:fldChar w:fldCharType="separate"/>
            </w:r>
            <w:r>
              <w:rPr>
                <w:noProof/>
                <w:webHidden/>
              </w:rPr>
              <w:t>9</w:t>
            </w:r>
            <w:r>
              <w:rPr>
                <w:noProof/>
                <w:webHidden/>
              </w:rPr>
              <w:fldChar w:fldCharType="end"/>
            </w:r>
          </w:hyperlink>
        </w:p>
        <w:p w14:paraId="46D99DDE" w14:textId="6294192D"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4000" w:history="1">
            <w:r w:rsidRPr="002824C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_Toc229004000 \h </w:instrText>
            </w:r>
            <w:r>
              <w:rPr>
                <w:noProof/>
                <w:webHidden/>
              </w:rPr>
            </w:r>
            <w:r>
              <w:rPr>
                <w:noProof/>
                <w:webHidden/>
              </w:rPr>
              <w:fldChar w:fldCharType="separate"/>
            </w:r>
            <w:r>
              <w:rPr>
                <w:noProof/>
                <w:webHidden/>
              </w:rPr>
              <w:t>9</w:t>
            </w:r>
            <w:r>
              <w:rPr>
                <w:noProof/>
                <w:webHidden/>
              </w:rPr>
              <w:fldChar w:fldCharType="end"/>
            </w:r>
          </w:hyperlink>
        </w:p>
        <w:p w14:paraId="258A332E" w14:textId="3FDED0CB"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4001" w:history="1">
            <w:r w:rsidRPr="002824CB">
              <w:rPr>
                <w:rStyle w:val="Hyperlink"/>
                <w:rFonts w:ascii="Times New Roman" w:hAnsi="Times New Roman" w:cs="Times New Roman"/>
                <w:noProof/>
              </w:rPr>
              <w:t>Part B</w:t>
            </w:r>
            <w:r>
              <w:rPr>
                <w:noProof/>
                <w:webHidden/>
              </w:rPr>
              <w:tab/>
            </w:r>
            <w:r>
              <w:rPr>
                <w:noProof/>
                <w:webHidden/>
              </w:rPr>
              <w:fldChar w:fldCharType="begin"/>
            </w:r>
            <w:r>
              <w:rPr>
                <w:noProof/>
                <w:webHidden/>
              </w:rPr>
              <w:instrText xml:space="preserve"> PAGEREF _Toc229004001 \h </w:instrText>
            </w:r>
            <w:r>
              <w:rPr>
                <w:noProof/>
                <w:webHidden/>
              </w:rPr>
            </w:r>
            <w:r>
              <w:rPr>
                <w:noProof/>
                <w:webHidden/>
              </w:rPr>
              <w:fldChar w:fldCharType="separate"/>
            </w:r>
            <w:r>
              <w:rPr>
                <w:noProof/>
                <w:webHidden/>
              </w:rPr>
              <w:t>11</w:t>
            </w:r>
            <w:r>
              <w:rPr>
                <w:noProof/>
                <w:webHidden/>
              </w:rPr>
              <w:fldChar w:fldCharType="end"/>
            </w:r>
          </w:hyperlink>
        </w:p>
        <w:p w14:paraId="41DA23E8" w14:textId="3DAB955E"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4002" w:history="1">
            <w:r w:rsidRPr="002824C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_Toc229004002 \h </w:instrText>
            </w:r>
            <w:r>
              <w:rPr>
                <w:noProof/>
                <w:webHidden/>
              </w:rPr>
            </w:r>
            <w:r>
              <w:rPr>
                <w:noProof/>
                <w:webHidden/>
              </w:rPr>
              <w:fldChar w:fldCharType="separate"/>
            </w:r>
            <w:r>
              <w:rPr>
                <w:noProof/>
                <w:webHidden/>
              </w:rPr>
              <w:t>11</w:t>
            </w:r>
            <w:r>
              <w:rPr>
                <w:noProof/>
                <w:webHidden/>
              </w:rPr>
              <w:fldChar w:fldCharType="end"/>
            </w:r>
          </w:hyperlink>
        </w:p>
        <w:p w14:paraId="68A05DF6" w14:textId="38763CD7"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4003" w:history="1">
            <w:r w:rsidRPr="002824CB">
              <w:rPr>
                <w:rStyle w:val="Hyperlink"/>
                <w:rFonts w:ascii="Times New Roman" w:hAnsi="Times New Roman" w:cs="Times New Roman"/>
                <w:noProof/>
              </w:rPr>
              <w:t>Procurement Route Selection</w:t>
            </w:r>
            <w:r>
              <w:rPr>
                <w:noProof/>
                <w:webHidden/>
              </w:rPr>
              <w:tab/>
            </w:r>
            <w:r>
              <w:rPr>
                <w:noProof/>
                <w:webHidden/>
              </w:rPr>
              <w:fldChar w:fldCharType="begin"/>
            </w:r>
            <w:r>
              <w:rPr>
                <w:noProof/>
                <w:webHidden/>
              </w:rPr>
              <w:instrText xml:space="preserve"> PAGEREF _Toc229004003 \h </w:instrText>
            </w:r>
            <w:r>
              <w:rPr>
                <w:noProof/>
                <w:webHidden/>
              </w:rPr>
            </w:r>
            <w:r>
              <w:rPr>
                <w:noProof/>
                <w:webHidden/>
              </w:rPr>
              <w:fldChar w:fldCharType="separate"/>
            </w:r>
            <w:r>
              <w:rPr>
                <w:noProof/>
                <w:webHidden/>
              </w:rPr>
              <w:t>12</w:t>
            </w:r>
            <w:r>
              <w:rPr>
                <w:noProof/>
                <w:webHidden/>
              </w:rPr>
              <w:fldChar w:fldCharType="end"/>
            </w:r>
          </w:hyperlink>
        </w:p>
        <w:p w14:paraId="6B4188AC" w14:textId="0CBBEFA9" w:rsidR="001F07B6" w:rsidRDefault="001F07B6" w:rsidP="001F07B6">
          <w:pPr>
            <w:pStyle w:val="TOC2"/>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4004" w:history="1">
            <w:r w:rsidRPr="002824CB">
              <w:rPr>
                <w:rStyle w:val="Hyperlink"/>
                <w:rFonts w:ascii="Times New Roman" w:hAnsi="Times New Roman" w:cs="Times New Roman"/>
                <w:noProof/>
              </w:rPr>
              <w:t>Procurement Route as recommended: Two-stage design and build</w:t>
            </w:r>
            <w:r>
              <w:rPr>
                <w:noProof/>
                <w:webHidden/>
              </w:rPr>
              <w:tab/>
            </w:r>
            <w:r>
              <w:rPr>
                <w:noProof/>
                <w:webHidden/>
              </w:rPr>
              <w:fldChar w:fldCharType="begin"/>
            </w:r>
            <w:r>
              <w:rPr>
                <w:noProof/>
                <w:webHidden/>
              </w:rPr>
              <w:instrText xml:space="preserve"> PAGEREF _Toc229004004 \h </w:instrText>
            </w:r>
            <w:r>
              <w:rPr>
                <w:noProof/>
                <w:webHidden/>
              </w:rPr>
            </w:r>
            <w:r>
              <w:rPr>
                <w:noProof/>
                <w:webHidden/>
              </w:rPr>
              <w:fldChar w:fldCharType="separate"/>
            </w:r>
            <w:r>
              <w:rPr>
                <w:noProof/>
                <w:webHidden/>
              </w:rPr>
              <w:t>12</w:t>
            </w:r>
            <w:r>
              <w:rPr>
                <w:noProof/>
                <w:webHidden/>
              </w:rPr>
              <w:fldChar w:fldCharType="end"/>
            </w:r>
          </w:hyperlink>
        </w:p>
        <w:p w14:paraId="4C251450" w14:textId="2DDB4690"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4005" w:history="1">
            <w:r w:rsidRPr="002824CB">
              <w:rPr>
                <w:rStyle w:val="Hyperlink"/>
                <w:rFonts w:ascii="Times New Roman" w:hAnsi="Times New Roman" w:cs="Times New Roman"/>
                <w:noProof/>
              </w:rPr>
              <w:t>Contract Strategy Selection</w:t>
            </w:r>
            <w:r>
              <w:rPr>
                <w:noProof/>
                <w:webHidden/>
              </w:rPr>
              <w:tab/>
            </w:r>
            <w:r>
              <w:rPr>
                <w:noProof/>
                <w:webHidden/>
              </w:rPr>
              <w:fldChar w:fldCharType="begin"/>
            </w:r>
            <w:r>
              <w:rPr>
                <w:noProof/>
                <w:webHidden/>
              </w:rPr>
              <w:instrText xml:space="preserve"> PAGEREF _Toc229004005 \h </w:instrText>
            </w:r>
            <w:r>
              <w:rPr>
                <w:noProof/>
                <w:webHidden/>
              </w:rPr>
            </w:r>
            <w:r>
              <w:rPr>
                <w:noProof/>
                <w:webHidden/>
              </w:rPr>
              <w:fldChar w:fldCharType="separate"/>
            </w:r>
            <w:r>
              <w:rPr>
                <w:noProof/>
                <w:webHidden/>
              </w:rPr>
              <w:t>12</w:t>
            </w:r>
            <w:r>
              <w:rPr>
                <w:noProof/>
                <w:webHidden/>
              </w:rPr>
              <w:fldChar w:fldCharType="end"/>
            </w:r>
          </w:hyperlink>
        </w:p>
        <w:p w14:paraId="45891535" w14:textId="2F50A665" w:rsidR="001F07B6" w:rsidRDefault="001F07B6" w:rsidP="001F07B6">
          <w:pPr>
            <w:pStyle w:val="TOC2"/>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4006" w:history="1">
            <w:r w:rsidRPr="002824CB">
              <w:rPr>
                <w:rStyle w:val="Hyperlink"/>
                <w:rFonts w:ascii="Times New Roman" w:hAnsi="Times New Roman" w:cs="Times New Roman"/>
                <w:noProof/>
              </w:rPr>
              <w:t>Recommended Contract: JCT Design and Build 2016</w:t>
            </w:r>
            <w:r>
              <w:rPr>
                <w:noProof/>
                <w:webHidden/>
              </w:rPr>
              <w:tab/>
            </w:r>
            <w:r>
              <w:rPr>
                <w:noProof/>
                <w:webHidden/>
              </w:rPr>
              <w:fldChar w:fldCharType="begin"/>
            </w:r>
            <w:r>
              <w:rPr>
                <w:noProof/>
                <w:webHidden/>
              </w:rPr>
              <w:instrText xml:space="preserve"> PAGEREF _Toc229004006 \h </w:instrText>
            </w:r>
            <w:r>
              <w:rPr>
                <w:noProof/>
                <w:webHidden/>
              </w:rPr>
            </w:r>
            <w:r>
              <w:rPr>
                <w:noProof/>
                <w:webHidden/>
              </w:rPr>
              <w:fldChar w:fldCharType="separate"/>
            </w:r>
            <w:r>
              <w:rPr>
                <w:noProof/>
                <w:webHidden/>
              </w:rPr>
              <w:t>12</w:t>
            </w:r>
            <w:r>
              <w:rPr>
                <w:noProof/>
                <w:webHidden/>
              </w:rPr>
              <w:fldChar w:fldCharType="end"/>
            </w:r>
          </w:hyperlink>
        </w:p>
        <w:p w14:paraId="36FF6B6B" w14:textId="2512E669"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4007" w:history="1">
            <w:r w:rsidRPr="002824CB">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_Toc229004007 \h </w:instrText>
            </w:r>
            <w:r>
              <w:rPr>
                <w:noProof/>
                <w:webHidden/>
              </w:rPr>
            </w:r>
            <w:r>
              <w:rPr>
                <w:noProof/>
                <w:webHidden/>
              </w:rPr>
              <w:fldChar w:fldCharType="separate"/>
            </w:r>
            <w:r>
              <w:rPr>
                <w:noProof/>
                <w:webHidden/>
              </w:rPr>
              <w:t>12</w:t>
            </w:r>
            <w:r>
              <w:rPr>
                <w:noProof/>
                <w:webHidden/>
              </w:rPr>
              <w:fldChar w:fldCharType="end"/>
            </w:r>
          </w:hyperlink>
        </w:p>
        <w:p w14:paraId="7FC8C78D" w14:textId="58CAF516"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4008" w:history="1">
            <w:r w:rsidRPr="002824C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_Toc229004008 \h </w:instrText>
            </w:r>
            <w:r>
              <w:rPr>
                <w:noProof/>
                <w:webHidden/>
              </w:rPr>
            </w:r>
            <w:r>
              <w:rPr>
                <w:noProof/>
                <w:webHidden/>
              </w:rPr>
              <w:fldChar w:fldCharType="separate"/>
            </w:r>
            <w:r>
              <w:rPr>
                <w:noProof/>
                <w:webHidden/>
              </w:rPr>
              <w:t>13</w:t>
            </w:r>
            <w:r>
              <w:rPr>
                <w:noProof/>
                <w:webHidden/>
              </w:rPr>
              <w:fldChar w:fldCharType="end"/>
            </w:r>
          </w:hyperlink>
        </w:p>
        <w:p w14:paraId="549C6AB3" w14:textId="2E61CF73" w:rsidR="001F07B6" w:rsidRDefault="001F07B6" w:rsidP="001F07B6">
          <w:pPr>
            <w:pStyle w:val="TOC1"/>
            <w:tabs>
              <w:tab w:val="right" w:leader="dot" w:pos="15384"/>
            </w:tabs>
            <w:rPr>
              <w:rFonts w:asciiTheme="minorHAnsi" w:eastAsiaTheme="minorEastAsia" w:hAnsiTheme="minorHAnsi" w:cstheme="minorBidi"/>
              <w:noProof/>
              <w:kern w:val="2"/>
              <w:sz w:val="24"/>
              <w:szCs w:val="24"/>
              <w:lang w:val="en-US" w:eastAsia="en-US"/>
              <w14:ligatures w14:val="standardContextual"/>
            </w:rPr>
          </w:pPr>
          <w:hyperlink w:anchor="_Toc229004009" w:history="1">
            <w:r w:rsidRPr="002824C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_Toc229004009 \h </w:instrText>
            </w:r>
            <w:r>
              <w:rPr>
                <w:noProof/>
                <w:webHidden/>
              </w:rPr>
            </w:r>
            <w:r>
              <w:rPr>
                <w:noProof/>
                <w:webHidden/>
              </w:rPr>
              <w:fldChar w:fldCharType="separate"/>
            </w:r>
            <w:r>
              <w:rPr>
                <w:noProof/>
                <w:webHidden/>
              </w:rPr>
              <w:t>14</w:t>
            </w:r>
            <w:r>
              <w:rPr>
                <w:noProof/>
                <w:webHidden/>
              </w:rPr>
              <w:fldChar w:fldCharType="end"/>
            </w:r>
          </w:hyperlink>
        </w:p>
        <w:p w14:paraId="0FB6463F" w14:textId="77777777" w:rsidR="001F07B6" w:rsidRDefault="001F07B6" w:rsidP="001F07B6">
          <w:pPr>
            <w:spacing w:before="120" w:after="120"/>
            <w:jc w:val="center"/>
            <w:rPr>
              <w:bCs/>
              <w:noProof/>
            </w:rPr>
          </w:pPr>
          <w:r w:rsidRPr="004B36A2">
            <w:rPr>
              <w:b/>
              <w:bCs/>
              <w:noProof/>
            </w:rPr>
            <w:lastRenderedPageBreak/>
            <w:fldChar w:fldCharType="end"/>
          </w:r>
        </w:p>
      </w:sdtContent>
    </w:sdt>
    <w:p w14:paraId="5EB1A3F8" w14:textId="77777777" w:rsidR="001F07B6" w:rsidRDefault="001F07B6" w:rsidP="001F07B6">
      <w:pPr>
        <w:spacing w:after="160" w:line="278" w:lineRule="auto"/>
        <w:jc w:val="center"/>
        <w:rPr>
          <w:rFonts w:asciiTheme="majorHAnsi" w:eastAsiaTheme="majorEastAsia" w:hAnsiTheme="majorHAnsi" w:cstheme="majorBidi"/>
          <w:b/>
          <w:color w:val="2F5496" w:themeColor="accent1" w:themeShade="BF"/>
          <w:sz w:val="40"/>
          <w:szCs w:val="40"/>
          <w:lang w:val="en-US" w:eastAsia="en-US"/>
        </w:rPr>
      </w:pPr>
    </w:p>
    <w:p w14:paraId="5FEC4D10" w14:textId="77777777" w:rsidR="001F07B6" w:rsidRDefault="001F07B6" w:rsidP="001F07B6">
      <w:pPr>
        <w:spacing w:after="160" w:line="278" w:lineRule="auto"/>
        <w:rPr>
          <w:rFonts w:asciiTheme="majorHAnsi" w:eastAsiaTheme="majorEastAsia" w:hAnsiTheme="majorHAnsi" w:cstheme="majorBidi"/>
          <w:b/>
          <w:color w:val="2F5496" w:themeColor="accent1" w:themeShade="BF"/>
          <w:sz w:val="40"/>
          <w:szCs w:val="40"/>
          <w:lang w:val="en-US" w:eastAsia="en-US"/>
        </w:rPr>
      </w:pPr>
    </w:p>
    <w:p w14:paraId="07555534" w14:textId="77777777" w:rsidR="001F07B6" w:rsidRDefault="001F07B6" w:rsidP="001F07B6">
      <w:pPr>
        <w:spacing w:after="160" w:line="278" w:lineRule="auto"/>
        <w:rPr>
          <w:rFonts w:asciiTheme="majorHAnsi" w:eastAsiaTheme="majorEastAsia" w:hAnsiTheme="majorHAnsi" w:cstheme="majorBidi"/>
          <w:b/>
          <w:color w:val="2F5496" w:themeColor="accent1" w:themeShade="BF"/>
          <w:sz w:val="40"/>
          <w:szCs w:val="40"/>
          <w:lang w:val="en-US" w:eastAsia="en-US"/>
        </w:rPr>
      </w:pPr>
    </w:p>
    <w:p w14:paraId="6FB25F10" w14:textId="77777777" w:rsidR="001F07B6" w:rsidRDefault="001F07B6" w:rsidP="001F07B6">
      <w:pPr>
        <w:spacing w:after="160" w:line="278" w:lineRule="auto"/>
        <w:rPr>
          <w:rFonts w:asciiTheme="majorHAnsi" w:eastAsiaTheme="majorEastAsia" w:hAnsiTheme="majorHAnsi" w:cstheme="majorBidi"/>
          <w:b/>
          <w:color w:val="2F5496" w:themeColor="accent1" w:themeShade="BF"/>
          <w:sz w:val="40"/>
          <w:szCs w:val="40"/>
          <w:lang w:val="en-US" w:eastAsia="en-US"/>
        </w:rPr>
      </w:pPr>
    </w:p>
    <w:p w14:paraId="28F5EB57" w14:textId="77777777" w:rsidR="001F07B6" w:rsidRDefault="001F07B6" w:rsidP="001F07B6">
      <w:pPr>
        <w:spacing w:after="160" w:line="278" w:lineRule="auto"/>
        <w:rPr>
          <w:rFonts w:asciiTheme="majorHAnsi" w:eastAsiaTheme="majorEastAsia" w:hAnsiTheme="majorHAnsi" w:cstheme="majorBidi"/>
          <w:b/>
          <w:color w:val="2F5496" w:themeColor="accent1" w:themeShade="BF"/>
          <w:sz w:val="40"/>
          <w:szCs w:val="40"/>
          <w:lang w:val="en-US" w:eastAsia="en-US"/>
        </w:rPr>
      </w:pPr>
    </w:p>
    <w:p w14:paraId="7D522C43" w14:textId="77777777" w:rsidR="001F07B6" w:rsidRDefault="001F07B6" w:rsidP="001F07B6">
      <w:pPr>
        <w:spacing w:after="160" w:line="278" w:lineRule="auto"/>
        <w:rPr>
          <w:rFonts w:asciiTheme="majorHAnsi" w:eastAsiaTheme="majorEastAsia" w:hAnsiTheme="majorHAnsi" w:cstheme="majorBidi"/>
          <w:b/>
          <w:color w:val="2F5496" w:themeColor="accent1" w:themeShade="BF"/>
          <w:sz w:val="40"/>
          <w:szCs w:val="40"/>
          <w:lang w:val="en-US" w:eastAsia="en-US"/>
        </w:rPr>
      </w:pPr>
    </w:p>
    <w:p w14:paraId="5479075E" w14:textId="77777777" w:rsidR="001F07B6" w:rsidRDefault="001F07B6" w:rsidP="001F07B6">
      <w:pPr>
        <w:spacing w:after="160" w:line="278" w:lineRule="auto"/>
        <w:rPr>
          <w:rFonts w:asciiTheme="majorHAnsi" w:eastAsiaTheme="majorEastAsia" w:hAnsiTheme="majorHAnsi" w:cstheme="majorBidi"/>
          <w:b/>
          <w:color w:val="2F5496" w:themeColor="accent1" w:themeShade="BF"/>
          <w:sz w:val="40"/>
          <w:szCs w:val="40"/>
          <w:lang w:val="en-US" w:eastAsia="en-US"/>
        </w:rPr>
      </w:pPr>
    </w:p>
    <w:p w14:paraId="421C72E5" w14:textId="77777777" w:rsidR="001F07B6" w:rsidRDefault="001F07B6" w:rsidP="001F07B6">
      <w:pPr>
        <w:spacing w:after="160" w:line="278" w:lineRule="auto"/>
        <w:rPr>
          <w:rFonts w:asciiTheme="majorHAnsi" w:eastAsiaTheme="majorEastAsia" w:hAnsiTheme="majorHAnsi" w:cstheme="majorBidi"/>
          <w:b/>
          <w:color w:val="2F5496" w:themeColor="accent1" w:themeShade="BF"/>
          <w:sz w:val="40"/>
          <w:szCs w:val="40"/>
          <w:lang w:val="en-US" w:eastAsia="en-US"/>
        </w:rPr>
      </w:pPr>
    </w:p>
    <w:p w14:paraId="58709B8C" w14:textId="77777777" w:rsidR="001F07B6" w:rsidRDefault="001F07B6" w:rsidP="001F07B6">
      <w:pPr>
        <w:spacing w:after="160" w:line="278" w:lineRule="auto"/>
        <w:rPr>
          <w:rFonts w:asciiTheme="majorHAnsi" w:eastAsiaTheme="majorEastAsia" w:hAnsiTheme="majorHAnsi" w:cstheme="majorBidi"/>
          <w:b/>
          <w:color w:val="2F5496" w:themeColor="accent1" w:themeShade="BF"/>
          <w:sz w:val="40"/>
          <w:szCs w:val="40"/>
          <w:lang w:val="en-US" w:eastAsia="en-US"/>
        </w:rPr>
      </w:pPr>
    </w:p>
    <w:p w14:paraId="730C3A53" w14:textId="77777777" w:rsidR="001F07B6" w:rsidRDefault="001F07B6" w:rsidP="001F07B6">
      <w:pPr>
        <w:spacing w:after="160" w:line="278" w:lineRule="auto"/>
        <w:rPr>
          <w:rFonts w:asciiTheme="majorHAnsi" w:eastAsiaTheme="majorEastAsia" w:hAnsiTheme="majorHAnsi" w:cstheme="majorBidi"/>
          <w:b/>
          <w:color w:val="2F5496" w:themeColor="accent1" w:themeShade="BF"/>
          <w:sz w:val="40"/>
          <w:szCs w:val="40"/>
          <w:lang w:val="en-US" w:eastAsia="en-US"/>
        </w:rPr>
      </w:pPr>
    </w:p>
    <w:p w14:paraId="372674A5" w14:textId="77777777" w:rsidR="001F07B6" w:rsidRPr="00B31CD3" w:rsidRDefault="001F07B6" w:rsidP="001F07B6">
      <w:pPr>
        <w:pStyle w:val="Heading1"/>
        <w:jc w:val="both"/>
        <w:rPr>
          <w:rFonts w:ascii="Times New Roman" w:hAnsi="Times New Roman" w:cs="Times New Roman"/>
        </w:rPr>
      </w:pPr>
      <w:bookmarkStart w:id="0" w:name="_Toc229002474"/>
      <w:bookmarkStart w:id="1" w:name="_Toc229003985"/>
      <w:r w:rsidRPr="00B31CD3">
        <w:rPr>
          <w:rFonts w:ascii="Times New Roman" w:hAnsi="Times New Roman" w:cs="Times New Roman"/>
        </w:rPr>
        <w:t>Part A</w:t>
      </w:r>
      <w:bookmarkEnd w:id="0"/>
      <w:bookmarkEnd w:id="1"/>
    </w:p>
    <w:p w14:paraId="5955A665" w14:textId="77777777" w:rsidR="001F07B6" w:rsidRDefault="001F07B6" w:rsidP="001F07B6">
      <w:pPr>
        <w:pStyle w:val="Heading1"/>
        <w:jc w:val="both"/>
        <w:rPr>
          <w:rFonts w:ascii="Times New Roman" w:hAnsi="Times New Roman" w:cs="Times New Roman"/>
        </w:rPr>
      </w:pPr>
      <w:bookmarkStart w:id="2" w:name="_bgrgarwfspdl" w:colFirst="0" w:colLast="0"/>
      <w:bookmarkStart w:id="3" w:name="_Toc229002475"/>
      <w:bookmarkStart w:id="4" w:name="_Toc229003986"/>
      <w:bookmarkEnd w:id="2"/>
      <w:r w:rsidRPr="00B31CD3">
        <w:rPr>
          <w:rFonts w:ascii="Times New Roman" w:hAnsi="Times New Roman" w:cs="Times New Roman"/>
        </w:rPr>
        <w:t>Introduction</w:t>
      </w:r>
      <w:bookmarkEnd w:id="3"/>
      <w:bookmarkEnd w:id="4"/>
      <w:r w:rsidRPr="00B31CD3">
        <w:rPr>
          <w:rFonts w:ascii="Times New Roman" w:hAnsi="Times New Roman" w:cs="Times New Roman"/>
        </w:rPr>
        <w:t xml:space="preserve"> </w:t>
      </w:r>
    </w:p>
    <w:p w14:paraId="45DD6355" w14:textId="77777777" w:rsidR="001F07B6" w:rsidRPr="0012711A" w:rsidRDefault="001F07B6" w:rsidP="001F07B6">
      <w:pPr>
        <w:spacing w:before="120" w:after="120" w:line="360" w:lineRule="auto"/>
        <w:jc w:val="both"/>
        <w:rPr>
          <w:sz w:val="24"/>
          <w:szCs w:val="24"/>
        </w:rPr>
      </w:pPr>
      <w:r w:rsidRPr="0012711A">
        <w:rPr>
          <w:sz w:val="24"/>
          <w:szCs w:val="24"/>
        </w:rPr>
        <w:t>The IM Building is a current academic structure which promotes digital learning, innovation and research activities. It has high-quality ICT systems, special teaching facilities, and energy-consuming facilities. Due to this fact, the building needs good management of its mechanical systems, digital infrastructure and maintenance procedures.</w:t>
      </w:r>
    </w:p>
    <w:p w14:paraId="59388A45" w14:textId="77777777" w:rsidR="001F07B6" w:rsidRPr="0012711A" w:rsidRDefault="001F07B6" w:rsidP="001F07B6">
      <w:pPr>
        <w:spacing w:before="120" w:after="120" w:line="360" w:lineRule="auto"/>
        <w:jc w:val="both"/>
        <w:rPr>
          <w:sz w:val="24"/>
          <w:szCs w:val="24"/>
        </w:rPr>
      </w:pPr>
      <w:r w:rsidRPr="0012711A">
        <w:rPr>
          <w:sz w:val="24"/>
          <w:szCs w:val="24"/>
        </w:rPr>
        <w:t>The broader environment in which the building functions has evolved over the last few years. The COVID-19 pandemic changed the way buildings are utilised, with more hybrid learning and new health demands. The issue of Brexit has influenced the availability of labour, supply chains, and the cost of construction. The Ukraine conflict has also led to energy prices and inflation in the UK economy.</w:t>
      </w:r>
    </w:p>
    <w:p w14:paraId="691D6376" w14:textId="77777777" w:rsidR="001F07B6" w:rsidRPr="00B31CD3" w:rsidRDefault="001F07B6" w:rsidP="001F07B6">
      <w:pPr>
        <w:spacing w:before="120" w:after="120" w:line="360" w:lineRule="auto"/>
        <w:jc w:val="both"/>
        <w:rPr>
          <w:sz w:val="24"/>
          <w:szCs w:val="24"/>
        </w:rPr>
      </w:pPr>
      <w:r w:rsidRPr="0012711A">
        <w:rPr>
          <w:sz w:val="24"/>
          <w:szCs w:val="24"/>
        </w:rPr>
        <w:t xml:space="preserve">All these pressures have posed new operational challenges to the higher education estates. </w:t>
      </w:r>
      <w:r w:rsidRPr="00B31CD3">
        <w:br w:type="page"/>
      </w:r>
    </w:p>
    <w:p w14:paraId="277DA360" w14:textId="77777777" w:rsidR="001F07B6" w:rsidRDefault="001F07B6" w:rsidP="001F07B6">
      <w:pPr>
        <w:pStyle w:val="Heading1"/>
        <w:jc w:val="both"/>
        <w:rPr>
          <w:rFonts w:ascii="Times New Roman" w:hAnsi="Times New Roman" w:cs="Times New Roman"/>
        </w:rPr>
      </w:pPr>
      <w:bookmarkStart w:id="5" w:name="_8bhh7x1zc6vw" w:colFirst="0" w:colLast="0"/>
      <w:bookmarkStart w:id="6" w:name="_Toc229002476"/>
      <w:bookmarkStart w:id="7" w:name="_Toc229003987"/>
      <w:bookmarkEnd w:id="5"/>
      <w:r w:rsidRPr="00B31CD3">
        <w:rPr>
          <w:rFonts w:ascii="Times New Roman" w:hAnsi="Times New Roman" w:cs="Times New Roman"/>
        </w:rPr>
        <w:lastRenderedPageBreak/>
        <w:t>Building Overview and Operational Profile</w:t>
      </w:r>
      <w:bookmarkEnd w:id="6"/>
      <w:bookmarkEnd w:id="7"/>
      <w:r w:rsidRPr="00B31CD3">
        <w:rPr>
          <w:rFonts w:ascii="Times New Roman" w:hAnsi="Times New Roman" w:cs="Times New Roman"/>
        </w:rPr>
        <w:t xml:space="preserve"> </w:t>
      </w:r>
    </w:p>
    <w:p w14:paraId="19F156DF" w14:textId="77777777" w:rsidR="001F07B6" w:rsidRPr="00B31CD3" w:rsidRDefault="001F07B6" w:rsidP="001F07B6">
      <w:pPr>
        <w:spacing w:before="120" w:after="120" w:line="360" w:lineRule="auto"/>
        <w:jc w:val="both"/>
        <w:rPr>
          <w:sz w:val="24"/>
          <w:szCs w:val="24"/>
        </w:rPr>
      </w:pPr>
      <w:r w:rsidRPr="00B31CD3">
        <w:rPr>
          <w:sz w:val="24"/>
          <w:szCs w:val="24"/>
        </w:rPr>
        <w:t>The IM Building is supposed to meet modern teaching strategies and notably digital and interactive learning. It is a contemporary educational facility that assists students in learning using technology. It contains computer labs, seminar rooms, collaborative spaces and specialist rooms for creative and technical courses. These areas are significant to facilitate innovation and digital learning.</w:t>
      </w:r>
    </w:p>
    <w:p w14:paraId="5A9E56F1" w14:textId="77777777" w:rsidR="001F07B6" w:rsidRPr="00B31CD3" w:rsidRDefault="001F07B6" w:rsidP="001F07B6">
      <w:pPr>
        <w:spacing w:before="120" w:after="120" w:line="360" w:lineRule="auto"/>
        <w:jc w:val="both"/>
        <w:rPr>
          <w:sz w:val="24"/>
          <w:szCs w:val="24"/>
        </w:rPr>
      </w:pPr>
      <w:r w:rsidRPr="00B31CD3">
        <w:rPr>
          <w:sz w:val="24"/>
          <w:szCs w:val="24"/>
        </w:rPr>
        <w:t xml:space="preserve">ICT systems are essential to the building. This includes computers, servers, networks, and software systems. Constant internet connectivity is highly essential in day-to-day activities like teaching, research, and assessment. A building cannot operate effectively without having good ICT systems. It also depends on the state-of-the-art mechanical and electrical, heating, ventilation, air conditioning, lighting, and security systems (McQuiston </w:t>
      </w:r>
      <w:r w:rsidRPr="00B31CD3">
        <w:rPr>
          <w:i/>
          <w:iCs/>
          <w:sz w:val="24"/>
          <w:szCs w:val="24"/>
        </w:rPr>
        <w:t>et al</w:t>
      </w:r>
      <w:r w:rsidRPr="00B31CD3">
        <w:rPr>
          <w:sz w:val="24"/>
          <w:szCs w:val="24"/>
        </w:rPr>
        <w:t xml:space="preserve">., 2023). </w:t>
      </w:r>
    </w:p>
    <w:p w14:paraId="077A42A8" w14:textId="77777777" w:rsidR="001F07B6" w:rsidRPr="00B31CD3" w:rsidRDefault="001F07B6" w:rsidP="001F07B6">
      <w:pPr>
        <w:spacing w:before="120" w:after="120" w:line="360" w:lineRule="auto"/>
        <w:jc w:val="both"/>
        <w:rPr>
          <w:sz w:val="24"/>
          <w:szCs w:val="24"/>
        </w:rPr>
      </w:pPr>
      <w:r w:rsidRPr="00B31CD3">
        <w:rPr>
          <w:sz w:val="24"/>
          <w:szCs w:val="24"/>
        </w:rPr>
        <w:t>The building has adaptable occupancy schemes due to the hybrid learning. This implies that students are only present in person, and at other times, they study online. Consequently, there are days when the building is highly congested, whereas there are days when the building is much less busy. This poses difficulties in controlling the use of energy. It further complicates the efficient planning of cleaning schedules, space usage, and maintenance work.</w:t>
      </w:r>
    </w:p>
    <w:p w14:paraId="785BD81B" w14:textId="77777777" w:rsidR="001F07B6" w:rsidRPr="00B31CD3" w:rsidRDefault="001F07B6" w:rsidP="001F07B6">
      <w:pPr>
        <w:spacing w:before="120" w:after="120" w:line="360" w:lineRule="auto"/>
        <w:jc w:val="both"/>
        <w:rPr>
          <w:sz w:val="24"/>
          <w:szCs w:val="24"/>
        </w:rPr>
      </w:pPr>
      <w:r w:rsidRPr="00B31CD3">
        <w:rPr>
          <w:sz w:val="24"/>
          <w:szCs w:val="24"/>
        </w:rPr>
        <w:t>The IM Building consumes a lot of electricity due to its ICT gadgets and air conditioners. Computers, servers, and digital devices are all devices that require continuous power. Simultaneously, they produce heat that causes the demand for cooling systems. This renders the building sensitive to fluctuations in the energy prices (Kodikara Edirisinghe and Gunathilake, 2026). Even slight cost increases can have a significant effect on the total budget.</w:t>
      </w:r>
    </w:p>
    <w:p w14:paraId="767E8309" w14:textId="77777777" w:rsidR="001F07B6" w:rsidRPr="00B31CD3" w:rsidRDefault="001F07B6" w:rsidP="001F07B6">
      <w:pPr>
        <w:spacing w:before="120" w:after="120" w:line="360" w:lineRule="auto"/>
        <w:jc w:val="both"/>
        <w:rPr>
          <w:sz w:val="24"/>
          <w:szCs w:val="24"/>
        </w:rPr>
      </w:pPr>
      <w:r w:rsidRPr="00B31CD3">
        <w:rPr>
          <w:sz w:val="24"/>
          <w:szCs w:val="24"/>
        </w:rPr>
        <w:t>The building also requires specialist maintenance of many systems in the building. This implies that the university will rely on qualified contractors and dependable suppliers. Maintenance work may be impaired in the event of delays in the supply chain or a lack of trained employees.</w:t>
      </w:r>
    </w:p>
    <w:p w14:paraId="6E75DA97" w14:textId="77777777" w:rsidR="001F07B6" w:rsidRPr="00B31CD3" w:rsidRDefault="001F07B6" w:rsidP="001F07B6">
      <w:pPr>
        <w:pStyle w:val="Heading1"/>
        <w:jc w:val="both"/>
        <w:rPr>
          <w:rFonts w:ascii="Times New Roman" w:hAnsi="Times New Roman" w:cs="Times New Roman"/>
        </w:rPr>
      </w:pPr>
      <w:bookmarkStart w:id="8" w:name="_9gmvtna230t6" w:colFirst="0" w:colLast="0"/>
      <w:bookmarkStart w:id="9" w:name="_Toc229002477"/>
      <w:bookmarkStart w:id="10" w:name="_Toc229003988"/>
      <w:bookmarkEnd w:id="8"/>
      <w:r w:rsidRPr="00B31CD3">
        <w:rPr>
          <w:rFonts w:ascii="Times New Roman" w:hAnsi="Times New Roman" w:cs="Times New Roman"/>
        </w:rPr>
        <w:t>Technical Operational Risks</w:t>
      </w:r>
      <w:bookmarkEnd w:id="9"/>
      <w:bookmarkEnd w:id="10"/>
      <w:r w:rsidRPr="00B31CD3">
        <w:rPr>
          <w:rFonts w:ascii="Times New Roman" w:hAnsi="Times New Roman" w:cs="Times New Roman"/>
        </w:rPr>
        <w:t xml:space="preserve"> </w:t>
      </w:r>
    </w:p>
    <w:p w14:paraId="3A4FC978" w14:textId="77777777" w:rsidR="001F07B6" w:rsidRPr="00B31CD3" w:rsidRDefault="001F07B6" w:rsidP="001F07B6">
      <w:pPr>
        <w:pStyle w:val="Heading2"/>
        <w:jc w:val="both"/>
        <w:rPr>
          <w:rFonts w:ascii="Times New Roman" w:hAnsi="Times New Roman" w:cs="Times New Roman"/>
        </w:rPr>
      </w:pPr>
      <w:bookmarkStart w:id="11" w:name="_vub9s2qzhy1c" w:colFirst="0" w:colLast="0"/>
      <w:bookmarkStart w:id="12" w:name="_Toc229002478"/>
      <w:bookmarkStart w:id="13" w:name="_Toc229003989"/>
      <w:bookmarkEnd w:id="11"/>
      <w:r w:rsidRPr="00B31CD3">
        <w:rPr>
          <w:rFonts w:ascii="Times New Roman" w:hAnsi="Times New Roman" w:cs="Times New Roman"/>
        </w:rPr>
        <w:t>Creation of Fabric and Maintenance Risks</w:t>
      </w:r>
      <w:bookmarkEnd w:id="12"/>
      <w:bookmarkEnd w:id="13"/>
    </w:p>
    <w:p w14:paraId="21F0C8C0" w14:textId="77777777" w:rsidR="001F07B6" w:rsidRPr="00B31CD3" w:rsidRDefault="001F07B6" w:rsidP="001F07B6">
      <w:pPr>
        <w:spacing w:before="120" w:after="120" w:line="360" w:lineRule="auto"/>
        <w:jc w:val="both"/>
        <w:rPr>
          <w:sz w:val="24"/>
          <w:szCs w:val="24"/>
        </w:rPr>
      </w:pPr>
      <w:r w:rsidRPr="00B31CD3">
        <w:rPr>
          <w:sz w:val="24"/>
          <w:szCs w:val="24"/>
        </w:rPr>
        <w:t>The state of the building fabric, such as walls, roofs, windows, and outer surfaces, is one of the primary technical risks (Hens, 2024). In the COVID-19 era, numerous maintenance operations were postponed throughout the higher education sector because of a decrease in campus utilisation and financial constraints. This has heightened the danger of wear and tear and backlog repairs.</w:t>
      </w:r>
    </w:p>
    <w:p w14:paraId="2D524485" w14:textId="77777777" w:rsidR="001F07B6" w:rsidRPr="00B31CD3" w:rsidRDefault="001F07B6" w:rsidP="001F07B6">
      <w:pPr>
        <w:spacing w:before="120" w:after="120" w:line="360" w:lineRule="auto"/>
        <w:jc w:val="both"/>
        <w:rPr>
          <w:sz w:val="24"/>
          <w:szCs w:val="24"/>
        </w:rPr>
      </w:pPr>
      <w:r w:rsidRPr="00B31CD3">
        <w:rPr>
          <w:sz w:val="24"/>
          <w:szCs w:val="24"/>
        </w:rPr>
        <w:t>The supply of construction materials and specialist contractors has also been impacted by Brexit. Numerous materials take extra time to reach the destination, and expenses have risen as a result of import delays, as well as currency variations (</w:t>
      </w:r>
      <w:proofErr w:type="spellStart"/>
      <w:r w:rsidRPr="00B31CD3">
        <w:rPr>
          <w:sz w:val="24"/>
          <w:szCs w:val="24"/>
        </w:rPr>
        <w:t>Oyegoke</w:t>
      </w:r>
      <w:proofErr w:type="spellEnd"/>
      <w:r w:rsidRPr="00B31CD3">
        <w:rPr>
          <w:sz w:val="24"/>
          <w:szCs w:val="24"/>
        </w:rPr>
        <w:t xml:space="preserve"> </w:t>
      </w:r>
      <w:r w:rsidRPr="00B31CD3">
        <w:rPr>
          <w:i/>
          <w:iCs/>
          <w:sz w:val="24"/>
          <w:szCs w:val="24"/>
        </w:rPr>
        <w:t>et al</w:t>
      </w:r>
      <w:r w:rsidRPr="00B31CD3">
        <w:rPr>
          <w:sz w:val="24"/>
          <w:szCs w:val="24"/>
        </w:rPr>
        <w:t>., 2024).  This leads to a problem when planning the maintenance work and refurbishment project.</w:t>
      </w:r>
    </w:p>
    <w:p w14:paraId="481B62D4" w14:textId="77777777" w:rsidR="001F07B6" w:rsidRPr="00B31CD3" w:rsidRDefault="001F07B6" w:rsidP="001F07B6">
      <w:pPr>
        <w:spacing w:before="120" w:after="120" w:line="360" w:lineRule="auto"/>
        <w:jc w:val="both"/>
        <w:rPr>
          <w:sz w:val="24"/>
          <w:szCs w:val="24"/>
        </w:rPr>
      </w:pPr>
      <w:r w:rsidRPr="00B31CD3">
        <w:rPr>
          <w:sz w:val="24"/>
          <w:szCs w:val="24"/>
        </w:rPr>
        <w:lastRenderedPageBreak/>
        <w:t>Moreover, the UK climate and especially the coastal regions such as Swansea, expose them to wet, windy and salt damage (Onus, 2025). This may, over time, impact external building materials and raise the demand for repair.</w:t>
      </w:r>
    </w:p>
    <w:p w14:paraId="5DAB47EA" w14:textId="77777777" w:rsidR="001F07B6" w:rsidRPr="00B31CD3" w:rsidRDefault="001F07B6" w:rsidP="001F07B6">
      <w:pPr>
        <w:spacing w:before="120" w:after="120" w:line="360" w:lineRule="auto"/>
        <w:jc w:val="both"/>
        <w:rPr>
          <w:sz w:val="24"/>
          <w:szCs w:val="24"/>
        </w:rPr>
      </w:pPr>
      <w:r w:rsidRPr="00B31CD3">
        <w:rPr>
          <w:sz w:val="24"/>
          <w:szCs w:val="24"/>
        </w:rPr>
        <w:t>Regular condition inspections are vital to control these risks. The maintenance must be scheduled according to the priority and the level of risk, but not to wait till failures take place. Another important thing to do is to work with a number of suppliers in order to decrease the reliance on one particular supplier and increase resilience in procurement.</w:t>
      </w:r>
    </w:p>
    <w:p w14:paraId="0EF2C13D" w14:textId="77777777" w:rsidR="001F07B6" w:rsidRPr="00B31CD3" w:rsidRDefault="001F07B6" w:rsidP="001F07B6">
      <w:pPr>
        <w:pStyle w:val="Heading2"/>
        <w:jc w:val="both"/>
        <w:rPr>
          <w:rFonts w:ascii="Times New Roman" w:hAnsi="Times New Roman" w:cs="Times New Roman"/>
        </w:rPr>
      </w:pPr>
      <w:bookmarkStart w:id="14" w:name="_30bfduxiauk4" w:colFirst="0" w:colLast="0"/>
      <w:bookmarkStart w:id="15" w:name="_Toc229002479"/>
      <w:bookmarkStart w:id="16" w:name="_Toc229003990"/>
      <w:bookmarkEnd w:id="14"/>
      <w:r w:rsidRPr="00B31CD3">
        <w:rPr>
          <w:rFonts w:ascii="Times New Roman" w:hAnsi="Times New Roman" w:cs="Times New Roman"/>
        </w:rPr>
        <w:t>Risks of a Mechanical and Electrical System</w:t>
      </w:r>
      <w:bookmarkEnd w:id="15"/>
      <w:bookmarkEnd w:id="16"/>
    </w:p>
    <w:p w14:paraId="11EC03D9" w14:textId="77777777" w:rsidR="001F07B6" w:rsidRPr="00B31CD3" w:rsidRDefault="001F07B6" w:rsidP="001F07B6">
      <w:pPr>
        <w:spacing w:before="120" w:after="120" w:line="360" w:lineRule="auto"/>
        <w:jc w:val="both"/>
        <w:rPr>
          <w:sz w:val="24"/>
          <w:szCs w:val="24"/>
        </w:rPr>
      </w:pPr>
      <w:r w:rsidRPr="00B31CD3">
        <w:rPr>
          <w:sz w:val="24"/>
          <w:szCs w:val="24"/>
        </w:rPr>
        <w:t>The IM Building's mechanical and electrical systems are critical in day-to-day operations. These are: heating, ventilation, air conditioning, lighting, and ICT infrastructure support systems.</w:t>
      </w:r>
    </w:p>
    <w:p w14:paraId="265C68A3" w14:textId="77777777" w:rsidR="001F07B6" w:rsidRPr="00B31CD3" w:rsidRDefault="001F07B6" w:rsidP="001F07B6">
      <w:pPr>
        <w:spacing w:before="120" w:after="120" w:line="360" w:lineRule="auto"/>
        <w:jc w:val="both"/>
        <w:rPr>
          <w:sz w:val="24"/>
          <w:szCs w:val="24"/>
        </w:rPr>
      </w:pPr>
      <w:r w:rsidRPr="00B31CD3">
        <w:rPr>
          <w:sz w:val="24"/>
          <w:szCs w:val="24"/>
        </w:rPr>
        <w:t>The expectations after COVID have added to the necessity of effective ventilation and air quality control. This further strains HVAC systems, which now may operate longer hours or at higher levels of intensity than previously (</w:t>
      </w:r>
      <w:proofErr w:type="spellStart"/>
      <w:r w:rsidRPr="00B31CD3">
        <w:rPr>
          <w:sz w:val="24"/>
          <w:szCs w:val="24"/>
        </w:rPr>
        <w:t>Ouis</w:t>
      </w:r>
      <w:proofErr w:type="spellEnd"/>
      <w:r w:rsidRPr="00B31CD3">
        <w:rPr>
          <w:sz w:val="24"/>
          <w:szCs w:val="24"/>
        </w:rPr>
        <w:t xml:space="preserve"> </w:t>
      </w:r>
      <w:r w:rsidRPr="00B31CD3">
        <w:rPr>
          <w:i/>
          <w:iCs/>
          <w:sz w:val="24"/>
          <w:szCs w:val="24"/>
        </w:rPr>
        <w:t>et al</w:t>
      </w:r>
      <w:r w:rsidRPr="00B31CD3">
        <w:rPr>
          <w:sz w:val="24"/>
          <w:szCs w:val="24"/>
        </w:rPr>
        <w:t>., 2025).</w:t>
      </w:r>
    </w:p>
    <w:p w14:paraId="4226EFA9" w14:textId="77777777" w:rsidR="001F07B6" w:rsidRPr="00B31CD3" w:rsidRDefault="001F07B6" w:rsidP="001F07B6">
      <w:pPr>
        <w:spacing w:before="120" w:after="120" w:line="360" w:lineRule="auto"/>
        <w:jc w:val="both"/>
        <w:rPr>
          <w:sz w:val="24"/>
          <w:szCs w:val="24"/>
        </w:rPr>
      </w:pPr>
      <w:r w:rsidRPr="00B31CD3">
        <w:rPr>
          <w:sz w:val="24"/>
          <w:szCs w:val="24"/>
        </w:rPr>
        <w:t>Meanwhile, the price of energy has now become volatile because of the Ukrainian conflict. This has added to the operational costs and also placed a strain on the university estate. Such buildings as the IM Building, which have a strong dependence on electrical systems, are especially impacted.</w:t>
      </w:r>
    </w:p>
    <w:p w14:paraId="6AC4F3F1" w14:textId="77777777" w:rsidR="001F07B6" w:rsidRPr="00B31CD3" w:rsidRDefault="001F07B6" w:rsidP="001F07B6">
      <w:pPr>
        <w:spacing w:before="120" w:after="120" w:line="360" w:lineRule="auto"/>
        <w:jc w:val="both"/>
        <w:rPr>
          <w:sz w:val="24"/>
          <w:szCs w:val="24"/>
        </w:rPr>
      </w:pPr>
      <w:r w:rsidRPr="00B31CD3">
        <w:rPr>
          <w:sz w:val="24"/>
          <w:szCs w:val="24"/>
        </w:rPr>
        <w:t xml:space="preserve">The other problem is that there will be a lack of skilled engineers and technicians after Brexit. The reduced number of workers available in the UK construction and facilities management industry may result in delays in repairs and maintenance work (Merryweather Powell and </w:t>
      </w:r>
      <w:proofErr w:type="spellStart"/>
      <w:r w:rsidRPr="00B31CD3">
        <w:rPr>
          <w:sz w:val="24"/>
          <w:szCs w:val="24"/>
        </w:rPr>
        <w:t>Shibeika</w:t>
      </w:r>
      <w:proofErr w:type="spellEnd"/>
      <w:r w:rsidRPr="00B31CD3">
        <w:rPr>
          <w:sz w:val="24"/>
          <w:szCs w:val="24"/>
        </w:rPr>
        <w:t xml:space="preserve">, 2026). </w:t>
      </w:r>
    </w:p>
    <w:p w14:paraId="20CF64AE" w14:textId="77777777" w:rsidR="001F07B6" w:rsidRPr="00B31CD3" w:rsidRDefault="001F07B6" w:rsidP="001F07B6">
      <w:pPr>
        <w:spacing w:before="120" w:after="120" w:line="360" w:lineRule="auto"/>
        <w:jc w:val="both"/>
        <w:rPr>
          <w:sz w:val="24"/>
          <w:szCs w:val="24"/>
        </w:rPr>
      </w:pPr>
      <w:r w:rsidRPr="00B31CD3">
        <w:rPr>
          <w:sz w:val="24"/>
          <w:szCs w:val="24"/>
        </w:rPr>
        <w:t>In order to minimise these risks, predictive maintenance systems can be employed to detect the issues early before they develop into serious problems. Long-term costs can also be reduced by making energy-efficient upgrades like LED lighting and a better building control system. Another issue is that long-term contracts should be concluded with facilities management providers to provide continuity to the services.</w:t>
      </w:r>
    </w:p>
    <w:p w14:paraId="4F563210" w14:textId="77777777" w:rsidR="001F07B6" w:rsidRPr="00B31CD3" w:rsidRDefault="001F07B6" w:rsidP="001F07B6">
      <w:pPr>
        <w:pStyle w:val="Heading2"/>
        <w:jc w:val="both"/>
        <w:rPr>
          <w:rFonts w:ascii="Times New Roman" w:hAnsi="Times New Roman" w:cs="Times New Roman"/>
        </w:rPr>
      </w:pPr>
      <w:bookmarkStart w:id="17" w:name="_91vrwe4cxxcb" w:colFirst="0" w:colLast="0"/>
      <w:bookmarkStart w:id="18" w:name="_Toc229002480"/>
      <w:bookmarkStart w:id="19" w:name="_Toc229003991"/>
      <w:bookmarkEnd w:id="17"/>
      <w:r w:rsidRPr="00B31CD3">
        <w:rPr>
          <w:rFonts w:ascii="Times New Roman" w:hAnsi="Times New Roman" w:cs="Times New Roman"/>
        </w:rPr>
        <w:t>Health, Safety and Compliance Risk</w:t>
      </w:r>
      <w:bookmarkEnd w:id="18"/>
      <w:bookmarkEnd w:id="19"/>
    </w:p>
    <w:p w14:paraId="38CB7B43" w14:textId="77777777" w:rsidR="001F07B6" w:rsidRPr="00B31CD3" w:rsidRDefault="001F07B6" w:rsidP="001F07B6">
      <w:pPr>
        <w:spacing w:before="120" w:after="120" w:line="360" w:lineRule="auto"/>
        <w:jc w:val="both"/>
        <w:rPr>
          <w:sz w:val="24"/>
          <w:szCs w:val="24"/>
        </w:rPr>
      </w:pPr>
      <w:r w:rsidRPr="00B31CD3">
        <w:rPr>
          <w:sz w:val="24"/>
          <w:szCs w:val="24"/>
        </w:rPr>
        <w:t>One of the key issues in the management of buildings is health and safety. Hygiene, ventilation, and indoor air quality are more commonly understood and recognised as a result of COVID-19 (Fernández-</w:t>
      </w:r>
      <w:proofErr w:type="spellStart"/>
      <w:r w:rsidRPr="00B31CD3">
        <w:rPr>
          <w:sz w:val="24"/>
          <w:szCs w:val="24"/>
        </w:rPr>
        <w:t>Agüera</w:t>
      </w:r>
      <w:proofErr w:type="spellEnd"/>
      <w:r w:rsidRPr="00B31CD3">
        <w:rPr>
          <w:sz w:val="24"/>
          <w:szCs w:val="24"/>
        </w:rPr>
        <w:t xml:space="preserve"> </w:t>
      </w:r>
      <w:r w:rsidRPr="00B31CD3">
        <w:rPr>
          <w:i/>
          <w:iCs/>
          <w:sz w:val="24"/>
          <w:szCs w:val="24"/>
        </w:rPr>
        <w:t>et al</w:t>
      </w:r>
      <w:r w:rsidRPr="00B31CD3">
        <w:rPr>
          <w:sz w:val="24"/>
          <w:szCs w:val="24"/>
        </w:rPr>
        <w:t>., 2023). The environment is expected to be clean, safe, and well-maintained by the users.</w:t>
      </w:r>
    </w:p>
    <w:p w14:paraId="71447EF2" w14:textId="77777777" w:rsidR="001F07B6" w:rsidRPr="00B31CD3" w:rsidRDefault="001F07B6" w:rsidP="001F07B6">
      <w:pPr>
        <w:spacing w:before="120" w:after="120" w:line="360" w:lineRule="auto"/>
        <w:jc w:val="both"/>
        <w:rPr>
          <w:sz w:val="24"/>
          <w:szCs w:val="24"/>
        </w:rPr>
      </w:pPr>
      <w:r w:rsidRPr="00B31CD3">
        <w:rPr>
          <w:sz w:val="24"/>
          <w:szCs w:val="24"/>
        </w:rPr>
        <w:t>Water system safety is one particular risk. With less occupancy in buildings, water systems may stagnate and pose the risk of bacterial growth, including Legionella. To manage this risk, water systems have to be flushed and monitored on a regular basis.</w:t>
      </w:r>
    </w:p>
    <w:p w14:paraId="6BC7004C" w14:textId="77777777" w:rsidR="001F07B6" w:rsidRPr="00B31CD3" w:rsidRDefault="001F07B6" w:rsidP="001F07B6">
      <w:pPr>
        <w:spacing w:before="120" w:after="120" w:line="360" w:lineRule="auto"/>
        <w:jc w:val="both"/>
        <w:rPr>
          <w:sz w:val="24"/>
          <w:szCs w:val="24"/>
        </w:rPr>
      </w:pPr>
      <w:r w:rsidRPr="00B31CD3">
        <w:rPr>
          <w:sz w:val="24"/>
          <w:szCs w:val="24"/>
        </w:rPr>
        <w:t>Another area of concern is fire safety. It is necessary to comply with new fire regulations, and the risk assessment should be conducted regularly. Drills and staff training should be used to test emergency procedures.</w:t>
      </w:r>
    </w:p>
    <w:p w14:paraId="4C636383" w14:textId="77777777" w:rsidR="001F07B6" w:rsidRPr="00B31CD3" w:rsidRDefault="001F07B6" w:rsidP="001F07B6">
      <w:pPr>
        <w:spacing w:before="120" w:after="120" w:line="360" w:lineRule="auto"/>
        <w:jc w:val="both"/>
        <w:rPr>
          <w:sz w:val="24"/>
          <w:szCs w:val="24"/>
        </w:rPr>
      </w:pPr>
      <w:r w:rsidRPr="00B31CD3">
        <w:rPr>
          <w:sz w:val="24"/>
          <w:szCs w:val="24"/>
        </w:rPr>
        <w:lastRenderedPageBreak/>
        <w:t>Another significant compliance requirement that is significant is accessibility. The building is to be inclusive and accessible to all users, including those with disabilities. Audits should be conducted regularly to make sure that the legal standards are followed.</w:t>
      </w:r>
    </w:p>
    <w:p w14:paraId="1BED74D4" w14:textId="77777777" w:rsidR="001F07B6" w:rsidRPr="00B31CD3" w:rsidRDefault="001F07B6" w:rsidP="001F07B6">
      <w:pPr>
        <w:pStyle w:val="Heading1"/>
        <w:jc w:val="both"/>
        <w:rPr>
          <w:rFonts w:ascii="Times New Roman" w:hAnsi="Times New Roman" w:cs="Times New Roman"/>
        </w:rPr>
      </w:pPr>
      <w:bookmarkStart w:id="20" w:name="_zddh9q1bu1fa" w:colFirst="0" w:colLast="0"/>
      <w:bookmarkStart w:id="21" w:name="_Toc229002481"/>
      <w:bookmarkStart w:id="22" w:name="_Toc229003992"/>
      <w:bookmarkEnd w:id="20"/>
      <w:r w:rsidRPr="00B31CD3">
        <w:rPr>
          <w:rFonts w:ascii="Times New Roman" w:hAnsi="Times New Roman" w:cs="Times New Roman"/>
        </w:rPr>
        <w:t>Commercial and Operational Risks</w:t>
      </w:r>
      <w:bookmarkEnd w:id="21"/>
      <w:bookmarkEnd w:id="22"/>
    </w:p>
    <w:p w14:paraId="7FA7B37E" w14:textId="77777777" w:rsidR="001F07B6" w:rsidRPr="00B31CD3" w:rsidRDefault="001F07B6" w:rsidP="001F07B6">
      <w:pPr>
        <w:pStyle w:val="Heading2"/>
        <w:jc w:val="both"/>
        <w:rPr>
          <w:rFonts w:ascii="Times New Roman" w:hAnsi="Times New Roman" w:cs="Times New Roman"/>
        </w:rPr>
      </w:pPr>
      <w:bookmarkStart w:id="23" w:name="_x2zmie4mir1s" w:colFirst="0" w:colLast="0"/>
      <w:bookmarkStart w:id="24" w:name="_Toc229002482"/>
      <w:bookmarkStart w:id="25" w:name="_Toc229003993"/>
      <w:bookmarkEnd w:id="23"/>
      <w:r w:rsidRPr="00B31CD3">
        <w:rPr>
          <w:rFonts w:ascii="Times New Roman" w:hAnsi="Times New Roman" w:cs="Times New Roman"/>
        </w:rPr>
        <w:t>Space Utilisation and Occupancy Risks</w:t>
      </w:r>
      <w:bookmarkEnd w:id="24"/>
      <w:bookmarkEnd w:id="25"/>
    </w:p>
    <w:p w14:paraId="5F9DD7BE" w14:textId="77777777" w:rsidR="001F07B6" w:rsidRPr="00B31CD3" w:rsidRDefault="001F07B6" w:rsidP="001F07B6">
      <w:pPr>
        <w:spacing w:before="120" w:after="120" w:line="360" w:lineRule="auto"/>
        <w:jc w:val="both"/>
        <w:rPr>
          <w:sz w:val="24"/>
          <w:szCs w:val="24"/>
        </w:rPr>
      </w:pPr>
      <w:r w:rsidRPr="00B31CD3">
        <w:rPr>
          <w:sz w:val="24"/>
          <w:szCs w:val="24"/>
        </w:rPr>
        <w:t>Among the most significant business risks, there are the changing trends of space utilisation. The use of hybrid learning has curtailed foreseeable occupancy in most university buildings. At times, certain spaces may not have had the use they could have had, and other spaces may become overcrowded during peak times.</w:t>
      </w:r>
    </w:p>
    <w:p w14:paraId="456A6E50" w14:textId="77777777" w:rsidR="001F07B6" w:rsidRPr="00B31CD3" w:rsidRDefault="001F07B6" w:rsidP="001F07B6">
      <w:pPr>
        <w:spacing w:before="120" w:after="120" w:line="360" w:lineRule="auto"/>
        <w:jc w:val="both"/>
        <w:rPr>
          <w:sz w:val="24"/>
          <w:szCs w:val="24"/>
        </w:rPr>
      </w:pPr>
      <w:r w:rsidRPr="00B31CD3">
        <w:rPr>
          <w:sz w:val="24"/>
          <w:szCs w:val="24"/>
        </w:rPr>
        <w:t>This impacts efficiency in operations, and it can result in wastage of energy and resources. It complicates the process of planning the cleaning, maintenance and room allocation process as well.</w:t>
      </w:r>
    </w:p>
    <w:p w14:paraId="1F16C82F" w14:textId="77777777" w:rsidR="001F07B6" w:rsidRPr="00B31CD3" w:rsidRDefault="001F07B6" w:rsidP="001F07B6">
      <w:pPr>
        <w:spacing w:before="120" w:after="120" w:line="360" w:lineRule="auto"/>
        <w:jc w:val="both"/>
        <w:rPr>
          <w:sz w:val="24"/>
          <w:szCs w:val="24"/>
        </w:rPr>
      </w:pPr>
      <w:r w:rsidRPr="00B31CD3">
        <w:rPr>
          <w:sz w:val="24"/>
          <w:szCs w:val="24"/>
        </w:rPr>
        <w:t>In order to cope with this risk, flexible space management is required. The design or adaptation of rooms should be made to suit various uses. The use of digital booking systems can be used to enhance the allocation of space as well as minimise the element of inefficiency. Another valuable way is to consider collaboration with industry to enhance external utilisation of facilities during off-peak periods.</w:t>
      </w:r>
    </w:p>
    <w:p w14:paraId="480A73BD" w14:textId="77777777" w:rsidR="001F07B6" w:rsidRPr="00B31CD3" w:rsidRDefault="001F07B6" w:rsidP="001F07B6">
      <w:pPr>
        <w:pStyle w:val="Heading2"/>
        <w:jc w:val="both"/>
        <w:rPr>
          <w:rFonts w:ascii="Times New Roman" w:hAnsi="Times New Roman" w:cs="Times New Roman"/>
        </w:rPr>
      </w:pPr>
      <w:bookmarkStart w:id="26" w:name="_1n4w2yhb2cdk" w:colFirst="0" w:colLast="0"/>
      <w:bookmarkStart w:id="27" w:name="_Toc229002483"/>
      <w:bookmarkStart w:id="28" w:name="_Toc229003994"/>
      <w:bookmarkEnd w:id="26"/>
      <w:r w:rsidRPr="00B31CD3">
        <w:rPr>
          <w:rFonts w:ascii="Times New Roman" w:hAnsi="Times New Roman" w:cs="Times New Roman"/>
        </w:rPr>
        <w:t>Budget and Financial Risks</w:t>
      </w:r>
      <w:bookmarkEnd w:id="27"/>
      <w:bookmarkEnd w:id="28"/>
    </w:p>
    <w:p w14:paraId="5406EA22" w14:textId="77777777" w:rsidR="001F07B6" w:rsidRPr="00B31CD3" w:rsidRDefault="001F07B6" w:rsidP="001F07B6">
      <w:pPr>
        <w:spacing w:before="120" w:after="120" w:line="360" w:lineRule="auto"/>
        <w:jc w:val="both"/>
        <w:rPr>
          <w:sz w:val="24"/>
          <w:szCs w:val="24"/>
        </w:rPr>
      </w:pPr>
      <w:r w:rsidRPr="00B31CD3">
        <w:rPr>
          <w:sz w:val="24"/>
          <w:szCs w:val="24"/>
        </w:rPr>
        <w:t>One of the greatest obstacles that the IM Building has to deal with is financial risk. The rising cost of operation due to energy price increases associated with the Ukraine conflict is very high. Inflation has also raised the cost of materials, services, and insurance.</w:t>
      </w:r>
    </w:p>
    <w:p w14:paraId="2850F757" w14:textId="77777777" w:rsidR="001F07B6" w:rsidRPr="00B31CD3" w:rsidRDefault="001F07B6" w:rsidP="001F07B6">
      <w:pPr>
        <w:spacing w:before="120" w:after="120" w:line="360" w:lineRule="auto"/>
        <w:jc w:val="both"/>
        <w:rPr>
          <w:sz w:val="24"/>
          <w:szCs w:val="24"/>
        </w:rPr>
      </w:pPr>
      <w:r w:rsidRPr="00B31CD3">
        <w:rPr>
          <w:sz w:val="24"/>
          <w:szCs w:val="24"/>
        </w:rPr>
        <w:t>Simultaneously, there is a stress on universities to keep expenses down and, at the same time, provide high-quality facilities. This puts a strain on the relationship between price cutting and quality of service.</w:t>
      </w:r>
    </w:p>
    <w:p w14:paraId="452D880A" w14:textId="77777777" w:rsidR="001F07B6" w:rsidRPr="00B31CD3" w:rsidRDefault="001F07B6" w:rsidP="001F07B6">
      <w:pPr>
        <w:spacing w:before="120" w:after="120" w:line="360" w:lineRule="auto"/>
        <w:jc w:val="both"/>
        <w:rPr>
          <w:sz w:val="24"/>
          <w:szCs w:val="24"/>
        </w:rPr>
      </w:pPr>
      <w:r w:rsidRPr="00B31CD3">
        <w:rPr>
          <w:sz w:val="24"/>
          <w:szCs w:val="24"/>
        </w:rPr>
        <w:t xml:space="preserve">In order to deal with financial risk, better budgeting and forecasting need to be done. Energy conservation can assist in lowering the expenses in the long run. These involve better insulation, more effective energy monitoring, and wiser usage of the heating and cooling systems (Shahee </w:t>
      </w:r>
      <w:r w:rsidRPr="00B31CD3">
        <w:rPr>
          <w:i/>
          <w:iCs/>
          <w:sz w:val="24"/>
          <w:szCs w:val="24"/>
        </w:rPr>
        <w:t>et al</w:t>
      </w:r>
      <w:r w:rsidRPr="00B31CD3">
        <w:rPr>
          <w:sz w:val="24"/>
          <w:szCs w:val="24"/>
        </w:rPr>
        <w:t>., 2024). Funding opportunities to improve sustainability and enhance digital infrastructure should also be explored.</w:t>
      </w:r>
    </w:p>
    <w:p w14:paraId="7EC8D3C0" w14:textId="77777777" w:rsidR="001F07B6" w:rsidRPr="00B31CD3" w:rsidRDefault="001F07B6" w:rsidP="001F07B6">
      <w:pPr>
        <w:pStyle w:val="Heading2"/>
        <w:jc w:val="both"/>
        <w:rPr>
          <w:rFonts w:ascii="Times New Roman" w:hAnsi="Times New Roman" w:cs="Times New Roman"/>
        </w:rPr>
      </w:pPr>
      <w:bookmarkStart w:id="29" w:name="_y61zrli4likf" w:colFirst="0" w:colLast="0"/>
      <w:bookmarkStart w:id="30" w:name="_Toc229002484"/>
      <w:bookmarkStart w:id="31" w:name="_Toc229003995"/>
      <w:bookmarkEnd w:id="29"/>
      <w:r w:rsidRPr="00B31CD3">
        <w:rPr>
          <w:rFonts w:ascii="Times New Roman" w:hAnsi="Times New Roman" w:cs="Times New Roman"/>
        </w:rPr>
        <w:t>Legal and Regulatory Risks</w:t>
      </w:r>
      <w:bookmarkEnd w:id="30"/>
      <w:bookmarkEnd w:id="31"/>
    </w:p>
    <w:p w14:paraId="79707112" w14:textId="77777777" w:rsidR="001F07B6" w:rsidRPr="00B31CD3" w:rsidRDefault="001F07B6" w:rsidP="001F07B6">
      <w:pPr>
        <w:spacing w:before="120" w:after="120" w:line="360" w:lineRule="auto"/>
        <w:jc w:val="both"/>
        <w:rPr>
          <w:sz w:val="24"/>
          <w:szCs w:val="24"/>
        </w:rPr>
      </w:pPr>
      <w:r w:rsidRPr="00B31CD3">
        <w:rPr>
          <w:sz w:val="24"/>
          <w:szCs w:val="24"/>
        </w:rPr>
        <w:t>The post-Brexit developments have covered procurement regulations, the availability of contractors, and the alignment of regulations. This has raised even greater complexity in the administration of contracts and in meeting standards.</w:t>
      </w:r>
    </w:p>
    <w:p w14:paraId="69AEB759" w14:textId="77777777" w:rsidR="001F07B6" w:rsidRPr="00B31CD3" w:rsidRDefault="001F07B6" w:rsidP="001F07B6">
      <w:pPr>
        <w:spacing w:before="120" w:after="120" w:line="360" w:lineRule="auto"/>
        <w:jc w:val="both"/>
        <w:rPr>
          <w:sz w:val="24"/>
          <w:szCs w:val="24"/>
        </w:rPr>
      </w:pPr>
      <w:r w:rsidRPr="00B31CD3">
        <w:rPr>
          <w:sz w:val="24"/>
          <w:szCs w:val="24"/>
        </w:rPr>
        <w:t>Regulations regarding fire safety, energy performance and environmental impact are also becoming tighter in the UK. This puts more pressure on frequent audits and compliance monitoring.</w:t>
      </w:r>
    </w:p>
    <w:p w14:paraId="6EBCBC41" w14:textId="77777777" w:rsidR="001F07B6" w:rsidRPr="00B31CD3" w:rsidRDefault="001F07B6" w:rsidP="001F07B6">
      <w:pPr>
        <w:spacing w:before="120" w:after="120" w:line="360" w:lineRule="auto"/>
        <w:jc w:val="both"/>
        <w:rPr>
          <w:sz w:val="24"/>
          <w:szCs w:val="24"/>
        </w:rPr>
      </w:pPr>
      <w:r w:rsidRPr="00B31CD3">
        <w:rPr>
          <w:sz w:val="24"/>
          <w:szCs w:val="24"/>
        </w:rPr>
        <w:lastRenderedPageBreak/>
        <w:t>Procurement processes should be handled with care so as to reduce the legal risk. The contractors must be duly vetted and the contracts must clearly spell out the responsibilities. The staff must also be trained to be able to comprehend new regulatory requirements.</w:t>
      </w:r>
    </w:p>
    <w:p w14:paraId="598EEB2B" w14:textId="77777777" w:rsidR="001F07B6" w:rsidRPr="00B31CD3" w:rsidRDefault="001F07B6" w:rsidP="001F07B6">
      <w:pPr>
        <w:pStyle w:val="Heading1"/>
        <w:jc w:val="both"/>
        <w:rPr>
          <w:rFonts w:ascii="Times New Roman" w:hAnsi="Times New Roman" w:cs="Times New Roman"/>
        </w:rPr>
      </w:pPr>
      <w:bookmarkStart w:id="32" w:name="_kz2i0wb1qiwj" w:colFirst="0" w:colLast="0"/>
      <w:bookmarkStart w:id="33" w:name="_Toc229002485"/>
      <w:bookmarkStart w:id="34" w:name="_Toc229003996"/>
      <w:bookmarkEnd w:id="32"/>
      <w:r w:rsidRPr="00B31CD3">
        <w:rPr>
          <w:rFonts w:ascii="Times New Roman" w:hAnsi="Times New Roman" w:cs="Times New Roman"/>
        </w:rPr>
        <w:t>Environmental, Social and Governmental Risks</w:t>
      </w:r>
      <w:bookmarkEnd w:id="33"/>
      <w:bookmarkEnd w:id="34"/>
      <w:r w:rsidRPr="00B31CD3">
        <w:rPr>
          <w:rFonts w:ascii="Times New Roman" w:hAnsi="Times New Roman" w:cs="Times New Roman"/>
        </w:rPr>
        <w:t xml:space="preserve"> </w:t>
      </w:r>
    </w:p>
    <w:p w14:paraId="5AE0BDA4" w14:textId="77777777" w:rsidR="001F07B6" w:rsidRPr="00B31CD3" w:rsidRDefault="001F07B6" w:rsidP="001F07B6">
      <w:pPr>
        <w:spacing w:before="120" w:after="120" w:line="360" w:lineRule="auto"/>
        <w:jc w:val="both"/>
        <w:rPr>
          <w:sz w:val="24"/>
          <w:szCs w:val="24"/>
        </w:rPr>
      </w:pPr>
      <w:r w:rsidRPr="00B31CD3">
        <w:rPr>
          <w:sz w:val="24"/>
          <w:szCs w:val="24"/>
        </w:rPr>
        <w:t>In buildings such as the IM Building, environmental performance is becoming very important in buildings of higher learning. It has become mandatory for universities to lower their carbon emissions and promote sustainability objectives. IM Building consumes a lot of energy since it is based on digital systems, ICT equipment, and cooling technologies. Servers, computers, and other devices are long-run devices that generate heat. This adds to electricity consumption and makes the net-zero carbon target more difficult. With the increasing energy prices, it becomes even more significant to minimise energy waste.</w:t>
      </w:r>
    </w:p>
    <w:p w14:paraId="7AD8216E" w14:textId="77777777" w:rsidR="001F07B6" w:rsidRPr="00B31CD3" w:rsidRDefault="001F07B6" w:rsidP="001F07B6">
      <w:pPr>
        <w:spacing w:before="120" w:after="120" w:line="360" w:lineRule="auto"/>
        <w:jc w:val="both"/>
        <w:rPr>
          <w:sz w:val="24"/>
          <w:szCs w:val="24"/>
        </w:rPr>
      </w:pPr>
      <w:r w:rsidRPr="00B31CD3">
        <w:rPr>
          <w:sz w:val="24"/>
          <w:szCs w:val="24"/>
        </w:rPr>
        <w:t>The social expectations have also grown in recent years. Nowadays, students and staff demand modern, comfortable and safe learning conditions. They desire clean air, sound technology, clean environments and proper facilities. When the building fails to live up to these expectations, it can influence user satisfaction. It also has the potential to taint the image of the university. An unhealthy climate could diminish the student experience and employee output.</w:t>
      </w:r>
    </w:p>
    <w:p w14:paraId="50876588" w14:textId="77777777" w:rsidR="001F07B6" w:rsidRPr="00B31CD3" w:rsidRDefault="001F07B6" w:rsidP="001F07B6">
      <w:pPr>
        <w:spacing w:before="120" w:after="120" w:line="360" w:lineRule="auto"/>
        <w:jc w:val="both"/>
        <w:rPr>
          <w:sz w:val="24"/>
          <w:szCs w:val="24"/>
        </w:rPr>
      </w:pPr>
      <w:r w:rsidRPr="00B31CD3">
        <w:rPr>
          <w:sz w:val="24"/>
          <w:szCs w:val="24"/>
        </w:rPr>
        <w:t>Another significant consideration in the management of the IM Building is governance risk. Governance is associated with the process of decision-making, the spending of money and the transparency of the process. Effective governance would mean that the government's money would be utilised appropriately and equitably. It also makes sure that the procurement processes are ethical and that the contracts are handled appropriately. Good governance aids in developing trust and minimises the potential of financial or legal issues.</w:t>
      </w:r>
    </w:p>
    <w:p w14:paraId="754EF3E3" w14:textId="77777777" w:rsidR="001F07B6" w:rsidRPr="00B31CD3" w:rsidRDefault="001F07B6" w:rsidP="001F07B6">
      <w:pPr>
        <w:spacing w:before="120" w:after="120" w:line="360" w:lineRule="auto"/>
        <w:jc w:val="both"/>
        <w:rPr>
          <w:sz w:val="24"/>
          <w:szCs w:val="24"/>
        </w:rPr>
      </w:pPr>
      <w:r w:rsidRPr="00B31CD3">
        <w:rPr>
          <w:sz w:val="24"/>
          <w:szCs w:val="24"/>
        </w:rPr>
        <w:t>In order to deal with such risks, it is recommended to conduct regular audits of energy usage. These audits assist in determining the areas where energy is being wasted and where it can be improved. The energy consumption in real time should also be monitored using smart monitoring systems. This enables the managers to act swiftly concerning any problems. Moreover, there needs to be better sustainability reporting. This assists the university in gauging its progress towards environmental objectives and makes long-term planning more effective. These combined efforts aid in enhanced environmental performance, enhanced governance, and enhanced social value in the IM Building.</w:t>
      </w:r>
    </w:p>
    <w:p w14:paraId="70EF315D" w14:textId="77777777" w:rsidR="001F07B6" w:rsidRPr="00B31CD3" w:rsidRDefault="001F07B6" w:rsidP="001F07B6">
      <w:pPr>
        <w:pStyle w:val="Heading1"/>
        <w:jc w:val="both"/>
        <w:rPr>
          <w:rFonts w:ascii="Times New Roman" w:hAnsi="Times New Roman" w:cs="Times New Roman"/>
        </w:rPr>
      </w:pPr>
      <w:bookmarkStart w:id="35" w:name="_4g9od6di9rmf" w:colFirst="0" w:colLast="0"/>
      <w:bookmarkStart w:id="36" w:name="_Toc229002486"/>
      <w:bookmarkStart w:id="37" w:name="_Toc229003997"/>
      <w:bookmarkEnd w:id="35"/>
      <w:r w:rsidRPr="00B31CD3">
        <w:rPr>
          <w:rFonts w:ascii="Times New Roman" w:hAnsi="Times New Roman" w:cs="Times New Roman"/>
        </w:rPr>
        <w:t>Strategic Global Risks</w:t>
      </w:r>
      <w:bookmarkEnd w:id="36"/>
      <w:bookmarkEnd w:id="37"/>
    </w:p>
    <w:p w14:paraId="2345BE30" w14:textId="77777777" w:rsidR="001F07B6" w:rsidRPr="00B31CD3" w:rsidRDefault="001F07B6" w:rsidP="001F07B6">
      <w:pPr>
        <w:spacing w:before="120" w:after="120" w:line="360" w:lineRule="auto"/>
        <w:jc w:val="both"/>
        <w:rPr>
          <w:sz w:val="24"/>
          <w:szCs w:val="24"/>
        </w:rPr>
      </w:pPr>
      <w:r w:rsidRPr="00B31CD3">
        <w:rPr>
          <w:sz w:val="24"/>
          <w:szCs w:val="24"/>
        </w:rPr>
        <w:t>The post-COVID world remains highly influential in the way the IM Building is used and managed. Among the key changes is the growth in hybrid learning. Students are now taking classes online and in person. This establishes dynamic patterns of building occupancy. There are busy days and there are quiet days. This complicates the process of planning space, cleaning and energy usage uniformly. It also implies that not all rooms will be fully occupied, whereas others will be overused during peak hours.</w:t>
      </w:r>
    </w:p>
    <w:p w14:paraId="459E0596" w14:textId="77777777" w:rsidR="001F07B6" w:rsidRPr="00B31CD3" w:rsidRDefault="001F07B6" w:rsidP="001F07B6">
      <w:pPr>
        <w:spacing w:before="120" w:after="120" w:line="360" w:lineRule="auto"/>
        <w:jc w:val="both"/>
        <w:rPr>
          <w:sz w:val="24"/>
          <w:szCs w:val="24"/>
        </w:rPr>
      </w:pPr>
      <w:r w:rsidRPr="00B31CD3">
        <w:rPr>
          <w:sz w:val="24"/>
          <w:szCs w:val="24"/>
        </w:rPr>
        <w:lastRenderedPageBreak/>
        <w:t>The post-COVID-19 increase in hygiene expectations is another factor. At all times, students and staff anticipate clean and safe environments. These demands increased frequent cleaning, improved waste control and enhanced health and safety control. Ventilation has also come to play. Constructions should now be equipped with more effective air quality systems, which would remove the chances of getting sick (Hesketh, 2023). This imposes more strain on heating, ventilation, and air conditioning systems, which need to be more efficient and reliable.</w:t>
      </w:r>
    </w:p>
    <w:p w14:paraId="5A4936A3" w14:textId="77777777" w:rsidR="001F07B6" w:rsidRPr="00B31CD3" w:rsidRDefault="001F07B6" w:rsidP="001F07B6">
      <w:pPr>
        <w:spacing w:before="120" w:after="120" w:line="360" w:lineRule="auto"/>
        <w:jc w:val="both"/>
        <w:rPr>
          <w:sz w:val="24"/>
          <w:szCs w:val="24"/>
        </w:rPr>
      </w:pPr>
      <w:r w:rsidRPr="00B31CD3">
        <w:rPr>
          <w:sz w:val="24"/>
          <w:szCs w:val="24"/>
        </w:rPr>
        <w:t>The post-Brexit environment is still posing problems for building management. The number of skilled workers available in some technical and construction jobs has been lower. This makes it harder to find qualified maintenance staff and specialist contractors (Kempton, 2023). The supply chains have also turned out to be less stable. Supplies and tools may require more time to reach their destination, and they are usually more expensive. This has the potential of postponing maintenance and refurbishment processes, making the building susceptible to deterioration.</w:t>
      </w:r>
    </w:p>
    <w:p w14:paraId="45C201AD" w14:textId="77777777" w:rsidR="001F07B6" w:rsidRPr="00B31CD3" w:rsidRDefault="001F07B6" w:rsidP="001F07B6">
      <w:pPr>
        <w:spacing w:before="120" w:after="120" w:line="360" w:lineRule="auto"/>
        <w:jc w:val="both"/>
        <w:rPr>
          <w:sz w:val="24"/>
          <w:szCs w:val="24"/>
        </w:rPr>
      </w:pPr>
      <w:r w:rsidRPr="00B31CD3">
        <w:rPr>
          <w:sz w:val="24"/>
          <w:szCs w:val="24"/>
        </w:rPr>
        <w:t>The conflict in Ukraine has also resulted in significant economic strain. The cost of energy has gone up, and it is volatile. This has a direct impact on the operating costs of the IM Building, particularly given the fact that it consumes a lot of power to operate the ICT systems and climate control. Inflation has also made the prices of repairs, materials and services expensive. This complicates and renders long-term financial planning more uncertain.</w:t>
      </w:r>
    </w:p>
    <w:p w14:paraId="3EC72A5B" w14:textId="77777777" w:rsidR="001F07B6" w:rsidRPr="00B31CD3" w:rsidRDefault="001F07B6" w:rsidP="001F07B6">
      <w:pPr>
        <w:pStyle w:val="Heading1"/>
        <w:jc w:val="both"/>
        <w:rPr>
          <w:rFonts w:ascii="Times New Roman" w:hAnsi="Times New Roman" w:cs="Times New Roman"/>
        </w:rPr>
      </w:pPr>
      <w:bookmarkStart w:id="38" w:name="_48vdiq3z10wi" w:colFirst="0" w:colLast="0"/>
      <w:bookmarkStart w:id="39" w:name="_Toc229002487"/>
      <w:bookmarkStart w:id="40" w:name="_Toc229003998"/>
      <w:bookmarkEnd w:id="38"/>
      <w:r w:rsidRPr="00B31CD3">
        <w:rPr>
          <w:rFonts w:ascii="Times New Roman" w:hAnsi="Times New Roman" w:cs="Times New Roman"/>
        </w:rPr>
        <w:t>Risk Prioritisation Overview</w:t>
      </w:r>
      <w:bookmarkEnd w:id="39"/>
      <w:bookmarkEnd w:id="40"/>
      <w:r w:rsidRPr="00B31CD3">
        <w:rPr>
          <w:rFonts w:ascii="Times New Roman" w:hAnsi="Times New Roman" w:cs="Times New Roman"/>
        </w:rPr>
        <w:t xml:space="preserve"> </w:t>
      </w:r>
    </w:p>
    <w:p w14:paraId="79B0BD19" w14:textId="77777777" w:rsidR="001F07B6" w:rsidRPr="00B31CD3" w:rsidRDefault="001F07B6" w:rsidP="001F07B6">
      <w:pPr>
        <w:spacing w:before="120" w:after="120" w:line="360" w:lineRule="auto"/>
        <w:jc w:val="both"/>
        <w:rPr>
          <w:sz w:val="24"/>
          <w:szCs w:val="24"/>
        </w:rPr>
      </w:pPr>
      <w:r w:rsidRPr="00B31CD3">
        <w:rPr>
          <w:sz w:val="24"/>
          <w:szCs w:val="24"/>
        </w:rPr>
        <w:t>The greatest threats to the IM Building include volatile cost of energy, disruption of the supply chain and financial strain due to inflation. These hazards directly affect the day-to-day activities of the building and its budget. Global phenomena, in particular, the conflict in Ukraine, have made energy prices unstable. This complicates estimating utility costs in the future. The IM Building consumes a lot of electricity due to the ICT systems, lighting and air conditioning. Consequently, any increment of energy prices, even the slight ones, can significantly affect operating costs.</w:t>
      </w:r>
    </w:p>
    <w:p w14:paraId="0C535255" w14:textId="77777777" w:rsidR="001F07B6" w:rsidRPr="00B31CD3" w:rsidRDefault="001F07B6" w:rsidP="001F07B6">
      <w:pPr>
        <w:spacing w:before="120" w:after="120" w:line="360" w:lineRule="auto"/>
        <w:jc w:val="both"/>
        <w:rPr>
          <w:sz w:val="24"/>
          <w:szCs w:val="24"/>
        </w:rPr>
      </w:pPr>
      <w:r w:rsidRPr="00B31CD3">
        <w:rPr>
          <w:sz w:val="24"/>
          <w:szCs w:val="24"/>
        </w:rPr>
        <w:t xml:space="preserve">Another significant risk is supply-chain disruption. With Brexit and global turmoil, sourcing of building materials, equipment and specialist parts has become more difficult. Delivery is usually more time-consuming and expensive. This has the potential to postpone maintenance and raise the cost of refurbishment projects. </w:t>
      </w:r>
    </w:p>
    <w:p w14:paraId="738A503B" w14:textId="77777777" w:rsidR="001F07B6" w:rsidRPr="00B31CD3" w:rsidRDefault="001F07B6" w:rsidP="001F07B6">
      <w:pPr>
        <w:spacing w:before="120" w:after="120" w:line="360" w:lineRule="auto"/>
        <w:jc w:val="both"/>
        <w:rPr>
          <w:sz w:val="24"/>
          <w:szCs w:val="24"/>
        </w:rPr>
      </w:pPr>
      <w:r w:rsidRPr="00B31CD3">
        <w:rPr>
          <w:sz w:val="24"/>
          <w:szCs w:val="24"/>
        </w:rPr>
        <w:t>Inflation is a big problem as well. Prices of materials, services and labour have gone up throughout the UK. This strains the budget of the university, and the available funds to effect planned improvements are minimised. It may also coerce decisions to postpone or minimise valuable maintenance work.</w:t>
      </w:r>
    </w:p>
    <w:p w14:paraId="1C34E0F8" w14:textId="77777777" w:rsidR="001F07B6" w:rsidRPr="00B31CD3" w:rsidRDefault="001F07B6" w:rsidP="001F07B6">
      <w:pPr>
        <w:spacing w:before="120" w:after="120" w:line="360" w:lineRule="auto"/>
        <w:jc w:val="both"/>
        <w:rPr>
          <w:sz w:val="24"/>
          <w:szCs w:val="24"/>
        </w:rPr>
      </w:pPr>
      <w:r w:rsidRPr="00B31CD3">
        <w:rPr>
          <w:sz w:val="24"/>
          <w:szCs w:val="24"/>
        </w:rPr>
        <w:t xml:space="preserve">The medium-level risks are the changes in occupancy rates, caused by hybrid learning, and the lack of skilled labour. Hybrid learning implies that the building will not be used in a regular manner. There are occasions when some spaces may be empty, and there are occasions when some spaces may be busy. This makes planning more difficult. The shortage of labour has also become problematic since fewer skilled labourers are </w:t>
      </w:r>
      <w:r w:rsidRPr="00B31CD3">
        <w:rPr>
          <w:sz w:val="24"/>
          <w:szCs w:val="24"/>
        </w:rPr>
        <w:lastRenderedPageBreak/>
        <w:t>offered to perform the maintenance and technical services. Nevertheless, such risks can be controlled through re-planning and adaptable systems.</w:t>
      </w:r>
    </w:p>
    <w:p w14:paraId="33A7558C" w14:textId="77777777" w:rsidR="001F07B6" w:rsidRPr="00B31CD3" w:rsidRDefault="001F07B6" w:rsidP="001F07B6">
      <w:pPr>
        <w:spacing w:before="120" w:after="120" w:line="360" w:lineRule="auto"/>
        <w:jc w:val="both"/>
        <w:rPr>
          <w:sz w:val="24"/>
          <w:szCs w:val="24"/>
        </w:rPr>
      </w:pPr>
      <w:r w:rsidRPr="00B31CD3">
        <w:rPr>
          <w:sz w:val="24"/>
          <w:szCs w:val="24"/>
        </w:rPr>
        <w:t>Health and safety hazards that are lower-level hazards include water quality, hygiene, and adherence to regulations. These risks are not as likely to bring significant disruption, but these risks remain significant. Inspections, monitoring and maintenance are required regularly to ensure that the building is always safe and in compliance.</w:t>
      </w:r>
    </w:p>
    <w:p w14:paraId="3589B254" w14:textId="77777777" w:rsidR="001F07B6" w:rsidRPr="00B31CD3" w:rsidRDefault="001F07B6" w:rsidP="001F07B6">
      <w:pPr>
        <w:spacing w:before="120" w:after="120" w:line="360" w:lineRule="auto"/>
        <w:jc w:val="both"/>
        <w:rPr>
          <w:sz w:val="24"/>
          <w:szCs w:val="24"/>
        </w:rPr>
      </w:pPr>
    </w:p>
    <w:p w14:paraId="7E8B0B84" w14:textId="77777777" w:rsidR="001F07B6" w:rsidRPr="00B31CD3" w:rsidRDefault="001F07B6" w:rsidP="001F07B6">
      <w:pPr>
        <w:spacing w:before="120" w:after="120" w:line="360" w:lineRule="auto"/>
        <w:jc w:val="both"/>
        <w:rPr>
          <w:sz w:val="24"/>
          <w:szCs w:val="24"/>
        </w:rPr>
      </w:pPr>
    </w:p>
    <w:p w14:paraId="3745C056" w14:textId="77777777" w:rsidR="001F07B6" w:rsidRPr="00FA00B5" w:rsidRDefault="001F07B6" w:rsidP="001F07B6">
      <w:pPr>
        <w:pStyle w:val="Heading1"/>
        <w:rPr>
          <w:rFonts w:ascii="Times New Roman" w:hAnsi="Times New Roman" w:cs="Times New Roman"/>
        </w:rPr>
      </w:pPr>
      <w:bookmarkStart w:id="41" w:name="_Toc229002488"/>
      <w:bookmarkStart w:id="42" w:name="_Toc229003999"/>
      <w:r w:rsidRPr="00FA00B5">
        <w:rPr>
          <w:rFonts w:ascii="Times New Roman" w:hAnsi="Times New Roman" w:cs="Times New Roman"/>
        </w:rPr>
        <w:t>Risk Assessment Matrix</w:t>
      </w:r>
      <w:bookmarkEnd w:id="41"/>
      <w:bookmarkEnd w:id="42"/>
      <w:r w:rsidRPr="00FA00B5">
        <w:rPr>
          <w:rFonts w:ascii="Times New Roman" w:hAnsi="Times New Roman" w:cs="Times New Roman"/>
        </w:rPr>
        <w:t xml:space="preserve"> </w:t>
      </w:r>
    </w:p>
    <w:p w14:paraId="09F086FA" w14:textId="77777777" w:rsidR="001F07B6" w:rsidRPr="00B31CD3" w:rsidRDefault="001F07B6" w:rsidP="001F07B6">
      <w:pPr>
        <w:spacing w:before="120" w:after="120" w:line="360" w:lineRule="auto"/>
        <w:jc w:val="both"/>
        <w:rPr>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6"/>
        <w:gridCol w:w="4226"/>
        <w:gridCol w:w="4204"/>
      </w:tblGrid>
      <w:tr w:rsidR="001F07B6" w:rsidRPr="00FA00B5" w14:paraId="100FCC6C" w14:textId="77777777" w:rsidTr="00F5791B">
        <w:trPr>
          <w:tblHeader/>
          <w:tblCellSpacing w:w="15" w:type="dxa"/>
        </w:trPr>
        <w:tc>
          <w:tcPr>
            <w:tcW w:w="0" w:type="auto"/>
            <w:vAlign w:val="center"/>
            <w:hideMark/>
          </w:tcPr>
          <w:p w14:paraId="6B76CF3A" w14:textId="77777777" w:rsidR="001F07B6" w:rsidRPr="00FA00B5" w:rsidRDefault="001F07B6" w:rsidP="00F5791B">
            <w:pPr>
              <w:rPr>
                <w:b/>
                <w:bCs/>
                <w:caps/>
                <w:color w:val="000000" w:themeColor="text1"/>
                <w:sz w:val="36"/>
                <w:szCs w:val="18"/>
                <w:lang w:val="en-US"/>
              </w:rPr>
            </w:pPr>
            <w:bookmarkStart w:id="43" w:name="_2sifj3wce7ur" w:colFirst="0" w:colLast="0"/>
            <w:bookmarkEnd w:id="43"/>
            <w:r w:rsidRPr="00FA00B5">
              <w:rPr>
                <w:b/>
                <w:bCs/>
                <w:caps/>
                <w:color w:val="000000" w:themeColor="text1"/>
                <w:sz w:val="36"/>
                <w:szCs w:val="18"/>
                <w:lang w:val="en-US"/>
              </w:rPr>
              <w:t>Priority</w:t>
            </w:r>
          </w:p>
        </w:tc>
        <w:tc>
          <w:tcPr>
            <w:tcW w:w="0" w:type="auto"/>
            <w:vAlign w:val="center"/>
            <w:hideMark/>
          </w:tcPr>
          <w:p w14:paraId="47F8DCEE" w14:textId="77777777" w:rsidR="001F07B6" w:rsidRPr="00FA00B5" w:rsidRDefault="001F07B6" w:rsidP="00F5791B">
            <w:pPr>
              <w:rPr>
                <w:b/>
                <w:bCs/>
                <w:caps/>
                <w:color w:val="000000" w:themeColor="text1"/>
                <w:sz w:val="36"/>
                <w:szCs w:val="18"/>
                <w:lang w:val="en-US"/>
              </w:rPr>
            </w:pPr>
            <w:r w:rsidRPr="00FA00B5">
              <w:rPr>
                <w:b/>
                <w:bCs/>
                <w:caps/>
                <w:color w:val="000000" w:themeColor="text1"/>
                <w:sz w:val="36"/>
                <w:szCs w:val="18"/>
                <w:lang w:val="en-US"/>
              </w:rPr>
              <w:t>Risk</w:t>
            </w:r>
          </w:p>
        </w:tc>
        <w:tc>
          <w:tcPr>
            <w:tcW w:w="0" w:type="auto"/>
            <w:vAlign w:val="center"/>
            <w:hideMark/>
          </w:tcPr>
          <w:p w14:paraId="31406FDA" w14:textId="77777777" w:rsidR="001F07B6" w:rsidRPr="00FA00B5" w:rsidRDefault="001F07B6" w:rsidP="00F5791B">
            <w:pPr>
              <w:rPr>
                <w:b/>
                <w:bCs/>
                <w:caps/>
                <w:color w:val="000000" w:themeColor="text1"/>
                <w:sz w:val="36"/>
                <w:szCs w:val="18"/>
                <w:lang w:val="en-US"/>
              </w:rPr>
            </w:pPr>
            <w:r w:rsidRPr="00FA00B5">
              <w:rPr>
                <w:b/>
                <w:bCs/>
                <w:caps/>
                <w:color w:val="000000" w:themeColor="text1"/>
                <w:sz w:val="36"/>
                <w:szCs w:val="18"/>
                <w:lang w:val="en-US"/>
              </w:rPr>
              <w:t>Justification</w:t>
            </w:r>
          </w:p>
        </w:tc>
      </w:tr>
      <w:tr w:rsidR="001F07B6" w:rsidRPr="00FA00B5" w14:paraId="776CE6D9" w14:textId="77777777" w:rsidTr="00F5791B">
        <w:trPr>
          <w:tblCellSpacing w:w="15" w:type="dxa"/>
        </w:trPr>
        <w:tc>
          <w:tcPr>
            <w:tcW w:w="0" w:type="auto"/>
            <w:vAlign w:val="center"/>
            <w:hideMark/>
          </w:tcPr>
          <w:p w14:paraId="492216FD" w14:textId="77777777" w:rsidR="001F07B6" w:rsidRPr="00FA00B5" w:rsidRDefault="001F07B6" w:rsidP="00F5791B">
            <w:pPr>
              <w:rPr>
                <w:caps/>
                <w:sz w:val="36"/>
                <w:szCs w:val="18"/>
                <w:lang w:val="en-US"/>
              </w:rPr>
            </w:pPr>
            <w:r w:rsidRPr="00FA00B5">
              <w:rPr>
                <w:caps/>
                <w:sz w:val="36"/>
                <w:szCs w:val="18"/>
                <w:lang w:val="en-US"/>
              </w:rPr>
              <w:t>High</w:t>
            </w:r>
          </w:p>
        </w:tc>
        <w:tc>
          <w:tcPr>
            <w:tcW w:w="0" w:type="auto"/>
            <w:vAlign w:val="center"/>
            <w:hideMark/>
          </w:tcPr>
          <w:p w14:paraId="3BD8B3E3" w14:textId="77777777" w:rsidR="001F07B6" w:rsidRPr="00FA00B5" w:rsidRDefault="001F07B6" w:rsidP="00F5791B">
            <w:pPr>
              <w:rPr>
                <w:caps/>
                <w:sz w:val="36"/>
                <w:szCs w:val="18"/>
                <w:lang w:val="en-US"/>
              </w:rPr>
            </w:pPr>
            <w:r w:rsidRPr="00FA00B5">
              <w:rPr>
                <w:caps/>
                <w:sz w:val="36"/>
                <w:szCs w:val="18"/>
                <w:lang w:val="en-US"/>
              </w:rPr>
              <w:t>Energy cost volatility</w:t>
            </w:r>
          </w:p>
        </w:tc>
        <w:tc>
          <w:tcPr>
            <w:tcW w:w="0" w:type="auto"/>
            <w:vAlign w:val="center"/>
            <w:hideMark/>
          </w:tcPr>
          <w:p w14:paraId="0379EC5A" w14:textId="77777777" w:rsidR="001F07B6" w:rsidRPr="00FA00B5" w:rsidRDefault="001F07B6" w:rsidP="00F5791B">
            <w:pPr>
              <w:rPr>
                <w:caps/>
                <w:sz w:val="36"/>
                <w:szCs w:val="18"/>
                <w:lang w:val="en-US"/>
              </w:rPr>
            </w:pPr>
            <w:r w:rsidRPr="00FA00B5">
              <w:rPr>
                <w:caps/>
                <w:sz w:val="36"/>
                <w:szCs w:val="18"/>
                <w:lang w:val="en-US"/>
              </w:rPr>
              <w:t xml:space="preserve">Direct impact on operational budgets </w:t>
            </w:r>
          </w:p>
        </w:tc>
      </w:tr>
      <w:tr w:rsidR="001F07B6" w:rsidRPr="00FA00B5" w14:paraId="46718150" w14:textId="77777777" w:rsidTr="00F5791B">
        <w:trPr>
          <w:tblCellSpacing w:w="15" w:type="dxa"/>
        </w:trPr>
        <w:tc>
          <w:tcPr>
            <w:tcW w:w="0" w:type="auto"/>
            <w:vAlign w:val="center"/>
            <w:hideMark/>
          </w:tcPr>
          <w:p w14:paraId="27E10ED7" w14:textId="77777777" w:rsidR="001F07B6" w:rsidRPr="00FA00B5" w:rsidRDefault="001F07B6" w:rsidP="00F5791B">
            <w:pPr>
              <w:rPr>
                <w:caps/>
                <w:sz w:val="36"/>
                <w:szCs w:val="18"/>
                <w:lang w:val="en-US"/>
              </w:rPr>
            </w:pPr>
            <w:r w:rsidRPr="00FA00B5">
              <w:rPr>
                <w:caps/>
                <w:sz w:val="36"/>
                <w:szCs w:val="18"/>
                <w:lang w:val="en-US"/>
              </w:rPr>
              <w:t>High</w:t>
            </w:r>
          </w:p>
        </w:tc>
        <w:tc>
          <w:tcPr>
            <w:tcW w:w="0" w:type="auto"/>
            <w:vAlign w:val="center"/>
            <w:hideMark/>
          </w:tcPr>
          <w:p w14:paraId="00031943" w14:textId="77777777" w:rsidR="001F07B6" w:rsidRPr="00FA00B5" w:rsidRDefault="001F07B6" w:rsidP="00F5791B">
            <w:pPr>
              <w:rPr>
                <w:caps/>
                <w:sz w:val="36"/>
                <w:szCs w:val="18"/>
                <w:lang w:val="en-US"/>
              </w:rPr>
            </w:pPr>
            <w:r w:rsidRPr="00FA00B5">
              <w:rPr>
                <w:caps/>
                <w:sz w:val="36"/>
                <w:szCs w:val="18"/>
                <w:lang w:val="en-US"/>
              </w:rPr>
              <w:t>Supply chain disruption</w:t>
            </w:r>
          </w:p>
        </w:tc>
        <w:tc>
          <w:tcPr>
            <w:tcW w:w="0" w:type="auto"/>
            <w:vAlign w:val="center"/>
            <w:hideMark/>
          </w:tcPr>
          <w:p w14:paraId="11ECD9F0" w14:textId="77777777" w:rsidR="001F07B6" w:rsidRPr="00FA00B5" w:rsidRDefault="001F07B6" w:rsidP="00F5791B">
            <w:pPr>
              <w:rPr>
                <w:caps/>
                <w:sz w:val="36"/>
                <w:szCs w:val="18"/>
                <w:lang w:val="en-US"/>
              </w:rPr>
            </w:pPr>
            <w:r w:rsidRPr="00FA00B5">
              <w:rPr>
                <w:caps/>
                <w:sz w:val="36"/>
                <w:szCs w:val="18"/>
                <w:lang w:val="en-US"/>
              </w:rPr>
              <w:t xml:space="preserve">Brexit and global instability </w:t>
            </w:r>
          </w:p>
        </w:tc>
      </w:tr>
      <w:tr w:rsidR="001F07B6" w:rsidRPr="00FA00B5" w14:paraId="71107308" w14:textId="77777777" w:rsidTr="00F5791B">
        <w:trPr>
          <w:tblCellSpacing w:w="15" w:type="dxa"/>
        </w:trPr>
        <w:tc>
          <w:tcPr>
            <w:tcW w:w="0" w:type="auto"/>
            <w:vAlign w:val="center"/>
            <w:hideMark/>
          </w:tcPr>
          <w:p w14:paraId="0B7AB96A" w14:textId="77777777" w:rsidR="001F07B6" w:rsidRPr="00FA00B5" w:rsidRDefault="001F07B6" w:rsidP="00F5791B">
            <w:pPr>
              <w:rPr>
                <w:caps/>
                <w:sz w:val="36"/>
                <w:szCs w:val="18"/>
                <w:lang w:val="en-US"/>
              </w:rPr>
            </w:pPr>
            <w:r w:rsidRPr="00FA00B5">
              <w:rPr>
                <w:caps/>
                <w:sz w:val="36"/>
                <w:szCs w:val="18"/>
                <w:lang w:val="en-US"/>
              </w:rPr>
              <w:t>Medium</w:t>
            </w:r>
          </w:p>
        </w:tc>
        <w:tc>
          <w:tcPr>
            <w:tcW w:w="0" w:type="auto"/>
            <w:vAlign w:val="center"/>
            <w:hideMark/>
          </w:tcPr>
          <w:p w14:paraId="7E27BD1E" w14:textId="77777777" w:rsidR="001F07B6" w:rsidRPr="00FA00B5" w:rsidRDefault="001F07B6" w:rsidP="00F5791B">
            <w:pPr>
              <w:rPr>
                <w:caps/>
                <w:sz w:val="36"/>
                <w:szCs w:val="18"/>
                <w:lang w:val="en-US"/>
              </w:rPr>
            </w:pPr>
            <w:r w:rsidRPr="00FA00B5">
              <w:rPr>
                <w:caps/>
                <w:sz w:val="36"/>
                <w:szCs w:val="18"/>
                <w:lang w:val="en-US"/>
              </w:rPr>
              <w:t>Hybrid</w:t>
            </w:r>
            <w:r w:rsidRPr="00FA00B5">
              <w:rPr>
                <w:caps/>
                <w:sz w:val="36"/>
                <w:szCs w:val="18"/>
                <w:lang w:val="en-US"/>
              </w:rPr>
              <w:noBreakHyphen/>
              <w:t>learning occupancy shifts</w:t>
            </w:r>
          </w:p>
        </w:tc>
        <w:tc>
          <w:tcPr>
            <w:tcW w:w="0" w:type="auto"/>
            <w:vAlign w:val="center"/>
            <w:hideMark/>
          </w:tcPr>
          <w:p w14:paraId="558F2F25" w14:textId="77777777" w:rsidR="001F07B6" w:rsidRPr="00FA00B5" w:rsidRDefault="001F07B6" w:rsidP="00F5791B">
            <w:pPr>
              <w:rPr>
                <w:caps/>
                <w:sz w:val="36"/>
                <w:szCs w:val="18"/>
                <w:lang w:val="en-US"/>
              </w:rPr>
            </w:pPr>
            <w:r w:rsidRPr="00FA00B5">
              <w:rPr>
                <w:caps/>
                <w:sz w:val="36"/>
                <w:szCs w:val="18"/>
                <w:lang w:val="en-US"/>
              </w:rPr>
              <w:t>Post</w:t>
            </w:r>
            <w:r w:rsidRPr="00FA00B5">
              <w:rPr>
                <w:caps/>
                <w:sz w:val="36"/>
                <w:szCs w:val="18"/>
                <w:lang w:val="en-US"/>
              </w:rPr>
              <w:noBreakHyphen/>
              <w:t xml:space="preserve">Covid behavioural changes </w:t>
            </w:r>
          </w:p>
        </w:tc>
      </w:tr>
      <w:tr w:rsidR="001F07B6" w:rsidRPr="00FA00B5" w14:paraId="2C3095A7" w14:textId="77777777" w:rsidTr="00F5791B">
        <w:trPr>
          <w:tblCellSpacing w:w="15" w:type="dxa"/>
        </w:trPr>
        <w:tc>
          <w:tcPr>
            <w:tcW w:w="0" w:type="auto"/>
            <w:vAlign w:val="center"/>
            <w:hideMark/>
          </w:tcPr>
          <w:p w14:paraId="1F19FCE2" w14:textId="77777777" w:rsidR="001F07B6" w:rsidRPr="00FA00B5" w:rsidRDefault="001F07B6" w:rsidP="00F5791B">
            <w:pPr>
              <w:rPr>
                <w:caps/>
                <w:sz w:val="36"/>
                <w:szCs w:val="18"/>
                <w:lang w:val="en-US"/>
              </w:rPr>
            </w:pPr>
            <w:r w:rsidRPr="00FA00B5">
              <w:rPr>
                <w:caps/>
                <w:sz w:val="36"/>
                <w:szCs w:val="18"/>
                <w:lang w:val="en-US"/>
              </w:rPr>
              <w:t>Medium</w:t>
            </w:r>
          </w:p>
        </w:tc>
        <w:tc>
          <w:tcPr>
            <w:tcW w:w="0" w:type="auto"/>
            <w:vAlign w:val="center"/>
            <w:hideMark/>
          </w:tcPr>
          <w:p w14:paraId="4307310F" w14:textId="77777777" w:rsidR="001F07B6" w:rsidRPr="00FA00B5" w:rsidRDefault="001F07B6" w:rsidP="00F5791B">
            <w:pPr>
              <w:rPr>
                <w:caps/>
                <w:sz w:val="36"/>
                <w:szCs w:val="18"/>
                <w:lang w:val="en-US"/>
              </w:rPr>
            </w:pPr>
            <w:r w:rsidRPr="00FA00B5">
              <w:rPr>
                <w:caps/>
                <w:sz w:val="36"/>
                <w:szCs w:val="18"/>
                <w:lang w:val="en-US"/>
              </w:rPr>
              <w:t>Labour shortages</w:t>
            </w:r>
          </w:p>
        </w:tc>
        <w:tc>
          <w:tcPr>
            <w:tcW w:w="0" w:type="auto"/>
            <w:vAlign w:val="center"/>
            <w:hideMark/>
          </w:tcPr>
          <w:p w14:paraId="05F1E6D1" w14:textId="77777777" w:rsidR="001F07B6" w:rsidRPr="00FA00B5" w:rsidRDefault="001F07B6" w:rsidP="00F5791B">
            <w:pPr>
              <w:rPr>
                <w:caps/>
                <w:sz w:val="36"/>
                <w:szCs w:val="18"/>
                <w:lang w:val="en-US"/>
              </w:rPr>
            </w:pPr>
            <w:r w:rsidRPr="00FA00B5">
              <w:rPr>
                <w:caps/>
                <w:sz w:val="36"/>
                <w:szCs w:val="18"/>
                <w:lang w:val="en-US"/>
              </w:rPr>
              <w:t>Brexit</w:t>
            </w:r>
            <w:r w:rsidRPr="00FA00B5">
              <w:rPr>
                <w:caps/>
                <w:sz w:val="36"/>
                <w:szCs w:val="18"/>
                <w:lang w:val="en-US"/>
              </w:rPr>
              <w:noBreakHyphen/>
              <w:t xml:space="preserve">related FM constraints </w:t>
            </w:r>
          </w:p>
        </w:tc>
      </w:tr>
      <w:tr w:rsidR="001F07B6" w:rsidRPr="00FA00B5" w14:paraId="4E8453DB" w14:textId="77777777" w:rsidTr="00F5791B">
        <w:trPr>
          <w:tblCellSpacing w:w="15" w:type="dxa"/>
        </w:trPr>
        <w:tc>
          <w:tcPr>
            <w:tcW w:w="0" w:type="auto"/>
            <w:vAlign w:val="center"/>
            <w:hideMark/>
          </w:tcPr>
          <w:p w14:paraId="5EE9E435" w14:textId="77777777" w:rsidR="001F07B6" w:rsidRPr="00FA00B5" w:rsidRDefault="001F07B6" w:rsidP="00F5791B">
            <w:pPr>
              <w:rPr>
                <w:caps/>
                <w:sz w:val="36"/>
                <w:szCs w:val="18"/>
                <w:lang w:val="en-US"/>
              </w:rPr>
            </w:pPr>
            <w:r w:rsidRPr="00FA00B5">
              <w:rPr>
                <w:caps/>
                <w:sz w:val="36"/>
                <w:szCs w:val="18"/>
                <w:lang w:val="en-US"/>
              </w:rPr>
              <w:t>Low–Medium</w:t>
            </w:r>
          </w:p>
        </w:tc>
        <w:tc>
          <w:tcPr>
            <w:tcW w:w="0" w:type="auto"/>
            <w:vAlign w:val="center"/>
            <w:hideMark/>
          </w:tcPr>
          <w:p w14:paraId="4DE4BC77" w14:textId="77777777" w:rsidR="001F07B6" w:rsidRPr="00FA00B5" w:rsidRDefault="001F07B6" w:rsidP="00F5791B">
            <w:pPr>
              <w:rPr>
                <w:caps/>
                <w:sz w:val="36"/>
                <w:szCs w:val="18"/>
                <w:lang w:val="en-US"/>
              </w:rPr>
            </w:pPr>
            <w:r w:rsidRPr="00FA00B5">
              <w:rPr>
                <w:caps/>
                <w:sz w:val="36"/>
                <w:szCs w:val="18"/>
                <w:lang w:val="en-US"/>
              </w:rPr>
              <w:t>Covid</w:t>
            </w:r>
            <w:r w:rsidRPr="00FA00B5">
              <w:rPr>
                <w:caps/>
                <w:sz w:val="36"/>
                <w:szCs w:val="18"/>
                <w:lang w:val="en-US"/>
              </w:rPr>
              <w:noBreakHyphen/>
              <w:t>related health risks</w:t>
            </w:r>
          </w:p>
        </w:tc>
        <w:tc>
          <w:tcPr>
            <w:tcW w:w="0" w:type="auto"/>
            <w:vAlign w:val="center"/>
            <w:hideMark/>
          </w:tcPr>
          <w:p w14:paraId="5B1EFAB2" w14:textId="77777777" w:rsidR="001F07B6" w:rsidRPr="00FA00B5" w:rsidRDefault="001F07B6" w:rsidP="00F5791B">
            <w:pPr>
              <w:rPr>
                <w:caps/>
                <w:sz w:val="36"/>
                <w:szCs w:val="18"/>
                <w:lang w:val="en-US"/>
              </w:rPr>
            </w:pPr>
            <w:r w:rsidRPr="00FA00B5">
              <w:rPr>
                <w:caps/>
                <w:sz w:val="36"/>
                <w:szCs w:val="18"/>
                <w:lang w:val="en-US"/>
              </w:rPr>
              <w:t xml:space="preserve">Reduced but still relevant </w:t>
            </w:r>
          </w:p>
        </w:tc>
      </w:tr>
      <w:tr w:rsidR="001F07B6" w:rsidRPr="00B31CD3" w14:paraId="47A84E23" w14:textId="77777777" w:rsidTr="00F5791B">
        <w:trPr>
          <w:tblCellSpacing w:w="15" w:type="dxa"/>
        </w:trPr>
        <w:tc>
          <w:tcPr>
            <w:tcW w:w="0" w:type="auto"/>
            <w:vAlign w:val="center"/>
          </w:tcPr>
          <w:p w14:paraId="4591E68E" w14:textId="77777777" w:rsidR="001F07B6" w:rsidRPr="00B31CD3" w:rsidRDefault="001F07B6" w:rsidP="00F5791B">
            <w:pPr>
              <w:rPr>
                <w:caps/>
                <w:sz w:val="36"/>
                <w:szCs w:val="18"/>
                <w:lang w:val="en-US"/>
              </w:rPr>
            </w:pPr>
          </w:p>
        </w:tc>
        <w:tc>
          <w:tcPr>
            <w:tcW w:w="0" w:type="auto"/>
            <w:vAlign w:val="center"/>
          </w:tcPr>
          <w:p w14:paraId="0946A1F1" w14:textId="77777777" w:rsidR="001F07B6" w:rsidRPr="00B31CD3" w:rsidRDefault="001F07B6" w:rsidP="00F5791B">
            <w:pPr>
              <w:rPr>
                <w:caps/>
                <w:sz w:val="36"/>
                <w:szCs w:val="18"/>
                <w:lang w:val="en-US"/>
              </w:rPr>
            </w:pPr>
          </w:p>
        </w:tc>
        <w:tc>
          <w:tcPr>
            <w:tcW w:w="0" w:type="auto"/>
            <w:vAlign w:val="center"/>
          </w:tcPr>
          <w:p w14:paraId="75BF518C" w14:textId="77777777" w:rsidR="001F07B6" w:rsidRPr="00B31CD3" w:rsidRDefault="001F07B6" w:rsidP="00F5791B">
            <w:pPr>
              <w:rPr>
                <w:caps/>
                <w:sz w:val="36"/>
                <w:szCs w:val="18"/>
                <w:lang w:val="en-US"/>
              </w:rPr>
            </w:pPr>
          </w:p>
        </w:tc>
      </w:tr>
    </w:tbl>
    <w:p w14:paraId="1ECA6C4F" w14:textId="77777777" w:rsidR="001F07B6" w:rsidRPr="00B31CD3" w:rsidRDefault="001F07B6" w:rsidP="001F07B6">
      <w:pPr>
        <w:pStyle w:val="Heading1"/>
        <w:jc w:val="both"/>
        <w:rPr>
          <w:rFonts w:ascii="Times New Roman" w:hAnsi="Times New Roman" w:cs="Times New Roman"/>
        </w:rPr>
      </w:pPr>
      <w:bookmarkStart w:id="44" w:name="_Toc229002489"/>
      <w:bookmarkStart w:id="45" w:name="_Toc229004000"/>
      <w:r w:rsidRPr="00B31CD3">
        <w:rPr>
          <w:rFonts w:ascii="Times New Roman" w:hAnsi="Times New Roman" w:cs="Times New Roman"/>
        </w:rPr>
        <w:t>Conclusion</w:t>
      </w:r>
      <w:bookmarkEnd w:id="44"/>
      <w:bookmarkEnd w:id="45"/>
      <w:r w:rsidRPr="00B31CD3">
        <w:rPr>
          <w:rFonts w:ascii="Times New Roman" w:hAnsi="Times New Roman" w:cs="Times New Roman"/>
        </w:rPr>
        <w:t xml:space="preserve"> </w:t>
      </w:r>
    </w:p>
    <w:p w14:paraId="56A9D323" w14:textId="77777777" w:rsidR="001F07B6" w:rsidRPr="00B31CD3" w:rsidRDefault="001F07B6" w:rsidP="001F07B6">
      <w:pPr>
        <w:spacing w:before="120" w:after="120" w:line="360" w:lineRule="auto"/>
        <w:jc w:val="both"/>
        <w:rPr>
          <w:sz w:val="24"/>
          <w:szCs w:val="24"/>
        </w:rPr>
      </w:pPr>
      <w:r w:rsidRPr="00B31CD3">
        <w:rPr>
          <w:sz w:val="24"/>
          <w:szCs w:val="24"/>
        </w:rPr>
        <w:t xml:space="preserve">Generally, the IM Building is established in a dynamic and sophisticated environment, which is affected by global health, economic, and political factors. The COVID-19 pandemic, Brexit, and the conflict in Ukraine have all added to the increased operational challenges in technical systems, financial management, and commercial performance. The most critical risks are the escalating energy prices, disruption of the supply chain, backlog of maintenance, and fluctuation of building utilisation. All these risks must be managed proactively and planned over the long run. The university can minimise risk exposure and increase resilience </w:t>
      </w:r>
      <w:r w:rsidRPr="00B31CD3">
        <w:rPr>
          <w:sz w:val="24"/>
          <w:szCs w:val="24"/>
        </w:rPr>
        <w:lastRenderedPageBreak/>
        <w:t>through enhanced digital building management systems, better maintenance strategies, investment in energy efficiency, strengthening procurement processes, and improving digital building management systems.</w:t>
      </w:r>
    </w:p>
    <w:p w14:paraId="4C15C7A5" w14:textId="77777777" w:rsidR="001F07B6" w:rsidRPr="00B31CD3" w:rsidRDefault="001F07B6" w:rsidP="001F07B6">
      <w:pPr>
        <w:spacing w:before="120" w:after="120" w:line="360" w:lineRule="auto"/>
        <w:jc w:val="both"/>
        <w:rPr>
          <w:sz w:val="24"/>
          <w:szCs w:val="24"/>
        </w:rPr>
      </w:pPr>
    </w:p>
    <w:p w14:paraId="7A98EE4A" w14:textId="77777777" w:rsidR="001F07B6" w:rsidRPr="00B31CD3" w:rsidRDefault="001F07B6" w:rsidP="001F07B6">
      <w:pPr>
        <w:spacing w:before="120" w:after="120" w:line="360" w:lineRule="auto"/>
        <w:jc w:val="both"/>
        <w:rPr>
          <w:sz w:val="24"/>
          <w:szCs w:val="24"/>
        </w:rPr>
      </w:pPr>
      <w:r w:rsidRPr="00B31CD3">
        <w:br w:type="page"/>
      </w:r>
    </w:p>
    <w:p w14:paraId="57FA758E" w14:textId="77777777" w:rsidR="001F07B6" w:rsidRPr="00B31CD3" w:rsidRDefault="001F07B6" w:rsidP="001F07B6">
      <w:pPr>
        <w:pStyle w:val="Heading1"/>
        <w:jc w:val="both"/>
        <w:rPr>
          <w:rFonts w:ascii="Times New Roman" w:hAnsi="Times New Roman" w:cs="Times New Roman"/>
        </w:rPr>
      </w:pPr>
      <w:bookmarkStart w:id="46" w:name="_i168w2wg6sy2" w:colFirst="0" w:colLast="0"/>
      <w:bookmarkStart w:id="47" w:name="_Toc229002490"/>
      <w:bookmarkStart w:id="48" w:name="_Toc229004001"/>
      <w:bookmarkEnd w:id="46"/>
      <w:r w:rsidRPr="00B31CD3">
        <w:rPr>
          <w:rFonts w:ascii="Times New Roman" w:hAnsi="Times New Roman" w:cs="Times New Roman"/>
        </w:rPr>
        <w:lastRenderedPageBreak/>
        <w:t>Part B</w:t>
      </w:r>
      <w:bookmarkEnd w:id="47"/>
      <w:bookmarkEnd w:id="48"/>
    </w:p>
    <w:p w14:paraId="3E7CBF59" w14:textId="77777777" w:rsidR="001F07B6" w:rsidRPr="00B31CD3" w:rsidRDefault="001F07B6" w:rsidP="001F07B6">
      <w:pPr>
        <w:pStyle w:val="Heading1"/>
        <w:jc w:val="both"/>
        <w:rPr>
          <w:rFonts w:ascii="Times New Roman" w:hAnsi="Times New Roman" w:cs="Times New Roman"/>
        </w:rPr>
      </w:pPr>
      <w:bookmarkStart w:id="49" w:name="_4j13u932xs0q" w:colFirst="0" w:colLast="0"/>
      <w:bookmarkStart w:id="50" w:name="_Toc229002491"/>
      <w:bookmarkStart w:id="51" w:name="_Toc229004002"/>
      <w:bookmarkEnd w:id="49"/>
      <w:r w:rsidRPr="00B31CD3">
        <w:rPr>
          <w:rFonts w:ascii="Times New Roman" w:hAnsi="Times New Roman" w:cs="Times New Roman"/>
        </w:rPr>
        <w:t>Introduction</w:t>
      </w:r>
      <w:bookmarkEnd w:id="50"/>
      <w:bookmarkEnd w:id="51"/>
      <w:r w:rsidRPr="00B31CD3">
        <w:rPr>
          <w:rFonts w:ascii="Times New Roman" w:hAnsi="Times New Roman" w:cs="Times New Roman"/>
        </w:rPr>
        <w:t xml:space="preserve"> </w:t>
      </w:r>
    </w:p>
    <w:p w14:paraId="52C58F59" w14:textId="77777777" w:rsidR="001F07B6" w:rsidRPr="00B31CD3" w:rsidRDefault="001F07B6" w:rsidP="001F07B6">
      <w:pPr>
        <w:spacing w:before="120" w:after="120" w:line="360" w:lineRule="auto"/>
        <w:jc w:val="both"/>
        <w:rPr>
          <w:sz w:val="24"/>
          <w:szCs w:val="24"/>
        </w:rPr>
      </w:pPr>
      <w:r w:rsidRPr="00B31CD3">
        <w:rPr>
          <w:sz w:val="24"/>
          <w:szCs w:val="24"/>
        </w:rPr>
        <w:t>The University of Wales Trinity Saint David (UWTSD) intends to make the IM Building a more energy-efficient building with a fabric-first building retrofit strategy. This implies that the enhancement of the building envelope, such as insulation, airtightness, glazing, and minimisation of thermal bridging, will be given priority. The purpose is to decrease energy use, enhance comfort, and contribute towards net-zero carbon goals.</w:t>
      </w:r>
    </w:p>
    <w:p w14:paraId="00193742" w14:textId="77777777" w:rsidR="001F07B6" w:rsidRPr="00B31CD3" w:rsidRDefault="001F07B6" w:rsidP="001F07B6">
      <w:pPr>
        <w:spacing w:before="120" w:after="120" w:line="360" w:lineRule="auto"/>
        <w:jc w:val="both"/>
        <w:rPr>
          <w:sz w:val="24"/>
          <w:szCs w:val="24"/>
        </w:rPr>
      </w:pPr>
      <w:r w:rsidRPr="00B31CD3">
        <w:rPr>
          <w:sz w:val="24"/>
          <w:szCs w:val="24"/>
        </w:rPr>
        <w:t>The advice in this report will give guidance on which is the best procurement route to use and which contract strategy to use. It also determines the main risks associated with technical, financial, market, and operational factors. The analysis is based on the current post-COVID-19 environment, Post-Brexit conditions, and global economic pressures connected with the conflict in Ukraine. These elements have led to uncertainty in the cost of construction, labour supply and supply chains.</w:t>
      </w:r>
    </w:p>
    <w:p w14:paraId="62697DFF" w14:textId="77777777" w:rsidR="001F07B6" w:rsidRPr="00B31CD3" w:rsidRDefault="001F07B6" w:rsidP="001F07B6">
      <w:pPr>
        <w:spacing w:before="120" w:after="120" w:line="360" w:lineRule="auto"/>
        <w:jc w:val="both"/>
        <w:rPr>
          <w:sz w:val="24"/>
          <w:szCs w:val="24"/>
        </w:rPr>
      </w:pPr>
      <w:r w:rsidRPr="00B31CD3">
        <w:rPr>
          <w:sz w:val="24"/>
          <w:szCs w:val="24"/>
        </w:rPr>
        <w:t xml:space="preserve">Risk assessment is provided with the use of the simple likelihood and impact approach. </w:t>
      </w:r>
    </w:p>
    <w:p w14:paraId="04138120" w14:textId="77777777" w:rsidR="001F07B6" w:rsidRPr="00B31CD3" w:rsidRDefault="001F07B6" w:rsidP="001F07B6">
      <w:pPr>
        <w:spacing w:before="120" w:after="120" w:line="360" w:lineRule="auto"/>
        <w:jc w:val="both"/>
        <w:rPr>
          <w:sz w:val="24"/>
          <w:szCs w:val="24"/>
        </w:rPr>
      </w:pPr>
      <w:r w:rsidRPr="00B31CD3">
        <w:br w:type="page"/>
      </w:r>
    </w:p>
    <w:p w14:paraId="7B4D4F6F" w14:textId="77777777" w:rsidR="001F07B6" w:rsidRPr="00B31CD3" w:rsidRDefault="001F07B6" w:rsidP="001F07B6">
      <w:pPr>
        <w:pStyle w:val="Heading1"/>
        <w:jc w:val="both"/>
        <w:rPr>
          <w:rFonts w:ascii="Times New Roman" w:hAnsi="Times New Roman" w:cs="Times New Roman"/>
        </w:rPr>
      </w:pPr>
      <w:bookmarkStart w:id="52" w:name="_7iior4y7imoc" w:colFirst="0" w:colLast="0"/>
      <w:bookmarkStart w:id="53" w:name="_Toc229002492"/>
      <w:bookmarkStart w:id="54" w:name="_Toc229004003"/>
      <w:bookmarkEnd w:id="52"/>
      <w:r w:rsidRPr="00B31CD3">
        <w:rPr>
          <w:rFonts w:ascii="Times New Roman" w:hAnsi="Times New Roman" w:cs="Times New Roman"/>
        </w:rPr>
        <w:lastRenderedPageBreak/>
        <w:t>Procurement Route Selection</w:t>
      </w:r>
      <w:bookmarkEnd w:id="53"/>
      <w:bookmarkEnd w:id="54"/>
      <w:r w:rsidRPr="00B31CD3">
        <w:rPr>
          <w:rFonts w:ascii="Times New Roman" w:hAnsi="Times New Roman" w:cs="Times New Roman"/>
        </w:rPr>
        <w:t xml:space="preserve"> </w:t>
      </w:r>
    </w:p>
    <w:p w14:paraId="5FED58F9" w14:textId="77777777" w:rsidR="001F07B6" w:rsidRPr="00B31CD3" w:rsidRDefault="001F07B6" w:rsidP="001F07B6">
      <w:pPr>
        <w:pStyle w:val="Heading2"/>
        <w:jc w:val="both"/>
        <w:rPr>
          <w:rFonts w:ascii="Times New Roman" w:hAnsi="Times New Roman" w:cs="Times New Roman"/>
        </w:rPr>
      </w:pPr>
      <w:bookmarkStart w:id="55" w:name="_x0y1ezhe66df" w:colFirst="0" w:colLast="0"/>
      <w:bookmarkStart w:id="56" w:name="_Toc229002493"/>
      <w:bookmarkStart w:id="57" w:name="_Toc229004004"/>
      <w:bookmarkEnd w:id="55"/>
      <w:r w:rsidRPr="00B31CD3">
        <w:rPr>
          <w:rFonts w:ascii="Times New Roman" w:hAnsi="Times New Roman" w:cs="Times New Roman"/>
        </w:rPr>
        <w:t>Procurement Route as recommended: Two-stage design and build</w:t>
      </w:r>
      <w:bookmarkEnd w:id="56"/>
      <w:bookmarkEnd w:id="57"/>
    </w:p>
    <w:p w14:paraId="2F7B27D8" w14:textId="77777777" w:rsidR="001F07B6" w:rsidRPr="00B31CD3" w:rsidRDefault="001F07B6" w:rsidP="001F07B6">
      <w:pPr>
        <w:spacing w:before="120" w:after="120" w:line="360" w:lineRule="auto"/>
        <w:jc w:val="both"/>
        <w:rPr>
          <w:sz w:val="24"/>
          <w:szCs w:val="24"/>
        </w:rPr>
      </w:pPr>
      <w:r w:rsidRPr="00B31CD3">
        <w:rPr>
          <w:sz w:val="24"/>
          <w:szCs w:val="24"/>
        </w:rPr>
        <w:t>Two-Stage Design and Build is the most appropriate procurement route to use in the IM Building retrofit. Under this method, the contractor will be engaged at an early stage of the design process (</w:t>
      </w:r>
      <w:proofErr w:type="spellStart"/>
      <w:r w:rsidRPr="00B31CD3">
        <w:rPr>
          <w:sz w:val="24"/>
          <w:szCs w:val="24"/>
        </w:rPr>
        <w:t>Bellenbaum</w:t>
      </w:r>
      <w:proofErr w:type="spellEnd"/>
      <w:r w:rsidRPr="00B31CD3">
        <w:rPr>
          <w:sz w:val="24"/>
          <w:szCs w:val="24"/>
        </w:rPr>
        <w:t xml:space="preserve"> </w:t>
      </w:r>
      <w:r w:rsidRPr="00B31CD3">
        <w:rPr>
          <w:i/>
          <w:iCs/>
          <w:sz w:val="24"/>
          <w:szCs w:val="24"/>
        </w:rPr>
        <w:t>et al</w:t>
      </w:r>
      <w:r w:rsidRPr="00B31CD3">
        <w:rPr>
          <w:sz w:val="24"/>
          <w:szCs w:val="24"/>
        </w:rPr>
        <w:t>., 2022). This is what is referred to as Early Contractor Involvement. The agreed final price of the contract is reached after the design has been created.</w:t>
      </w:r>
    </w:p>
    <w:p w14:paraId="22B445B7" w14:textId="77777777" w:rsidR="001F07B6" w:rsidRPr="00B31CD3" w:rsidRDefault="001F07B6" w:rsidP="001F07B6">
      <w:pPr>
        <w:spacing w:before="120" w:after="120" w:line="360" w:lineRule="auto"/>
        <w:jc w:val="both"/>
        <w:rPr>
          <w:sz w:val="24"/>
          <w:szCs w:val="24"/>
        </w:rPr>
      </w:pPr>
      <w:r w:rsidRPr="00B31CD3">
        <w:rPr>
          <w:sz w:val="24"/>
          <w:szCs w:val="24"/>
        </w:rPr>
        <w:t>This approach is appropriate since the project is complicated and conducted in a real-life university setting. ICT systems and teaching spaces are contained in the building, and therefore, disruption should be minimised. The involvement of contractors early allows them to better plan, minimise risks, and coordinate work better.</w:t>
      </w:r>
    </w:p>
    <w:p w14:paraId="78E33274" w14:textId="77777777" w:rsidR="001F07B6" w:rsidRPr="00B31CD3" w:rsidRDefault="001F07B6" w:rsidP="001F07B6">
      <w:pPr>
        <w:spacing w:before="120" w:after="120" w:line="360" w:lineRule="auto"/>
        <w:jc w:val="both"/>
        <w:rPr>
          <w:sz w:val="24"/>
          <w:szCs w:val="24"/>
        </w:rPr>
      </w:pPr>
      <w:r w:rsidRPr="00B31CD3">
        <w:rPr>
          <w:sz w:val="24"/>
          <w:szCs w:val="24"/>
        </w:rPr>
        <w:t>This is also a good path in this economic climate. The fact that, after Brexit, labour shortages and supply chain delays will become very real means that planning early will become very important. The Ukraine crisis has given rise to higher material costs, and therefore, any early procurement decision assists in managing the costs. The post-COVID conditions have also resulted in pressure on the flexible and safe working procedures.</w:t>
      </w:r>
    </w:p>
    <w:p w14:paraId="3F137617" w14:textId="77777777" w:rsidR="001F07B6" w:rsidRPr="00B31CD3" w:rsidRDefault="001F07B6" w:rsidP="001F07B6">
      <w:pPr>
        <w:pStyle w:val="Heading1"/>
        <w:jc w:val="both"/>
        <w:rPr>
          <w:rFonts w:ascii="Times New Roman" w:hAnsi="Times New Roman" w:cs="Times New Roman"/>
        </w:rPr>
      </w:pPr>
      <w:bookmarkStart w:id="58" w:name="_o8iaygtfdc8y" w:colFirst="0" w:colLast="0"/>
      <w:bookmarkStart w:id="59" w:name="_Toc229002494"/>
      <w:bookmarkStart w:id="60" w:name="_Toc229004005"/>
      <w:bookmarkEnd w:id="58"/>
      <w:r w:rsidRPr="00B31CD3">
        <w:rPr>
          <w:rFonts w:ascii="Times New Roman" w:hAnsi="Times New Roman" w:cs="Times New Roman"/>
        </w:rPr>
        <w:t>Contract Strategy Selection</w:t>
      </w:r>
      <w:bookmarkEnd w:id="59"/>
      <w:bookmarkEnd w:id="60"/>
      <w:r w:rsidRPr="00B31CD3">
        <w:rPr>
          <w:rFonts w:ascii="Times New Roman" w:hAnsi="Times New Roman" w:cs="Times New Roman"/>
        </w:rPr>
        <w:t xml:space="preserve"> </w:t>
      </w:r>
    </w:p>
    <w:p w14:paraId="68A62433" w14:textId="77777777" w:rsidR="001F07B6" w:rsidRPr="00B31CD3" w:rsidRDefault="001F07B6" w:rsidP="001F07B6">
      <w:pPr>
        <w:pStyle w:val="Heading2"/>
        <w:jc w:val="both"/>
        <w:rPr>
          <w:rFonts w:ascii="Times New Roman" w:hAnsi="Times New Roman" w:cs="Times New Roman"/>
        </w:rPr>
      </w:pPr>
      <w:bookmarkStart w:id="61" w:name="_oa0bdeqw82tb" w:colFirst="0" w:colLast="0"/>
      <w:bookmarkStart w:id="62" w:name="_Toc229002495"/>
      <w:bookmarkStart w:id="63" w:name="_Toc229004006"/>
      <w:bookmarkEnd w:id="61"/>
      <w:r w:rsidRPr="00B31CD3">
        <w:rPr>
          <w:rFonts w:ascii="Times New Roman" w:hAnsi="Times New Roman" w:cs="Times New Roman"/>
        </w:rPr>
        <w:t>Recommended Contract: JCT Design and Build 2016</w:t>
      </w:r>
      <w:bookmarkEnd w:id="62"/>
      <w:bookmarkEnd w:id="63"/>
    </w:p>
    <w:p w14:paraId="48C79C2F" w14:textId="77777777" w:rsidR="001F07B6" w:rsidRPr="00B31CD3" w:rsidRDefault="001F07B6" w:rsidP="001F07B6">
      <w:pPr>
        <w:spacing w:before="120" w:after="120" w:line="360" w:lineRule="auto"/>
        <w:jc w:val="both"/>
        <w:rPr>
          <w:sz w:val="24"/>
          <w:szCs w:val="24"/>
        </w:rPr>
      </w:pPr>
      <w:r w:rsidRPr="00B31CD3">
        <w:rPr>
          <w:sz w:val="24"/>
          <w:szCs w:val="24"/>
        </w:rPr>
        <w:t xml:space="preserve">The suggested contract is JCT Design and Build 2016 with sustainability amendments. This contract is common in construction projects in the UK, but particularly in refurbishment and retrofit construction projects (Smith </w:t>
      </w:r>
      <w:r w:rsidRPr="00B31CD3">
        <w:rPr>
          <w:i/>
          <w:iCs/>
          <w:sz w:val="24"/>
          <w:szCs w:val="24"/>
        </w:rPr>
        <w:t>et al</w:t>
      </w:r>
      <w:r w:rsidRPr="00B31CD3">
        <w:rPr>
          <w:sz w:val="24"/>
          <w:szCs w:val="24"/>
        </w:rPr>
        <w:t>., 2023).</w:t>
      </w:r>
    </w:p>
    <w:p w14:paraId="2CBF80E1" w14:textId="77777777" w:rsidR="001F07B6" w:rsidRPr="00B31CD3" w:rsidRDefault="001F07B6" w:rsidP="001F07B6">
      <w:pPr>
        <w:spacing w:before="120" w:after="120" w:line="360" w:lineRule="auto"/>
        <w:jc w:val="both"/>
        <w:rPr>
          <w:sz w:val="24"/>
          <w:szCs w:val="24"/>
        </w:rPr>
      </w:pPr>
      <w:r w:rsidRPr="00B31CD3">
        <w:rPr>
          <w:sz w:val="24"/>
          <w:szCs w:val="24"/>
        </w:rPr>
        <w:t>It has a single point of responsibility, i.e. the contractor is responsible for the design and construction. This will minimise confusion and enhance accountability. It also enables the client to involve performance parameters like insulation levels, airtightness and power targets.</w:t>
      </w:r>
    </w:p>
    <w:p w14:paraId="49C00E5B" w14:textId="77777777" w:rsidR="001F07B6" w:rsidRPr="00B31CD3" w:rsidRDefault="001F07B6" w:rsidP="001F07B6">
      <w:pPr>
        <w:spacing w:before="120" w:after="120" w:line="360" w:lineRule="auto"/>
        <w:jc w:val="both"/>
        <w:rPr>
          <w:sz w:val="24"/>
          <w:szCs w:val="24"/>
        </w:rPr>
      </w:pPr>
      <w:r w:rsidRPr="00B31CD3">
        <w:rPr>
          <w:sz w:val="24"/>
          <w:szCs w:val="24"/>
        </w:rPr>
        <w:t>This contract can be applied to the IM Building since it facilitates the clear division of risks, as well as the effective control of performance. It also enables the university to incorporate the sustainability needs, which are the targets on energy efficiency and the targets on carbon reduction.</w:t>
      </w:r>
    </w:p>
    <w:p w14:paraId="67F391FF" w14:textId="77777777" w:rsidR="001F07B6" w:rsidRPr="00B31CD3" w:rsidRDefault="001F07B6" w:rsidP="001F07B6">
      <w:pPr>
        <w:spacing w:before="120" w:after="120" w:line="360" w:lineRule="auto"/>
        <w:jc w:val="both"/>
        <w:rPr>
          <w:sz w:val="24"/>
          <w:szCs w:val="24"/>
        </w:rPr>
      </w:pPr>
      <w:r w:rsidRPr="00B31CD3">
        <w:rPr>
          <w:sz w:val="24"/>
          <w:szCs w:val="24"/>
        </w:rPr>
        <w:t>An alternative contract could be NEC4 Option C, which is more collaborative (Gerrard and Waterhouse, 2025). In this project, however, JCT Design and Build is a better choice as it provides a better certainty of costs, and is more familiar in the UK higher education sector.</w:t>
      </w:r>
    </w:p>
    <w:p w14:paraId="0634D4C8" w14:textId="77777777" w:rsidR="001F07B6" w:rsidRPr="00B31CD3" w:rsidRDefault="001F07B6" w:rsidP="001F07B6">
      <w:pPr>
        <w:pStyle w:val="Heading1"/>
        <w:jc w:val="both"/>
        <w:rPr>
          <w:rFonts w:ascii="Times New Roman" w:hAnsi="Times New Roman" w:cs="Times New Roman"/>
        </w:rPr>
      </w:pPr>
      <w:bookmarkStart w:id="64" w:name="_9rert99c602p" w:colFirst="0" w:colLast="0"/>
      <w:bookmarkStart w:id="65" w:name="_di0qwpd4wt7" w:colFirst="0" w:colLast="0"/>
      <w:bookmarkStart w:id="66" w:name="_a4jd4lwku6gr" w:colFirst="0" w:colLast="0"/>
      <w:bookmarkStart w:id="67" w:name="_5vheb49zakgk" w:colFirst="0" w:colLast="0"/>
      <w:bookmarkStart w:id="68" w:name="_ie4p5gpsl1tx" w:colFirst="0" w:colLast="0"/>
      <w:bookmarkStart w:id="69" w:name="_Toc229002496"/>
      <w:bookmarkStart w:id="70" w:name="_Toc229004007"/>
      <w:bookmarkEnd w:id="64"/>
      <w:bookmarkEnd w:id="65"/>
      <w:bookmarkEnd w:id="66"/>
      <w:bookmarkEnd w:id="67"/>
      <w:bookmarkEnd w:id="68"/>
      <w:r w:rsidRPr="00B31CD3">
        <w:rPr>
          <w:rFonts w:ascii="Times New Roman" w:hAnsi="Times New Roman" w:cs="Times New Roman"/>
        </w:rPr>
        <w:t>Recommendations</w:t>
      </w:r>
      <w:bookmarkEnd w:id="69"/>
      <w:bookmarkEnd w:id="70"/>
      <w:r w:rsidRPr="00B31CD3">
        <w:rPr>
          <w:rFonts w:ascii="Times New Roman" w:hAnsi="Times New Roman" w:cs="Times New Roman"/>
        </w:rPr>
        <w:t xml:space="preserve"> </w:t>
      </w:r>
    </w:p>
    <w:p w14:paraId="33D3BAC6" w14:textId="77777777" w:rsidR="001F07B6" w:rsidRPr="00B31CD3" w:rsidRDefault="001F07B6" w:rsidP="001F07B6">
      <w:pPr>
        <w:spacing w:before="120" w:after="120" w:line="360" w:lineRule="auto"/>
        <w:jc w:val="both"/>
        <w:rPr>
          <w:sz w:val="24"/>
          <w:szCs w:val="24"/>
        </w:rPr>
      </w:pPr>
      <w:r w:rsidRPr="00B31CD3">
        <w:rPr>
          <w:sz w:val="24"/>
          <w:szCs w:val="24"/>
        </w:rPr>
        <w:t>The most appropriate route of the IM Building retrofit is the Two-Stage Design and Build procurement route supported by a JCT Design and Build 2016 contract</w:t>
      </w:r>
      <w:r>
        <w:rPr>
          <w:sz w:val="24"/>
          <w:szCs w:val="24"/>
        </w:rPr>
        <w:t>.</w:t>
      </w:r>
      <w:r w:rsidRPr="00B31CD3">
        <w:rPr>
          <w:sz w:val="24"/>
          <w:szCs w:val="24"/>
        </w:rPr>
        <w:t xml:space="preserve"> This combination has flexibility, cost control and good performance management.</w:t>
      </w:r>
    </w:p>
    <w:p w14:paraId="5CB107A8" w14:textId="77777777" w:rsidR="001F07B6" w:rsidRPr="0012711A" w:rsidRDefault="001F07B6" w:rsidP="001F07B6">
      <w:pPr>
        <w:spacing w:before="120" w:after="120" w:line="360" w:lineRule="auto"/>
        <w:jc w:val="both"/>
        <w:rPr>
          <w:sz w:val="24"/>
          <w:szCs w:val="24"/>
        </w:rPr>
      </w:pPr>
      <w:r w:rsidRPr="00B31CD3">
        <w:rPr>
          <w:sz w:val="24"/>
          <w:szCs w:val="24"/>
        </w:rPr>
        <w:lastRenderedPageBreak/>
        <w:t xml:space="preserve">Reducing market risk and enhancing planning should be done by early contractor involvement. The contract must have clearly defined sustainability targets that </w:t>
      </w:r>
      <w:r w:rsidRPr="0012711A">
        <w:rPr>
          <w:sz w:val="24"/>
          <w:szCs w:val="24"/>
        </w:rPr>
        <w:t>would ensure the achievement of energy efficiency goals.</w:t>
      </w:r>
    </w:p>
    <w:p w14:paraId="0E7FAE0C" w14:textId="77777777" w:rsidR="001F07B6" w:rsidRPr="00B31CD3" w:rsidRDefault="001F07B6" w:rsidP="001F07B6">
      <w:pPr>
        <w:pStyle w:val="Heading1"/>
        <w:jc w:val="both"/>
        <w:rPr>
          <w:rFonts w:ascii="Times New Roman" w:hAnsi="Times New Roman" w:cs="Times New Roman"/>
        </w:rPr>
      </w:pPr>
      <w:bookmarkStart w:id="71" w:name="_entd0vd3qjbu" w:colFirst="0" w:colLast="0"/>
      <w:bookmarkStart w:id="72" w:name="_Toc229002497"/>
      <w:bookmarkStart w:id="73" w:name="_Toc229004008"/>
      <w:bookmarkEnd w:id="71"/>
      <w:r w:rsidRPr="00B31CD3">
        <w:rPr>
          <w:rFonts w:ascii="Times New Roman" w:hAnsi="Times New Roman" w:cs="Times New Roman"/>
        </w:rPr>
        <w:t>Conclusion</w:t>
      </w:r>
      <w:bookmarkEnd w:id="72"/>
      <w:bookmarkEnd w:id="73"/>
      <w:r w:rsidRPr="00B31CD3">
        <w:rPr>
          <w:rFonts w:ascii="Times New Roman" w:hAnsi="Times New Roman" w:cs="Times New Roman"/>
        </w:rPr>
        <w:t xml:space="preserve"> </w:t>
      </w:r>
    </w:p>
    <w:p w14:paraId="5344B90E" w14:textId="77777777" w:rsidR="001F07B6" w:rsidRPr="00B31CD3" w:rsidRDefault="001F07B6" w:rsidP="001F07B6">
      <w:pPr>
        <w:spacing w:before="120" w:after="120" w:line="360" w:lineRule="auto"/>
        <w:jc w:val="both"/>
        <w:rPr>
          <w:sz w:val="24"/>
          <w:szCs w:val="24"/>
        </w:rPr>
      </w:pPr>
      <w:r w:rsidRPr="00B31CD3">
        <w:rPr>
          <w:sz w:val="24"/>
          <w:szCs w:val="24"/>
        </w:rPr>
        <w:t>The IM Building energy retrofit project is perceived to have serious technical and commercial risks because of its complexity and due to the current global environment. All risks, such as fire, noise, financial and market risks, should be handled with care in order to make the project successful. The Two-Stage Design and Build procurement route recommended, coupled with a JCT Design and Build 2016 contract, offers the optimal balance of cost certainty, performance control and risk management.</w:t>
      </w:r>
      <w:r w:rsidRPr="00B31CD3">
        <w:br w:type="page"/>
      </w:r>
    </w:p>
    <w:p w14:paraId="0E7C3EDB" w14:textId="77777777" w:rsidR="001F07B6" w:rsidRPr="00B31CD3" w:rsidRDefault="001F07B6" w:rsidP="001F07B6">
      <w:pPr>
        <w:pStyle w:val="Heading1"/>
        <w:jc w:val="both"/>
        <w:rPr>
          <w:rFonts w:ascii="Times New Roman" w:hAnsi="Times New Roman" w:cs="Times New Roman"/>
        </w:rPr>
      </w:pPr>
      <w:bookmarkStart w:id="74" w:name="_246uhdmr0slw" w:colFirst="0" w:colLast="0"/>
      <w:bookmarkStart w:id="75" w:name="_Toc229002498"/>
      <w:bookmarkStart w:id="76" w:name="_Toc229004009"/>
      <w:bookmarkEnd w:id="74"/>
      <w:r w:rsidRPr="00B31CD3">
        <w:rPr>
          <w:rFonts w:ascii="Times New Roman" w:hAnsi="Times New Roman" w:cs="Times New Roman"/>
        </w:rPr>
        <w:lastRenderedPageBreak/>
        <w:t>References</w:t>
      </w:r>
      <w:bookmarkEnd w:id="75"/>
      <w:bookmarkEnd w:id="76"/>
      <w:r w:rsidRPr="00B31CD3">
        <w:rPr>
          <w:rFonts w:ascii="Times New Roman" w:hAnsi="Times New Roman" w:cs="Times New Roman"/>
        </w:rPr>
        <w:t xml:space="preserve"> </w:t>
      </w:r>
    </w:p>
    <w:p w14:paraId="4F841932" w14:textId="77777777" w:rsidR="001F07B6" w:rsidRPr="00B31CD3" w:rsidRDefault="001F07B6" w:rsidP="001F07B6">
      <w:pPr>
        <w:spacing w:before="120" w:after="120" w:line="360" w:lineRule="auto"/>
        <w:jc w:val="both"/>
        <w:rPr>
          <w:color w:val="222222"/>
          <w:sz w:val="24"/>
          <w:szCs w:val="24"/>
          <w:highlight w:val="white"/>
        </w:rPr>
      </w:pPr>
      <w:proofErr w:type="spellStart"/>
      <w:r w:rsidRPr="00B31CD3">
        <w:rPr>
          <w:color w:val="222222"/>
          <w:sz w:val="24"/>
          <w:szCs w:val="24"/>
          <w:highlight w:val="white"/>
        </w:rPr>
        <w:t>Bellenbaum</w:t>
      </w:r>
      <w:proofErr w:type="spellEnd"/>
      <w:r w:rsidRPr="00B31CD3">
        <w:rPr>
          <w:color w:val="222222"/>
          <w:sz w:val="24"/>
          <w:szCs w:val="24"/>
          <w:highlight w:val="white"/>
        </w:rPr>
        <w:t xml:space="preserve">, J., Höckner, J. and Weber, C., (2022). Designing flexibility procurement markets for congestion management–investigating two-stage procurement auctions. </w:t>
      </w:r>
      <w:r w:rsidRPr="00B31CD3">
        <w:rPr>
          <w:i/>
          <w:iCs/>
          <w:color w:val="222222"/>
          <w:sz w:val="24"/>
          <w:szCs w:val="24"/>
          <w:highlight w:val="white"/>
        </w:rPr>
        <w:t>Energy Economics</w:t>
      </w:r>
      <w:r w:rsidRPr="00B31CD3">
        <w:rPr>
          <w:color w:val="222222"/>
          <w:sz w:val="24"/>
          <w:szCs w:val="24"/>
          <w:highlight w:val="white"/>
        </w:rPr>
        <w:t xml:space="preserve">, </w:t>
      </w:r>
      <w:r w:rsidRPr="00B31CD3">
        <w:rPr>
          <w:i/>
          <w:iCs/>
          <w:color w:val="222222"/>
          <w:sz w:val="24"/>
          <w:szCs w:val="24"/>
          <w:highlight w:val="white"/>
        </w:rPr>
        <w:t>106</w:t>
      </w:r>
      <w:r w:rsidRPr="00B31CD3">
        <w:rPr>
          <w:color w:val="222222"/>
          <w:sz w:val="24"/>
          <w:szCs w:val="24"/>
          <w:highlight w:val="white"/>
        </w:rPr>
        <w:t xml:space="preserve">, p.105775. Available at: </w:t>
      </w:r>
      <w:hyperlink r:id="rId8">
        <w:r w:rsidRPr="00B31CD3">
          <w:rPr>
            <w:color w:val="1155CC"/>
            <w:sz w:val="24"/>
            <w:szCs w:val="24"/>
            <w:highlight w:val="white"/>
            <w:u w:val="single"/>
          </w:rPr>
          <w:t>https://doi.org/10.1016/j.eneco.2021.105775</w:t>
        </w:r>
      </w:hyperlink>
    </w:p>
    <w:p w14:paraId="19C77180" w14:textId="77777777" w:rsidR="001F07B6" w:rsidRPr="00B31CD3" w:rsidRDefault="001F07B6" w:rsidP="001F07B6">
      <w:pPr>
        <w:spacing w:before="120" w:after="120" w:line="360" w:lineRule="auto"/>
        <w:jc w:val="both"/>
        <w:rPr>
          <w:color w:val="222222"/>
          <w:sz w:val="24"/>
          <w:szCs w:val="24"/>
          <w:highlight w:val="white"/>
        </w:rPr>
      </w:pPr>
    </w:p>
    <w:p w14:paraId="135A0947"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Fernández-</w:t>
      </w:r>
      <w:proofErr w:type="spellStart"/>
      <w:r w:rsidRPr="00B31CD3">
        <w:rPr>
          <w:color w:val="222222"/>
          <w:sz w:val="24"/>
          <w:szCs w:val="24"/>
          <w:highlight w:val="white"/>
        </w:rPr>
        <w:t>Agüera</w:t>
      </w:r>
      <w:proofErr w:type="spellEnd"/>
      <w:r w:rsidRPr="00B31CD3">
        <w:rPr>
          <w:color w:val="222222"/>
          <w:sz w:val="24"/>
          <w:szCs w:val="24"/>
          <w:highlight w:val="white"/>
        </w:rPr>
        <w:t xml:space="preserve">, J., Domínguez-Amarillo, S., Campano, M.Á. and Al-Khatri, H., (2023). Effects of covid-induced lockdown on inhabitants’ perception of indoor air quality in naturally ventilated homes. </w:t>
      </w:r>
      <w:r w:rsidRPr="00B31CD3">
        <w:rPr>
          <w:i/>
          <w:iCs/>
          <w:color w:val="222222"/>
          <w:sz w:val="24"/>
          <w:szCs w:val="24"/>
          <w:highlight w:val="white"/>
        </w:rPr>
        <w:t>Air Quality, Atmosphere &amp; Health</w:t>
      </w:r>
      <w:r w:rsidRPr="00B31CD3">
        <w:rPr>
          <w:color w:val="222222"/>
          <w:sz w:val="24"/>
          <w:szCs w:val="24"/>
          <w:highlight w:val="white"/>
        </w:rPr>
        <w:t xml:space="preserve">, </w:t>
      </w:r>
      <w:r w:rsidRPr="00B31CD3">
        <w:rPr>
          <w:i/>
          <w:iCs/>
          <w:color w:val="222222"/>
          <w:sz w:val="24"/>
          <w:szCs w:val="24"/>
          <w:highlight w:val="white"/>
        </w:rPr>
        <w:t>16</w:t>
      </w:r>
      <w:r w:rsidRPr="00B31CD3">
        <w:rPr>
          <w:color w:val="222222"/>
          <w:sz w:val="24"/>
          <w:szCs w:val="24"/>
          <w:highlight w:val="white"/>
        </w:rPr>
        <w:t xml:space="preserve">(2), pp.193-212. Available at: </w:t>
      </w:r>
      <w:hyperlink r:id="rId9">
        <w:r w:rsidRPr="00B31CD3">
          <w:rPr>
            <w:color w:val="1155CC"/>
            <w:sz w:val="24"/>
            <w:szCs w:val="24"/>
            <w:highlight w:val="white"/>
            <w:u w:val="single"/>
          </w:rPr>
          <w:t>https://doi.org/10.1007/s11869-022-01239-3</w:t>
        </w:r>
      </w:hyperlink>
      <w:r w:rsidRPr="00B31CD3">
        <w:rPr>
          <w:color w:val="222222"/>
          <w:sz w:val="24"/>
          <w:szCs w:val="24"/>
          <w:highlight w:val="white"/>
        </w:rPr>
        <w:t>.</w:t>
      </w:r>
    </w:p>
    <w:p w14:paraId="0022B11A"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 xml:space="preserve">Hens, H.S., (2024). </w:t>
      </w:r>
      <w:r w:rsidRPr="00B31CD3">
        <w:rPr>
          <w:i/>
          <w:iCs/>
          <w:color w:val="222222"/>
          <w:sz w:val="24"/>
          <w:szCs w:val="24"/>
          <w:highlight w:val="white"/>
        </w:rPr>
        <w:t>Performance-Based Building Design: From Below Grade to Floors, Walls, Roofs, Windows and Finishes</w:t>
      </w:r>
      <w:r w:rsidRPr="00B31CD3">
        <w:rPr>
          <w:color w:val="222222"/>
          <w:sz w:val="24"/>
          <w:szCs w:val="24"/>
          <w:highlight w:val="white"/>
        </w:rPr>
        <w:t>. John Wiley &amp; Sons.</w:t>
      </w:r>
    </w:p>
    <w:p w14:paraId="4DF0F0C9"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Kempton, R., (2023). Restructuring of the Environmental Impact Process (EIA) AFTER Brexit for Incompleteness.</w:t>
      </w:r>
    </w:p>
    <w:p w14:paraId="2F522DA8"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 xml:space="preserve">Kodikara Edirisinghe, R. and Gunathilake, L., (2026). An IoT-based heat stress management system for the construction industry. </w:t>
      </w:r>
      <w:r w:rsidRPr="00B31CD3">
        <w:rPr>
          <w:i/>
          <w:iCs/>
          <w:color w:val="222222"/>
          <w:sz w:val="24"/>
          <w:szCs w:val="24"/>
          <w:highlight w:val="white"/>
        </w:rPr>
        <w:t>Engineering, Construction and Architectural Management</w:t>
      </w:r>
      <w:r w:rsidRPr="00B31CD3">
        <w:rPr>
          <w:color w:val="222222"/>
          <w:sz w:val="24"/>
          <w:szCs w:val="24"/>
          <w:highlight w:val="white"/>
        </w:rPr>
        <w:t xml:space="preserve">, </w:t>
      </w:r>
      <w:r w:rsidRPr="00B31CD3">
        <w:rPr>
          <w:i/>
          <w:iCs/>
          <w:color w:val="222222"/>
          <w:sz w:val="24"/>
          <w:szCs w:val="24"/>
          <w:highlight w:val="white"/>
        </w:rPr>
        <w:t>33</w:t>
      </w:r>
      <w:r w:rsidRPr="00B31CD3">
        <w:rPr>
          <w:color w:val="222222"/>
          <w:sz w:val="24"/>
          <w:szCs w:val="24"/>
          <w:highlight w:val="white"/>
        </w:rPr>
        <w:t xml:space="preserve">(3), pp.2200-2219. </w:t>
      </w:r>
    </w:p>
    <w:p w14:paraId="7EAE57B3"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 xml:space="preserve">Kumar, K. and Paul, V.K., (2022). A critical review of risk factors and reliability assessment issues of fire and life safety in buildings. </w:t>
      </w:r>
      <w:r w:rsidRPr="00B31CD3">
        <w:rPr>
          <w:i/>
          <w:iCs/>
          <w:color w:val="222222"/>
          <w:sz w:val="24"/>
          <w:szCs w:val="24"/>
          <w:highlight w:val="white"/>
        </w:rPr>
        <w:t>Journal of Real Estate, Construction &amp; Management</w:t>
      </w:r>
      <w:r w:rsidRPr="00B31CD3">
        <w:rPr>
          <w:color w:val="222222"/>
          <w:sz w:val="24"/>
          <w:szCs w:val="24"/>
          <w:highlight w:val="white"/>
        </w:rPr>
        <w:t xml:space="preserve">, </w:t>
      </w:r>
      <w:r w:rsidRPr="00B31CD3">
        <w:rPr>
          <w:i/>
          <w:iCs/>
          <w:color w:val="222222"/>
          <w:sz w:val="24"/>
          <w:szCs w:val="24"/>
          <w:highlight w:val="white"/>
        </w:rPr>
        <w:t>37</w:t>
      </w:r>
      <w:r w:rsidRPr="00B31CD3">
        <w:rPr>
          <w:color w:val="222222"/>
          <w:sz w:val="24"/>
          <w:szCs w:val="24"/>
          <w:highlight w:val="white"/>
        </w:rPr>
        <w:t xml:space="preserve">(3), pp.23-33. Available at: </w:t>
      </w:r>
      <w:hyperlink r:id="rId10">
        <w:r w:rsidRPr="00B31CD3">
          <w:rPr>
            <w:color w:val="1155CC"/>
            <w:sz w:val="24"/>
            <w:szCs w:val="24"/>
            <w:highlight w:val="white"/>
            <w:u w:val="single"/>
          </w:rPr>
          <w:t>https://doi.org/10.1177/2977657020220303</w:t>
        </w:r>
      </w:hyperlink>
    </w:p>
    <w:p w14:paraId="01676DC9"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 xml:space="preserve">Lupton, S. and Stellakis, M., (2025). </w:t>
      </w:r>
      <w:r w:rsidRPr="00B31CD3">
        <w:rPr>
          <w:i/>
          <w:iCs/>
          <w:color w:val="222222"/>
          <w:sz w:val="24"/>
          <w:szCs w:val="24"/>
          <w:highlight w:val="white"/>
        </w:rPr>
        <w:t>Guide to JCT Design and Build Contract 2024</w:t>
      </w:r>
      <w:r w:rsidRPr="00B31CD3">
        <w:rPr>
          <w:color w:val="222222"/>
          <w:sz w:val="24"/>
          <w:szCs w:val="24"/>
          <w:highlight w:val="white"/>
        </w:rPr>
        <w:t>. RIBA Publishing.</w:t>
      </w:r>
    </w:p>
    <w:p w14:paraId="77EB5FF4" w14:textId="77777777" w:rsidR="001F07B6" w:rsidRPr="00B31CD3" w:rsidRDefault="001F07B6" w:rsidP="001F07B6">
      <w:pPr>
        <w:spacing w:before="120" w:after="120" w:line="360" w:lineRule="auto"/>
        <w:jc w:val="both"/>
        <w:rPr>
          <w:sz w:val="24"/>
          <w:szCs w:val="24"/>
        </w:rPr>
      </w:pPr>
      <w:r w:rsidRPr="00B31CD3">
        <w:rPr>
          <w:color w:val="222222"/>
          <w:sz w:val="24"/>
          <w:szCs w:val="24"/>
          <w:highlight w:val="white"/>
        </w:rPr>
        <w:t xml:space="preserve">McQuiston, F.C., Parker, J.D., Spitler, J.D. and Taherian, H., (2023). </w:t>
      </w:r>
      <w:r w:rsidRPr="00B31CD3">
        <w:rPr>
          <w:i/>
          <w:iCs/>
          <w:color w:val="222222"/>
          <w:sz w:val="24"/>
          <w:szCs w:val="24"/>
          <w:highlight w:val="white"/>
        </w:rPr>
        <w:t>Heating, ventilating, and air conditioning: analysis and design</w:t>
      </w:r>
      <w:r w:rsidRPr="00B31CD3">
        <w:rPr>
          <w:color w:val="222222"/>
          <w:sz w:val="24"/>
          <w:szCs w:val="24"/>
          <w:highlight w:val="white"/>
        </w:rPr>
        <w:t>. John Wiley &amp; Sons.</w:t>
      </w:r>
    </w:p>
    <w:p w14:paraId="1BCD0CBA"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 xml:space="preserve">Merryweather Powell, J. and </w:t>
      </w:r>
      <w:proofErr w:type="spellStart"/>
      <w:r w:rsidRPr="00B31CD3">
        <w:rPr>
          <w:color w:val="222222"/>
          <w:sz w:val="24"/>
          <w:szCs w:val="24"/>
          <w:highlight w:val="white"/>
        </w:rPr>
        <w:t>Shibeika</w:t>
      </w:r>
      <w:proofErr w:type="spellEnd"/>
      <w:r w:rsidRPr="00B31CD3">
        <w:rPr>
          <w:color w:val="222222"/>
          <w:sz w:val="24"/>
          <w:szCs w:val="24"/>
          <w:highlight w:val="white"/>
        </w:rPr>
        <w:t xml:space="preserve">, A., (2026). Brexit and beyond: Addressing skills shortage in the UK construction industry. </w:t>
      </w:r>
      <w:r w:rsidRPr="00B31CD3">
        <w:rPr>
          <w:i/>
          <w:iCs/>
          <w:color w:val="222222"/>
          <w:sz w:val="24"/>
          <w:szCs w:val="24"/>
          <w:highlight w:val="white"/>
        </w:rPr>
        <w:t>Proceedings of the Institution of Civil Engineers-Management, Procurement and Law</w:t>
      </w:r>
      <w:r w:rsidRPr="00B31CD3">
        <w:rPr>
          <w:color w:val="222222"/>
          <w:sz w:val="24"/>
          <w:szCs w:val="24"/>
          <w:highlight w:val="white"/>
        </w:rPr>
        <w:t xml:space="preserve">, </w:t>
      </w:r>
      <w:r w:rsidRPr="00B31CD3">
        <w:rPr>
          <w:i/>
          <w:iCs/>
          <w:color w:val="222222"/>
          <w:sz w:val="24"/>
          <w:szCs w:val="24"/>
          <w:highlight w:val="white"/>
        </w:rPr>
        <w:t>179</w:t>
      </w:r>
      <w:r w:rsidRPr="00B31CD3">
        <w:rPr>
          <w:color w:val="222222"/>
          <w:sz w:val="24"/>
          <w:szCs w:val="24"/>
          <w:highlight w:val="white"/>
        </w:rPr>
        <w:t xml:space="preserve">(1), pp.50-57. Available at: </w:t>
      </w:r>
      <w:hyperlink r:id="rId11">
        <w:r w:rsidRPr="00B31CD3">
          <w:rPr>
            <w:color w:val="1155CC"/>
            <w:sz w:val="24"/>
            <w:szCs w:val="24"/>
            <w:highlight w:val="white"/>
            <w:u w:val="single"/>
          </w:rPr>
          <w:t>https://doi.org/10.1680/jmapl.24.00051</w:t>
        </w:r>
      </w:hyperlink>
    </w:p>
    <w:p w14:paraId="246E0EF8"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 xml:space="preserve">Navaratnam, S., Nguyen, K., </w:t>
      </w:r>
      <w:proofErr w:type="spellStart"/>
      <w:r w:rsidRPr="00B31CD3">
        <w:rPr>
          <w:color w:val="222222"/>
          <w:sz w:val="24"/>
          <w:szCs w:val="24"/>
          <w:highlight w:val="white"/>
        </w:rPr>
        <w:t>Selvaranjan</w:t>
      </w:r>
      <w:proofErr w:type="spellEnd"/>
      <w:r w:rsidRPr="00B31CD3">
        <w:rPr>
          <w:color w:val="222222"/>
          <w:sz w:val="24"/>
          <w:szCs w:val="24"/>
          <w:highlight w:val="white"/>
        </w:rPr>
        <w:t xml:space="preserve">, K., Zhang, G., Mendis, P. and Aye, L., (2022). Designing post COVID-19 buildings: Approaches for achieving healthy buildings. </w:t>
      </w:r>
      <w:r w:rsidRPr="00B31CD3">
        <w:rPr>
          <w:i/>
          <w:iCs/>
          <w:color w:val="222222"/>
          <w:sz w:val="24"/>
          <w:szCs w:val="24"/>
          <w:highlight w:val="white"/>
        </w:rPr>
        <w:t>Buildings</w:t>
      </w:r>
      <w:r w:rsidRPr="00B31CD3">
        <w:rPr>
          <w:color w:val="222222"/>
          <w:sz w:val="24"/>
          <w:szCs w:val="24"/>
          <w:highlight w:val="white"/>
        </w:rPr>
        <w:t xml:space="preserve">, </w:t>
      </w:r>
      <w:r w:rsidRPr="00B31CD3">
        <w:rPr>
          <w:i/>
          <w:iCs/>
          <w:color w:val="222222"/>
          <w:sz w:val="24"/>
          <w:szCs w:val="24"/>
          <w:highlight w:val="white"/>
        </w:rPr>
        <w:t>12</w:t>
      </w:r>
      <w:r w:rsidRPr="00B31CD3">
        <w:rPr>
          <w:color w:val="222222"/>
          <w:sz w:val="24"/>
          <w:szCs w:val="24"/>
          <w:highlight w:val="white"/>
        </w:rPr>
        <w:t>(1), p.74.</w:t>
      </w:r>
    </w:p>
    <w:p w14:paraId="2D40F9F1"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Onus, E.L., (2025). An evaluation of the impacts of climate change on residential buildings in the United Kingdom.</w:t>
      </w:r>
    </w:p>
    <w:p w14:paraId="30C14EB8" w14:textId="77777777" w:rsidR="001F07B6" w:rsidRPr="00B31CD3" w:rsidRDefault="001F07B6" w:rsidP="001F07B6">
      <w:pPr>
        <w:spacing w:before="120" w:after="120" w:line="360" w:lineRule="auto"/>
        <w:jc w:val="both"/>
        <w:rPr>
          <w:color w:val="222222"/>
          <w:sz w:val="24"/>
          <w:szCs w:val="24"/>
          <w:highlight w:val="white"/>
        </w:rPr>
      </w:pPr>
      <w:proofErr w:type="spellStart"/>
      <w:r w:rsidRPr="00B31CD3">
        <w:rPr>
          <w:color w:val="222222"/>
          <w:sz w:val="24"/>
          <w:szCs w:val="24"/>
          <w:highlight w:val="white"/>
        </w:rPr>
        <w:t>Ouis</w:t>
      </w:r>
      <w:proofErr w:type="spellEnd"/>
      <w:r w:rsidRPr="00B31CD3">
        <w:rPr>
          <w:color w:val="222222"/>
          <w:sz w:val="24"/>
          <w:szCs w:val="24"/>
          <w:highlight w:val="white"/>
        </w:rPr>
        <w:t xml:space="preserve">, D., Hassanain, M.A., Alshibani, A. and </w:t>
      </w:r>
      <w:proofErr w:type="spellStart"/>
      <w:r w:rsidRPr="00B31CD3">
        <w:rPr>
          <w:color w:val="222222"/>
          <w:sz w:val="24"/>
          <w:szCs w:val="24"/>
          <w:highlight w:val="white"/>
        </w:rPr>
        <w:t>Ghaithan</w:t>
      </w:r>
      <w:proofErr w:type="spellEnd"/>
      <w:r w:rsidRPr="00B31CD3">
        <w:rPr>
          <w:color w:val="222222"/>
          <w:sz w:val="24"/>
          <w:szCs w:val="24"/>
          <w:highlight w:val="white"/>
        </w:rPr>
        <w:t xml:space="preserve">, A.M., (2025). Noise from heating, ventilation, and air conditioning, HVAC, systems: A review of its characteristics, effects and control. </w:t>
      </w:r>
      <w:r w:rsidRPr="00B31CD3">
        <w:rPr>
          <w:i/>
          <w:iCs/>
          <w:color w:val="222222"/>
          <w:sz w:val="24"/>
          <w:szCs w:val="24"/>
          <w:highlight w:val="white"/>
        </w:rPr>
        <w:t>Journal of Building Engineering</w:t>
      </w:r>
      <w:r w:rsidRPr="00B31CD3">
        <w:rPr>
          <w:color w:val="222222"/>
          <w:sz w:val="24"/>
          <w:szCs w:val="24"/>
          <w:highlight w:val="white"/>
        </w:rPr>
        <w:t xml:space="preserve">, p.113770. Available at: </w:t>
      </w:r>
      <w:hyperlink r:id="rId12">
        <w:r w:rsidRPr="00B31CD3">
          <w:rPr>
            <w:color w:val="1155CC"/>
            <w:sz w:val="24"/>
            <w:szCs w:val="24"/>
            <w:highlight w:val="white"/>
            <w:u w:val="single"/>
          </w:rPr>
          <w:t>https://doi.org/10.1016/j.jobe.2025.113770</w:t>
        </w:r>
      </w:hyperlink>
    </w:p>
    <w:p w14:paraId="02F5BD38" w14:textId="77777777" w:rsidR="001F07B6" w:rsidRPr="00B31CD3" w:rsidRDefault="001F07B6" w:rsidP="001F07B6">
      <w:pPr>
        <w:spacing w:before="120" w:after="120" w:line="360" w:lineRule="auto"/>
        <w:jc w:val="both"/>
        <w:rPr>
          <w:color w:val="222222"/>
          <w:sz w:val="24"/>
          <w:szCs w:val="24"/>
          <w:highlight w:val="white"/>
        </w:rPr>
      </w:pPr>
      <w:proofErr w:type="spellStart"/>
      <w:r w:rsidRPr="00B31CD3">
        <w:rPr>
          <w:color w:val="222222"/>
          <w:sz w:val="24"/>
          <w:szCs w:val="24"/>
          <w:highlight w:val="white"/>
        </w:rPr>
        <w:t>Oyegoke</w:t>
      </w:r>
      <w:proofErr w:type="spellEnd"/>
      <w:r w:rsidRPr="00B31CD3">
        <w:rPr>
          <w:color w:val="222222"/>
          <w:sz w:val="24"/>
          <w:szCs w:val="24"/>
          <w:highlight w:val="white"/>
        </w:rPr>
        <w:t xml:space="preserve">, A.S., Fisher, B.W., Ajayi, S., Omotayo, T.S. and </w:t>
      </w:r>
      <w:proofErr w:type="spellStart"/>
      <w:r w:rsidRPr="00B31CD3">
        <w:rPr>
          <w:color w:val="222222"/>
          <w:sz w:val="24"/>
          <w:szCs w:val="24"/>
          <w:highlight w:val="white"/>
        </w:rPr>
        <w:t>Ewuga</w:t>
      </w:r>
      <w:proofErr w:type="spellEnd"/>
      <w:r w:rsidRPr="00B31CD3">
        <w:rPr>
          <w:color w:val="222222"/>
          <w:sz w:val="24"/>
          <w:szCs w:val="24"/>
          <w:highlight w:val="white"/>
        </w:rPr>
        <w:t xml:space="preserve">, D., (2024). The disruptive factors and longevity effects of Covid-19 and Brexit on the SMEs construction supply chain in the UK. </w:t>
      </w:r>
      <w:r w:rsidRPr="00B31CD3">
        <w:rPr>
          <w:i/>
          <w:iCs/>
          <w:color w:val="222222"/>
          <w:sz w:val="24"/>
          <w:szCs w:val="24"/>
          <w:highlight w:val="white"/>
        </w:rPr>
        <w:t xml:space="preserve">Journal of </w:t>
      </w:r>
      <w:r w:rsidRPr="00B31CD3">
        <w:rPr>
          <w:i/>
          <w:iCs/>
          <w:color w:val="222222"/>
          <w:sz w:val="24"/>
          <w:szCs w:val="24"/>
          <w:highlight w:val="white"/>
        </w:rPr>
        <w:lastRenderedPageBreak/>
        <w:t>Financial Management of Property and Construction</w:t>
      </w:r>
      <w:r w:rsidRPr="00B31CD3">
        <w:rPr>
          <w:color w:val="222222"/>
          <w:sz w:val="24"/>
          <w:szCs w:val="24"/>
          <w:highlight w:val="white"/>
        </w:rPr>
        <w:t xml:space="preserve">, </w:t>
      </w:r>
      <w:r w:rsidRPr="00B31CD3">
        <w:rPr>
          <w:i/>
          <w:iCs/>
          <w:color w:val="222222"/>
          <w:sz w:val="24"/>
          <w:szCs w:val="24"/>
          <w:highlight w:val="white"/>
        </w:rPr>
        <w:t>29</w:t>
      </w:r>
      <w:r w:rsidRPr="00B31CD3">
        <w:rPr>
          <w:color w:val="222222"/>
          <w:sz w:val="24"/>
          <w:szCs w:val="24"/>
          <w:highlight w:val="white"/>
        </w:rPr>
        <w:t xml:space="preserve">(1), pp.115-134. Available at: </w:t>
      </w:r>
      <w:hyperlink r:id="rId13">
        <w:r w:rsidRPr="00B31CD3">
          <w:rPr>
            <w:color w:val="1155CC"/>
            <w:sz w:val="24"/>
            <w:szCs w:val="24"/>
            <w:highlight w:val="white"/>
            <w:u w:val="single"/>
          </w:rPr>
          <w:t>https://doi.org/10.1108/JFMPC-11-2022-0057</w:t>
        </w:r>
      </w:hyperlink>
    </w:p>
    <w:p w14:paraId="2868AEB0"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 xml:space="preserve">Philipp, B., (2025). Brexit consequences on supply chains: towards a risk management framework. In </w:t>
      </w:r>
      <w:r w:rsidRPr="00B31CD3">
        <w:rPr>
          <w:i/>
          <w:iCs/>
          <w:color w:val="222222"/>
          <w:sz w:val="24"/>
          <w:szCs w:val="24"/>
          <w:highlight w:val="white"/>
        </w:rPr>
        <w:t>Supply Chain Forum: An International Journal</w:t>
      </w:r>
      <w:r w:rsidRPr="00B31CD3">
        <w:rPr>
          <w:color w:val="222222"/>
          <w:sz w:val="24"/>
          <w:szCs w:val="24"/>
          <w:highlight w:val="white"/>
        </w:rPr>
        <w:t xml:space="preserve"> (Vol. 26, No. 3, pp. 345-357). Taylor &amp; Francis.</w:t>
      </w:r>
    </w:p>
    <w:p w14:paraId="53026942"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 xml:space="preserve">Shahee, A., Abdoos, M., Aslani, A. and Zahedi, R., (2024). Reducing the energy consumption of buildings by implementing insulation scenarios and using renewable energies. </w:t>
      </w:r>
      <w:r w:rsidRPr="00B31CD3">
        <w:rPr>
          <w:i/>
          <w:iCs/>
          <w:color w:val="222222"/>
          <w:sz w:val="24"/>
          <w:szCs w:val="24"/>
          <w:highlight w:val="white"/>
        </w:rPr>
        <w:t>Energy Informatics</w:t>
      </w:r>
      <w:r w:rsidRPr="00B31CD3">
        <w:rPr>
          <w:color w:val="222222"/>
          <w:sz w:val="24"/>
          <w:szCs w:val="24"/>
          <w:highlight w:val="white"/>
        </w:rPr>
        <w:t xml:space="preserve">, </w:t>
      </w:r>
      <w:r w:rsidRPr="00B31CD3">
        <w:rPr>
          <w:i/>
          <w:iCs/>
          <w:color w:val="222222"/>
          <w:sz w:val="24"/>
          <w:szCs w:val="24"/>
          <w:highlight w:val="white"/>
        </w:rPr>
        <w:t>7</w:t>
      </w:r>
      <w:r w:rsidRPr="00B31CD3">
        <w:rPr>
          <w:color w:val="222222"/>
          <w:sz w:val="24"/>
          <w:szCs w:val="24"/>
          <w:highlight w:val="white"/>
        </w:rPr>
        <w:t xml:space="preserve">(1), p.18. Available at: </w:t>
      </w:r>
      <w:hyperlink r:id="rId14">
        <w:r w:rsidRPr="00B31CD3">
          <w:rPr>
            <w:color w:val="1155CC"/>
            <w:sz w:val="24"/>
            <w:szCs w:val="24"/>
            <w:highlight w:val="white"/>
            <w:u w:val="single"/>
          </w:rPr>
          <w:t>https://doi.org/10.1186/s42162-024-00311-9</w:t>
        </w:r>
      </w:hyperlink>
    </w:p>
    <w:p w14:paraId="1E8CF939" w14:textId="77777777" w:rsidR="001F07B6" w:rsidRPr="00B31CD3" w:rsidRDefault="001F07B6" w:rsidP="001F07B6">
      <w:pPr>
        <w:spacing w:before="120" w:after="120" w:line="360" w:lineRule="auto"/>
        <w:jc w:val="both"/>
        <w:rPr>
          <w:color w:val="222222"/>
          <w:sz w:val="24"/>
          <w:szCs w:val="24"/>
          <w:highlight w:val="white"/>
        </w:rPr>
      </w:pPr>
      <w:r w:rsidRPr="00B31CD3">
        <w:rPr>
          <w:color w:val="222222"/>
          <w:sz w:val="24"/>
          <w:szCs w:val="24"/>
          <w:highlight w:val="white"/>
        </w:rPr>
        <w:t xml:space="preserve">Smith, J., Edwards, D.J., Martek, I., Chileshe, N., Hayhow, S. and Roberts, C.J., (2023). The antecedents of construction project change: an analysis of design and build procurement application. </w:t>
      </w:r>
      <w:r w:rsidRPr="00B31CD3">
        <w:rPr>
          <w:i/>
          <w:iCs/>
          <w:color w:val="222222"/>
          <w:sz w:val="24"/>
          <w:szCs w:val="24"/>
          <w:highlight w:val="white"/>
        </w:rPr>
        <w:t>Journal of Engineering, Design and Technology</w:t>
      </w:r>
      <w:r w:rsidRPr="00B31CD3">
        <w:rPr>
          <w:color w:val="222222"/>
          <w:sz w:val="24"/>
          <w:szCs w:val="24"/>
          <w:highlight w:val="white"/>
        </w:rPr>
        <w:t xml:space="preserve">, </w:t>
      </w:r>
      <w:r w:rsidRPr="00B31CD3">
        <w:rPr>
          <w:i/>
          <w:iCs/>
          <w:color w:val="222222"/>
          <w:sz w:val="24"/>
          <w:szCs w:val="24"/>
          <w:highlight w:val="white"/>
        </w:rPr>
        <w:t>21</w:t>
      </w:r>
      <w:r w:rsidRPr="00B31CD3">
        <w:rPr>
          <w:color w:val="222222"/>
          <w:sz w:val="24"/>
          <w:szCs w:val="24"/>
          <w:highlight w:val="white"/>
        </w:rPr>
        <w:t xml:space="preserve">(3), pp.655-689. Available at: </w:t>
      </w:r>
      <w:hyperlink r:id="rId15">
        <w:r w:rsidRPr="00B31CD3">
          <w:rPr>
            <w:color w:val="1155CC"/>
            <w:sz w:val="24"/>
            <w:szCs w:val="24"/>
            <w:highlight w:val="white"/>
            <w:u w:val="single"/>
          </w:rPr>
          <w:t>https://doi.org/10.1108/JEDT-12-2020-0507</w:t>
        </w:r>
      </w:hyperlink>
    </w:p>
    <w:p w14:paraId="2141B6EE" w14:textId="77777777" w:rsidR="001F07B6" w:rsidRPr="00B31CD3" w:rsidRDefault="001F07B6" w:rsidP="001F07B6">
      <w:pPr>
        <w:spacing w:before="120" w:after="120" w:line="360" w:lineRule="auto"/>
        <w:ind w:left="720"/>
        <w:jc w:val="both"/>
        <w:rPr>
          <w:color w:val="222222"/>
          <w:sz w:val="24"/>
          <w:szCs w:val="24"/>
          <w:highlight w:val="white"/>
        </w:rPr>
      </w:pPr>
    </w:p>
    <w:p w14:paraId="71139D47" w14:textId="77777777" w:rsidR="001F07B6" w:rsidRPr="00B31CD3" w:rsidRDefault="001F07B6" w:rsidP="001F07B6">
      <w:pPr>
        <w:jc w:val="both"/>
      </w:pPr>
    </w:p>
    <w:p w14:paraId="1F812F90" w14:textId="58A529D8" w:rsidR="001F07B6" w:rsidRPr="001F07B6" w:rsidRDefault="001F07B6" w:rsidP="001F07B6">
      <w:pPr>
        <w:spacing w:after="160" w:line="278" w:lineRule="auto"/>
        <w:jc w:val="both"/>
        <w:rPr>
          <w:sz w:val="22"/>
          <w:szCs w:val="22"/>
        </w:rPr>
      </w:pPr>
    </w:p>
    <w:p w14:paraId="5A0F75BE" w14:textId="77777777" w:rsidR="0045061A" w:rsidRPr="001F07B6" w:rsidRDefault="0045061A" w:rsidP="001F07B6"/>
    <w:sectPr w:rsidR="0045061A" w:rsidRPr="001F07B6" w:rsidSect="001F07B6">
      <w:footerReference w:type="default" r:id="rId16"/>
      <w:pgSz w:w="11906" w:h="16838" w:code="9"/>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8E23F" w14:textId="77777777" w:rsidR="00F01FB0" w:rsidRDefault="00F01FB0">
      <w:r>
        <w:separator/>
      </w:r>
    </w:p>
  </w:endnote>
  <w:endnote w:type="continuationSeparator" w:id="0">
    <w:p w14:paraId="7C45AD04" w14:textId="77777777" w:rsidR="00F01FB0" w:rsidRDefault="00F01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7FB69" w14:textId="77777777" w:rsidR="00885EBA" w:rsidRDefault="00885EB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8241F" w14:textId="77777777" w:rsidR="00F01FB0" w:rsidRDefault="00F01FB0">
      <w:r>
        <w:separator/>
      </w:r>
    </w:p>
  </w:footnote>
  <w:footnote w:type="continuationSeparator" w:id="0">
    <w:p w14:paraId="1CF8E529" w14:textId="77777777" w:rsidR="00F01FB0" w:rsidRDefault="00F01F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5A99"/>
    <w:multiLevelType w:val="multilevel"/>
    <w:tmpl w:val="AE16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364CD"/>
    <w:multiLevelType w:val="multilevel"/>
    <w:tmpl w:val="B5D0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3507C"/>
    <w:multiLevelType w:val="multilevel"/>
    <w:tmpl w:val="F5CE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56057"/>
    <w:multiLevelType w:val="multilevel"/>
    <w:tmpl w:val="84EC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E3706"/>
    <w:multiLevelType w:val="multilevel"/>
    <w:tmpl w:val="2D08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6C4619"/>
    <w:multiLevelType w:val="multilevel"/>
    <w:tmpl w:val="0462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A70E18"/>
    <w:multiLevelType w:val="multilevel"/>
    <w:tmpl w:val="B550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B2366D"/>
    <w:multiLevelType w:val="multilevel"/>
    <w:tmpl w:val="8282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720CBC"/>
    <w:multiLevelType w:val="multilevel"/>
    <w:tmpl w:val="633E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813AB4"/>
    <w:multiLevelType w:val="multilevel"/>
    <w:tmpl w:val="8B98D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AA7466"/>
    <w:multiLevelType w:val="multilevel"/>
    <w:tmpl w:val="6BB2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313800"/>
    <w:multiLevelType w:val="multilevel"/>
    <w:tmpl w:val="0D1AE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915A94"/>
    <w:multiLevelType w:val="multilevel"/>
    <w:tmpl w:val="311E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F707C1"/>
    <w:multiLevelType w:val="multilevel"/>
    <w:tmpl w:val="43F0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7578A5"/>
    <w:multiLevelType w:val="multilevel"/>
    <w:tmpl w:val="6676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9E2639"/>
    <w:multiLevelType w:val="multilevel"/>
    <w:tmpl w:val="46E8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0624E8"/>
    <w:multiLevelType w:val="multilevel"/>
    <w:tmpl w:val="2B66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F31CF0"/>
    <w:multiLevelType w:val="multilevel"/>
    <w:tmpl w:val="ADCA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8B49F7"/>
    <w:multiLevelType w:val="multilevel"/>
    <w:tmpl w:val="AF18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621861"/>
    <w:multiLevelType w:val="multilevel"/>
    <w:tmpl w:val="DB16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55069E"/>
    <w:multiLevelType w:val="multilevel"/>
    <w:tmpl w:val="2BD2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9437B0"/>
    <w:multiLevelType w:val="multilevel"/>
    <w:tmpl w:val="4F24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24464F"/>
    <w:multiLevelType w:val="multilevel"/>
    <w:tmpl w:val="FA46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E01096"/>
    <w:multiLevelType w:val="multilevel"/>
    <w:tmpl w:val="FBB04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E97B9E"/>
    <w:multiLevelType w:val="multilevel"/>
    <w:tmpl w:val="66F8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1605F1"/>
    <w:multiLevelType w:val="multilevel"/>
    <w:tmpl w:val="5586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FD4280"/>
    <w:multiLevelType w:val="multilevel"/>
    <w:tmpl w:val="CEA6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392CE6"/>
    <w:multiLevelType w:val="multilevel"/>
    <w:tmpl w:val="5928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186F9A"/>
    <w:multiLevelType w:val="multilevel"/>
    <w:tmpl w:val="6832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267815"/>
    <w:multiLevelType w:val="multilevel"/>
    <w:tmpl w:val="273E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4B7714"/>
    <w:multiLevelType w:val="multilevel"/>
    <w:tmpl w:val="3E38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1C2051"/>
    <w:multiLevelType w:val="multilevel"/>
    <w:tmpl w:val="1D06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0275BF"/>
    <w:multiLevelType w:val="multilevel"/>
    <w:tmpl w:val="C284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9973E2"/>
    <w:multiLevelType w:val="multilevel"/>
    <w:tmpl w:val="E8780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D30B0B"/>
    <w:multiLevelType w:val="multilevel"/>
    <w:tmpl w:val="AFF6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8375CC"/>
    <w:multiLevelType w:val="multilevel"/>
    <w:tmpl w:val="EE30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F14469"/>
    <w:multiLevelType w:val="multilevel"/>
    <w:tmpl w:val="6238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824C0F"/>
    <w:multiLevelType w:val="multilevel"/>
    <w:tmpl w:val="5C3A9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9A58A9"/>
    <w:multiLevelType w:val="multilevel"/>
    <w:tmpl w:val="3294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5A223E"/>
    <w:multiLevelType w:val="multilevel"/>
    <w:tmpl w:val="D044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847B0A"/>
    <w:multiLevelType w:val="multilevel"/>
    <w:tmpl w:val="28C22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2C0FAD"/>
    <w:multiLevelType w:val="multilevel"/>
    <w:tmpl w:val="11D6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83754E"/>
    <w:multiLevelType w:val="multilevel"/>
    <w:tmpl w:val="F0C4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E241D8"/>
    <w:multiLevelType w:val="multilevel"/>
    <w:tmpl w:val="7FAE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2751D7"/>
    <w:multiLevelType w:val="multilevel"/>
    <w:tmpl w:val="D456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113448"/>
    <w:multiLevelType w:val="multilevel"/>
    <w:tmpl w:val="C884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9A1035"/>
    <w:multiLevelType w:val="multilevel"/>
    <w:tmpl w:val="E3F6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E7D0C67"/>
    <w:multiLevelType w:val="multilevel"/>
    <w:tmpl w:val="180A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F584E37"/>
    <w:multiLevelType w:val="multilevel"/>
    <w:tmpl w:val="D6A4C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0A95FDE"/>
    <w:multiLevelType w:val="multilevel"/>
    <w:tmpl w:val="3604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0C329FA"/>
    <w:multiLevelType w:val="multilevel"/>
    <w:tmpl w:val="29FE8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F15003"/>
    <w:multiLevelType w:val="multilevel"/>
    <w:tmpl w:val="6F7E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1D097F"/>
    <w:multiLevelType w:val="multilevel"/>
    <w:tmpl w:val="18F8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AE3A1D"/>
    <w:multiLevelType w:val="multilevel"/>
    <w:tmpl w:val="6058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B71B14"/>
    <w:multiLevelType w:val="multilevel"/>
    <w:tmpl w:val="F7FE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83D7F46"/>
    <w:multiLevelType w:val="multilevel"/>
    <w:tmpl w:val="D428B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703917"/>
    <w:multiLevelType w:val="multilevel"/>
    <w:tmpl w:val="C556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A8472FF"/>
    <w:multiLevelType w:val="multilevel"/>
    <w:tmpl w:val="FCF2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B7162CC"/>
    <w:multiLevelType w:val="multilevel"/>
    <w:tmpl w:val="E9863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B746DD2"/>
    <w:multiLevelType w:val="multilevel"/>
    <w:tmpl w:val="9B06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E3C1A36"/>
    <w:multiLevelType w:val="multilevel"/>
    <w:tmpl w:val="6F38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E985533"/>
    <w:multiLevelType w:val="multilevel"/>
    <w:tmpl w:val="7930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EC105C5"/>
    <w:multiLevelType w:val="multilevel"/>
    <w:tmpl w:val="0D4C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F326692"/>
    <w:multiLevelType w:val="multilevel"/>
    <w:tmpl w:val="8880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FE538D0"/>
    <w:multiLevelType w:val="multilevel"/>
    <w:tmpl w:val="9E06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74131C"/>
    <w:multiLevelType w:val="multilevel"/>
    <w:tmpl w:val="8F10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1B30526"/>
    <w:multiLevelType w:val="multilevel"/>
    <w:tmpl w:val="54DAC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665EBF"/>
    <w:multiLevelType w:val="multilevel"/>
    <w:tmpl w:val="0FA2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2F70835"/>
    <w:multiLevelType w:val="multilevel"/>
    <w:tmpl w:val="2F74D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39418F8"/>
    <w:multiLevelType w:val="multilevel"/>
    <w:tmpl w:val="2264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4464CB6"/>
    <w:multiLevelType w:val="multilevel"/>
    <w:tmpl w:val="4F00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47B3A14"/>
    <w:multiLevelType w:val="multilevel"/>
    <w:tmpl w:val="AA10C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EE6513"/>
    <w:multiLevelType w:val="multilevel"/>
    <w:tmpl w:val="AAEC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69A0DF6"/>
    <w:multiLevelType w:val="multilevel"/>
    <w:tmpl w:val="9756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75C3859"/>
    <w:multiLevelType w:val="multilevel"/>
    <w:tmpl w:val="F036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94C727A"/>
    <w:multiLevelType w:val="multilevel"/>
    <w:tmpl w:val="E17C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9B40E58"/>
    <w:multiLevelType w:val="multilevel"/>
    <w:tmpl w:val="DA4A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344B76"/>
    <w:multiLevelType w:val="multilevel"/>
    <w:tmpl w:val="4B84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AB04C2B"/>
    <w:multiLevelType w:val="multilevel"/>
    <w:tmpl w:val="A8BC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5F5FBE"/>
    <w:multiLevelType w:val="multilevel"/>
    <w:tmpl w:val="8458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C600F25"/>
    <w:multiLevelType w:val="multilevel"/>
    <w:tmpl w:val="465A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D8D306C"/>
    <w:multiLevelType w:val="multilevel"/>
    <w:tmpl w:val="99E4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DF4337B"/>
    <w:multiLevelType w:val="multilevel"/>
    <w:tmpl w:val="54A25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F35318D"/>
    <w:multiLevelType w:val="multilevel"/>
    <w:tmpl w:val="7A4C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F830271"/>
    <w:multiLevelType w:val="multilevel"/>
    <w:tmpl w:val="A7CC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FBC7963"/>
    <w:multiLevelType w:val="multilevel"/>
    <w:tmpl w:val="45F4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00E30F1"/>
    <w:multiLevelType w:val="multilevel"/>
    <w:tmpl w:val="7E4E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0FD20F1"/>
    <w:multiLevelType w:val="multilevel"/>
    <w:tmpl w:val="FC5C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283794C"/>
    <w:multiLevelType w:val="multilevel"/>
    <w:tmpl w:val="6338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4B008CC"/>
    <w:multiLevelType w:val="multilevel"/>
    <w:tmpl w:val="6F82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55F3EEE"/>
    <w:multiLevelType w:val="multilevel"/>
    <w:tmpl w:val="D2AA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61154DC"/>
    <w:multiLevelType w:val="multilevel"/>
    <w:tmpl w:val="ACCC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66907A0"/>
    <w:multiLevelType w:val="multilevel"/>
    <w:tmpl w:val="86CCB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8205E9E"/>
    <w:multiLevelType w:val="multilevel"/>
    <w:tmpl w:val="40A80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85E19E4"/>
    <w:multiLevelType w:val="multilevel"/>
    <w:tmpl w:val="E282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93A1CF8"/>
    <w:multiLevelType w:val="multilevel"/>
    <w:tmpl w:val="32C4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9B054DE"/>
    <w:multiLevelType w:val="multilevel"/>
    <w:tmpl w:val="24C4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A6B5F86"/>
    <w:multiLevelType w:val="multilevel"/>
    <w:tmpl w:val="BF803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B387FE1"/>
    <w:multiLevelType w:val="multilevel"/>
    <w:tmpl w:val="65FE5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BB95969"/>
    <w:multiLevelType w:val="multilevel"/>
    <w:tmpl w:val="BAFE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BDE75F2"/>
    <w:multiLevelType w:val="multilevel"/>
    <w:tmpl w:val="17EA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DC97431"/>
    <w:multiLevelType w:val="multilevel"/>
    <w:tmpl w:val="8600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EB15064"/>
    <w:multiLevelType w:val="multilevel"/>
    <w:tmpl w:val="BA365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1231A37"/>
    <w:multiLevelType w:val="multilevel"/>
    <w:tmpl w:val="D0BE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3A95F96"/>
    <w:multiLevelType w:val="multilevel"/>
    <w:tmpl w:val="8D4A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6F178E"/>
    <w:multiLevelType w:val="multilevel"/>
    <w:tmpl w:val="984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67668CD"/>
    <w:multiLevelType w:val="multilevel"/>
    <w:tmpl w:val="C17C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748585D"/>
    <w:multiLevelType w:val="multilevel"/>
    <w:tmpl w:val="81EC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91F645B"/>
    <w:multiLevelType w:val="multilevel"/>
    <w:tmpl w:val="ABD2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A9C1411"/>
    <w:multiLevelType w:val="multilevel"/>
    <w:tmpl w:val="06903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BA07B69"/>
    <w:multiLevelType w:val="multilevel"/>
    <w:tmpl w:val="8BB0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CDA01CD"/>
    <w:multiLevelType w:val="multilevel"/>
    <w:tmpl w:val="AD58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F4C5341"/>
    <w:multiLevelType w:val="multilevel"/>
    <w:tmpl w:val="4CC4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F826520"/>
    <w:multiLevelType w:val="multilevel"/>
    <w:tmpl w:val="7876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991992">
    <w:abstractNumId w:val="89"/>
  </w:num>
  <w:num w:numId="2" w16cid:durableId="818499842">
    <w:abstractNumId w:val="106"/>
  </w:num>
  <w:num w:numId="3" w16cid:durableId="1649894875">
    <w:abstractNumId w:val="107"/>
  </w:num>
  <w:num w:numId="4" w16cid:durableId="1319532665">
    <w:abstractNumId w:val="71"/>
  </w:num>
  <w:num w:numId="5" w16cid:durableId="1147237398">
    <w:abstractNumId w:val="0"/>
  </w:num>
  <w:num w:numId="6" w16cid:durableId="104034950">
    <w:abstractNumId w:val="68"/>
  </w:num>
  <w:num w:numId="7" w16cid:durableId="1286737334">
    <w:abstractNumId w:val="54"/>
  </w:num>
  <w:num w:numId="8" w16cid:durableId="601304606">
    <w:abstractNumId w:val="50"/>
  </w:num>
  <w:num w:numId="9" w16cid:durableId="1329405838">
    <w:abstractNumId w:val="76"/>
  </w:num>
  <w:num w:numId="10" w16cid:durableId="1565094810">
    <w:abstractNumId w:val="41"/>
  </w:num>
  <w:num w:numId="11" w16cid:durableId="1826164684">
    <w:abstractNumId w:val="27"/>
  </w:num>
  <w:num w:numId="12" w16cid:durableId="853887646">
    <w:abstractNumId w:val="43"/>
  </w:num>
  <w:num w:numId="13" w16cid:durableId="871650064">
    <w:abstractNumId w:val="55"/>
  </w:num>
  <w:num w:numId="14" w16cid:durableId="1033574790">
    <w:abstractNumId w:val="69"/>
  </w:num>
  <w:num w:numId="15" w16cid:durableId="1573924367">
    <w:abstractNumId w:val="96"/>
  </w:num>
  <w:num w:numId="16" w16cid:durableId="1223368059">
    <w:abstractNumId w:val="49"/>
  </w:num>
  <w:num w:numId="17" w16cid:durableId="245650913">
    <w:abstractNumId w:val="42"/>
  </w:num>
  <w:num w:numId="18" w16cid:durableId="2000385030">
    <w:abstractNumId w:val="86"/>
  </w:num>
  <w:num w:numId="19" w16cid:durableId="429737630">
    <w:abstractNumId w:val="91"/>
  </w:num>
  <w:num w:numId="20" w16cid:durableId="1770736061">
    <w:abstractNumId w:val="92"/>
  </w:num>
  <w:num w:numId="21" w16cid:durableId="1688093955">
    <w:abstractNumId w:val="25"/>
  </w:num>
  <w:num w:numId="22" w16cid:durableId="548884612">
    <w:abstractNumId w:val="51"/>
  </w:num>
  <w:num w:numId="23" w16cid:durableId="1133719017">
    <w:abstractNumId w:val="19"/>
  </w:num>
  <w:num w:numId="24" w16cid:durableId="2085641908">
    <w:abstractNumId w:val="29"/>
  </w:num>
  <w:num w:numId="25" w16cid:durableId="766846225">
    <w:abstractNumId w:val="84"/>
  </w:num>
  <w:num w:numId="26" w16cid:durableId="1300647496">
    <w:abstractNumId w:val="46"/>
  </w:num>
  <w:num w:numId="27" w16cid:durableId="1818837755">
    <w:abstractNumId w:val="85"/>
  </w:num>
  <w:num w:numId="28" w16cid:durableId="137651061">
    <w:abstractNumId w:val="66"/>
  </w:num>
  <w:num w:numId="29" w16cid:durableId="746803284">
    <w:abstractNumId w:val="60"/>
  </w:num>
  <w:num w:numId="30" w16cid:durableId="2128349982">
    <w:abstractNumId w:val="110"/>
  </w:num>
  <w:num w:numId="31" w16cid:durableId="155808765">
    <w:abstractNumId w:val="77"/>
  </w:num>
  <w:num w:numId="32" w16cid:durableId="285695950">
    <w:abstractNumId w:val="17"/>
  </w:num>
  <w:num w:numId="33" w16cid:durableId="1578057115">
    <w:abstractNumId w:val="39"/>
  </w:num>
  <w:num w:numId="34" w16cid:durableId="216360220">
    <w:abstractNumId w:val="37"/>
  </w:num>
  <w:num w:numId="35" w16cid:durableId="1995991823">
    <w:abstractNumId w:val="32"/>
  </w:num>
  <w:num w:numId="36" w16cid:durableId="1057434850">
    <w:abstractNumId w:val="80"/>
  </w:num>
  <w:num w:numId="37" w16cid:durableId="531109443">
    <w:abstractNumId w:val="14"/>
  </w:num>
  <w:num w:numId="38" w16cid:durableId="80880611">
    <w:abstractNumId w:val="44"/>
  </w:num>
  <w:num w:numId="39" w16cid:durableId="542248921">
    <w:abstractNumId w:val="103"/>
  </w:num>
  <w:num w:numId="40" w16cid:durableId="1645890483">
    <w:abstractNumId w:val="38"/>
  </w:num>
  <w:num w:numId="41" w16cid:durableId="1523472486">
    <w:abstractNumId w:val="1"/>
  </w:num>
  <w:num w:numId="42" w16cid:durableId="358512980">
    <w:abstractNumId w:val="20"/>
  </w:num>
  <w:num w:numId="43" w16cid:durableId="535852726">
    <w:abstractNumId w:val="101"/>
  </w:num>
  <w:num w:numId="44" w16cid:durableId="302347877">
    <w:abstractNumId w:val="105"/>
  </w:num>
  <w:num w:numId="45" w16cid:durableId="800612261">
    <w:abstractNumId w:val="52"/>
  </w:num>
  <w:num w:numId="46" w16cid:durableId="514809480">
    <w:abstractNumId w:val="24"/>
  </w:num>
  <w:num w:numId="47" w16cid:durableId="392506988">
    <w:abstractNumId w:val="58"/>
  </w:num>
  <w:num w:numId="48" w16cid:durableId="381830447">
    <w:abstractNumId w:val="40"/>
  </w:num>
  <w:num w:numId="49" w16cid:durableId="649940230">
    <w:abstractNumId w:val="73"/>
  </w:num>
  <w:num w:numId="50" w16cid:durableId="2018188106">
    <w:abstractNumId w:val="33"/>
  </w:num>
  <w:num w:numId="51" w16cid:durableId="1167939017">
    <w:abstractNumId w:val="8"/>
  </w:num>
  <w:num w:numId="52" w16cid:durableId="1560826526">
    <w:abstractNumId w:val="48"/>
  </w:num>
  <w:num w:numId="53" w16cid:durableId="725180635">
    <w:abstractNumId w:val="56"/>
  </w:num>
  <w:num w:numId="54" w16cid:durableId="1632596340">
    <w:abstractNumId w:val="109"/>
  </w:num>
  <w:num w:numId="55" w16cid:durableId="147943788">
    <w:abstractNumId w:val="67"/>
  </w:num>
  <w:num w:numId="56" w16cid:durableId="1369060648">
    <w:abstractNumId w:val="10"/>
  </w:num>
  <w:num w:numId="57" w16cid:durableId="1882595466">
    <w:abstractNumId w:val="104"/>
  </w:num>
  <w:num w:numId="58" w16cid:durableId="1239361522">
    <w:abstractNumId w:val="13"/>
  </w:num>
  <w:num w:numId="59" w16cid:durableId="100690012">
    <w:abstractNumId w:val="28"/>
  </w:num>
  <w:num w:numId="60" w16cid:durableId="316812052">
    <w:abstractNumId w:val="64"/>
  </w:num>
  <w:num w:numId="61" w16cid:durableId="599721734">
    <w:abstractNumId w:val="100"/>
  </w:num>
  <w:num w:numId="62" w16cid:durableId="1525173919">
    <w:abstractNumId w:val="23"/>
  </w:num>
  <w:num w:numId="63" w16cid:durableId="1152060572">
    <w:abstractNumId w:val="102"/>
  </w:num>
  <w:num w:numId="64" w16cid:durableId="109932404">
    <w:abstractNumId w:val="81"/>
  </w:num>
  <w:num w:numId="65" w16cid:durableId="1201822684">
    <w:abstractNumId w:val="108"/>
  </w:num>
  <w:num w:numId="66" w16cid:durableId="2039969953">
    <w:abstractNumId w:val="99"/>
  </w:num>
  <w:num w:numId="67" w16cid:durableId="2131628008">
    <w:abstractNumId w:val="16"/>
  </w:num>
  <w:num w:numId="68" w16cid:durableId="1020469652">
    <w:abstractNumId w:val="87"/>
  </w:num>
  <w:num w:numId="69" w16cid:durableId="1853301283">
    <w:abstractNumId w:val="83"/>
  </w:num>
  <w:num w:numId="70" w16cid:durableId="1919092817">
    <w:abstractNumId w:val="79"/>
  </w:num>
  <w:num w:numId="71" w16cid:durableId="796412529">
    <w:abstractNumId w:val="62"/>
  </w:num>
  <w:num w:numId="72" w16cid:durableId="844780174">
    <w:abstractNumId w:val="30"/>
  </w:num>
  <w:num w:numId="73" w16cid:durableId="1207597998">
    <w:abstractNumId w:val="74"/>
  </w:num>
  <w:num w:numId="74" w16cid:durableId="561872120">
    <w:abstractNumId w:val="11"/>
  </w:num>
  <w:num w:numId="75" w16cid:durableId="193004755">
    <w:abstractNumId w:val="9"/>
  </w:num>
  <w:num w:numId="76" w16cid:durableId="1902906021">
    <w:abstractNumId w:val="47"/>
  </w:num>
  <w:num w:numId="77" w16cid:durableId="429739917">
    <w:abstractNumId w:val="15"/>
  </w:num>
  <w:num w:numId="78" w16cid:durableId="670067989">
    <w:abstractNumId w:val="34"/>
  </w:num>
  <w:num w:numId="79" w16cid:durableId="1638803407">
    <w:abstractNumId w:val="26"/>
  </w:num>
  <w:num w:numId="80" w16cid:durableId="968782583">
    <w:abstractNumId w:val="75"/>
  </w:num>
  <w:num w:numId="81" w16cid:durableId="11538284">
    <w:abstractNumId w:val="36"/>
  </w:num>
  <w:num w:numId="82" w16cid:durableId="348721551">
    <w:abstractNumId w:val="59"/>
  </w:num>
  <w:num w:numId="83" w16cid:durableId="1149587963">
    <w:abstractNumId w:val="57"/>
  </w:num>
  <w:num w:numId="84" w16cid:durableId="1399397504">
    <w:abstractNumId w:val="88"/>
  </w:num>
  <w:num w:numId="85" w16cid:durableId="1201092536">
    <w:abstractNumId w:val="113"/>
  </w:num>
  <w:num w:numId="86" w16cid:durableId="176358125">
    <w:abstractNumId w:val="61"/>
  </w:num>
  <w:num w:numId="87" w16cid:durableId="118108633">
    <w:abstractNumId w:val="90"/>
  </w:num>
  <w:num w:numId="88" w16cid:durableId="2046828295">
    <w:abstractNumId w:val="6"/>
  </w:num>
  <w:num w:numId="89" w16cid:durableId="294721973">
    <w:abstractNumId w:val="18"/>
  </w:num>
  <w:num w:numId="90" w16cid:durableId="1711369860">
    <w:abstractNumId w:val="94"/>
  </w:num>
  <w:num w:numId="91" w16cid:durableId="434325472">
    <w:abstractNumId w:val="35"/>
  </w:num>
  <w:num w:numId="92" w16cid:durableId="1472946035">
    <w:abstractNumId w:val="31"/>
  </w:num>
  <w:num w:numId="93" w16cid:durableId="2107773968">
    <w:abstractNumId w:val="112"/>
  </w:num>
  <w:num w:numId="94" w16cid:durableId="1462963098">
    <w:abstractNumId w:val="3"/>
  </w:num>
  <w:num w:numId="95" w16cid:durableId="2134248618">
    <w:abstractNumId w:val="45"/>
  </w:num>
  <w:num w:numId="96" w16cid:durableId="1712538067">
    <w:abstractNumId w:val="2"/>
  </w:num>
  <w:num w:numId="97" w16cid:durableId="1680765865">
    <w:abstractNumId w:val="12"/>
  </w:num>
  <w:num w:numId="98" w16cid:durableId="153033073">
    <w:abstractNumId w:val="97"/>
  </w:num>
  <w:num w:numId="99" w16cid:durableId="411657909">
    <w:abstractNumId w:val="53"/>
  </w:num>
  <w:num w:numId="100" w16cid:durableId="701511783">
    <w:abstractNumId w:val="93"/>
  </w:num>
  <w:num w:numId="101" w16cid:durableId="1683848440">
    <w:abstractNumId w:val="22"/>
  </w:num>
  <w:num w:numId="102" w16cid:durableId="230164526">
    <w:abstractNumId w:val="21"/>
  </w:num>
  <w:num w:numId="103" w16cid:durableId="585112729">
    <w:abstractNumId w:val="7"/>
  </w:num>
  <w:num w:numId="104" w16cid:durableId="1186871362">
    <w:abstractNumId w:val="65"/>
  </w:num>
  <w:num w:numId="105" w16cid:durableId="1783575000">
    <w:abstractNumId w:val="95"/>
  </w:num>
  <w:num w:numId="106" w16cid:durableId="1748764787">
    <w:abstractNumId w:val="82"/>
  </w:num>
  <w:num w:numId="107" w16cid:durableId="1379664317">
    <w:abstractNumId w:val="70"/>
  </w:num>
  <w:num w:numId="108" w16cid:durableId="1909220928">
    <w:abstractNumId w:val="78"/>
  </w:num>
  <w:num w:numId="109" w16cid:durableId="1069573205">
    <w:abstractNumId w:val="98"/>
  </w:num>
  <w:num w:numId="110" w16cid:durableId="205873862">
    <w:abstractNumId w:val="63"/>
  </w:num>
  <w:num w:numId="111" w16cid:durableId="923608135">
    <w:abstractNumId w:val="4"/>
  </w:num>
  <w:num w:numId="112" w16cid:durableId="1016612186">
    <w:abstractNumId w:val="111"/>
  </w:num>
  <w:num w:numId="113" w16cid:durableId="2017078825">
    <w:abstractNumId w:val="72"/>
  </w:num>
  <w:num w:numId="114" w16cid:durableId="19017434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61A"/>
    <w:rsid w:val="0012711A"/>
    <w:rsid w:val="001A7FF8"/>
    <w:rsid w:val="001F07B6"/>
    <w:rsid w:val="00387205"/>
    <w:rsid w:val="0045061A"/>
    <w:rsid w:val="00542C1A"/>
    <w:rsid w:val="00714A36"/>
    <w:rsid w:val="00817468"/>
    <w:rsid w:val="00844DB3"/>
    <w:rsid w:val="00885EBA"/>
    <w:rsid w:val="00952CB6"/>
    <w:rsid w:val="00B31CD3"/>
    <w:rsid w:val="00C91B03"/>
    <w:rsid w:val="00F01FB0"/>
    <w:rsid w:val="00F82089"/>
    <w:rsid w:val="00FA0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F1743"/>
  <w15:chartTrackingRefBased/>
  <w15:docId w15:val="{114437FF-4B3F-440A-B6F6-0DB32C947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EBA"/>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4506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506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506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06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06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061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61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61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61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6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506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506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06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06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06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6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6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61A"/>
    <w:rPr>
      <w:rFonts w:eastAsiaTheme="majorEastAsia" w:cstheme="majorBidi"/>
      <w:color w:val="272727" w:themeColor="text1" w:themeTint="D8"/>
    </w:rPr>
  </w:style>
  <w:style w:type="paragraph" w:styleId="Title">
    <w:name w:val="Title"/>
    <w:basedOn w:val="Normal"/>
    <w:next w:val="Normal"/>
    <w:link w:val="TitleChar"/>
    <w:uiPriority w:val="10"/>
    <w:qFormat/>
    <w:rsid w:val="004506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6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6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6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61A"/>
    <w:pPr>
      <w:spacing w:before="160"/>
      <w:jc w:val="center"/>
    </w:pPr>
    <w:rPr>
      <w:i/>
      <w:iCs/>
      <w:color w:val="404040" w:themeColor="text1" w:themeTint="BF"/>
    </w:rPr>
  </w:style>
  <w:style w:type="character" w:customStyle="1" w:styleId="QuoteChar">
    <w:name w:val="Quote Char"/>
    <w:basedOn w:val="DefaultParagraphFont"/>
    <w:link w:val="Quote"/>
    <w:uiPriority w:val="29"/>
    <w:rsid w:val="0045061A"/>
    <w:rPr>
      <w:i/>
      <w:iCs/>
      <w:color w:val="404040" w:themeColor="text1" w:themeTint="BF"/>
    </w:rPr>
  </w:style>
  <w:style w:type="paragraph" w:styleId="ListParagraph">
    <w:name w:val="List Paragraph"/>
    <w:basedOn w:val="Normal"/>
    <w:uiPriority w:val="34"/>
    <w:qFormat/>
    <w:rsid w:val="0045061A"/>
    <w:pPr>
      <w:ind w:left="720"/>
      <w:contextualSpacing/>
    </w:pPr>
  </w:style>
  <w:style w:type="character" w:styleId="IntenseEmphasis">
    <w:name w:val="Intense Emphasis"/>
    <w:basedOn w:val="DefaultParagraphFont"/>
    <w:uiPriority w:val="21"/>
    <w:qFormat/>
    <w:rsid w:val="0045061A"/>
    <w:rPr>
      <w:i/>
      <w:iCs/>
      <w:color w:val="2F5496" w:themeColor="accent1" w:themeShade="BF"/>
    </w:rPr>
  </w:style>
  <w:style w:type="paragraph" w:styleId="IntenseQuote">
    <w:name w:val="Intense Quote"/>
    <w:basedOn w:val="Normal"/>
    <w:next w:val="Normal"/>
    <w:link w:val="IntenseQuoteChar"/>
    <w:uiPriority w:val="30"/>
    <w:qFormat/>
    <w:rsid w:val="004506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061A"/>
    <w:rPr>
      <w:i/>
      <w:iCs/>
      <w:color w:val="2F5496" w:themeColor="accent1" w:themeShade="BF"/>
    </w:rPr>
  </w:style>
  <w:style w:type="character" w:styleId="IntenseReference">
    <w:name w:val="Intense Reference"/>
    <w:basedOn w:val="DefaultParagraphFont"/>
    <w:uiPriority w:val="32"/>
    <w:qFormat/>
    <w:rsid w:val="0045061A"/>
    <w:rPr>
      <w:b/>
      <w:bCs/>
      <w:smallCaps/>
      <w:color w:val="2F5496" w:themeColor="accent1" w:themeShade="BF"/>
      <w:spacing w:val="5"/>
    </w:rPr>
  </w:style>
  <w:style w:type="paragraph" w:customStyle="1" w:styleId="msonormal0">
    <w:name w:val="msonormal"/>
    <w:basedOn w:val="Normal"/>
    <w:rsid w:val="0045061A"/>
    <w:pPr>
      <w:spacing w:before="100" w:beforeAutospacing="1" w:after="100" w:afterAutospacing="1"/>
    </w:pPr>
  </w:style>
  <w:style w:type="paragraph" w:styleId="NormalWeb">
    <w:name w:val="Normal (Web)"/>
    <w:basedOn w:val="Normal"/>
    <w:uiPriority w:val="99"/>
    <w:semiHidden/>
    <w:unhideWhenUsed/>
    <w:rsid w:val="0045061A"/>
    <w:pPr>
      <w:spacing w:before="100" w:beforeAutospacing="1" w:after="100" w:afterAutospacing="1"/>
    </w:pPr>
  </w:style>
  <w:style w:type="character" w:styleId="Strong">
    <w:name w:val="Strong"/>
    <w:basedOn w:val="DefaultParagraphFont"/>
    <w:uiPriority w:val="22"/>
    <w:qFormat/>
    <w:rsid w:val="0045061A"/>
    <w:rPr>
      <w:b/>
      <w:bCs/>
    </w:rPr>
  </w:style>
  <w:style w:type="character" w:styleId="Emphasis">
    <w:name w:val="Emphasis"/>
    <w:basedOn w:val="DefaultParagraphFont"/>
    <w:uiPriority w:val="20"/>
    <w:qFormat/>
    <w:rsid w:val="0045061A"/>
    <w:rPr>
      <w:i/>
      <w:iCs/>
    </w:rPr>
  </w:style>
  <w:style w:type="paragraph" w:styleId="Footer">
    <w:name w:val="footer"/>
    <w:basedOn w:val="Normal"/>
    <w:link w:val="FooterChar"/>
    <w:uiPriority w:val="99"/>
    <w:rsid w:val="00885EBA"/>
    <w:pPr>
      <w:tabs>
        <w:tab w:val="center" w:pos="4153"/>
        <w:tab w:val="right" w:pos="8306"/>
      </w:tabs>
    </w:pPr>
  </w:style>
  <w:style w:type="character" w:customStyle="1" w:styleId="FooterChar">
    <w:name w:val="Footer Char"/>
    <w:basedOn w:val="DefaultParagraphFont"/>
    <w:link w:val="Footer"/>
    <w:uiPriority w:val="99"/>
    <w:rsid w:val="00885EBA"/>
    <w:rPr>
      <w:rFonts w:ascii="Times New Roman" w:eastAsia="Times New Roman" w:hAnsi="Times New Roman" w:cs="Times New Roman"/>
      <w:kern w:val="0"/>
      <w:sz w:val="20"/>
      <w:szCs w:val="20"/>
      <w:lang w:val="en-GB" w:eastAsia="en-GB"/>
      <w14:ligatures w14:val="none"/>
    </w:rPr>
  </w:style>
  <w:style w:type="paragraph" w:styleId="TOCHeading">
    <w:name w:val="TOC Heading"/>
    <w:basedOn w:val="Heading1"/>
    <w:next w:val="Normal"/>
    <w:uiPriority w:val="39"/>
    <w:unhideWhenUsed/>
    <w:qFormat/>
    <w:rsid w:val="00952CB6"/>
    <w:pPr>
      <w:spacing w:before="240" w:after="0" w:line="259" w:lineRule="auto"/>
      <w:outlineLvl w:val="9"/>
    </w:pPr>
    <w:rPr>
      <w:b/>
      <w:sz w:val="32"/>
      <w:szCs w:val="32"/>
      <w:lang w:val="en-US" w:eastAsia="en-US"/>
    </w:rPr>
  </w:style>
  <w:style w:type="paragraph" w:styleId="TOC1">
    <w:name w:val="toc 1"/>
    <w:basedOn w:val="Normal"/>
    <w:next w:val="Normal"/>
    <w:autoRedefine/>
    <w:uiPriority w:val="39"/>
    <w:unhideWhenUsed/>
    <w:rsid w:val="00952CB6"/>
    <w:pPr>
      <w:spacing w:after="100" w:line="276" w:lineRule="auto"/>
    </w:pPr>
    <w:rPr>
      <w:rFonts w:ascii="Arial" w:eastAsia="Arial" w:hAnsi="Arial" w:cs="Arial"/>
      <w:sz w:val="22"/>
      <w:szCs w:val="22"/>
      <w:lang w:val="bn" w:eastAsia="zh-CN"/>
    </w:rPr>
  </w:style>
  <w:style w:type="paragraph" w:styleId="TOC2">
    <w:name w:val="toc 2"/>
    <w:basedOn w:val="Normal"/>
    <w:next w:val="Normal"/>
    <w:autoRedefine/>
    <w:uiPriority w:val="39"/>
    <w:unhideWhenUsed/>
    <w:rsid w:val="00952CB6"/>
    <w:pPr>
      <w:spacing w:after="100" w:line="276" w:lineRule="auto"/>
      <w:ind w:left="220"/>
    </w:pPr>
    <w:rPr>
      <w:rFonts w:ascii="Arial" w:eastAsia="Arial" w:hAnsi="Arial" w:cs="Arial"/>
      <w:sz w:val="22"/>
      <w:szCs w:val="22"/>
      <w:lang w:val="bn" w:eastAsia="zh-CN"/>
    </w:rPr>
  </w:style>
  <w:style w:type="character" w:styleId="Hyperlink">
    <w:name w:val="Hyperlink"/>
    <w:basedOn w:val="DefaultParagraphFont"/>
    <w:uiPriority w:val="99"/>
    <w:unhideWhenUsed/>
    <w:rsid w:val="00952CB6"/>
    <w:rPr>
      <w:color w:val="0563C1" w:themeColor="hyperlink"/>
      <w:u w:val="single"/>
    </w:rPr>
  </w:style>
  <w:style w:type="paragraph" w:styleId="Header">
    <w:name w:val="header"/>
    <w:basedOn w:val="Normal"/>
    <w:link w:val="HeaderChar"/>
    <w:uiPriority w:val="99"/>
    <w:unhideWhenUsed/>
    <w:rsid w:val="001F07B6"/>
    <w:pPr>
      <w:tabs>
        <w:tab w:val="center" w:pos="4680"/>
        <w:tab w:val="right" w:pos="9360"/>
      </w:tabs>
    </w:pPr>
  </w:style>
  <w:style w:type="character" w:customStyle="1" w:styleId="HeaderChar">
    <w:name w:val="Header Char"/>
    <w:basedOn w:val="DefaultParagraphFont"/>
    <w:link w:val="Header"/>
    <w:uiPriority w:val="99"/>
    <w:rsid w:val="001F07B6"/>
    <w:rPr>
      <w:rFonts w:ascii="Times New Roman" w:eastAsia="Times New Roman" w:hAnsi="Times New Roman" w:cs="Times New Roman"/>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neco.2021.105775" TargetMode="External"/><Relationship Id="rId13" Type="http://schemas.openxmlformats.org/officeDocument/2006/relationships/hyperlink" Target="https://doi.org/10.1108/JFMPC-11-2022-005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jobe.2025.11377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680/jmapl.24.00051" TargetMode="External"/><Relationship Id="rId5" Type="http://schemas.openxmlformats.org/officeDocument/2006/relationships/footnotes" Target="footnotes.xml"/><Relationship Id="rId15" Type="http://schemas.openxmlformats.org/officeDocument/2006/relationships/hyperlink" Target="https://doi.org/10.1108/JEDT-12-2020-0507" TargetMode="External"/><Relationship Id="rId10" Type="http://schemas.openxmlformats.org/officeDocument/2006/relationships/hyperlink" Target="https://doi.org/10.1177/2977657020220303" TargetMode="External"/><Relationship Id="rId4" Type="http://schemas.openxmlformats.org/officeDocument/2006/relationships/webSettings" Target="webSettings.xml"/><Relationship Id="rId9" Type="http://schemas.openxmlformats.org/officeDocument/2006/relationships/hyperlink" Target="https://doi.org/10.1007/s11869-022-01239-3" TargetMode="External"/><Relationship Id="rId14" Type="http://schemas.openxmlformats.org/officeDocument/2006/relationships/hyperlink" Target="https://doi.org/10.1186/s42162-024-003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15</Pages>
  <Words>4242</Words>
  <Characters>24180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Ahsan Alahi Rafi</dc:creator>
  <cp:keywords/>
  <dc:description/>
  <cp:lastModifiedBy>Ahsan Alahi Rafi</cp:lastModifiedBy>
  <cp:revision>6</cp:revision>
  <dcterms:created xsi:type="dcterms:W3CDTF">2026-04-22T14:30:00Z</dcterms:created>
  <dcterms:modified xsi:type="dcterms:W3CDTF">2026-05-06T22:57:00Z</dcterms:modified>
</cp:coreProperties>
</file>