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Alberto Alessandro Berio</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instrText xml:space="preserve"> HYPERLINK "mailto:1907991@students.utwsd.ac.uk"</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14:textOutline>
                  <w14:noFill/>
                </w14:textOutline>
                <w14:textFill>
                  <w14:solidFill>
                    <w14:srgbClr w14:val="000000"/>
                  </w14:solidFill>
                </w14:textFill>
              </w:rPr>
              <w:t>1907991</w:t>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@students.utwsd.ac.uk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HPCA7003</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History of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p>
          <w:p>
            <w:pPr>
              <w:pStyle w:val="Header &amp; Footer"/>
              <w:tabs>
                <w:tab w:val="clear" w:pos="9020"/>
              </w:tabs>
            </w:pPr>
            <w:r>
              <w:rPr>
                <w:shd w:val="nil" w:color="auto" w:fill="auto"/>
                <w:rtl w:val="0"/>
                <w:lang w:val="en-US"/>
              </w:rPr>
              <w:t>1907991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 Critical Comparison of Two JSTOR Papers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November, 11th, 2019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This assignment is for the       1</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 xml:space="preserve">st </w:t>
            </w:r>
            <w:r>
              <w:rPr>
                <w:rFonts w:ascii="Arial" w:hAnsi="Arial"/>
                <w:outline w:val="0"/>
                <w:color w:val="000000"/>
                <w:sz w:val="22"/>
                <w:szCs w:val="22"/>
                <w:u w:color="000000"/>
                <w:shd w:val="nil" w:color="auto" w:fill="auto"/>
                <w:rtl w:val="0"/>
                <w:lang w:val="en-US"/>
                <w14:textFill>
                  <w14:solidFill>
                    <w14:srgbClr w14:val="000000"/>
                  </w14:solidFill>
                </w14:textFill>
              </w:rPr>
              <w:t xml:space="preserve">    2</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nd</w:t>
            </w:r>
            <w:r>
              <w:rPr>
                <w:rFonts w:ascii="Arial" w:hAnsi="Arial"/>
                <w:outline w:val="0"/>
                <w:color w:val="000000"/>
                <w:sz w:val="22"/>
                <w:szCs w:val="22"/>
                <w:u w:color="000000"/>
                <w:shd w:val="nil" w:color="auto" w:fill="auto"/>
                <w:rtl w:val="0"/>
                <w:lang w:val="en-US"/>
                <w14:textFill>
                  <w14:solidFill>
                    <w14:srgbClr w14:val="000000"/>
                  </w14:solidFill>
                </w14:textFill>
              </w:rPr>
              <w:t xml:space="preserve">       3</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rd</w:t>
            </w:r>
            <w:r>
              <w:rPr>
                <w:rFonts w:ascii="Arial" w:hAnsi="Arial"/>
                <w:outline w:val="0"/>
                <w:color w:val="000000"/>
                <w:sz w:val="22"/>
                <w:szCs w:val="22"/>
                <w:u w:color="000000"/>
                <w:shd w:val="nil" w:color="auto" w:fill="auto"/>
                <w:rtl w:val="0"/>
                <w:lang w:val="en-US"/>
                <w14:textFill>
                  <w14:solidFill>
                    <w14:srgbClr w14:val="000000"/>
                  </w14:solidFill>
                </w14:textFill>
              </w:rPr>
              <w:t xml:space="preserve">        4</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th</w:t>
            </w:r>
            <w:r>
              <w:rPr>
                <w:rFonts w:ascii="Arial" w:hAnsi="Arial"/>
                <w:outline w:val="0"/>
                <w:color w:val="000000"/>
                <w:sz w:val="22"/>
                <w:szCs w:val="22"/>
                <w:u w:color="000000"/>
                <w:shd w:val="nil" w:color="auto" w:fill="auto"/>
                <w:rtl w:val="0"/>
                <w:lang w:val="en-US"/>
                <w14:textFill>
                  <w14:solidFill>
                    <w14:srgbClr w14:val="000000"/>
                  </w14:solidFill>
                </w14:textFill>
              </w:rPr>
              <w:t xml:space="preserve">       5</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th</w:t>
            </w:r>
            <w:r>
              <w:rPr>
                <w:rFonts w:ascii="Arial" w:hAnsi="Arial"/>
                <w:outline w:val="0"/>
                <w:color w:val="000000"/>
                <w:sz w:val="22"/>
                <w:szCs w:val="22"/>
                <w:u w:color="000000"/>
                <w:shd w:val="nil" w:color="auto" w:fill="auto"/>
                <w:rtl w:val="0"/>
                <w:lang w:val="en-US"/>
                <w14:textFill>
                  <w14:solidFill>
                    <w14:srgbClr w14:val="000000"/>
                  </w14:solidFill>
                </w14:textFill>
              </w:rPr>
              <w:t xml:space="preserve">       6</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th</w:t>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r>
              <w:rPr>
                <w:rFonts w:ascii="Arial" w:hAnsi="Arial"/>
                <w:b w:val="1"/>
                <w:bCs w:val="1"/>
                <w:outline w:val="0"/>
                <w:color w:val="000000"/>
                <w:sz w:val="22"/>
                <w:szCs w:val="22"/>
                <w:u w:color="000000"/>
                <w:shd w:val="nil" w:color="auto" w:fill="auto"/>
                <w:rtl w:val="0"/>
                <w:lang w:val="en-US"/>
                <w14:textFill>
                  <w14:solidFill>
                    <w14:srgbClr w14:val="000000"/>
                  </w14:solidFill>
                </w14:textFill>
              </w:rPr>
              <w:t xml:space="preserve">   </w:t>
            </w:r>
            <w:r>
              <w:rPr>
                <w:rFonts w:ascii="Arial" w:hAnsi="Arial"/>
                <w:outline w:val="0"/>
                <w:color w:val="000000"/>
                <w:sz w:val="22"/>
                <w:szCs w:val="22"/>
                <w:u w:color="000000"/>
                <w:shd w:val="nil" w:color="auto" w:fill="auto"/>
                <w:rtl w:val="0"/>
                <w:lang w:val="en-US"/>
                <w14:textFill>
                  <w14:solidFill>
                    <w14:srgbClr w14:val="000000"/>
                  </w14:solidFill>
                </w14:textFill>
              </w:rPr>
              <w:t>module of the degree</w:t>
            </w:r>
          </w:p>
        </w:tc>
      </w:tr>
      <w:tr>
        <w:tblPrEx>
          <w:shd w:val="clear" w:color="auto" w:fill="ced7e7"/>
        </w:tblPrEx>
        <w:trPr>
          <w:trHeight w:val="15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u w:color="000000"/>
                <w:shd w:val="nil" w:color="auto" w:fill="auto"/>
                <w:rtl w:val="0"/>
                <w:lang w:val="en-US"/>
                <w14:textFill>
                  <w14:solidFill>
                    <w14:srgbClr w14:val="000000"/>
                  </w14:solidFill>
                </w14:textFill>
              </w:rPr>
            </w:pPr>
          </w:p>
          <w:p>
            <w:pPr>
              <w:pStyle w:val="Body 2"/>
              <w:spacing w:after="0" w:line="240" w:lineRule="auto"/>
              <w:jc w:val="left"/>
              <w:rPr>
                <w:rFonts w:ascii="Arial" w:cs="Arial" w:hAnsi="Arial" w:eastAsia="Arial"/>
                <w:outline w:val="0"/>
                <w:color w:val="000000"/>
                <w:u w:color="000000"/>
                <w:shd w:val="nil" w:color="auto" w:fill="auto"/>
                <w14:textFill>
                  <w14:solidFill>
                    <w14:srgbClr w14:val="000000"/>
                  </w14:solidFill>
                </w14:textFill>
              </w:rPr>
            </w:pPr>
            <w:r>
              <w:rPr>
                <w:rFonts w:ascii="Arial" w:hAnsi="Arial"/>
                <w:b w:val="1"/>
                <w:bCs w:val="1"/>
                <w:outline w:val="0"/>
                <w:color w:val="000000"/>
                <w:u w:color="000000"/>
                <w:shd w:val="nil" w:color="auto" w:fill="auto"/>
                <w:rtl w:val="0"/>
                <w:lang w:val="en-US"/>
                <w14:textFill>
                  <w14:solidFill>
                    <w14:srgbClr w14:val="000000"/>
                  </w14:solidFill>
                </w14:textFill>
              </w:rPr>
              <w:t>Assignment Mark</w:t>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r>
              <w:rPr>
                <w:rFonts w:ascii="Arial" w:hAnsi="Arial"/>
                <w:outline w:val="0"/>
                <w:color w:val="000000"/>
                <w:sz w:val="20"/>
                <w:szCs w:val="20"/>
                <w:u w:color="000000"/>
                <w:shd w:val="nil" w:color="auto" w:fill="auto"/>
                <w:rtl w:val="0"/>
                <w:lang w:val="en-US"/>
                <w14:textFill>
                  <w14:solidFill>
                    <w14:srgbClr w14:val="000000"/>
                  </w14:solidFill>
                </w14:textFill>
              </w:rPr>
              <w:t>1</w:t>
            </w:r>
            <w:r>
              <w:rPr>
                <w:rFonts w:ascii="Arial" w:hAnsi="Arial"/>
                <w:outline w:val="0"/>
                <w:color w:val="000000"/>
                <w:sz w:val="20"/>
                <w:szCs w:val="20"/>
                <w:u w:color="000000"/>
                <w:shd w:val="nil" w:color="auto" w:fill="auto"/>
                <w:vertAlign w:val="superscript"/>
                <w:rtl w:val="0"/>
                <w:lang w:val="en-US"/>
                <w14:textFill>
                  <w14:solidFill>
                    <w14:srgbClr w14:val="000000"/>
                  </w14:solidFill>
                </w14:textFill>
              </w:rPr>
              <w:t>st</w:t>
            </w:r>
            <w:r>
              <w:rPr>
                <w:rFonts w:ascii="Arial" w:hAnsi="Arial"/>
                <w:outline w:val="0"/>
                <w:color w:val="000000"/>
                <w:sz w:val="20"/>
                <w:szCs w:val="20"/>
                <w:u w:color="000000"/>
                <w:shd w:val="nil" w:color="auto" w:fill="auto"/>
                <w:rtl w:val="0"/>
                <w:lang w:val="en-US"/>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r>
              <w:rPr>
                <w:rFonts w:ascii="Arial" w:hAnsi="Arial"/>
                <w:outline w:val="0"/>
                <w:color w:val="000000"/>
                <w:sz w:val="20"/>
                <w:szCs w:val="20"/>
                <w:u w:color="000000"/>
                <w:shd w:val="nil" w:color="auto" w:fill="auto"/>
                <w:rtl w:val="0"/>
                <w:lang w:val="en-US"/>
                <w14:textFill>
                  <w14:solidFill>
                    <w14:srgbClr w14:val="000000"/>
                  </w14:solidFill>
                </w14:textFill>
              </w:rPr>
              <w:t>2</w:t>
            </w:r>
            <w:r>
              <w:rPr>
                <w:rFonts w:ascii="Arial" w:hAnsi="Arial"/>
                <w:outline w:val="0"/>
                <w:color w:val="000000"/>
                <w:sz w:val="20"/>
                <w:szCs w:val="20"/>
                <w:u w:color="000000"/>
                <w:shd w:val="nil" w:color="auto" w:fill="auto"/>
                <w:vertAlign w:val="superscript"/>
                <w:rtl w:val="0"/>
                <w:lang w:val="en-US"/>
                <w14:textFill>
                  <w14:solidFill>
                    <w14:srgbClr w14:val="000000"/>
                  </w14:solidFill>
                </w14:textFill>
              </w:rPr>
              <w:t>nd</w:t>
            </w:r>
            <w:r>
              <w:rPr>
                <w:rFonts w:ascii="Arial" w:hAnsi="Arial"/>
                <w:outline w:val="0"/>
                <w:color w:val="000000"/>
                <w:sz w:val="20"/>
                <w:szCs w:val="20"/>
                <w:u w:color="000000"/>
                <w:shd w:val="nil" w:color="auto" w:fill="auto"/>
                <w:rtl w:val="0"/>
                <w:lang w:val="en-US"/>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s/Moderator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r>
              <w:rPr>
                <w:rFonts w:ascii="Arial" w:hAnsi="Arial"/>
                <w:outline w:val="0"/>
                <w:color w:val="000000"/>
                <w:sz w:val="20"/>
                <w:szCs w:val="20"/>
                <w:u w:color="000000"/>
                <w:shd w:val="nil" w:color="auto" w:fill="auto"/>
                <w:rtl w:val="0"/>
                <w:lang w:val="en-US"/>
                <w14:textFill>
                  <w14:solidFill>
                    <w14:srgbClr w14:val="000000"/>
                  </w14:solidFill>
                </w14:textFill>
              </w:rPr>
              <w:t>External Examiner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 mark (if relevant)</w:t>
              <w:tab/>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shd w:val="nil" w:color="auto" w:fill="auto"/>
                <w:rtl w:val="0"/>
                <w14:textFill>
                  <w14:solidFill>
                    <w14:srgbClr w14:val="000000"/>
                  </w14:solidFill>
                </w14:textFill>
              </w:rPr>
            </w:pPr>
            <w:r>
              <w:rPr>
                <w:rFonts w:ascii="Arial" w:hAnsi="Arial"/>
                <w:b w:val="1"/>
                <w:bCs w:val="1"/>
                <w:outline w:val="0"/>
                <w:color w:val="000000"/>
                <w:sz w:val="20"/>
                <w:szCs w:val="20"/>
                <w:u w:color="000000"/>
                <w:shd w:val="nil" w:color="auto" w:fill="auto"/>
                <w:rtl w:val="0"/>
                <w:lang w:val="en-US"/>
                <w14:textFill>
                  <w14:solidFill>
                    <w14:srgbClr w14:val="000000"/>
                  </w14:solidFill>
                </w14:textFill>
              </w:rPr>
              <w:t>Final Mark</w:t>
            </w: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shd w:val="nil" w:color="auto" w:fill="auto"/>
                <w:rtl w:val="0"/>
                <w14:textFill>
                  <w14:solidFill>
                    <w14:srgbClr w14:val="000000"/>
                  </w14:solidFill>
                </w14:textFill>
              </w:rPr>
            </w:pPr>
            <w:r>
              <w:rPr>
                <w:rFonts w:ascii="Arial" w:cs="Arial" w:hAnsi="Arial" w:eastAsia="Arial"/>
                <w:b w:val="1"/>
                <w:bCs w:val="1"/>
                <w:outline w:val="0"/>
                <w:color w:val="000000"/>
                <w:sz w:val="20"/>
                <w:szCs w:val="20"/>
                <w:u w:color="000000"/>
                <w:shd w:val="nil" w:color="auto" w:fill="auto"/>
                <w:rtl w:val="0"/>
                <w14:textFill>
                  <w14:solidFill>
                    <w14:srgbClr w14:val="000000"/>
                  </w14:solidFill>
                </w14:textFill>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sz w:val="22"/>
                <w:szCs w:val="22"/>
                <w:u w:color="000000"/>
                <w:shd w:val="nil" w:color="auto" w:fill="auto"/>
                <w:rtl w:val="0"/>
                <w14:textFill>
                  <w14:solidFill>
                    <w14:srgbClr w14:val="000000"/>
                  </w14:solidFill>
                </w14:textFill>
              </w:rPr>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External Examiner</w:t>
            </w:r>
            <w:r>
              <w:rPr>
                <w:rFonts w:ascii="Arial" w:hAnsi="Arial" w:hint="default"/>
                <w:b w:val="1"/>
                <w:bCs w:val="1"/>
                <w:outline w:val="0"/>
                <w:color w:val="000000"/>
                <w:sz w:val="22"/>
                <w:szCs w:val="22"/>
                <w:u w:color="000000"/>
                <w:shd w:val="nil" w:color="auto" w:fill="auto"/>
                <w:rtl w:val="0"/>
                <w:lang w:val="en-US"/>
                <w14:textFill>
                  <w14:solidFill>
                    <w14:srgbClr w14:val="000000"/>
                  </w14:solidFill>
                </w14:textFill>
              </w:rPr>
              <w:t>’</w:t>
            </w:r>
            <w:r>
              <w:rPr>
                <w:rFonts w:ascii="Arial" w:hAnsi="Arial"/>
                <w:b w:val="1"/>
                <w:bCs w:val="1"/>
                <w:outline w:val="0"/>
                <w:color w:val="000000"/>
                <w:sz w:val="22"/>
                <w:szCs w:val="22"/>
                <w:u w:color="000000"/>
                <w:shd w:val="nil" w:color="auto" w:fill="auto"/>
                <w:rtl w:val="0"/>
                <w:lang w:val="en-US"/>
                <w14:textFill>
                  <w14:solidFill>
                    <w14:srgbClr w14:val="000000"/>
                  </w14:solidFill>
                </w14:textFill>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External Examiner</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Date:</w:t>
            </w:r>
          </w:p>
        </w:tc>
      </w:tr>
    </w:tbl>
    <w:p>
      <w:pPr>
        <w:pStyle w:val="Subtitle"/>
      </w:pPr>
      <w:r>
        <w:rPr>
          <w:rFonts w:ascii="Arial Unicode MS" w:cs="Arial Unicode MS" w:hAnsi="Arial Unicode MS" w:eastAsia="Arial Unicode MS"/>
          <w:b w:val="0"/>
          <w:bCs w:val="0"/>
          <w:i w:val="0"/>
          <w:iCs w:val="0"/>
          <w:caps w:val="0"/>
          <w:smallCaps w:val="0"/>
          <w:outline w:val="0"/>
          <w:color w:val="000000"/>
          <w:sz w:val="44"/>
          <w:szCs w:val="44"/>
          <w14:textFill>
            <w14:solidFill>
              <w14:srgbClr w14:val="000000"/>
            </w14:solidFill>
          </w14:textFill>
        </w:rPr>
        <w:br w:type="page"/>
      </w:r>
    </w:p>
    <w:p>
      <w:pPr>
        <w:pStyle w:val="Subtitle"/>
        <w:rPr>
          <w:caps w:val="0"/>
          <w:smallCaps w:val="0"/>
          <w:outline w:val="0"/>
          <w:color w:val="000000"/>
          <w:sz w:val="44"/>
          <w:szCs w:val="44"/>
          <w14:textFill>
            <w14:solidFill>
              <w14:srgbClr w14:val="000000"/>
            </w14:solidFill>
          </w14:textFill>
        </w:rPr>
      </w:pPr>
      <w:r>
        <w:rPr>
          <w:caps w:val="0"/>
          <w:smallCaps w:val="0"/>
          <w:outline w:val="0"/>
          <w:color w:val="000000"/>
          <w:sz w:val="44"/>
          <w:szCs w:val="44"/>
          <w:rtl w:val="0"/>
          <w:lang w:val="en-US"/>
          <w14:textFill>
            <w14:solidFill>
              <w14:srgbClr w14:val="000000"/>
            </w14:solidFill>
          </w14:textFill>
        </w:rPr>
        <w:t>Did Babylonian astrology die out in the classical world?</w:t>
      </w:r>
    </w:p>
    <w:p>
      <w:pPr>
        <w:pStyle w:val="Subheading"/>
        <w:rPr>
          <w:outline w:val="0"/>
          <w:color w:val="605777"/>
          <w:sz w:val="28"/>
          <w:szCs w:val="28"/>
          <w14:textFill>
            <w14:solidFill>
              <w14:srgbClr w14:val="605878"/>
            </w14:solidFill>
          </w14:textFill>
        </w:rPr>
      </w:pPr>
      <w:r>
        <w:rPr>
          <w:outline w:val="0"/>
          <w:color w:val="605777"/>
          <w:sz w:val="28"/>
          <w:szCs w:val="28"/>
          <w:rtl w:val="0"/>
          <w:lang w:val="en-US"/>
          <w14:textFill>
            <w14:solidFill>
              <w14:srgbClr w14:val="605878"/>
            </w14:solidFill>
          </w14:textFill>
        </w:rPr>
        <w:t xml:space="preserve">Word Count: </w:t>
      </w:r>
      <w:r>
        <w:rPr>
          <w:outline w:val="0"/>
          <w:color w:val="605777"/>
          <w:sz w:val="28"/>
          <w:szCs w:val="28"/>
          <w:rtl w:val="0"/>
          <w:lang w:val="en-US"/>
          <w14:textFill>
            <w14:solidFill>
              <w14:srgbClr w14:val="605878"/>
            </w14:solidFill>
          </w14:textFill>
        </w:rPr>
        <w:t>3,049</w:t>
      </w:r>
    </w:p>
    <w:p>
      <w:pPr>
        <w:pStyle w:val="Body"/>
        <w:bidi w:val="0"/>
      </w:pPr>
    </w:p>
    <w:p>
      <w:pPr>
        <w:pStyle w:val="Body"/>
        <w:bidi w:val="0"/>
      </w:pPr>
      <w:r>
        <w:rPr>
          <w:rFonts w:cs="Arial Unicode MS" w:eastAsia="Arial Unicode MS"/>
          <w:rtl w:val="0"/>
          <w:lang w:val="en-US"/>
        </w:rPr>
        <w:t xml:space="preserve">The current essay will analyze and discuss whether Babylonian astrology died out in the classical world. </w:t>
      </w:r>
      <w:r>
        <w:rPr>
          <w:rFonts w:cs="Arial Unicode MS" w:eastAsia="Arial Unicode MS"/>
          <w:rtl w:val="0"/>
          <w:lang w:val="en-US"/>
        </w:rPr>
        <w:t>The answer, which will probably remain difficult to ascertain conclusively, has shifted as our knowledge of cuneiform has evolved, and more tablets have been translated by scholars.</w:t>
      </w:r>
      <w:r>
        <w:rPr>
          <w:rFonts w:ascii="Lora Regular" w:cs="Lora Regular" w:hAnsi="Lora Regular" w:eastAsia="Lora Regular"/>
          <w:b w:val="0"/>
          <w:bCs w:val="0"/>
          <w:i w:val="0"/>
          <w:iCs w:val="0"/>
          <w:vertAlign w:val="superscript"/>
        </w:rPr>
        <w:footnoteReference w:id="1"/>
      </w:r>
      <w:r>
        <w:rPr>
          <w:rFonts w:cs="Arial Unicode MS" w:eastAsia="Arial Unicode MS"/>
          <w:rtl w:val="0"/>
        </w:rPr>
        <w:t xml:space="preserve"> </w:t>
      </w:r>
      <w:r>
        <w:rPr>
          <w:rFonts w:cs="Arial Unicode MS" w:eastAsia="Arial Unicode MS"/>
          <w:rtl w:val="0"/>
          <w:lang w:val="en-US"/>
        </w:rPr>
        <w:t xml:space="preserve">These questions remain relevant beyond simply esoteric discussions of lost divinatory arts, since as Campion writes, </w:t>
      </w:r>
      <w:r>
        <w:rPr>
          <w:rFonts w:cs="Arial Unicode MS" w:eastAsia="Arial Unicode MS" w:hint="default"/>
          <w:rtl w:val="0"/>
          <w:lang w:val="en-US"/>
        </w:rPr>
        <w:t>‘</w:t>
      </w:r>
      <w:r>
        <w:rPr>
          <w:rFonts w:cs="Arial Unicode MS" w:eastAsia="Arial Unicode MS"/>
          <w:rtl w:val="0"/>
          <w:lang w:val="en-US"/>
        </w:rPr>
        <w:t>Such issues run to the heart of European respect for the Greeks as inventors of the western rational and scientific tradition, and raise deep questions concerning European self-identity and the ambivalent relationship between the Occident and Orient.</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2"/>
      </w:r>
    </w:p>
    <w:p>
      <w:pPr>
        <w:pStyle w:val="Heading"/>
        <w:bidi w:val="0"/>
      </w:pPr>
    </w:p>
    <w:p>
      <w:pPr>
        <w:pStyle w:val="Heading"/>
        <w:rPr>
          <w:rFonts w:ascii="Lora Bold" w:cs="Lora Bold" w:hAnsi="Lora Bold" w:eastAsia="Lora Bold"/>
        </w:rPr>
      </w:pPr>
      <w:r>
        <w:rPr>
          <w:rFonts w:ascii="Lora Bold" w:hAnsi="Lora Bold"/>
          <w:rtl w:val="0"/>
          <w:lang w:val="en-US"/>
        </w:rPr>
        <w:t>Issues of Historiography Regarding Astrology</w:t>
      </w:r>
    </w:p>
    <w:p>
      <w:pPr>
        <w:pStyle w:val="Body 2"/>
        <w:bidi w:val="0"/>
      </w:pPr>
    </w:p>
    <w:p>
      <w:pPr>
        <w:pStyle w:val="Body"/>
        <w:bidi w:val="0"/>
      </w:pPr>
      <w:r>
        <w:rPr>
          <w:rFonts w:cs="Arial Unicode MS" w:eastAsia="Arial Unicode MS"/>
          <w:rtl w:val="0"/>
          <w:lang w:val="en-US"/>
        </w:rPr>
        <w:t xml:space="preserve">Before delving in, it would be important to understand the limitations of the present endeavor as exposed by modern historiography. To claim that there was a </w:t>
      </w:r>
      <w:r>
        <w:rPr>
          <w:rFonts w:cs="Arial Unicode MS" w:eastAsia="Arial Unicode MS" w:hint="default"/>
          <w:rtl w:val="0"/>
          <w:lang w:val="en-US"/>
        </w:rPr>
        <w:t>“</w:t>
      </w:r>
      <w:r>
        <w:rPr>
          <w:rFonts w:cs="Arial Unicode MS" w:eastAsia="Arial Unicode MS"/>
          <w:rtl w:val="0"/>
          <w:lang w:val="en-US"/>
        </w:rPr>
        <w:t>Babylonian astrology</w:t>
      </w:r>
      <w:r>
        <w:rPr>
          <w:rFonts w:cs="Arial Unicode MS" w:eastAsia="Arial Unicode MS" w:hint="default"/>
          <w:rtl w:val="0"/>
          <w:lang w:val="en-US"/>
        </w:rPr>
        <w:t xml:space="preserve">” </w:t>
      </w:r>
      <w:r>
        <w:rPr>
          <w:rFonts w:cs="Arial Unicode MS" w:eastAsia="Arial Unicode MS"/>
          <w:rtl w:val="0"/>
          <w:lang w:val="en-US"/>
        </w:rPr>
        <w:t xml:space="preserve">could be perceived as a limitation in and of itself, since as Saliba writes, </w:t>
      </w:r>
      <w:r>
        <w:rPr>
          <w:rFonts w:cs="Arial Unicode MS" w:eastAsia="Arial Unicode MS" w:hint="default"/>
          <w:rtl w:val="0"/>
          <w:lang w:val="en-US"/>
        </w:rPr>
        <w:t>‘</w:t>
      </w:r>
      <w:r>
        <w:rPr>
          <w:rFonts w:cs="Arial Unicode MS" w:eastAsia="Arial Unicode MS"/>
          <w:rtl w:val="0"/>
          <w:lang w:val="en-US"/>
        </w:rPr>
        <w:t>Adjectives such as Greek, Arabic, Chinese, Indian, and more pertinently western, when applied to science as in Greek science, Arabic science, etc., are quickly becoming obsolete.</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3"/>
      </w:r>
      <w:r>
        <w:rPr>
          <w:rFonts w:cs="Arial Unicode MS" w:eastAsia="Arial Unicode MS"/>
          <w:rtl w:val="0"/>
          <w:lang w:val="en-US"/>
        </w:rPr>
        <w:t xml:space="preserve"> Since, according to Saliba, </w:t>
      </w:r>
      <w:r>
        <w:rPr>
          <w:rFonts w:cs="Arial Unicode MS" w:eastAsia="Arial Unicode MS" w:hint="default"/>
          <w:rtl w:val="0"/>
          <w:lang w:val="en-US"/>
        </w:rPr>
        <w:t>‘</w:t>
      </w:r>
      <w:r>
        <w:rPr>
          <w:rFonts w:cs="Arial Unicode MS" w:eastAsia="Arial Unicode MS"/>
          <w:rtl w:val="0"/>
          <w:lang w:val="en-US"/>
        </w:rPr>
        <w:t>i</w:t>
      </w:r>
      <w:r>
        <w:rPr>
          <w:rFonts w:cs="Arial Unicode MS" w:eastAsia="Arial Unicode MS"/>
          <w:rtl w:val="0"/>
          <w:lang w:val="en-US"/>
        </w:rPr>
        <w:t>t was thought they imparted some significance at the time when languages, cultures and</w:t>
      </w:r>
      <w:r>
        <w:rPr>
          <w:rFonts w:cs="Arial Unicode MS" w:eastAsia="Arial Unicode MS"/>
          <w:rtl w:val="0"/>
          <w:lang w:val="en-US"/>
        </w:rPr>
        <w:t xml:space="preserve"> </w:t>
      </w:r>
      <w:r>
        <w:rPr>
          <w:rFonts w:cs="Arial Unicode MS" w:eastAsia="Arial Unicode MS"/>
          <w:rtl w:val="0"/>
          <w:lang w:val="en-US"/>
        </w:rPr>
        <w:t>civilizations used to embody individual characteristics that could distinguish them from one another.</w:t>
      </w:r>
      <w:r>
        <w:rPr>
          <w:rFonts w:cs="Arial Unicode MS" w:eastAsia="Arial Unicode MS" w:hint="default"/>
          <w:rtl w:val="0"/>
          <w:lang w:val="en-US"/>
        </w:rPr>
        <w:t xml:space="preserve">’ </w:t>
      </w:r>
      <w:r>
        <w:rPr>
          <w:rFonts w:cs="Arial Unicode MS" w:eastAsia="Arial Unicode MS"/>
          <w:rtl w:val="0"/>
          <w:lang w:val="en-US"/>
        </w:rPr>
        <w:t xml:space="preserve">Therefore, in modern historiography, the boundaries that define different civilizations have been blurred. There is also a growing recognition of the incapacity of applying modern terms such as </w:t>
      </w:r>
      <w:r>
        <w:rPr>
          <w:rFonts w:cs="Arial Unicode MS" w:eastAsia="Arial Unicode MS" w:hint="default"/>
          <w:rtl w:val="0"/>
          <w:lang w:val="en-US"/>
        </w:rPr>
        <w:t>‘</w:t>
      </w:r>
      <w:r>
        <w:rPr>
          <w:rFonts w:cs="Arial Unicode MS" w:eastAsia="Arial Unicode MS"/>
          <w:rtl w:val="0"/>
          <w:lang w:val="en-US"/>
        </w:rPr>
        <w:t>science</w:t>
      </w:r>
      <w:r>
        <w:rPr>
          <w:rFonts w:cs="Arial Unicode MS" w:eastAsia="Arial Unicode MS" w:hint="default"/>
          <w:rtl w:val="0"/>
          <w:lang w:val="en-US"/>
        </w:rPr>
        <w:t xml:space="preserve">’ </w:t>
      </w:r>
      <w:r>
        <w:rPr>
          <w:rFonts w:cs="Arial Unicode MS" w:eastAsia="Arial Unicode MS"/>
          <w:rtl w:val="0"/>
          <w:lang w:val="en-US"/>
        </w:rPr>
        <w:t>to ancient cultures. The assyriologist, Francesca Halton-Rochberg, when discussing Neuegebauer, points out that assigning ethnicity is extremely complex, in any other way other than through ethno-linguistic identifications.</w:t>
      </w:r>
      <w:r>
        <w:rPr>
          <w:rFonts w:ascii="Lora Regular" w:cs="Lora Regular" w:hAnsi="Lora Regular" w:eastAsia="Lora Regular"/>
          <w:b w:val="0"/>
          <w:bCs w:val="0"/>
          <w:i w:val="0"/>
          <w:iCs w:val="0"/>
          <w:vertAlign w:val="superscript"/>
        </w:rPr>
        <w:footnoteReference w:id="4"/>
      </w:r>
      <w:r>
        <w:rPr>
          <w:rFonts w:cs="Arial Unicode MS" w:eastAsia="Arial Unicode MS"/>
          <w:rtl w:val="0"/>
          <w:lang w:val="en-US"/>
        </w:rPr>
        <w:t xml:space="preserve">  She further discusses the notion of </w:t>
      </w:r>
      <w:r>
        <w:rPr>
          <w:rFonts w:cs="Arial Unicode MS" w:eastAsia="Arial Unicode MS" w:hint="default"/>
          <w:rtl w:val="0"/>
          <w:lang w:val="en-US"/>
        </w:rPr>
        <w:t>‘</w:t>
      </w:r>
      <w:r>
        <w:rPr>
          <w:rFonts w:cs="Arial Unicode MS" w:eastAsia="Arial Unicode MS"/>
          <w:rtl w:val="0"/>
          <w:lang w:val="en-US"/>
        </w:rPr>
        <w:t>continuity</w:t>
      </w:r>
      <w:r>
        <w:rPr>
          <w:rFonts w:cs="Arial Unicode MS" w:eastAsia="Arial Unicode MS" w:hint="default"/>
          <w:rtl w:val="0"/>
          <w:lang w:val="en-US"/>
        </w:rPr>
        <w:t xml:space="preserve">’ </w:t>
      </w:r>
      <w:r>
        <w:rPr>
          <w:rFonts w:cs="Arial Unicode MS" w:eastAsia="Arial Unicode MS"/>
          <w:rtl w:val="0"/>
          <w:lang w:val="en-US"/>
        </w:rPr>
        <w:t xml:space="preserve">in history, which presupposes that each historical event, has its genesis as a reaction for or against a preceding event, interjected with </w:t>
      </w:r>
      <w:r>
        <w:rPr>
          <w:rFonts w:cs="Arial Unicode MS" w:eastAsia="Arial Unicode MS" w:hint="default"/>
          <w:rtl w:val="0"/>
          <w:lang w:val="en-US"/>
        </w:rPr>
        <w:t>‘</w:t>
      </w:r>
      <w:r>
        <w:rPr>
          <w:rFonts w:cs="Arial Unicode MS" w:eastAsia="Arial Unicode MS"/>
          <w:rtl w:val="0"/>
          <w:lang w:val="en-US"/>
        </w:rPr>
        <w:t>must have-beens</w:t>
      </w:r>
      <w:r>
        <w:rPr>
          <w:rFonts w:cs="Arial Unicode MS" w:eastAsia="Arial Unicode MS" w:hint="default"/>
          <w:rtl w:val="0"/>
          <w:lang w:val="en-US"/>
        </w:rPr>
        <w:t>’</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5"/>
      </w:r>
      <w:r>
        <w:rPr>
          <w:rFonts w:cs="Arial Unicode MS" w:eastAsia="Arial Unicode MS"/>
          <w:rtl w:val="0"/>
          <w:lang w:val="en-US"/>
        </w:rPr>
        <w:t xml:space="preserve"> This has the consequence of emphasizing apparent similarities to the modern version of that cultural attribute, be it modern vs greek science, or classical vs Babylonian astrology, and thus ignoring the discontinuities to satisfy continuist aims.</w:t>
      </w:r>
      <w:r>
        <w:rPr>
          <w:rFonts w:ascii="Lora Regular" w:cs="Lora Regular" w:hAnsi="Lora Regular" w:eastAsia="Lora Regular"/>
          <w:b w:val="0"/>
          <w:bCs w:val="0"/>
          <w:i w:val="0"/>
          <w:iCs w:val="0"/>
          <w:vertAlign w:val="superscript"/>
        </w:rPr>
        <w:footnoteReference w:id="6"/>
      </w:r>
      <w:r>
        <w:rPr>
          <w:rFonts w:cs="Arial Unicode MS" w:eastAsia="Arial Unicode MS"/>
          <w:rtl w:val="0"/>
          <w:lang w:val="en-US"/>
        </w:rPr>
        <w:t xml:space="preserve"> </w:t>
      </w:r>
      <w:r>
        <w:rPr>
          <w:rFonts w:cs="Arial Unicode MS" w:eastAsia="Arial Unicode MS"/>
          <w:rtl w:val="0"/>
          <w:lang w:val="en-US"/>
        </w:rPr>
        <w:t xml:space="preserve">Keeping these considerations in mind, which fall largely beyond the scope of this analysis, it can be productive nonetheless to discuss apparent continuities and similitudes between Babylonian and Classical astrology, even if it is not possible to claim satisfactorily, how and if transmission </w:t>
      </w:r>
      <w:r>
        <w:rPr>
          <w:rFonts w:cs="Arial Unicode MS" w:eastAsia="Arial Unicode MS"/>
          <w:rtl w:val="0"/>
          <w:lang w:val="en-US"/>
        </w:rPr>
        <w:t>occurred</w:t>
      </w:r>
      <w:r>
        <w:rPr>
          <w:rFonts w:cs="Arial Unicode MS" w:eastAsia="Arial Unicode MS"/>
          <w:rtl w:val="0"/>
        </w:rPr>
        <w:t xml:space="preserve">, </w:t>
      </w:r>
      <w:r>
        <w:rPr>
          <w:rFonts w:cs="Arial Unicode MS" w:eastAsia="Arial Unicode MS"/>
          <w:rtl w:val="0"/>
          <w:lang w:val="en-US"/>
        </w:rPr>
        <w:t xml:space="preserve">to </w:t>
      </w:r>
      <w:r>
        <w:rPr>
          <w:rFonts w:cs="Arial Unicode MS" w:eastAsia="Arial Unicode MS"/>
          <w:rtl w:val="0"/>
          <w:lang w:val="en-US"/>
        </w:rPr>
        <w:t>define exactly who were the Babylonian and Greek</w:t>
      </w:r>
      <w:r>
        <w:rPr>
          <w:rFonts w:cs="Arial Unicode MS" w:eastAsia="Arial Unicode MS"/>
          <w:rtl w:val="0"/>
          <w:lang w:val="en-US"/>
        </w:rPr>
        <w:t xml:space="preserve"> astrologers</w:t>
      </w:r>
      <w:r>
        <w:rPr>
          <w:rFonts w:cs="Arial Unicode MS" w:eastAsia="Arial Unicode MS"/>
          <w:rtl w:val="0"/>
          <w:lang w:val="en-US"/>
        </w:rPr>
        <w:t xml:space="preserve">, and </w:t>
      </w:r>
      <w:r>
        <w:rPr>
          <w:rFonts w:cs="Arial Unicode MS" w:eastAsia="Arial Unicode MS"/>
          <w:rtl w:val="0"/>
          <w:lang w:val="en-US"/>
        </w:rPr>
        <w:t xml:space="preserve">even </w:t>
      </w:r>
      <w:r>
        <w:rPr>
          <w:rFonts w:cs="Arial Unicode MS" w:eastAsia="Arial Unicode MS"/>
          <w:rtl w:val="0"/>
          <w:lang w:val="en-US"/>
        </w:rPr>
        <w:t xml:space="preserve">if there was a codified astrological tradition </w:t>
      </w:r>
      <w:r>
        <w:rPr>
          <w:rFonts w:cs="Arial Unicode MS" w:eastAsia="Arial Unicode MS"/>
          <w:rtl w:val="0"/>
          <w:lang w:val="en-US"/>
        </w:rPr>
        <w:t>within</w:t>
      </w:r>
      <w:r>
        <w:rPr>
          <w:rFonts w:cs="Arial Unicode MS" w:eastAsia="Arial Unicode MS"/>
          <w:rtl w:val="0"/>
          <w:lang w:val="en-US"/>
        </w:rPr>
        <w:t xml:space="preserve"> each culture.</w:t>
      </w:r>
    </w:p>
    <w:p>
      <w:pPr>
        <w:pStyle w:val="Body"/>
        <w:bidi w:val="0"/>
      </w:pPr>
      <w:r>
        <w:rPr>
          <w:rFonts w:cs="Arial Unicode MS" w:eastAsia="Arial Unicode MS"/>
          <w:rtl w:val="0"/>
          <w:lang w:val="en-US"/>
        </w:rPr>
        <w:t xml:space="preserve">As Campion has pointed out, </w:t>
      </w:r>
      <w:r>
        <w:rPr>
          <w:rFonts w:cs="Arial Unicode MS" w:eastAsia="Arial Unicode MS" w:hint="default"/>
          <w:rtl w:val="0"/>
          <w:lang w:val="en-US"/>
        </w:rPr>
        <w:t>‘</w:t>
      </w:r>
      <w:r>
        <w:rPr>
          <w:rFonts w:cs="Arial Unicode MS" w:eastAsia="Arial Unicode MS"/>
          <w:i w:val="1"/>
          <w:iCs w:val="1"/>
          <w:rtl w:val="0"/>
          <w:lang w:val="en-US"/>
        </w:rPr>
        <w:t>The Encyclopaedia</w:t>
      </w:r>
      <w:r>
        <w:rPr>
          <w:rFonts w:cs="Arial Unicode MS" w:eastAsia="Arial Unicode MS"/>
          <w:rtl w:val="0"/>
          <w:lang w:val="en-US"/>
        </w:rPr>
        <w:t xml:space="preserve"> </w:t>
      </w:r>
      <w:r>
        <w:rPr>
          <w:rFonts w:cs="Arial Unicode MS" w:eastAsia="Arial Unicode MS"/>
          <w:i w:val="1"/>
          <w:iCs w:val="1"/>
          <w:sz w:val="29"/>
          <w:szCs w:val="29"/>
          <w:rtl w:val="0"/>
          <w:lang w:val="en-US"/>
        </w:rPr>
        <w:t>of</w:t>
      </w:r>
      <w:r>
        <w:rPr>
          <w:rFonts w:cs="Arial Unicode MS" w:eastAsia="Arial Unicode MS"/>
          <w:rtl w:val="0"/>
          <w:lang w:val="en-US"/>
        </w:rPr>
        <w:t xml:space="preserve"> </w:t>
      </w:r>
      <w:r>
        <w:rPr>
          <w:rFonts w:cs="Arial Unicode MS" w:eastAsia="Arial Unicode MS"/>
          <w:i w:val="1"/>
          <w:iCs w:val="1"/>
          <w:rtl w:val="0"/>
          <w:lang w:val="en-US"/>
        </w:rPr>
        <w:t>Religion</w:t>
      </w:r>
      <w:r>
        <w:rPr>
          <w:rFonts w:cs="Arial Unicode MS" w:eastAsia="Arial Unicode MS"/>
          <w:rtl w:val="0"/>
          <w:lang w:val="en-US"/>
        </w:rPr>
        <w:t xml:space="preserve"> (Culianu, 1987: 472) stated categorically that </w:t>
      </w:r>
      <w:r>
        <w:rPr>
          <w:rFonts w:cs="Arial Unicode MS" w:eastAsia="Arial Unicode MS" w:hint="default"/>
          <w:rtl w:val="0"/>
          <w:lang w:val="en-US"/>
        </w:rPr>
        <w:t>“</w:t>
      </w:r>
      <w:r>
        <w:rPr>
          <w:rFonts w:cs="Arial Unicode MS" w:eastAsia="Arial Unicode MS"/>
          <w:rtl w:val="0"/>
          <w:lang w:val="en-US"/>
        </w:rPr>
        <w:t>astrology, a product of Hellenistic civilisation, appeared at the end of the third century BCE</w:t>
      </w:r>
      <w:r>
        <w:rPr>
          <w:rFonts w:cs="Arial Unicode MS" w:eastAsia="Arial Unicode MS" w:hint="default"/>
          <w:rtl w:val="0"/>
          <w:lang w:val="en-US"/>
        </w:rPr>
        <w:t>”</w:t>
      </w:r>
      <w:r>
        <w:rPr>
          <w:rFonts w:cs="Arial Unicode MS" w:eastAsia="Arial Unicode MS"/>
          <w:rtl w:val="0"/>
          <w:lang w:val="en-US"/>
        </w:rPr>
        <w:t>, completely denying any Mesopotamian connection.</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7"/>
      </w:r>
      <w:r>
        <w:rPr>
          <w:rFonts w:cs="Arial Unicode MS" w:eastAsia="Arial Unicode MS"/>
          <w:rtl w:val="0"/>
          <w:lang w:val="en-US"/>
        </w:rPr>
        <w:t xml:space="preserve"> This view had as an exponent the influential Otto Neuegebauer who claimed, </w:t>
      </w:r>
      <w:r>
        <w:rPr>
          <w:rFonts w:cs="Arial Unicode MS" w:eastAsia="Arial Unicode MS" w:hint="default"/>
          <w:rtl w:val="0"/>
          <w:lang w:val="en-US"/>
        </w:rPr>
        <w:t>‘</w:t>
      </w:r>
      <w:r>
        <w:rPr>
          <w:rFonts w:cs="Arial Unicode MS" w:eastAsia="Arial Unicode MS"/>
          <w:rtl w:val="0"/>
          <w:lang w:val="en-US"/>
        </w:rPr>
        <w:t>the main structure of astrological theory is undoubtedly Hellenistic.</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8"/>
      </w:r>
      <w:r>
        <w:rPr>
          <w:rFonts w:cs="Arial Unicode MS" w:eastAsia="Arial Unicode MS"/>
          <w:rtl w:val="0"/>
          <w:lang w:val="en-US"/>
        </w:rPr>
        <w:t xml:space="preserve"> Pingree states the problem clearly when he writes:</w:t>
      </w:r>
    </w:p>
    <w:p>
      <w:pPr>
        <w:pStyle w:val="Body"/>
        <w:bidi w:val="0"/>
      </w:pPr>
    </w:p>
    <w:p>
      <w:pPr>
        <w:pStyle w:val="Default"/>
        <w:spacing w:after="0" w:line="360" w:lineRule="auto"/>
        <w:ind w:left="720"/>
        <w:rPr>
          <w:outline w:val="0"/>
          <w:color w:val="000000"/>
          <w14:textFill>
            <w14:solidFill>
              <w14:srgbClr w14:val="000000"/>
            </w14:solidFill>
          </w14:textFill>
        </w:rPr>
      </w:pPr>
      <w:r>
        <w:rPr>
          <w:outline w:val="0"/>
          <w:color w:val="000000"/>
          <w:rtl w:val="0"/>
          <w:lang w:val="en-US"/>
          <w14:textFill>
            <w14:solidFill>
              <w14:srgbClr w14:val="000000"/>
            </w14:solidFill>
          </w14:textFill>
        </w:rPr>
        <w:t>[</w:t>
      </w:r>
      <w:r>
        <w:rPr>
          <w:outline w:val="0"/>
          <w:color w:val="000000"/>
          <w:rtl w:val="0"/>
          <w:lang w:val="en-US"/>
          <w14:textFill>
            <w14:solidFill>
              <w14:srgbClr w14:val="000000"/>
            </w14:solidFill>
          </w14:textFill>
        </w:rPr>
        <w:t>…</w:t>
      </w:r>
      <w:r>
        <w:rPr>
          <w:outline w:val="0"/>
          <w:color w:val="000000"/>
          <w:rtl w:val="0"/>
          <w:lang w:val="en-US"/>
          <w14:textFill>
            <w14:solidFill>
              <w14:srgbClr w14:val="000000"/>
            </w14:solidFill>
          </w14:textFill>
        </w:rPr>
        <w:t>]a Hellenophile suffers from a form of madness[</w:t>
      </w:r>
      <w:r>
        <w:rPr>
          <w:outline w:val="0"/>
          <w:color w:val="000000"/>
          <w:rtl w:val="0"/>
          <w:lang w:val="en-US"/>
          <w14:textFill>
            <w14:solidFill>
              <w14:srgbClr w14:val="000000"/>
            </w14:solidFill>
          </w14:textFill>
        </w:rPr>
        <w:t>…</w:t>
      </w:r>
      <w:r>
        <w:rPr>
          <w:outline w:val="0"/>
          <w:color w:val="000000"/>
          <w:rtl w:val="0"/>
          <w:lang w:val="en-US"/>
          <w14:textFill>
            <w14:solidFill>
              <w14:srgbClr w14:val="000000"/>
            </w14:solidFill>
          </w14:textFill>
        </w:rPr>
        <w:t>] The first of these is that the Greeks invented science; the second is that they discovered a way to truth, the scientific method, that we are now successfully following; the third is that the only real sciences are those that began in Greece.</w:t>
      </w:r>
      <w:r>
        <w:rPr>
          <w:outline w:val="0"/>
          <w:color w:val="000000"/>
          <w:vertAlign w:val="superscript"/>
          <w14:textFill>
            <w14:solidFill>
              <w14:srgbClr w14:val="000000"/>
            </w14:solidFill>
          </w14:textFill>
        </w:rPr>
        <w:footnoteReference w:id="9"/>
      </w:r>
    </w:p>
    <w:p>
      <w:pPr>
        <w:pStyle w:val="Default"/>
        <w:spacing w:after="0" w:line="360" w:lineRule="auto"/>
        <w:ind w:left="720"/>
        <w:rPr>
          <w:outline w:val="0"/>
          <w:color w:val="000000"/>
          <w14:textFill>
            <w14:solidFill>
              <w14:srgbClr w14:val="000000"/>
            </w14:solidFill>
          </w14:textFill>
        </w:rPr>
      </w:pPr>
    </w:p>
    <w:p>
      <w:pPr>
        <w:pStyle w:val="Post Quote"/>
        <w:bidi w:val="0"/>
      </w:pPr>
      <w:r>
        <w:rPr>
          <w:rtl w:val="0"/>
        </w:rPr>
        <w:t xml:space="preserve">Therefore, </w:t>
      </w:r>
      <w:r>
        <w:rPr>
          <w:rtl w:val="0"/>
        </w:rPr>
        <w:t>historians were</w:t>
      </w:r>
      <w:r>
        <w:rPr>
          <w:rtl w:val="0"/>
        </w:rPr>
        <w:t xml:space="preserve"> w</w:t>
      </w:r>
      <w:r>
        <w:rPr>
          <w:rtl w:val="0"/>
        </w:rPr>
        <w:t>o</w:t>
      </w:r>
      <w:r>
        <w:rPr>
          <w:rtl w:val="0"/>
        </w:rPr>
        <w:t xml:space="preserve">nt to accept that foreign influences on Hellenic culture, such as on astrology, mathematics or science. </w:t>
      </w:r>
      <w:r>
        <w:rPr>
          <w:rtl w:val="0"/>
        </w:rPr>
        <w:t xml:space="preserve">This had been a common perspective, since, according to Rochberg, </w:t>
      </w:r>
      <w:r>
        <w:rPr>
          <w:rtl w:val="0"/>
        </w:rPr>
        <w:t>‘</w:t>
      </w:r>
      <w:r>
        <w:rPr>
          <w:rtl w:val="0"/>
        </w:rPr>
        <w:t xml:space="preserve">the </w:t>
      </w:r>
      <w:r>
        <w:rPr>
          <w:rtl w:val="0"/>
        </w:rPr>
        <w:t>evidence for a genuine Greek knowledge of Babylonian history or culture before the Hellenistic period is exceedingly slim</w:t>
      </w:r>
      <w:r>
        <w:rPr>
          <w:rtl w:val="0"/>
        </w:rPr>
        <w:t>.</w:t>
      </w:r>
      <w:r>
        <w:rPr>
          <w:rtl w:val="0"/>
        </w:rPr>
        <w:t>’</w:t>
      </w:r>
      <w:r>
        <w:rPr>
          <w:rFonts w:ascii="Lora Regular" w:cs="Lora Regular" w:hAnsi="Lora Regular" w:eastAsia="Lora Regular"/>
          <w:b w:val="0"/>
          <w:bCs w:val="0"/>
          <w:i w:val="0"/>
          <w:iCs w:val="0"/>
          <w:vertAlign w:val="superscript"/>
        </w:rPr>
        <w:footnoteReference w:id="10"/>
      </w:r>
      <w:r>
        <w:rPr>
          <w:rtl w:val="0"/>
        </w:rPr>
        <w:t xml:space="preserve"> According to her, the majority of oriental writings from the Hellenistic and Roman worlds, such as </w:t>
      </w:r>
      <w:r>
        <w:rPr>
          <w:rtl w:val="0"/>
        </w:rPr>
        <w:t>Zoroaster, Hystaspes, Thoth, and even Abraham</w:t>
      </w:r>
      <w:r>
        <w:rPr>
          <w:rtl w:val="0"/>
        </w:rPr>
        <w:t xml:space="preserve">, were in reality fakes, and were part of what could be termed a Hellenistic </w:t>
      </w:r>
      <w:r>
        <w:rPr>
          <w:i w:val="1"/>
          <w:iCs w:val="1"/>
          <w:rtl w:val="0"/>
          <w:lang w:val="en-US"/>
        </w:rPr>
        <w:t>orientophilia</w:t>
      </w:r>
      <w:r>
        <w:rPr>
          <w:rtl w:val="0"/>
        </w:rPr>
        <w:t>.</w:t>
      </w:r>
      <w:r>
        <w:rPr>
          <w:rFonts w:ascii="Lora Regular" w:cs="Lora Regular" w:hAnsi="Lora Regular" w:eastAsia="Lora Regular"/>
          <w:b w:val="0"/>
          <w:bCs w:val="0"/>
          <w:i w:val="0"/>
          <w:iCs w:val="0"/>
          <w:vertAlign w:val="superscript"/>
        </w:rPr>
        <w:footnoteReference w:id="11"/>
      </w:r>
      <w:r>
        <w:rPr>
          <w:rtl w:val="0"/>
        </w:rPr>
        <w:t xml:space="preserve"> Yet despite this, ancient writers attributed the impetus for the development of Greek astrology on a vague </w:t>
      </w:r>
      <w:r>
        <w:rPr>
          <w:rtl w:val="0"/>
        </w:rPr>
        <w:t>‘</w:t>
      </w:r>
      <w:r>
        <w:rPr>
          <w:rtl w:val="0"/>
        </w:rPr>
        <w:t>Chaldeans</w:t>
      </w:r>
      <w:r>
        <w:rPr>
          <w:rtl w:val="0"/>
        </w:rPr>
        <w:t>’</w:t>
      </w:r>
      <w:r>
        <w:rPr>
          <w:rtl w:val="0"/>
        </w:rPr>
        <w:t>, presumably the Babylonians, with support from limited evidence regarding celestial omens.</w:t>
      </w:r>
      <w:r>
        <w:rPr>
          <w:rFonts w:ascii="Lora Regular" w:cs="Lora Regular" w:hAnsi="Lora Regular" w:eastAsia="Lora Regular"/>
          <w:b w:val="0"/>
          <w:bCs w:val="0"/>
          <w:i w:val="0"/>
          <w:iCs w:val="0"/>
          <w:vertAlign w:val="superscript"/>
        </w:rPr>
        <w:footnoteReference w:id="12"/>
      </w:r>
      <w:r>
        <w:rPr>
          <w:rtl w:val="0"/>
        </w:rPr>
        <w:t xml:space="preserve"> This idea is also lent weight by the story, quoted by Clarke as a </w:t>
      </w:r>
      <w:r>
        <w:rPr>
          <w:rtl w:val="0"/>
        </w:rPr>
        <w:t>‘</w:t>
      </w:r>
      <w:r>
        <w:rPr>
          <w:rtl w:val="0"/>
        </w:rPr>
        <w:t>fable</w:t>
      </w:r>
      <w:r>
        <w:rPr>
          <w:rtl w:val="0"/>
        </w:rPr>
        <w:t>’</w:t>
      </w:r>
      <w:r>
        <w:rPr>
          <w:rtl w:val="0"/>
        </w:rPr>
        <w:t>, that Aristotle sent countless years of astronomical data back to his homeland of Greece when Alexander the Great invaded Babylonia.</w:t>
      </w:r>
      <w:r>
        <w:rPr>
          <w:rFonts w:ascii="Lora Regular" w:cs="Lora Regular" w:hAnsi="Lora Regular" w:eastAsia="Lora Regular"/>
          <w:b w:val="0"/>
          <w:bCs w:val="0"/>
          <w:i w:val="0"/>
          <w:iCs w:val="0"/>
          <w:vertAlign w:val="superscript"/>
        </w:rPr>
        <w:footnoteReference w:id="13"/>
      </w:r>
      <w:r>
        <w:rPr>
          <w:rtl w:val="0"/>
        </w:rPr>
        <w:t xml:space="preserve"> Aristotle indeed mentions in </w:t>
      </w:r>
      <w:r>
        <w:rPr>
          <w:i w:val="1"/>
          <w:iCs w:val="1"/>
          <w:rtl w:val="0"/>
          <w:lang w:val="en-US"/>
        </w:rPr>
        <w:t>De Caelo</w:t>
      </w:r>
      <w:r>
        <w:rPr>
          <w:rtl w:val="0"/>
        </w:rPr>
        <w:t xml:space="preserve"> </w:t>
      </w:r>
      <w:r>
        <w:rPr>
          <w:rtl w:val="0"/>
        </w:rPr>
        <w:t>‘</w:t>
      </w:r>
      <w:r>
        <w:rPr>
          <w:rtl w:val="0"/>
        </w:rPr>
        <w:t>evidence about particular stars is derived</w:t>
      </w:r>
      <w:r>
        <w:rPr>
          <w:rtl w:val="0"/>
        </w:rPr>
        <w:t xml:space="preserve">’ </w:t>
      </w:r>
      <w:r>
        <w:rPr>
          <w:rtl w:val="0"/>
        </w:rPr>
        <w:t>from the ancient records of the Egyptian and Babylonians.</w:t>
      </w:r>
      <w:r>
        <w:rPr>
          <w:rFonts w:ascii="Lora Regular" w:cs="Lora Regular" w:hAnsi="Lora Regular" w:eastAsia="Lora Regular"/>
          <w:b w:val="0"/>
          <w:bCs w:val="0"/>
          <w:i w:val="0"/>
          <w:iCs w:val="0"/>
          <w:vertAlign w:val="superscript"/>
        </w:rPr>
        <w:footnoteReference w:id="14"/>
      </w:r>
    </w:p>
    <w:p>
      <w:pPr>
        <w:pStyle w:val="Post Quote"/>
        <w:bidi w:val="0"/>
      </w:pPr>
    </w:p>
    <w:p>
      <w:pPr>
        <w:pStyle w:val="Heading"/>
        <w:rPr>
          <w:rFonts w:ascii="Lora Bold" w:cs="Lora Bold" w:hAnsi="Lora Bold" w:eastAsia="Lora Bold"/>
        </w:rPr>
      </w:pPr>
      <w:r>
        <w:rPr>
          <w:rFonts w:ascii="Lora Bold" w:hAnsi="Lora Bold"/>
          <w:rtl w:val="0"/>
          <w:lang w:val="en-US"/>
        </w:rPr>
        <w:t>The Tradition of the Zodiacal Constellations</w:t>
      </w:r>
    </w:p>
    <w:p>
      <w:pPr>
        <w:pStyle w:val="Body 2"/>
        <w:bidi w:val="0"/>
      </w:pPr>
    </w:p>
    <w:p>
      <w:pPr>
        <w:pStyle w:val="Body"/>
        <w:bidi w:val="0"/>
        <w:rPr>
          <w:shd w:val="clear" w:color="auto" w:fill="ffffff"/>
        </w:rPr>
      </w:pPr>
      <w:r>
        <w:rPr>
          <w:rFonts w:cs="Arial Unicode MS" w:eastAsia="Arial Unicode MS"/>
          <w:rtl w:val="0"/>
          <w:lang w:val="en-US"/>
        </w:rPr>
        <w:t xml:space="preserve">The first clear and considered an uncontroversial element of Babylonian astrology which survived in classical times were the zodiacal constellations, which first appeared in a horoscope in the tablet </w:t>
      </w:r>
      <w:r>
        <w:rPr>
          <w:rFonts w:cs="Arial Unicode MS" w:eastAsia="Arial Unicode MS"/>
          <w:shd w:val="clear" w:color="auto" w:fill="ffffff"/>
          <w:rtl w:val="0"/>
          <w:lang w:val="en-US"/>
        </w:rPr>
        <w:t>VAT 4924 for the year 419 B. C.</w:t>
      </w:r>
      <w:r>
        <w:rPr>
          <w:rFonts w:ascii="Lora Regular" w:cs="Lora Regular" w:hAnsi="Lora Regular" w:eastAsia="Lora Regular"/>
          <w:b w:val="0"/>
          <w:bCs w:val="0"/>
          <w:i w:val="0"/>
          <w:iCs w:val="0"/>
          <w:shd w:val="clear" w:color="auto" w:fill="ffffff"/>
          <w:vertAlign w:val="superscript"/>
        </w:rPr>
        <w:footnoteReference w:id="15"/>
      </w:r>
      <w:r>
        <w:rPr>
          <w:rFonts w:cs="Arial Unicode MS" w:eastAsia="Arial Unicode MS"/>
          <w:shd w:val="clear" w:color="auto" w:fill="ffffff"/>
          <w:rtl w:val="0"/>
          <w:lang w:val="en-US"/>
        </w:rPr>
        <w:t xml:space="preserve"> The Greek names of the zodiacal constellations appear to be largely identical to the Babylonian names. Taurus as the bull </w:t>
      </w:r>
      <w:r>
        <w:rPr>
          <w:rFonts w:cs="Arial Unicode MS" w:eastAsia="Arial Unicode MS"/>
          <w:shd w:val="clear" w:color="auto" w:fill="ffffff"/>
          <w:rtl w:val="0"/>
        </w:rPr>
        <w:t>gu</w:t>
      </w:r>
      <w:r>
        <w:rPr>
          <w:rFonts w:cs="Arial Unicode MS" w:eastAsia="Arial Unicode MS"/>
          <w:shd w:val="clear" w:color="auto" w:fill="ffffff"/>
          <w:vertAlign w:val="superscript"/>
          <w:rtl w:val="0"/>
        </w:rPr>
        <w:t>4</w:t>
      </w:r>
      <w:r>
        <w:rPr>
          <w:rFonts w:cs="Arial Unicode MS" w:eastAsia="Arial Unicode MS"/>
          <w:shd w:val="clear" w:color="auto" w:fill="ffffff"/>
          <w:rtl w:val="0"/>
        </w:rPr>
        <w:t>.an.na,</w:t>
      </w:r>
      <w:r>
        <w:rPr>
          <w:rFonts w:cs="Arial Unicode MS" w:eastAsia="Arial Unicode MS"/>
          <w:shd w:val="clear" w:color="auto" w:fill="ffffff"/>
          <w:rtl w:val="0"/>
          <w:lang w:val="en-US"/>
        </w:rPr>
        <w:t xml:space="preserve"> Gemini as the twins</w:t>
      </w:r>
      <w:r>
        <w:rPr>
          <w:rFonts w:cs="Arial Unicode MS" w:eastAsia="Arial Unicode MS"/>
          <w:shd w:val="clear" w:color="auto" w:fill="ffffff"/>
          <w:rtl w:val="0"/>
          <w:lang w:val="pt-PT"/>
        </w:rPr>
        <w:t xml:space="preserve"> mas.tab.ba.gal.gal, </w:t>
      </w:r>
      <w:r>
        <w:rPr>
          <w:rFonts w:cs="Arial Unicode MS" w:eastAsia="Arial Unicode MS"/>
          <w:shd w:val="clear" w:color="auto" w:fill="ffffff"/>
          <w:rtl w:val="0"/>
          <w:lang w:val="en-US"/>
        </w:rPr>
        <w:t xml:space="preserve">leo as the lion </w:t>
      </w:r>
      <w:r>
        <w:rPr>
          <w:rFonts w:cs="Arial Unicode MS" w:eastAsia="Arial Unicode MS"/>
          <w:shd w:val="clear" w:color="auto" w:fill="ffffff"/>
          <w:rtl w:val="0"/>
        </w:rPr>
        <w:t xml:space="preserve">ur.a, </w:t>
      </w:r>
      <w:r>
        <w:rPr>
          <w:rFonts w:cs="Arial Unicode MS" w:eastAsia="Arial Unicode MS"/>
          <w:shd w:val="clear" w:color="auto" w:fill="ffffff"/>
          <w:rtl w:val="0"/>
          <w:lang w:val="en-US"/>
        </w:rPr>
        <w:t xml:space="preserve">and Scorpio as the scorpion </w:t>
      </w:r>
      <w:r>
        <w:rPr>
          <w:rFonts w:cs="Arial Unicode MS" w:eastAsia="Arial Unicode MS"/>
          <w:shd w:val="clear" w:color="auto" w:fill="ffffff"/>
          <w:rtl w:val="0"/>
        </w:rPr>
        <w:t>gir.tab</w:t>
      </w:r>
      <w:r>
        <w:rPr>
          <w:rFonts w:cs="Arial Unicode MS" w:eastAsia="Arial Unicode MS"/>
          <w:shd w:val="clear" w:color="auto" w:fill="ffffff"/>
          <w:rtl w:val="0"/>
          <w:lang w:val="en-US"/>
        </w:rPr>
        <w:t xml:space="preserve"> for example.</w:t>
      </w:r>
      <w:r>
        <w:rPr>
          <w:rFonts w:ascii="Lora Regular" w:cs="Lora Regular" w:hAnsi="Lora Regular" w:eastAsia="Lora Regular"/>
          <w:b w:val="0"/>
          <w:bCs w:val="0"/>
          <w:i w:val="0"/>
          <w:iCs w:val="0"/>
          <w:shd w:val="clear" w:color="auto" w:fill="ffffff"/>
          <w:vertAlign w:val="superscript"/>
        </w:rPr>
        <w:footnoteReference w:id="16"/>
      </w:r>
      <w:r>
        <w:rPr>
          <w:rFonts w:cs="Arial Unicode MS" w:eastAsia="Arial Unicode MS"/>
          <w:shd w:val="clear" w:color="auto" w:fill="ffffff"/>
          <w:rtl w:val="0"/>
          <w:lang w:val="en-US"/>
        </w:rPr>
        <w:t xml:space="preserve"> The Ptolemaic-era </w:t>
      </w:r>
      <w:r>
        <w:rPr>
          <w:rFonts w:cs="Arial Unicode MS" w:eastAsia="Arial Unicode MS"/>
          <w:rtl w:val="0"/>
          <w:lang w:val="it-IT"/>
        </w:rPr>
        <w:t>Sagittarius</w:t>
      </w:r>
      <w:r>
        <w:rPr>
          <w:rFonts w:cs="Arial Unicode MS" w:eastAsia="Arial Unicode MS"/>
          <w:rtl w:val="0"/>
          <w:lang w:val="en-US"/>
        </w:rPr>
        <w:t xml:space="preserve"> carved on the circular zodiac of Denderah, depicts a similar centaur, with wings and a bow as</w:t>
      </w:r>
      <w:r>
        <w:rPr>
          <w:rFonts w:cs="Arial Unicode MS" w:eastAsia="Arial Unicode MS"/>
          <w:rtl w:val="0"/>
          <w:lang w:val="en-US"/>
        </w:rPr>
        <w:t xml:space="preserve"> pictur</w:t>
      </w:r>
      <w:r>
        <w:rPr>
          <w:rFonts w:cs="Arial Unicode MS" w:eastAsia="Arial Unicode MS"/>
          <w:rtl w:val="0"/>
          <w:lang w:val="en-US"/>
        </w:rPr>
        <w:t>ed</w:t>
      </w:r>
      <w:r>
        <w:rPr>
          <w:rFonts w:cs="Arial Unicode MS" w:eastAsia="Arial Unicode MS"/>
          <w:rtl w:val="0"/>
          <w:lang w:val="en-US"/>
        </w:rPr>
        <w:t xml:space="preserve"> on Babylonian boundary stones</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17"/>
      </w:r>
      <w:r>
        <w:rPr>
          <w:rFonts w:cs="Arial Unicode MS" w:eastAsia="Arial Unicode MS"/>
          <w:rtl w:val="0"/>
          <w:lang w:val="en-US"/>
        </w:rPr>
        <w:t xml:space="preserve"> </w:t>
      </w:r>
      <w:r>
        <w:rPr>
          <w:rFonts w:cs="Arial Unicode MS" w:eastAsia="Arial Unicode MS"/>
          <w:rtl w:val="0"/>
          <w:lang w:val="en-US"/>
        </w:rPr>
        <w:t>Mycenaean centaur figurines from the L</w:t>
      </w:r>
      <w:r>
        <w:rPr>
          <w:rFonts w:cs="Arial Unicode MS" w:eastAsia="Arial Unicode MS"/>
          <w:rtl w:val="0"/>
          <w:lang w:val="en-US"/>
        </w:rPr>
        <w:t xml:space="preserve">ate </w:t>
      </w:r>
      <w:r>
        <w:rPr>
          <w:rFonts w:cs="Arial Unicode MS" w:eastAsia="Arial Unicode MS"/>
          <w:rtl w:val="0"/>
          <w:lang w:val="en-US"/>
        </w:rPr>
        <w:t xml:space="preserve">Helladic </w:t>
      </w:r>
      <w:r>
        <w:rPr>
          <w:rFonts w:cs="Arial Unicode MS" w:eastAsia="Arial Unicode MS"/>
          <w:rtl w:val="0"/>
          <w:lang w:val="en-US"/>
        </w:rPr>
        <w:t>IIIA or the LH IIIB periods</w:t>
      </w:r>
      <w:r>
        <w:rPr>
          <w:rFonts w:cs="Arial Unicode MS" w:eastAsia="Arial Unicode MS"/>
          <w:rtl w:val="0"/>
          <w:lang w:val="en-US"/>
        </w:rPr>
        <w:t xml:space="preserve"> were discovered in Ugarit, hundreds of years before textual evidence of centaurs in Greek sources, indicating not only an exchange of material culture and iconography but also of ideas between the Aegean islands and the Near Eastern empires.</w:t>
      </w:r>
      <w:r>
        <w:rPr>
          <w:rFonts w:ascii="Lora Regular" w:cs="Lora Regular" w:hAnsi="Lora Regular" w:eastAsia="Lora Regular"/>
          <w:b w:val="0"/>
          <w:bCs w:val="0"/>
          <w:i w:val="0"/>
          <w:iCs w:val="0"/>
          <w:vertAlign w:val="superscript"/>
          <w:lang w:val="en-US"/>
        </w:rPr>
        <w:footnoteReference w:id="18"/>
      </w:r>
      <w:r>
        <w:rPr>
          <w:rFonts w:cs="Arial Unicode MS" w:eastAsia="Arial Unicode MS"/>
          <w:rtl w:val="0"/>
          <w:lang w:val="en-US"/>
        </w:rPr>
        <w:t xml:space="preserve"> </w:t>
      </w:r>
      <w:r>
        <w:rPr>
          <w:rFonts w:cs="Arial Unicode MS" w:eastAsia="Arial Unicode MS"/>
          <w:shd w:val="clear" w:color="auto" w:fill="ffffff"/>
          <w:rtl w:val="0"/>
          <w:lang w:val="en-US"/>
        </w:rPr>
        <w:t>F</w:t>
      </w:r>
      <w:r>
        <w:rPr>
          <w:rFonts w:cs="Arial Unicode MS" w:eastAsia="Arial Unicode MS"/>
          <w:shd w:val="clear" w:color="auto" w:fill="ffffff"/>
          <w:rtl w:val="0"/>
          <w:lang w:val="en-US"/>
        </w:rPr>
        <w:t>ifth</w:t>
      </w:r>
      <w:r>
        <w:rPr>
          <w:rFonts w:cs="Arial Unicode MS" w:eastAsia="Arial Unicode MS"/>
          <w:shd w:val="clear" w:color="auto" w:fill="ffffff"/>
          <w:rtl w:val="0"/>
          <w:lang w:val="en-US"/>
        </w:rPr>
        <w:t>-</w:t>
      </w:r>
      <w:r>
        <w:rPr>
          <w:rFonts w:cs="Arial Unicode MS" w:eastAsia="Arial Unicode MS"/>
          <w:shd w:val="clear" w:color="auto" w:fill="ffffff"/>
          <w:rtl w:val="0"/>
        </w:rPr>
        <w:t xml:space="preserve">century </w:t>
      </w:r>
      <w:r>
        <w:rPr>
          <w:rFonts w:cs="Arial Unicode MS" w:eastAsia="Arial Unicode MS"/>
          <w:shd w:val="clear" w:color="auto" w:fill="ffffff"/>
          <w:rtl w:val="0"/>
          <w:lang w:val="en-US"/>
        </w:rPr>
        <w:t xml:space="preserve">Babylonian </w:t>
      </w:r>
      <w:r>
        <w:rPr>
          <w:rFonts w:cs="Arial Unicode MS" w:eastAsia="Arial Unicode MS"/>
          <w:shd w:val="clear" w:color="auto" w:fill="ffffff"/>
          <w:rtl w:val="0"/>
          <w:lang w:val="en-US"/>
        </w:rPr>
        <w:t>astronomical diary texts</w:t>
      </w:r>
      <w:r>
        <w:rPr>
          <w:rFonts w:cs="Arial Unicode MS" w:eastAsia="Arial Unicode MS"/>
          <w:shd w:val="clear" w:color="auto" w:fill="ffffff"/>
          <w:rtl w:val="0"/>
          <w:lang w:val="en-US"/>
        </w:rPr>
        <w:t xml:space="preserve"> explicitly associated the planetary positions with these zodiacal signs.</w:t>
      </w:r>
      <w:r>
        <w:rPr>
          <w:rFonts w:ascii="Lora Regular" w:cs="Lora Regular" w:hAnsi="Lora Regular" w:eastAsia="Lora Regular"/>
          <w:b w:val="0"/>
          <w:bCs w:val="0"/>
          <w:i w:val="0"/>
          <w:iCs w:val="0"/>
          <w:shd w:val="clear" w:color="auto" w:fill="ffffff"/>
          <w:vertAlign w:val="superscript"/>
        </w:rPr>
        <w:footnoteReference w:id="19"/>
      </w:r>
      <w:r>
        <w:rPr>
          <w:rFonts w:cs="Arial Unicode MS" w:eastAsia="Arial Unicode MS"/>
          <w:shd w:val="clear" w:color="auto" w:fill="ffffff"/>
          <w:rtl w:val="0"/>
          <w:lang w:val="en-US"/>
        </w:rPr>
        <w:t xml:space="preserve"> </w:t>
      </w:r>
    </w:p>
    <w:p>
      <w:pPr>
        <w:pStyle w:val="Body"/>
        <w:bidi w:val="0"/>
        <w:rPr>
          <w:shd w:val="clear" w:color="auto" w:fill="ffffff"/>
        </w:rPr>
      </w:pPr>
      <w:r>
        <w:rPr>
          <w:rFonts w:cs="Arial Unicode MS" w:eastAsia="Arial Unicode MS"/>
          <w:shd w:val="clear" w:color="auto" w:fill="ffffff"/>
          <w:rtl w:val="0"/>
          <w:lang w:val="en-US"/>
        </w:rPr>
        <w:t>However, despite the apparent origins of the zodiacal constellation scheme from within Babylonia, the origins of the constellations themselves are very much unknown. While there are no Sumerian astrological texts discovered or recognized, most of the names of Babylonian celestial bodies were Sumerian or had Sumerian origins.</w:t>
      </w:r>
      <w:r>
        <w:rPr>
          <w:rFonts w:ascii="Lora Regular" w:cs="Lora Regular" w:hAnsi="Lora Regular" w:eastAsia="Lora Regular"/>
          <w:b w:val="0"/>
          <w:bCs w:val="0"/>
          <w:i w:val="0"/>
          <w:iCs w:val="0"/>
          <w:shd w:val="clear" w:color="auto" w:fill="ffffff"/>
          <w:vertAlign w:val="superscript"/>
        </w:rPr>
        <w:footnoteReference w:id="20"/>
      </w:r>
      <w:r>
        <w:rPr>
          <w:rFonts w:cs="Arial Unicode MS" w:eastAsia="Arial Unicode MS"/>
          <w:shd w:val="clear" w:color="auto" w:fill="ffffff"/>
          <w:rtl w:val="0"/>
          <w:lang w:val="en-US"/>
        </w:rPr>
        <w:t xml:space="preserve"> It has been postulated that Leo already existed as the Divine Lion in ancient Egypt.</w:t>
      </w:r>
      <w:r>
        <w:rPr>
          <w:rFonts w:cs="Arial Unicode MS" w:eastAsia="Arial Unicode MS"/>
          <w:rtl w:val="0"/>
          <w:lang w:val="en-US"/>
        </w:rPr>
        <w:t xml:space="preserve"> The Egyptians likely called Leo the </w:t>
      </w:r>
      <w:r>
        <w:rPr>
          <w:rFonts w:cs="Arial Unicode MS" w:eastAsia="Arial Unicode MS" w:hint="default"/>
          <w:rtl w:val="0"/>
          <w:lang w:val="en-US"/>
        </w:rPr>
        <w:t>“</w:t>
      </w:r>
      <w:r>
        <w:rPr>
          <w:rFonts w:cs="Arial Unicode MS" w:eastAsia="Arial Unicode MS"/>
          <w:rtl w:val="0"/>
          <w:lang w:val="en-US"/>
        </w:rPr>
        <w:t>divine lion</w:t>
      </w:r>
      <w:r>
        <w:rPr>
          <w:rFonts w:cs="Arial Unicode MS" w:eastAsia="Arial Unicode MS" w:hint="default"/>
          <w:rtl w:val="0"/>
          <w:lang w:val="en-US"/>
        </w:rPr>
        <w:t>”</w:t>
      </w:r>
      <w:r>
        <w:rPr>
          <w:rFonts w:cs="Arial Unicode MS" w:eastAsia="Arial Unicode MS"/>
          <w:rtl w:val="0"/>
          <w:lang w:val="en-US"/>
        </w:rPr>
        <w:t xml:space="preserve">, known as </w:t>
      </w:r>
      <w:r>
        <w:rPr>
          <w:rFonts w:ascii="Transliteration Italic" w:hAnsi="Transliteration Italic"/>
          <w:rtl w:val="0"/>
          <w:lang w:val="en-US"/>
        </w:rPr>
        <w:t>mAi</w:t>
      </w:r>
      <w:r>
        <w:rPr>
          <w:rFonts w:cs="Arial Unicode MS" w:eastAsia="Arial Unicode MS"/>
          <w:rtl w:val="0"/>
          <w:lang w:val="en-US"/>
        </w:rPr>
        <w:t xml:space="preserve"> </w:t>
      </w:r>
      <w:r>
        <w:drawing>
          <wp:inline distT="0" distB="0" distL="0" distR="0">
            <wp:extent cx="404478" cy="148774"/>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mAi.png"/>
                    <pic:cNvPicPr>
                      <a:picLocks noChangeAspect="1"/>
                    </pic:cNvPicPr>
                  </pic:nvPicPr>
                  <pic:blipFill>
                    <a:blip r:embed="rId4">
                      <a:extLst/>
                    </a:blip>
                    <a:stretch>
                      <a:fillRect/>
                    </a:stretch>
                  </pic:blipFill>
                  <pic:spPr>
                    <a:xfrm>
                      <a:off x="0" y="0"/>
                      <a:ext cx="404478" cy="148774"/>
                    </a:xfrm>
                    <a:prstGeom prst="rect">
                      <a:avLst/>
                    </a:prstGeom>
                    <a:ln w="12700" cap="flat">
                      <a:noFill/>
                      <a:miter lim="400000"/>
                    </a:ln>
                    <a:effectLst/>
                  </pic:spPr>
                </pic:pic>
              </a:graphicData>
            </a:graphic>
          </wp:inline>
        </w:drawing>
      </w:r>
      <w:r>
        <w:rPr>
          <w:rFonts w:cs="Arial Unicode MS" w:eastAsia="Arial Unicode MS"/>
          <w:rtl w:val="0"/>
          <w:lang w:val="en-US"/>
        </w:rPr>
        <w:t xml:space="preserve"> as depicted in New Kingdom astronomical ceilings.</w:t>
      </w:r>
      <w:r>
        <w:rPr>
          <w:rFonts w:ascii="Lora Regular" w:cs="Lora Regular" w:hAnsi="Lora Regular" w:eastAsia="Lora Regular"/>
          <w:b w:val="0"/>
          <w:bCs w:val="0"/>
          <w:i w:val="0"/>
          <w:iCs w:val="0"/>
          <w:vertAlign w:val="superscript"/>
        </w:rPr>
        <w:footnoteReference w:id="21"/>
      </w:r>
      <w:r>
        <w:rPr>
          <w:rFonts w:cs="Arial Unicode MS" w:eastAsia="Arial Unicode MS"/>
          <w:rtl w:val="0"/>
        </w:rPr>
        <w:t xml:space="preserve"> </w:t>
      </w:r>
      <w:r>
        <w:rPr>
          <w:rFonts w:cs="Arial Unicode MS" w:eastAsia="Arial Unicode MS"/>
          <w:rtl w:val="0"/>
          <w:lang w:val="en-US"/>
        </w:rPr>
        <w:t xml:space="preserve">The Egyptian association between the scorpion and Scorpius was </w:t>
      </w:r>
      <w:r>
        <w:rPr>
          <w:rFonts w:cs="Arial Unicode MS" w:eastAsia="Arial Unicode MS"/>
          <w:rtl w:val="0"/>
          <w:lang w:val="en-US"/>
        </w:rPr>
        <w:t>also</w:t>
      </w:r>
      <w:r>
        <w:rPr>
          <w:rFonts w:cs="Arial Unicode MS" w:eastAsia="Arial Unicode MS"/>
          <w:rtl w:val="0"/>
          <w:lang w:val="en-US"/>
        </w:rPr>
        <w:t xml:space="preserve"> proposed by Wells.</w:t>
      </w:r>
      <w:r>
        <w:rPr>
          <w:rFonts w:ascii="Lora Regular" w:cs="Lora Regular" w:hAnsi="Lora Regular" w:eastAsia="Lora Regular"/>
          <w:b w:val="0"/>
          <w:bCs w:val="0"/>
          <w:i w:val="0"/>
          <w:iCs w:val="0"/>
          <w:vertAlign w:val="superscript"/>
          <w:lang w:val="en-US"/>
        </w:rPr>
        <w:footnoteReference w:id="22"/>
      </w:r>
      <w:r>
        <w:rPr>
          <w:rFonts w:cs="Arial Unicode MS" w:eastAsia="Arial Unicode MS"/>
          <w:shd w:val="clear" w:color="auto" w:fill="ffffff"/>
          <w:rtl w:val="0"/>
          <w:lang w:val="en-US"/>
        </w:rPr>
        <w:t xml:space="preserve"> This is not to conclude that Egypt was the originator of those constellations, they could conceivably be a mutual inheritance from an earlier time, such as from the Neolithic, which would make their origin all the more difficult to trace. Some evidence of a zodiacal constellation may, in fact, exist from 15,000 BCE during the Aurignacian period in Lascaux, France. Parietal art depicts a large aurochs with 6 dots near the neck. Campion explains,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These are very likely the six most visible stars of the Pleiades, the star cluster which traditions later attached to the should of Taurus, the bull, while further dots on the bulls face may be the Hyades, another star cluster now included in Taurus,</w:t>
      </w:r>
      <w:r>
        <w:rPr>
          <w:rFonts w:cs="Arial Unicode MS" w:eastAsia="Arial Unicode MS" w:hint="default"/>
          <w:shd w:val="clear" w:color="auto" w:fill="ffffff"/>
          <w:rtl w:val="0"/>
          <w:lang w:val="en-US"/>
        </w:rPr>
        <w:t xml:space="preserve">’ </w:t>
      </w:r>
      <w:r>
        <w:rPr>
          <w:rFonts w:cs="Arial Unicode MS" w:eastAsia="Arial Unicode MS"/>
          <w:shd w:val="clear" w:color="auto" w:fill="ffffff"/>
          <w:rtl w:val="0"/>
          <w:lang w:val="en-US"/>
        </w:rPr>
        <w:t>suggesting stunningly that the heavenly bull could originate from what we commonly refer to as the Ice Age.</w:t>
      </w:r>
      <w:r>
        <w:rPr>
          <w:rFonts w:ascii="Lora Regular" w:cs="Lora Regular" w:hAnsi="Lora Regular" w:eastAsia="Lora Regular"/>
          <w:b w:val="0"/>
          <w:bCs w:val="0"/>
          <w:i w:val="0"/>
          <w:iCs w:val="0"/>
          <w:shd w:val="clear" w:color="auto" w:fill="ffffff"/>
          <w:vertAlign w:val="superscript"/>
        </w:rPr>
        <w:footnoteReference w:id="23"/>
      </w:r>
    </w:p>
    <w:p>
      <w:pPr>
        <w:pStyle w:val="Body"/>
        <w:bidi w:val="0"/>
        <w:rPr>
          <w:shd w:val="clear" w:color="auto" w:fill="ffffff"/>
        </w:rPr>
      </w:pPr>
      <w:r>
        <w:rPr>
          <w:rFonts w:cs="Arial Unicode MS" w:eastAsia="Arial Unicode MS"/>
          <w:shd w:val="clear" w:color="auto" w:fill="ffffff"/>
          <w:rtl w:val="0"/>
          <w:lang w:val="en-US"/>
        </w:rPr>
        <w:t xml:space="preserve">Nonetheless, sometime around the 5th century BCE, the Babylonians derived the names of the zodiacal constellations from the ecliptic constellations, as found in the MUL.APIN. </w:t>
      </w:r>
      <w:r>
        <w:rPr>
          <w:rFonts w:cs="Arial Unicode MS" w:eastAsia="Arial Unicode MS"/>
          <w:shd w:val="clear" w:color="auto" w:fill="ffffff"/>
          <w:rtl w:val="0"/>
          <w:lang w:val="en-US"/>
        </w:rPr>
        <w:t xml:space="preserve">These were the same animals </w:t>
      </w:r>
      <w:r>
        <w:rPr>
          <w:rFonts w:cs="Arial Unicode MS" w:eastAsia="Arial Unicode MS"/>
          <w:shd w:val="clear" w:color="auto" w:fill="ffffff"/>
          <w:rtl w:val="0"/>
          <w:lang w:val="en-US"/>
        </w:rPr>
        <w:t>that</w:t>
      </w:r>
      <w:r>
        <w:rPr>
          <w:rFonts w:cs="Arial Unicode MS" w:eastAsia="Arial Unicode MS"/>
          <w:shd w:val="clear" w:color="auto" w:fill="ffffff"/>
          <w:rtl w:val="0"/>
          <w:lang w:val="en-US"/>
        </w:rPr>
        <w:t xml:space="preserve"> were central to later astromythologies. The Babylonian epic of creation, </w:t>
      </w:r>
      <w:r>
        <w:rPr>
          <w:rFonts w:cs="Arial Unicode MS" w:eastAsia="Arial Unicode MS" w:hint="default"/>
          <w:shd w:val="clear" w:color="auto" w:fill="ffffff"/>
          <w:rtl w:val="1"/>
          <w:lang w:val="ar-SA" w:bidi="ar-SA"/>
        </w:rPr>
        <w:t>“</w:t>
      </w:r>
      <w:r>
        <w:rPr>
          <w:rFonts w:cs="Arial Unicode MS" w:eastAsia="Arial Unicode MS"/>
          <w:shd w:val="clear" w:color="auto" w:fill="ffffff"/>
          <w:rtl w:val="0"/>
        </w:rPr>
        <w:t>En</w:t>
      </w:r>
      <w:r>
        <w:rPr>
          <w:rFonts w:cs="Arial Unicode MS" w:eastAsia="Arial Unicode MS" w:hint="default"/>
          <w:shd w:val="clear" w:color="auto" w:fill="ffffff"/>
          <w:rtl w:val="0"/>
          <w:lang w:val="fr-FR"/>
        </w:rPr>
        <w:t>û</w:t>
      </w:r>
      <w:r>
        <w:rPr>
          <w:rFonts w:cs="Arial Unicode MS" w:eastAsia="Arial Unicode MS"/>
          <w:shd w:val="clear" w:color="auto" w:fill="ffffff"/>
          <w:rtl w:val="0"/>
          <w:lang w:val="it-IT"/>
        </w:rPr>
        <w:t>ma Eli</w:t>
      </w:r>
      <w:r>
        <w:rPr>
          <w:rFonts w:cs="Arial Unicode MS" w:eastAsia="Arial Unicode MS" w:hint="default"/>
          <w:shd w:val="clear" w:color="auto" w:fill="ffffff"/>
          <w:rtl w:val="0"/>
        </w:rPr>
        <w:t>š”</w:t>
      </w:r>
      <w:r>
        <w:rPr>
          <w:rFonts w:cs="Arial Unicode MS" w:eastAsia="Arial Unicode MS"/>
          <w:shd w:val="clear" w:color="auto" w:fill="ffffff"/>
          <w:rtl w:val="0"/>
          <w:lang w:val="en-US"/>
        </w:rPr>
        <w:t>, recounts how the sea, Tiamat, represented by a horned dragon, created the deities</w:t>
      </w:r>
      <w:r>
        <w:rPr>
          <w:rFonts w:cs="Arial Unicode MS" w:eastAsia="Arial Unicode MS"/>
          <w:shd w:val="clear" w:color="auto" w:fill="ffffff"/>
          <w:rtl w:val="0"/>
          <w:lang w:val="en-US"/>
        </w:rPr>
        <w:t>, which had some animals in common with the later zodiac</w:t>
      </w:r>
      <w:r>
        <w:rPr>
          <w:rFonts w:cs="Arial Unicode MS" w:eastAsia="Arial Unicode MS"/>
          <w:shd w:val="clear" w:color="auto" w:fill="ffffff"/>
          <w:rtl w:val="0"/>
        </w:rPr>
        <w:t>:</w:t>
      </w:r>
    </w:p>
    <w:p>
      <w:pPr>
        <w:pStyle w:val="Body"/>
        <w:bidi w:val="0"/>
        <w:rPr>
          <w:shd w:val="clear" w:color="auto" w:fill="ffffff"/>
        </w:rPr>
      </w:pPr>
    </w:p>
    <w:p>
      <w:pPr>
        <w:pStyle w:val="Body"/>
        <w:bidi w:val="0"/>
        <w:rPr>
          <w:shd w:val="clear" w:color="auto" w:fill="ffffff"/>
        </w:rPr>
      </w:pPr>
      <w:r>
        <w:rPr>
          <w:rFonts w:cs="Arial Unicode MS" w:eastAsia="Arial Unicode MS"/>
          <w:shd w:val="clear" w:color="auto" w:fill="ffffff"/>
          <w:rtl w:val="0"/>
          <w:lang w:val="en-US"/>
        </w:rPr>
        <w:t xml:space="preserve">She crowned (them) with fear-inspiring glory (and) made (them) like gods, </w:t>
      </w:r>
    </w:p>
    <w:p>
      <w:pPr>
        <w:pStyle w:val="Body"/>
        <w:bidi w:val="0"/>
        <w:rPr>
          <w:shd w:val="clear" w:color="auto" w:fill="ffffff"/>
        </w:rPr>
      </w:pPr>
      <w:r>
        <w:rPr>
          <w:rFonts w:cs="Arial Unicode MS" w:eastAsia="Arial Unicode MS"/>
          <w:shd w:val="clear" w:color="auto" w:fill="ffffff"/>
          <w:rtl w:val="0"/>
          <w:lang w:val="en-US"/>
        </w:rPr>
        <w:t xml:space="preserve">So that he who would look upon them should pe[rish] from terror, </w:t>
      </w:r>
    </w:p>
    <w:p>
      <w:pPr>
        <w:pStyle w:val="Body"/>
        <w:bidi w:val="0"/>
        <w:rPr>
          <w:shd w:val="clear" w:color="auto" w:fill="ffffff"/>
        </w:rPr>
      </w:pPr>
      <w:r>
        <w:rPr>
          <w:rFonts w:cs="Arial Unicode MS" w:eastAsia="Arial Unicode MS"/>
          <w:shd w:val="clear" w:color="auto" w:fill="ffffff"/>
          <w:rtl w:val="0"/>
          <w:lang w:val="en-US"/>
        </w:rPr>
        <w:t xml:space="preserve">So that their bodies might leap forward and none turn back [their breasts]. </w:t>
      </w:r>
    </w:p>
    <w:p>
      <w:pPr>
        <w:pStyle w:val="Body"/>
        <w:bidi w:val="0"/>
        <w:rPr>
          <w:shd w:val="clear" w:color="auto" w:fill="ffffff"/>
        </w:rPr>
      </w:pPr>
      <w:r>
        <w:rPr>
          <w:rFonts w:cs="Arial Unicode MS" w:eastAsia="Arial Unicode MS"/>
          <w:shd w:val="clear" w:color="auto" w:fill="ffffff"/>
          <w:rtl w:val="0"/>
          <w:lang w:val="en-US"/>
        </w:rPr>
        <w:t xml:space="preserve">She set up the viper, the dragon, and the </w:t>
      </w:r>
      <w:r>
        <w:rPr>
          <w:rFonts w:cs="Arial Unicode MS" w:eastAsia="Arial Unicode MS"/>
          <w:i w:val="1"/>
          <w:iCs w:val="1"/>
          <w:shd w:val="clear" w:color="auto" w:fill="ffffff"/>
          <w:rtl w:val="0"/>
        </w:rPr>
        <w:t>lahamu</w:t>
      </w:r>
      <w:r>
        <w:rPr>
          <w:rFonts w:cs="Arial Unicode MS" w:eastAsia="Arial Unicode MS"/>
          <w:shd w:val="clear" w:color="auto" w:fill="ffffff"/>
          <w:rtl w:val="0"/>
        </w:rPr>
        <w:t xml:space="preserve"> </w:t>
      </w:r>
    </w:p>
    <w:p>
      <w:pPr>
        <w:pStyle w:val="Body"/>
        <w:bidi w:val="0"/>
        <w:rPr>
          <w:shd w:val="clear" w:color="auto" w:fill="ffffff"/>
        </w:rPr>
      </w:pPr>
      <w:r>
        <w:rPr>
          <w:rFonts w:cs="Arial Unicode MS" w:eastAsia="Arial Unicode MS"/>
          <w:shd w:val="clear" w:color="auto" w:fill="ffffff"/>
          <w:rtl w:val="0"/>
          <w:lang w:val="en-US"/>
        </w:rPr>
        <w:t xml:space="preserve">The great lion, the mad dog, and the scorpion-man, </w:t>
      </w:r>
    </w:p>
    <w:p>
      <w:pPr>
        <w:pStyle w:val="Body"/>
        <w:bidi w:val="0"/>
        <w:rPr>
          <w:shd w:val="clear" w:color="auto" w:fill="ffffff"/>
        </w:rPr>
      </w:pPr>
      <w:r>
        <w:rPr>
          <w:rFonts w:cs="Arial Unicode MS" w:eastAsia="Arial Unicode MS"/>
          <w:shd w:val="clear" w:color="auto" w:fill="ffffff"/>
          <w:rtl w:val="0"/>
          <w:lang w:val="en-US"/>
        </w:rPr>
        <w:t xml:space="preserve">Driving storm demons, the dragonfly, and the bis[on], </w:t>
      </w:r>
    </w:p>
    <w:p>
      <w:pPr>
        <w:pStyle w:val="Body"/>
        <w:bidi w:val="0"/>
        <w:rPr>
          <w:shd w:val="clear" w:color="auto" w:fill="ffffff"/>
        </w:rPr>
      </w:pPr>
      <w:r>
        <w:rPr>
          <w:rFonts w:cs="Arial Unicode MS" w:eastAsia="Arial Unicode MS"/>
          <w:shd w:val="clear" w:color="auto" w:fill="ffffff"/>
          <w:rtl w:val="0"/>
          <w:lang w:val="en-US"/>
        </w:rPr>
        <w:t>Bearing unsparing weapons, unafraid of ba[ttle].</w:t>
      </w:r>
      <w:r>
        <w:rPr>
          <w:rFonts w:ascii="Lora Regular" w:cs="Lora Regular" w:hAnsi="Lora Regular" w:eastAsia="Lora Regular"/>
          <w:b w:val="0"/>
          <w:bCs w:val="0"/>
          <w:i w:val="0"/>
          <w:iCs w:val="0"/>
          <w:shd w:val="clear" w:color="auto" w:fill="ffffff"/>
          <w:vertAlign w:val="superscript"/>
        </w:rPr>
        <w:footnoteReference w:id="24"/>
      </w:r>
    </w:p>
    <w:p>
      <w:pPr>
        <w:pStyle w:val="Body"/>
        <w:bidi w:val="0"/>
        <w:rPr>
          <w:shd w:val="clear" w:color="auto" w:fill="ffffff"/>
        </w:rPr>
      </w:pPr>
    </w:p>
    <w:p>
      <w:pPr>
        <w:pStyle w:val="Post Quote"/>
        <w:bidi w:val="0"/>
        <w:rPr>
          <w:shd w:val="clear" w:color="auto" w:fill="ffffff"/>
        </w:rPr>
      </w:pPr>
      <w:r>
        <w:rPr>
          <w:shd w:val="clear" w:color="auto" w:fill="ffffff"/>
          <w:rtl w:val="0"/>
          <w:lang w:val="it-IT"/>
        </w:rPr>
        <w:t>Tiamat</w:t>
      </w:r>
      <w:r>
        <w:rPr>
          <w:shd w:val="clear" w:color="auto" w:fill="ffffff"/>
          <w:rtl w:val="0"/>
          <w:lang w:val="en-US"/>
        </w:rPr>
        <w:t>, whose body was dissected to form the heavens</w:t>
      </w:r>
      <w:r>
        <w:rPr>
          <w:shd w:val="clear" w:color="auto" w:fill="ffffff"/>
          <w:rtl w:val="0"/>
          <w:lang w:val="en-US"/>
        </w:rPr>
        <w:t xml:space="preserve">, created </w:t>
      </w:r>
      <w:r>
        <w:rPr>
          <w:shd w:val="clear" w:color="auto" w:fill="ffffff"/>
          <w:rtl w:val="0"/>
          <w:lang w:val="en-US"/>
        </w:rPr>
        <w:t xml:space="preserve">three demons which coincidentally became zodiacal constellations: the </w:t>
      </w:r>
      <w:r>
        <w:rPr>
          <w:shd w:val="clear" w:color="auto" w:fill="ffffff"/>
          <w:rtl w:val="0"/>
          <w:lang w:val="en-US"/>
        </w:rPr>
        <w:t xml:space="preserve">lion men </w:t>
      </w:r>
      <w:r>
        <w:rPr>
          <w:shd w:val="clear" w:color="auto" w:fill="ffffff"/>
          <w:rtl w:val="0"/>
          <w:lang w:val="en-US"/>
        </w:rPr>
        <w:t>that could represent</w:t>
      </w:r>
      <w:r>
        <w:rPr>
          <w:shd w:val="clear" w:color="auto" w:fill="ffffff"/>
          <w:rtl w:val="0"/>
          <w:lang w:val="en-US"/>
        </w:rPr>
        <w:t xml:space="preserve"> Leo, the scorpion men of Scorpio, and the </w:t>
      </w:r>
      <w:r>
        <w:rPr>
          <w:shd w:val="clear" w:color="auto" w:fill="ffffff"/>
          <w:rtl w:val="0"/>
          <w:lang w:val="en-US"/>
        </w:rPr>
        <w:t>bison</w:t>
      </w:r>
      <w:r>
        <w:rPr>
          <w:shd w:val="clear" w:color="auto" w:fill="ffffff"/>
          <w:rtl w:val="0"/>
          <w:lang w:val="en-US"/>
        </w:rPr>
        <w:t xml:space="preserve"> of Taurus.</w:t>
      </w:r>
      <w:r>
        <w:rPr>
          <w:shd w:val="clear" w:color="auto" w:fill="ffffff"/>
          <w:rtl w:val="0"/>
          <w:lang w:val="en-US"/>
        </w:rPr>
        <w:t xml:space="preserve"> The zodiacal belt was known to the Babylonians from at least the 7th century BCE when the MUL.APIN listed some 15 constellations on which the heavenly bodies journeyed across.</w:t>
      </w:r>
      <w:r>
        <w:rPr>
          <w:rFonts w:ascii="Lora Regular" w:cs="Lora Regular" w:hAnsi="Lora Regular" w:eastAsia="Lora Regular"/>
          <w:b w:val="0"/>
          <w:bCs w:val="0"/>
          <w:i w:val="0"/>
          <w:iCs w:val="0"/>
          <w:shd w:val="clear" w:color="auto" w:fill="ffffff"/>
          <w:vertAlign w:val="superscript"/>
        </w:rPr>
        <w:footnoteReference w:id="25"/>
      </w:r>
      <w:r>
        <w:rPr>
          <w:shd w:val="clear" w:color="auto" w:fill="ffffff"/>
          <w:rtl w:val="0"/>
          <w:lang w:val="en-US"/>
        </w:rPr>
        <w:t xml:space="preserve"> These early astrologers then fixed the </w:t>
      </w:r>
      <w:r>
        <w:rPr>
          <w:shd w:val="clear" w:color="auto" w:fill="ffffff"/>
          <w:rtl w:val="0"/>
          <w:lang w:val="en-US"/>
        </w:rPr>
        <w:t>‘</w:t>
      </w:r>
      <w:r>
        <w:rPr>
          <w:shd w:val="clear" w:color="auto" w:fill="ffffff"/>
          <w:rtl w:val="0"/>
          <w:lang w:val="en-US"/>
        </w:rPr>
        <w:t>signs</w:t>
      </w:r>
      <w:r>
        <w:rPr>
          <w:shd w:val="clear" w:color="auto" w:fill="ffffff"/>
          <w:rtl w:val="0"/>
          <w:lang w:val="en-US"/>
        </w:rPr>
        <w:t xml:space="preserve">’ </w:t>
      </w:r>
      <w:r>
        <w:rPr>
          <w:shd w:val="clear" w:color="auto" w:fill="ffffff"/>
          <w:rtl w:val="0"/>
          <w:lang w:val="en-US"/>
        </w:rPr>
        <w:t>in terms of degrees of longitude, rather than the boundaries of the constellations, divorcing astrology from actual observations of the sky, and becoming an astronomic reference system.</w:t>
      </w:r>
      <w:r>
        <w:rPr>
          <w:rFonts w:ascii="Lora Regular" w:cs="Lora Regular" w:hAnsi="Lora Regular" w:eastAsia="Lora Regular"/>
          <w:b w:val="0"/>
          <w:bCs w:val="0"/>
          <w:i w:val="0"/>
          <w:iCs w:val="0"/>
          <w:shd w:val="clear" w:color="auto" w:fill="ffffff"/>
          <w:vertAlign w:val="superscript"/>
        </w:rPr>
        <w:footnoteReference w:id="26"/>
      </w:r>
      <w:r>
        <w:rPr>
          <w:shd w:val="clear" w:color="auto" w:fill="ffffff"/>
          <w:rtl w:val="0"/>
          <w:lang w:val="en-US"/>
        </w:rPr>
        <w:t xml:space="preserve"> In the Greek world, it was only until Aristotle that the zodiac, from the Greek </w:t>
      </w:r>
      <w:r>
        <w:rPr>
          <w:rtl w:val="0"/>
        </w:rPr>
        <w:t>zo</w:t>
      </w:r>
      <w:r>
        <w:rPr>
          <w:rtl w:val="0"/>
        </w:rPr>
        <w:t>̄</w:t>
      </w:r>
      <w:r>
        <w:rPr>
          <w:rtl w:val="0"/>
        </w:rPr>
        <w:t>idion</w:t>
      </w:r>
      <w:r>
        <w:rPr>
          <w:rtl w:val="0"/>
        </w:rPr>
        <w:t>, meaning carved image, is confirmed as a band of constellations.</w:t>
      </w:r>
      <w:r>
        <w:rPr>
          <w:rFonts w:ascii="Lora Regular" w:cs="Lora Regular" w:hAnsi="Lora Regular" w:eastAsia="Lora Regular"/>
          <w:b w:val="0"/>
          <w:bCs w:val="0"/>
          <w:i w:val="0"/>
          <w:iCs w:val="0"/>
          <w:vertAlign w:val="superscript"/>
        </w:rPr>
        <w:footnoteReference w:id="27"/>
      </w:r>
      <w:r>
        <w:rPr>
          <w:shd w:val="clear" w:color="auto" w:fill="ffffff"/>
          <w:rtl w:val="0"/>
          <w:lang w:val="en-US"/>
        </w:rPr>
        <w:t xml:space="preserve"> According to Waerden, </w:t>
      </w:r>
      <w:r>
        <w:rPr>
          <w:shd w:val="clear" w:color="auto" w:fill="ffffff"/>
          <w:rtl w:val="0"/>
          <w:lang w:val="en-US"/>
        </w:rPr>
        <w:t>‘</w:t>
      </w:r>
      <w:r>
        <w:rPr>
          <w:rtl w:val="0"/>
        </w:rPr>
        <w:t>There are 12 signs, because there are 12 months in the schematical year of the mul.APIN. The signs were made of equal length in order to get months of equal duration; they were divided into 30 degrees each because the schematical months were supposed to contain 30 days each.</w:t>
      </w:r>
      <w:r>
        <w:rPr>
          <w:rtl w:val="0"/>
        </w:rPr>
        <w:t>’</w:t>
      </w:r>
      <w:r>
        <w:rPr>
          <w:rFonts w:ascii="Lora Regular" w:cs="Lora Regular" w:hAnsi="Lora Regular" w:eastAsia="Lora Regular"/>
          <w:b w:val="0"/>
          <w:bCs w:val="0"/>
          <w:i w:val="0"/>
          <w:iCs w:val="0"/>
          <w:vertAlign w:val="superscript"/>
        </w:rPr>
        <w:footnoteReference w:id="28"/>
      </w:r>
      <w:r>
        <w:rPr>
          <w:rtl w:val="0"/>
        </w:rPr>
        <w:t xml:space="preserve"> </w:t>
      </w:r>
      <w:r>
        <w:rPr>
          <w:shd w:val="clear" w:color="auto" w:fill="ffffff"/>
          <w:rtl w:val="0"/>
          <w:lang w:val="en-US"/>
        </w:rPr>
        <w:t>This neatly divided firmament is clearly the Tropical astrology system the Greeks inherited, which was known as early as 370BC by Eudoxous.</w:t>
      </w:r>
      <w:r>
        <w:rPr>
          <w:rFonts w:ascii="Lora Regular" w:cs="Lora Regular" w:hAnsi="Lora Regular" w:eastAsia="Lora Regular"/>
          <w:b w:val="0"/>
          <w:bCs w:val="0"/>
          <w:i w:val="0"/>
          <w:iCs w:val="0"/>
          <w:shd w:val="clear" w:color="auto" w:fill="ffffff"/>
          <w:vertAlign w:val="superscript"/>
        </w:rPr>
        <w:footnoteReference w:id="29"/>
      </w:r>
      <w:r>
        <w:rPr>
          <w:shd w:val="clear" w:color="auto" w:fill="ffffff"/>
          <w:rtl w:val="0"/>
          <w:lang w:val="en-US"/>
        </w:rPr>
        <w:t xml:space="preserve"> The system is in use today, as can be seen in the divergence, as a result of precession, of almost an entire sign, from the actual constellation on which the sun or planets are located (i.e. during the time of the sign of Cancer, the sun is actually mostly in the boundary of the constellation of Gemini). </w:t>
      </w:r>
    </w:p>
    <w:p>
      <w:pPr>
        <w:pStyle w:val="Body"/>
        <w:bidi w:val="0"/>
        <w:rPr>
          <w:shd w:val="clear" w:color="auto" w:fill="ffffff"/>
        </w:rPr>
      </w:pPr>
      <w:r>
        <w:rPr>
          <w:rFonts w:cs="Arial Unicode MS" w:eastAsia="Arial Unicode MS"/>
          <w:shd w:val="clear" w:color="auto" w:fill="ffffff"/>
          <w:rtl w:val="0"/>
          <w:lang w:val="en-US"/>
        </w:rPr>
        <w:tab/>
        <w:t>However, the fact that the ecliptic was originally divided into twelve constellations by the Babylonians should not be completely settled. Patrice Serres points to a series of carvings first discovered by Richard Starr in 1935 and then analyzed by Dominique Valbelle and Charles Bonnet in 1996, which indicated twelve proto-zodiacal carvings on a sundial in Serabit el-Khadim where the earliest Proto-Sinaitic graffito was also found.</w:t>
      </w:r>
      <w:r>
        <w:rPr>
          <w:rFonts w:ascii="Lora Regular" w:cs="Lora Regular" w:hAnsi="Lora Regular" w:eastAsia="Lora Regular"/>
          <w:b w:val="0"/>
          <w:bCs w:val="0"/>
          <w:i w:val="0"/>
          <w:iCs w:val="0"/>
          <w:shd w:val="clear" w:color="auto" w:fill="ffffff"/>
          <w:vertAlign w:val="superscript"/>
        </w:rPr>
        <w:footnoteReference w:id="30"/>
      </w:r>
      <w:r>
        <w:rPr>
          <w:rFonts w:cs="Arial Unicode MS" w:eastAsia="Arial Unicode MS"/>
          <w:shd w:val="clear" w:color="auto" w:fill="ffffff"/>
          <w:rtl w:val="0"/>
          <w:lang w:val="en-US"/>
        </w:rPr>
        <w:t xml:space="preserve"> According to Serres, these</w:t>
      </w:r>
      <w:r>
        <w:rPr>
          <w:rFonts w:cs="Arial Unicode MS" w:eastAsia="Arial Unicode MS"/>
          <w:shd w:val="clear" w:color="auto" w:fill="ffffff"/>
          <w:rtl w:val="0"/>
        </w:rPr>
        <w:t xml:space="preserve"> </w:t>
      </w:r>
      <w:r>
        <w:rPr>
          <w:rFonts w:cs="Arial Unicode MS" w:eastAsia="Arial Unicode MS"/>
          <w:shd w:val="clear" w:color="auto" w:fill="ffffff"/>
          <w:rtl w:val="0"/>
          <w:lang w:val="en-US"/>
        </w:rPr>
        <w:t xml:space="preserve">signs were based on a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lunar zodiac</w:t>
      </w:r>
      <w:r>
        <w:rPr>
          <w:rFonts w:cs="Arial Unicode MS" w:eastAsia="Arial Unicode MS" w:hint="default"/>
          <w:shd w:val="clear" w:color="auto" w:fill="ffffff"/>
          <w:rtl w:val="0"/>
          <w:lang w:val="en-US"/>
        </w:rPr>
        <w:t xml:space="preserve">’ </w:t>
      </w:r>
      <w:r>
        <w:rPr>
          <w:rFonts w:cs="Arial Unicode MS" w:eastAsia="Arial Unicode MS"/>
          <w:shd w:val="clear" w:color="auto" w:fill="ffffff"/>
          <w:rtl w:val="0"/>
          <w:lang w:val="en-US"/>
        </w:rPr>
        <w:t xml:space="preserve">which survives on </w:t>
      </w:r>
      <w:r>
        <w:rPr>
          <w:rFonts w:cs="Arial Unicode MS" w:eastAsia="Arial Unicode MS"/>
          <w:shd w:val="clear" w:color="auto" w:fill="ffffff"/>
          <w:rtl w:val="0"/>
        </w:rPr>
        <w:t>apotropaic wand</w:t>
      </w:r>
      <w:r>
        <w:rPr>
          <w:rFonts w:cs="Arial Unicode MS" w:eastAsia="Arial Unicode MS"/>
          <w:shd w:val="clear" w:color="auto" w:fill="ffffff"/>
          <w:rtl w:val="0"/>
          <w:lang w:val="en-US"/>
        </w:rPr>
        <w:t>s from the First Intermediate Period (2550-2040 BCE)</w:t>
      </w:r>
      <w:r>
        <w:rPr>
          <w:rFonts w:cs="Arial Unicode MS" w:eastAsia="Arial Unicode MS"/>
          <w:shd w:val="clear" w:color="auto" w:fill="ffffff"/>
          <w:rtl w:val="0"/>
          <w:lang w:val="en-US"/>
        </w:rPr>
        <w:t xml:space="preserve"> an early prototype of the zodiac signs (fig. </w:t>
      </w:r>
      <w:r>
        <w:rPr>
          <w:rFonts w:cs="Arial Unicode MS" w:eastAsia="Arial Unicode MS"/>
          <w:shd w:val="clear" w:color="auto" w:fill="ffffff"/>
          <w:rtl w:val="0"/>
          <w:lang w:val="en-US"/>
        </w:rPr>
        <w:t>1</w:t>
      </w:r>
      <w:r>
        <w:rPr>
          <w:rFonts w:cs="Arial Unicode MS" w:eastAsia="Arial Unicode MS"/>
          <w:shd w:val="clear" w:color="auto" w:fill="ffffff"/>
          <w:rtl w:val="0"/>
        </w:rPr>
        <w:t>).</w:t>
      </w:r>
      <w:r>
        <w:rPr>
          <w:rFonts w:ascii="Lora Regular" w:cs="Lora Regular" w:hAnsi="Lora Regular" w:eastAsia="Lora Regular"/>
          <w:b w:val="0"/>
          <w:bCs w:val="0"/>
          <w:i w:val="0"/>
          <w:iCs w:val="0"/>
          <w:shd w:val="clear" w:color="auto" w:fill="ffffff"/>
          <w:vertAlign w:val="superscript"/>
        </w:rPr>
        <w:footnoteReference w:id="31"/>
      </w:r>
      <w:r>
        <w:rPr>
          <w:rFonts w:cs="Arial Unicode MS" w:eastAsia="Arial Unicode MS"/>
          <w:shd w:val="clear" w:color="auto" w:fill="ffffff"/>
          <w:rtl w:val="0"/>
          <w:lang w:val="en-US"/>
        </w:rPr>
        <w:t xml:space="preserve"> They depict in the correct order a fish, a ram, a bull, a scarab (the Egyptian equivalent of the crab), the scales, a scorpion, an arrow (presumably for the archer of Sagittarius, and the water hieroglyph </w:t>
      </w:r>
      <w:r>
        <w:rPr>
          <w:rFonts w:ascii="Transliteration Italic" w:hAnsi="Transliteration Italic"/>
          <w:shd w:val="clear" w:color="auto" w:fill="ffffff"/>
          <w:rtl w:val="0"/>
          <w:lang w:val="en-US"/>
        </w:rPr>
        <w:t>mw</w:t>
      </w:r>
      <w:r>
        <w:rPr>
          <w:rFonts w:cs="Arial Unicode MS" w:eastAsia="Arial Unicode MS"/>
          <w:shd w:val="clear" w:color="auto" w:fill="ffffff"/>
          <w:rtl w:val="0"/>
          <w:lang w:val="en-US"/>
        </w:rPr>
        <w:t>, which is identical to the later symbol for Aquarius. That Scorpius is divided by Libra, could indicate that these were in fact equal divisions, since traditionally Scorpius was a constellation that occupied two signs. That no other evidence of an early Egyptian astrology with twelve signs exists, is unfortunate, however these symbols puts into question claims by Assyriologists that the Babylonians were the originator of this system.</w:t>
      </w:r>
    </w:p>
    <w:p>
      <w:pPr>
        <w:pStyle w:val="Post Quote"/>
        <w:bidi w:val="0"/>
        <w:rPr>
          <w:shd w:val="clear" w:color="auto" w:fill="ffffff"/>
        </w:rPr>
      </w:pPr>
    </w:p>
    <w:p>
      <w:pPr>
        <w:pStyle w:val="Post Quote"/>
        <w:jc w:val="center"/>
        <w:rPr>
          <w:shd w:val="clear" w:color="auto" w:fill="ffffff"/>
        </w:rPr>
      </w:pPr>
      <w:r>
        <w:rPr>
          <w:shd w:val="clear" w:color="auto" w:fill="ffffff"/>
        </w:rPr>
        <w:drawing>
          <wp:inline distT="0" distB="0" distL="0" distR="0">
            <wp:extent cx="4147845" cy="1634777"/>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rot="5400000">
                      <a:off x="0" y="0"/>
                      <a:ext cx="4147845" cy="1634777"/>
                    </a:xfrm>
                    <a:prstGeom prst="rect">
                      <a:avLst/>
                    </a:prstGeom>
                    <a:ln w="12700" cap="flat">
                      <a:noFill/>
                      <a:miter lim="400000"/>
                    </a:ln>
                    <a:effectLst/>
                  </pic:spPr>
                </pic:pic>
              </a:graphicData>
            </a:graphic>
          </wp:inline>
        </w:drawing>
      </w:r>
    </w:p>
    <w:p>
      <w:pPr>
        <w:pStyle w:val="Footnote"/>
        <w:jc w:val="center"/>
        <w:rPr>
          <w:shd w:val="clear" w:color="auto" w:fill="ffffff"/>
        </w:rPr>
      </w:pPr>
      <w:r>
        <w:rPr>
          <w:shd w:val="clear" w:color="auto" w:fill="ffffff"/>
          <w:rtl w:val="0"/>
          <w:lang w:val="en-US"/>
        </w:rPr>
        <w:t xml:space="preserve">Fig. 1. </w:t>
      </w:r>
      <w:r>
        <w:rPr>
          <w:shd w:val="clear" w:color="auto" w:fill="ffffff"/>
          <w:rtl w:val="0"/>
          <w:lang w:val="en-US"/>
        </w:rPr>
        <w:t>’</w:t>
      </w:r>
      <w:r>
        <w:rPr>
          <w:shd w:val="clear" w:color="auto" w:fill="ffffff"/>
          <w:rtl w:val="0"/>
          <w:lang w:val="en-US"/>
        </w:rPr>
        <w:t>Lunar Zodiac of Memphis</w:t>
      </w:r>
      <w:r>
        <w:rPr>
          <w:shd w:val="clear" w:color="auto" w:fill="ffffff"/>
          <w:rtl w:val="0"/>
          <w:lang w:val="en-US"/>
        </w:rPr>
        <w:t>’</w:t>
      </w:r>
      <w:r>
        <w:rPr>
          <w:shd w:val="clear" w:color="auto" w:fill="ffffff"/>
          <w:rtl w:val="0"/>
          <w:lang w:val="en-US"/>
        </w:rPr>
        <w:t>, First Intermediate Period, 2181-2055 BCE, Cairo Museum, taken from Serres, Le Myst</w:t>
      </w:r>
      <w:r>
        <w:rPr>
          <w:shd w:val="clear" w:color="auto" w:fill="ffffff"/>
          <w:rtl w:val="0"/>
          <w:lang w:val="en-US"/>
        </w:rPr>
        <w:t>é</w:t>
      </w:r>
      <w:r>
        <w:rPr>
          <w:shd w:val="clear" w:color="auto" w:fill="ffffff"/>
          <w:rtl w:val="0"/>
          <w:lang w:val="en-US"/>
        </w:rPr>
        <w:t>re, p. 71.</w:t>
      </w:r>
    </w:p>
    <w:p>
      <w:pPr>
        <w:pStyle w:val="Heading"/>
        <w:bidi w:val="0"/>
        <w:rPr>
          <w:shd w:val="clear" w:color="auto" w:fill="ffffff"/>
        </w:rPr>
      </w:pPr>
    </w:p>
    <w:p>
      <w:pPr>
        <w:pStyle w:val="Heading"/>
        <w:bidi w:val="0"/>
        <w:rPr>
          <w:shd w:val="clear" w:color="auto" w:fill="ffffff"/>
        </w:rPr>
      </w:pPr>
    </w:p>
    <w:p>
      <w:pPr>
        <w:pStyle w:val="Heading"/>
        <w:rPr>
          <w:rFonts w:ascii="Lora Bold" w:cs="Lora Bold" w:hAnsi="Lora Bold" w:eastAsia="Lora Bold"/>
          <w:shd w:val="clear" w:color="auto" w:fill="ffffff"/>
        </w:rPr>
      </w:pPr>
      <w:r>
        <w:rPr>
          <w:rFonts w:ascii="Lora Bold" w:hAnsi="Lora Bold"/>
          <w:shd w:val="clear" w:color="auto" w:fill="ffffff"/>
          <w:rtl w:val="0"/>
          <w:lang w:val="en-US"/>
        </w:rPr>
        <w:t>G</w:t>
      </w:r>
      <w:r>
        <w:rPr>
          <w:rFonts w:ascii="Lora Bold" w:hAnsi="Lora Bold"/>
          <w:shd w:val="clear" w:color="auto" w:fill="ffffff"/>
          <w:rtl w:val="0"/>
        </w:rPr>
        <w:t>enethlialog</w:t>
      </w:r>
      <w:r>
        <w:rPr>
          <w:rFonts w:ascii="Lora Bold" w:hAnsi="Lora Bold"/>
          <w:shd w:val="clear" w:color="auto" w:fill="ffffff"/>
          <w:rtl w:val="0"/>
          <w:lang w:val="en-US"/>
        </w:rPr>
        <w:t>ical and Psychological Astrology</w:t>
      </w:r>
    </w:p>
    <w:p>
      <w:pPr>
        <w:pStyle w:val="Body"/>
        <w:bidi w:val="0"/>
        <w:rPr>
          <w:shd w:val="clear" w:color="auto" w:fill="ffffff"/>
        </w:rPr>
      </w:pPr>
    </w:p>
    <w:p>
      <w:pPr>
        <w:pStyle w:val="Body"/>
        <w:bidi w:val="0"/>
      </w:pPr>
      <w:r>
        <w:rPr>
          <w:rFonts w:cs="Arial Unicode MS" w:eastAsia="Arial Unicode MS"/>
          <w:shd w:val="clear" w:color="auto" w:fill="ffffff"/>
          <w:rtl w:val="0"/>
          <w:lang w:val="en-US"/>
        </w:rPr>
        <w:t xml:space="preserve">According to Rochberg, the invention of this equal-sized division of the heaven into 12-parts was complemented by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the first known application of genethlialogy, the use of the birth chart, the application of astronomical positions at birth in order to make predictions about the future and quality of life</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w:t>
      </w:r>
      <w:r>
        <w:rPr>
          <w:rFonts w:ascii="Lora Regular" w:cs="Lora Regular" w:hAnsi="Lora Regular" w:eastAsia="Lora Regular"/>
          <w:b w:val="0"/>
          <w:bCs w:val="0"/>
          <w:i w:val="0"/>
          <w:iCs w:val="0"/>
          <w:shd w:val="clear" w:color="auto" w:fill="ffffff"/>
          <w:vertAlign w:val="superscript"/>
        </w:rPr>
        <w:footnoteReference w:id="32"/>
      </w:r>
      <w:r>
        <w:rPr>
          <w:rFonts w:cs="Arial Unicode MS" w:eastAsia="Arial Unicode MS"/>
          <w:shd w:val="clear" w:color="auto" w:fill="ffffff"/>
          <w:rtl w:val="0"/>
          <w:lang w:val="en-US"/>
        </w:rPr>
        <w:t xml:space="preserve"> However, Rochberg states that the Babylonian and Greek genethlialogical systems at their core are substantially different, even though they share a similar purpose in predicting the life on astronomical basis, associated in Hellenistic times with stoic fatalism.</w:t>
      </w:r>
      <w:r>
        <w:rPr>
          <w:rFonts w:ascii="Lora Regular" w:cs="Lora Regular" w:hAnsi="Lora Regular" w:eastAsia="Lora Regular"/>
          <w:b w:val="0"/>
          <w:bCs w:val="0"/>
          <w:i w:val="0"/>
          <w:iCs w:val="0"/>
          <w:shd w:val="clear" w:color="auto" w:fill="ffffff"/>
          <w:vertAlign w:val="superscript"/>
        </w:rPr>
        <w:footnoteReference w:id="33"/>
      </w:r>
      <w:r>
        <w:rPr>
          <w:rFonts w:ascii="Lora Regular" w:cs="Lora Regular" w:hAnsi="Lora Regular" w:eastAsia="Lora Regular"/>
          <w:b w:val="0"/>
          <w:bCs w:val="0"/>
          <w:i w:val="0"/>
          <w:iCs w:val="0"/>
          <w:shd w:val="clear" w:color="auto" w:fill="ffffff"/>
          <w:vertAlign w:val="superscript"/>
        </w:rPr>
        <w:footnoteReference w:id="34"/>
      </w:r>
      <w:r>
        <w:rPr>
          <w:rFonts w:cs="Arial Unicode MS" w:eastAsia="Arial Unicode MS"/>
          <w:shd w:val="clear" w:color="auto" w:fill="ffffff"/>
          <w:rtl w:val="0"/>
          <w:lang w:val="en-US"/>
        </w:rPr>
        <w:t xml:space="preserve"> The first horoscope to include an interpretation may be a horoscope dated to </w:t>
      </w:r>
      <w:r>
        <w:rPr>
          <w:rFonts w:cs="Arial Unicode MS" w:eastAsia="Arial Unicode MS"/>
          <w:shd w:val="clear" w:color="auto" w:fill="ffffff"/>
          <w:rtl w:val="0"/>
          <w:lang w:val="en-US"/>
        </w:rPr>
        <w:t>April</w:t>
      </w:r>
      <w:r>
        <w:rPr>
          <w:rFonts w:cs="Arial Unicode MS" w:eastAsia="Arial Unicode MS"/>
          <w:shd w:val="clear" w:color="auto" w:fill="ffffff"/>
          <w:rtl w:val="0"/>
          <w:lang w:val="en-US"/>
        </w:rPr>
        <w:t xml:space="preserve"> 29th,</w:t>
      </w:r>
      <w:r>
        <w:rPr>
          <w:rFonts w:cs="Arial Unicode MS" w:eastAsia="Arial Unicode MS"/>
          <w:shd w:val="clear" w:color="auto" w:fill="ffffff"/>
          <w:rtl w:val="0"/>
          <w:lang w:val="fr-FR"/>
        </w:rPr>
        <w:t xml:space="preserve"> 410 BCE</w:t>
      </w:r>
      <w:r>
        <w:rPr>
          <w:rFonts w:cs="Arial Unicode MS" w:eastAsia="Arial Unicode MS"/>
          <w:shd w:val="clear" w:color="auto" w:fill="ffffff"/>
          <w:rtl w:val="0"/>
          <w:lang w:val="en-US"/>
        </w:rPr>
        <w:t>, which indicates that the Babylonians pioneered the psychological reading of horoscopes.</w:t>
      </w:r>
      <w:r>
        <w:rPr>
          <w:rFonts w:ascii="Lora Regular" w:cs="Lora Regular" w:hAnsi="Lora Regular" w:eastAsia="Lora Regular"/>
          <w:b w:val="0"/>
          <w:bCs w:val="0"/>
          <w:i w:val="0"/>
          <w:iCs w:val="0"/>
          <w:shd w:val="clear" w:color="auto" w:fill="ffffff"/>
          <w:vertAlign w:val="superscript"/>
        </w:rPr>
        <w:footnoteReference w:id="35"/>
      </w:r>
      <w:r>
        <w:rPr>
          <w:rFonts w:cs="Arial Unicode MS" w:eastAsia="Arial Unicode MS"/>
          <w:shd w:val="clear" w:color="auto" w:fill="ffffff"/>
          <w:rtl w:val="0"/>
          <w:lang w:val="en-US"/>
        </w:rPr>
        <w:t xml:space="preserve"> The horoscope describes a child being born when Saturn has come forth which will endure a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dark, obscure, sick and constrained</w:t>
      </w:r>
      <w:r>
        <w:rPr>
          <w:rFonts w:cs="Arial Unicode MS" w:eastAsia="Arial Unicode MS" w:hint="default"/>
          <w:shd w:val="clear" w:color="auto" w:fill="ffffff"/>
          <w:rtl w:val="0"/>
          <w:lang w:val="en-US"/>
        </w:rPr>
        <w:t xml:space="preserve">’ </w:t>
      </w:r>
      <w:r>
        <w:rPr>
          <w:rFonts w:cs="Arial Unicode MS" w:eastAsia="Arial Unicode MS"/>
          <w:shd w:val="clear" w:color="auto" w:fill="ffffff"/>
          <w:rtl w:val="0"/>
          <w:lang w:val="en-US"/>
        </w:rPr>
        <w:t>life.</w:t>
      </w:r>
      <w:r>
        <w:rPr>
          <w:rFonts w:ascii="Lora Regular" w:cs="Lora Regular" w:hAnsi="Lora Regular" w:eastAsia="Lora Regular"/>
          <w:b w:val="0"/>
          <w:bCs w:val="0"/>
          <w:i w:val="0"/>
          <w:iCs w:val="0"/>
          <w:shd w:val="clear" w:color="auto" w:fill="ffffff"/>
          <w:vertAlign w:val="superscript"/>
        </w:rPr>
        <w:footnoteReference w:id="36"/>
      </w:r>
      <w:r>
        <w:rPr>
          <w:rFonts w:cs="Arial Unicode MS" w:eastAsia="Arial Unicode MS"/>
          <w:shd w:val="clear" w:color="auto" w:fill="ffffff"/>
          <w:rtl w:val="0"/>
          <w:lang w:val="en-US"/>
        </w:rPr>
        <w:t xml:space="preserve"> This corroborates later Greek interpretations of the natures of planets, such as in the Almagest</w:t>
      </w:r>
      <w:r>
        <w:rPr>
          <w:rFonts w:cs="Arial Unicode MS" w:eastAsia="Arial Unicode MS"/>
          <w:rtl w:val="0"/>
          <w:lang w:val="en-US"/>
        </w:rPr>
        <w:t>,</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 xml:space="preserve">Mars may render people kingly, noble and strong when honourably placed but, when difficult, it is </w:t>
      </w:r>
      <w:r>
        <w:rPr>
          <w:rFonts w:cs="Arial Unicode MS" w:eastAsia="Arial Unicode MS" w:hint="default"/>
          <w:rtl w:val="1"/>
        </w:rPr>
        <w:t>‘</w:t>
      </w:r>
      <w:r>
        <w:rPr>
          <w:rFonts w:cs="Arial Unicode MS" w:eastAsia="Arial Unicode MS"/>
          <w:rtl w:val="0"/>
          <w:lang w:val="en-US"/>
        </w:rPr>
        <w:t>rash, unruly, indifferent, stubborn, keen, headstrong contemptuous</w:t>
      </w:r>
      <w:r>
        <w:rPr>
          <w:rFonts w:cs="Arial Unicode MS" w:eastAsia="Arial Unicode MS"/>
          <w:rtl w:val="0"/>
          <w:lang w:val="en-US"/>
        </w:rPr>
        <w:t xml:space="preserve"> </w:t>
      </w:r>
      <w:r>
        <w:rPr>
          <w:rFonts w:cs="Arial Unicode MS" w:eastAsia="Arial Unicode MS"/>
          <w:rtl w:val="0"/>
          <w:lang w:val="en-US"/>
        </w:rPr>
        <w:t>tyrannical (and) easily angered</w:t>
      </w:r>
      <w:r>
        <w:rPr>
          <w:rFonts w:cs="Arial Unicode MS" w:eastAsia="Arial Unicode MS" w:hint="default"/>
          <w:rtl w:val="0"/>
          <w:lang w:val="en-US"/>
        </w:rPr>
        <w:t>’</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37"/>
      </w:r>
      <w:r>
        <w:rPr>
          <w:rFonts w:cs="Arial Unicode MS" w:eastAsia="Arial Unicode MS"/>
          <w:rtl w:val="0"/>
          <w:lang w:val="en-US"/>
        </w:rPr>
        <w:t xml:space="preserve"> As Campion has argued, Near Eastern </w:t>
      </w:r>
      <w:r>
        <w:rPr>
          <w:rFonts w:cs="Arial Unicode MS" w:eastAsia="Arial Unicode MS" w:hint="default"/>
          <w:rtl w:val="0"/>
          <w:lang w:val="en-US"/>
        </w:rPr>
        <w:t>‘</w:t>
      </w:r>
      <w:r>
        <w:rPr>
          <w:rFonts w:cs="Arial Unicode MS" w:eastAsia="Arial Unicode MS"/>
          <w:rtl w:val="0"/>
          <w:lang w:val="en-US"/>
        </w:rPr>
        <w:t>psychology</w:t>
      </w:r>
      <w:r>
        <w:rPr>
          <w:rFonts w:cs="Arial Unicode MS" w:eastAsia="Arial Unicode MS" w:hint="default"/>
          <w:rtl w:val="0"/>
          <w:lang w:val="en-US"/>
        </w:rPr>
        <w:t xml:space="preserve">’ </w:t>
      </w:r>
      <w:r>
        <w:rPr>
          <w:rFonts w:cs="Arial Unicode MS" w:eastAsia="Arial Unicode MS"/>
          <w:rtl w:val="0"/>
          <w:lang w:val="en-US"/>
        </w:rPr>
        <w:t>tradition survived through the middle ages.</w:t>
      </w:r>
      <w:r>
        <w:rPr>
          <w:rFonts w:ascii="Lora Regular" w:cs="Lora Regular" w:hAnsi="Lora Regular" w:eastAsia="Lora Regular"/>
          <w:b w:val="0"/>
          <w:bCs w:val="0"/>
          <w:i w:val="0"/>
          <w:iCs w:val="0"/>
          <w:vertAlign w:val="superscript"/>
        </w:rPr>
        <w:footnoteReference w:id="38"/>
      </w:r>
      <w:r>
        <w:rPr>
          <w:rFonts w:cs="Arial Unicode MS" w:eastAsia="Arial Unicode MS"/>
          <w:rtl w:val="0"/>
          <w:lang w:val="en-US"/>
        </w:rPr>
        <w:t xml:space="preserve"> In Christian Lilly</w:t>
      </w:r>
      <w:r>
        <w:rPr>
          <w:rFonts w:cs="Arial Unicode MS" w:eastAsia="Arial Unicode MS" w:hint="default"/>
          <w:rtl w:val="0"/>
          <w:lang w:val="en-US"/>
        </w:rPr>
        <w:t>’</w:t>
      </w:r>
      <w:r>
        <w:rPr>
          <w:rFonts w:cs="Arial Unicode MS" w:eastAsia="Arial Unicode MS"/>
          <w:rtl w:val="0"/>
          <w:lang w:val="en-US"/>
        </w:rPr>
        <w:t xml:space="preserve">s influential Christian Astrology, descriptions such as these can be found, </w:t>
      </w:r>
      <w:r>
        <w:rPr>
          <w:rFonts w:cs="Arial Unicode MS" w:eastAsia="Arial Unicode MS"/>
          <w:rtl w:val="0"/>
          <w:lang w:val="en-US"/>
        </w:rPr>
        <w:t xml:space="preserve">Venus signified a </w:t>
      </w:r>
      <w:r>
        <w:rPr>
          <w:rFonts w:cs="Arial Unicode MS" w:eastAsia="Arial Unicode MS" w:hint="default"/>
          <w:rtl w:val="1"/>
        </w:rPr>
        <w:t>‘</w:t>
      </w:r>
      <w:r>
        <w:rPr>
          <w:rFonts w:cs="Arial Unicode MS" w:eastAsia="Arial Unicode MS"/>
          <w:rtl w:val="0"/>
          <w:lang w:val="en-US"/>
        </w:rPr>
        <w:t>quiet man, not given to Quarrel or Wrangling</w:t>
      </w:r>
      <w:r>
        <w:rPr>
          <w:rFonts w:cs="Arial Unicode MS" w:eastAsia="Arial Unicode MS" w:hint="default"/>
          <w:rtl w:val="1"/>
        </w:rPr>
        <w:t>’</w:t>
      </w:r>
      <w:r>
        <w:rPr>
          <w:rFonts w:cs="Arial Unicode MS" w:eastAsia="Arial Unicode MS"/>
          <w:rtl w:val="0"/>
          <w:lang w:val="en-US"/>
        </w:rPr>
        <w:t xml:space="preserve"> while Jupiter was </w:t>
      </w:r>
      <w:r>
        <w:rPr>
          <w:rFonts w:cs="Arial Unicode MS" w:eastAsia="Arial Unicode MS" w:hint="default"/>
          <w:rtl w:val="0"/>
          <w:lang w:val="en-US"/>
        </w:rPr>
        <w:t>‘</w:t>
      </w:r>
      <w:r>
        <w:rPr>
          <w:rFonts w:cs="Arial Unicode MS" w:eastAsia="Arial Unicode MS"/>
          <w:rtl w:val="0"/>
          <w:lang w:val="en-US"/>
        </w:rPr>
        <w:t>magnanimous, faithful (and) a lover of faire dealing</w:t>
      </w:r>
      <w:r>
        <w:rPr>
          <w:rFonts w:cs="Arial Unicode MS" w:eastAsia="Arial Unicode MS"/>
          <w:rtl w:val="0"/>
          <w:lang w:val="en-US"/>
        </w:rPr>
        <w:t>.</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39"/>
      </w:r>
    </w:p>
    <w:p>
      <w:pPr>
        <w:pStyle w:val="Body"/>
        <w:bidi w:val="0"/>
        <w:rPr>
          <w:shd w:val="clear" w:color="auto" w:fill="ffffff"/>
        </w:rPr>
      </w:pPr>
      <w:r>
        <w:rPr>
          <w:rFonts w:cs="Arial Unicode MS" w:eastAsia="Arial Unicode MS"/>
          <w:shd w:val="clear" w:color="auto" w:fill="ffffff"/>
          <w:rtl w:val="0"/>
          <w:lang w:val="en-US"/>
        </w:rPr>
        <w:t>Perhaps the notion that the sky has a direct influence on human affairs itself can be seen as a possible Babylonian inheritance. The Babylonian Diviner</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s Manual states '</w:t>
      </w:r>
      <w:r>
        <w:rPr>
          <w:rFonts w:cs="Arial Unicode MS" w:eastAsia="Arial Unicode MS"/>
          <w:shd w:val="clear" w:color="auto" w:fill="ffffff"/>
          <w:rtl w:val="0"/>
          <w:lang w:val="en-US"/>
        </w:rPr>
        <w:t>A sign that portends evil in the sky is (also) evil on earth</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w:t>
      </w:r>
      <w:r>
        <w:rPr>
          <w:rFonts w:ascii="Lora Regular" w:cs="Lora Regular" w:hAnsi="Lora Regular" w:eastAsia="Lora Regular"/>
          <w:b w:val="0"/>
          <w:bCs w:val="0"/>
          <w:i w:val="0"/>
          <w:iCs w:val="0"/>
          <w:shd w:val="clear" w:color="auto" w:fill="ffffff"/>
          <w:vertAlign w:val="superscript"/>
        </w:rPr>
        <w:footnoteReference w:id="40"/>
      </w:r>
      <w:r>
        <w:rPr>
          <w:rFonts w:cs="Arial Unicode MS" w:eastAsia="Arial Unicode MS"/>
          <w:shd w:val="clear" w:color="auto" w:fill="ffffff"/>
          <w:rtl w:val="0"/>
          <w:lang w:val="en-US"/>
        </w:rPr>
        <w:t xml:space="preserve"> which is similar to hermetic maxim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as above so below</w:t>
      </w:r>
      <w:r>
        <w:rPr>
          <w:rFonts w:cs="Arial Unicode MS" w:eastAsia="Arial Unicode MS" w:hint="default"/>
          <w:shd w:val="clear" w:color="auto" w:fill="ffffff"/>
          <w:rtl w:val="0"/>
          <w:lang w:val="en-US"/>
        </w:rPr>
        <w:t xml:space="preserve">’ </w:t>
      </w:r>
      <w:r>
        <w:rPr>
          <w:rFonts w:cs="Arial Unicode MS" w:eastAsia="Arial Unicode MS"/>
          <w:shd w:val="clear" w:color="auto" w:fill="ffffff"/>
          <w:rtl w:val="0"/>
          <w:lang w:val="en-US"/>
        </w:rPr>
        <w:t>(</w:t>
      </w:r>
      <w:r>
        <w:rPr>
          <w:rFonts w:cs="Arial Unicode MS" w:eastAsia="Arial Unicode MS"/>
          <w:i w:val="1"/>
          <w:iCs w:val="1"/>
          <w:rtl w:val="0"/>
          <w:lang w:val="it-IT"/>
        </w:rPr>
        <w:t>Quod est inferius, est sicut quod est superiu</w:t>
      </w:r>
      <w:r>
        <w:rPr>
          <w:rFonts w:cs="Arial Unicode MS" w:eastAsia="Arial Unicode MS"/>
          <w:rtl w:val="0"/>
          <w:lang w:val="en-US"/>
        </w:rPr>
        <w:t>)</w:t>
      </w:r>
      <w:r>
        <w:rPr>
          <w:rFonts w:cs="Arial Unicode MS" w:eastAsia="Arial Unicode MS"/>
          <w:shd w:val="clear" w:color="auto" w:fill="ffffff"/>
          <w:rtl w:val="0"/>
          <w:lang w:val="en-US"/>
        </w:rPr>
        <w:t xml:space="preserve"> </w:t>
      </w:r>
      <w:r>
        <w:rPr>
          <w:rFonts w:cs="Arial Unicode MS" w:eastAsia="Arial Unicode MS"/>
          <w:rtl w:val="0"/>
          <w:lang w:val="en-US"/>
        </w:rPr>
        <w:t xml:space="preserve">found in the </w:t>
      </w:r>
      <w:r>
        <w:rPr>
          <w:rFonts w:cs="Arial Unicode MS" w:eastAsia="Arial Unicode MS"/>
          <w:rtl w:val="0"/>
          <w:lang w:val="en-US"/>
        </w:rPr>
        <w:t>enigmatic</w:t>
      </w:r>
      <w:r>
        <w:rPr>
          <w:rFonts w:cs="Arial Unicode MS" w:eastAsia="Arial Unicode MS"/>
          <w:rtl w:val="0"/>
          <w:lang w:val="en-US"/>
        </w:rPr>
        <w:t xml:space="preserve"> Emerald Tablet.</w:t>
      </w:r>
      <w:r>
        <w:rPr>
          <w:rFonts w:ascii="Lora Regular" w:cs="Lora Regular" w:hAnsi="Lora Regular" w:eastAsia="Lora Regular"/>
          <w:b w:val="0"/>
          <w:bCs w:val="0"/>
          <w:i w:val="0"/>
          <w:iCs w:val="0"/>
          <w:vertAlign w:val="superscript"/>
          <w:lang w:val="en-US"/>
        </w:rPr>
        <w:footnoteReference w:id="41"/>
      </w:r>
      <w:r>
        <w:rPr>
          <w:rFonts w:cs="Arial Unicode MS" w:eastAsia="Arial Unicode MS"/>
          <w:shd w:val="clear" w:color="auto" w:fill="ffffff"/>
          <w:rtl w:val="0"/>
          <w:lang w:val="en-US"/>
        </w:rPr>
        <w:t xml:space="preserve"> As such, Rochberg argues that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on the basis of the omen literature, that nature was not considered as disassociated from the gods, and that the theory of celestial divination therefore presupposed no notion of a mechanistic cosmos.</w:t>
      </w:r>
      <w:r>
        <w:rPr>
          <w:rFonts w:cs="Arial Unicode MS" w:eastAsia="Arial Unicode MS" w:hint="default"/>
          <w:shd w:val="clear" w:color="auto" w:fill="ffffff"/>
          <w:rtl w:val="0"/>
          <w:lang w:val="en-US"/>
        </w:rPr>
        <w:t>’</w:t>
      </w:r>
      <w:r>
        <w:rPr>
          <w:rFonts w:ascii="Lora Regular" w:cs="Lora Regular" w:hAnsi="Lora Regular" w:eastAsia="Lora Regular"/>
          <w:b w:val="0"/>
          <w:bCs w:val="0"/>
          <w:i w:val="0"/>
          <w:iCs w:val="0"/>
          <w:shd w:val="clear" w:color="auto" w:fill="ffffff"/>
          <w:vertAlign w:val="superscript"/>
        </w:rPr>
        <w:footnoteReference w:id="42"/>
      </w:r>
      <w:r>
        <w:rPr>
          <w:rFonts w:cs="Arial Unicode MS" w:eastAsia="Arial Unicode MS"/>
          <w:shd w:val="clear" w:color="auto" w:fill="ffffff"/>
          <w:rtl w:val="0"/>
          <w:lang w:val="en-US"/>
        </w:rPr>
        <w:t xml:space="preserve"> Similar to Greek astrology, the Babylonians divided the planets into benefic or malefics pairs. Jupiter and Venus as benefics, Mercury as ambiguous, and Mars and Saturn as Malefics.</w:t>
      </w:r>
      <w:r>
        <w:rPr>
          <w:rFonts w:ascii="Lora Regular" w:cs="Lora Regular" w:hAnsi="Lora Regular" w:eastAsia="Lora Regular"/>
          <w:b w:val="0"/>
          <w:bCs w:val="0"/>
          <w:i w:val="0"/>
          <w:iCs w:val="0"/>
          <w:shd w:val="clear" w:color="auto" w:fill="ffffff"/>
          <w:vertAlign w:val="superscript"/>
        </w:rPr>
        <w:footnoteReference w:id="43"/>
      </w:r>
      <w:r>
        <w:rPr>
          <w:rFonts w:cs="Arial Unicode MS" w:eastAsia="Arial Unicode MS"/>
          <w:shd w:val="clear" w:color="auto" w:fill="ffffff"/>
          <w:rtl w:val="0"/>
          <w:lang w:val="en-US"/>
        </w:rPr>
        <w:t xml:space="preserve"> Rochberg also identified evidence from a Seleucid Babylonian planetary text (LBAT 591) that supports the notion that the they possessed planetary exaltations, the Greek </w:t>
      </w:r>
      <w:r>
        <w:rPr>
          <w:rFonts w:cs="Arial Unicode MS" w:eastAsia="Arial Unicode MS"/>
          <w:i w:val="1"/>
          <w:iCs w:val="1"/>
          <w:shd w:val="clear" w:color="auto" w:fill="ffffff"/>
          <w:rtl w:val="0"/>
          <w:lang w:val="en-US"/>
        </w:rPr>
        <w:t>hypsoma</w:t>
      </w:r>
      <w:r>
        <w:rPr>
          <w:rFonts w:cs="Arial Unicode MS" w:eastAsia="Arial Unicode MS"/>
          <w:shd w:val="clear" w:color="auto" w:fill="ffffff"/>
          <w:rtl w:val="0"/>
          <w:lang w:val="en-US"/>
        </w:rPr>
        <w:t>, of the same planets in the same zodiac signs, indicating the transmission of a highly technical minutiae of horoscopes.</w:t>
      </w:r>
      <w:r>
        <w:rPr>
          <w:rFonts w:ascii="Lora Regular" w:cs="Lora Regular" w:hAnsi="Lora Regular" w:eastAsia="Lora Regular"/>
          <w:b w:val="0"/>
          <w:bCs w:val="0"/>
          <w:i w:val="0"/>
          <w:iCs w:val="0"/>
          <w:shd w:val="clear" w:color="auto" w:fill="ffffff"/>
          <w:vertAlign w:val="superscript"/>
        </w:rPr>
        <w:footnoteReference w:id="44"/>
      </w:r>
      <w:r>
        <w:rPr>
          <w:rFonts w:cs="Arial Unicode MS" w:eastAsia="Arial Unicode MS"/>
          <w:shd w:val="clear" w:color="auto" w:fill="ffffff"/>
          <w:rtl w:val="0"/>
          <w:lang w:val="en-US"/>
        </w:rPr>
        <w:t xml:space="preserve"> These exaltations are in use to this day as can be seen in the works of Alan Leo and other modern authors. Ptolemy for instance writes about Jupiter</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 xml:space="preserve">s hypsoma, </w:t>
      </w:r>
      <w:r>
        <w:rPr>
          <w:rFonts w:cs="Arial Unicode MS" w:eastAsia="Arial Unicode MS" w:hint="default"/>
          <w:shd w:val="clear" w:color="auto" w:fill="ffffff"/>
          <w:rtl w:val="0"/>
          <w:lang w:val="en-US"/>
        </w:rPr>
        <w:t>‘</w:t>
      </w:r>
      <w:r>
        <w:rPr>
          <w:rFonts w:cs="Arial Unicode MS" w:eastAsia="Arial Unicode MS"/>
          <w:rtl w:val="0"/>
          <w:lang w:val="en-US"/>
        </w:rPr>
        <w:t>Then Jupiter, which produces the fecund north winds, reaches farthest north in Cancer and brings his own power to fullness; they therefore made this sign his exaltation and Capricorn his depression.</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45"/>
      </w:r>
      <w:r>
        <w:rPr>
          <w:rFonts w:cs="Arial Unicode MS" w:eastAsia="Arial Unicode MS"/>
          <w:shd w:val="clear" w:color="auto" w:fill="ffffff"/>
          <w:rtl w:val="0"/>
          <w:lang w:val="en-US"/>
        </w:rPr>
        <w:t xml:space="preserve"> In Babylon, the exaltations were known as the </w:t>
      </w:r>
      <w:r>
        <w:rPr>
          <w:rFonts w:cs="Arial Unicode MS" w:eastAsia="Arial Unicode MS"/>
          <w:i w:val="1"/>
          <w:iCs w:val="1"/>
          <w:shd w:val="clear" w:color="auto" w:fill="ffffff"/>
          <w:rtl w:val="0"/>
          <w:lang w:val="en-US"/>
        </w:rPr>
        <w:t>bit nisirti</w:t>
      </w:r>
      <w:r>
        <w:rPr>
          <w:rFonts w:cs="Arial Unicode MS" w:eastAsia="Arial Unicode MS"/>
          <w:shd w:val="clear" w:color="auto" w:fill="ffffff"/>
          <w:rtl w:val="0"/>
          <w:lang w:val="en-US"/>
        </w:rPr>
        <w:t xml:space="preserve">, or </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secret houses</w:t>
      </w:r>
      <w:r>
        <w:rPr>
          <w:rFonts w:cs="Arial Unicode MS" w:eastAsia="Arial Unicode MS" w:hint="default"/>
          <w:shd w:val="clear" w:color="auto" w:fill="ffffff"/>
          <w:rtl w:val="0"/>
          <w:lang w:val="en-US"/>
        </w:rPr>
        <w:t>’</w:t>
      </w:r>
      <w:r>
        <w:rPr>
          <w:rFonts w:cs="Arial Unicode MS" w:eastAsia="Arial Unicode MS"/>
          <w:shd w:val="clear" w:color="auto" w:fill="ffffff"/>
          <w:rtl w:val="0"/>
          <w:lang w:val="en-US"/>
        </w:rPr>
        <w:t xml:space="preserve">. However, it seems that the </w:t>
      </w:r>
      <w:r>
        <w:rPr>
          <w:rFonts w:cs="Arial Unicode MS" w:eastAsia="Arial Unicode MS"/>
          <w:i w:val="1"/>
          <w:iCs w:val="1"/>
          <w:shd w:val="clear" w:color="auto" w:fill="ffffff"/>
          <w:rtl w:val="0"/>
          <w:lang w:val="en-US"/>
        </w:rPr>
        <w:t>bit nisirti</w:t>
      </w:r>
      <w:r>
        <w:rPr>
          <w:rFonts w:cs="Arial Unicode MS" w:eastAsia="Arial Unicode MS"/>
          <w:shd w:val="clear" w:color="auto" w:fill="ffffff"/>
          <w:rtl w:val="0"/>
          <w:lang w:val="en-US"/>
        </w:rPr>
        <w:t xml:space="preserve"> precede the invention of the Babylonian zodiacal signs, and as such they differ from the Greek </w:t>
      </w:r>
      <w:r>
        <w:rPr>
          <w:rFonts w:cs="Arial Unicode MS" w:eastAsia="Arial Unicode MS"/>
          <w:i w:val="1"/>
          <w:iCs w:val="1"/>
          <w:shd w:val="clear" w:color="auto" w:fill="ffffff"/>
          <w:rtl w:val="0"/>
          <w:lang w:val="en-US"/>
        </w:rPr>
        <w:t>hypsoma</w:t>
      </w:r>
      <w:r>
        <w:rPr>
          <w:rFonts w:cs="Arial Unicode MS" w:eastAsia="Arial Unicode MS"/>
          <w:shd w:val="clear" w:color="auto" w:fill="ffffff"/>
          <w:rtl w:val="0"/>
          <w:lang w:val="en-US"/>
        </w:rPr>
        <w:t>, in that they referred to general regions of a particular constellation, while the Greeks specified them to a specific degree of longitude.</w:t>
      </w:r>
      <w:r>
        <w:rPr>
          <w:rFonts w:ascii="Lora Regular" w:cs="Lora Regular" w:hAnsi="Lora Regular" w:eastAsia="Lora Regular"/>
          <w:b w:val="0"/>
          <w:bCs w:val="0"/>
          <w:i w:val="0"/>
          <w:iCs w:val="0"/>
          <w:shd w:val="clear" w:color="auto" w:fill="ffffff"/>
          <w:vertAlign w:val="superscript"/>
        </w:rPr>
        <w:footnoteReference w:id="46"/>
      </w:r>
    </w:p>
    <w:p>
      <w:pPr>
        <w:pStyle w:val="Body"/>
        <w:bidi w:val="0"/>
        <w:rPr>
          <w:shd w:val="clear" w:color="auto" w:fill="ffffff"/>
        </w:rPr>
      </w:pPr>
    </w:p>
    <w:p>
      <w:pPr>
        <w:pStyle w:val="Heading"/>
        <w:rPr>
          <w:rFonts w:ascii="Lora Bold" w:cs="Lora Bold" w:hAnsi="Lora Bold" w:eastAsia="Lora Bold"/>
        </w:rPr>
      </w:pPr>
      <w:r>
        <w:rPr>
          <w:rFonts w:ascii="Lora Bold" w:hAnsi="Lora Bold"/>
          <w:shd w:val="clear" w:color="auto" w:fill="ffffff"/>
          <w:rtl w:val="0"/>
          <w:lang w:val="en-US"/>
        </w:rPr>
        <w:t>Lexigraphical Correspondences</w:t>
      </w:r>
    </w:p>
    <w:p>
      <w:pPr>
        <w:pStyle w:val="Body"/>
        <w:bidi w:val="0"/>
      </w:pPr>
    </w:p>
    <w:p>
      <w:pPr>
        <w:pStyle w:val="Body"/>
        <w:bidi w:val="0"/>
      </w:pPr>
      <w:r>
        <w:rPr>
          <w:rFonts w:cs="Arial Unicode MS" w:eastAsia="Arial Unicode MS"/>
          <w:rtl w:val="0"/>
          <w:lang w:val="en-US"/>
        </w:rPr>
        <w:t>Other less well-known features of astrology may have survived from the Babylonian times. One example are the lexigraphical correspondences, where late Babylonian texts, like the Greeks, associated a tree, a plant, and a stone to each sign.</w:t>
      </w:r>
      <w:r>
        <w:rPr>
          <w:rFonts w:ascii="Lora Regular" w:cs="Lora Regular" w:hAnsi="Lora Regular" w:eastAsia="Lora Regular"/>
          <w:b w:val="0"/>
          <w:bCs w:val="0"/>
          <w:i w:val="0"/>
          <w:iCs w:val="0"/>
          <w:vertAlign w:val="superscript"/>
        </w:rPr>
        <w:footnoteReference w:id="47"/>
      </w:r>
      <w:r>
        <w:rPr>
          <w:rFonts w:cs="Arial Unicode MS" w:eastAsia="Arial Unicode MS"/>
          <w:rtl w:val="0"/>
          <w:lang w:val="en-US"/>
        </w:rPr>
        <w:t xml:space="preserve"> Many Babylonian apodoses apply to certain countries and kingdoms, s</w:t>
      </w:r>
      <w:r>
        <w:rPr>
          <w:rFonts w:cs="Arial Unicode MS" w:eastAsia="Arial Unicode MS"/>
          <w:rtl w:val="0"/>
          <w:lang w:val="en-US"/>
        </w:rPr>
        <w:t>imilar to Ptolemy</w:t>
      </w:r>
      <w:r>
        <w:rPr>
          <w:rFonts w:cs="Arial Unicode MS" w:eastAsia="Arial Unicode MS" w:hint="default"/>
          <w:rtl w:val="1"/>
        </w:rPr>
        <w:t>’</w:t>
      </w:r>
      <w:r>
        <w:rPr>
          <w:rFonts w:cs="Arial Unicode MS" w:eastAsia="Arial Unicode MS"/>
          <w:rtl w:val="0"/>
          <w:lang w:val="en-US"/>
        </w:rPr>
        <w:t>s Almagest, and even the work of the modern astrologer Alan Leo</w:t>
      </w:r>
      <w:r>
        <w:rPr>
          <w:rFonts w:cs="Arial Unicode MS" w:eastAsia="Arial Unicode MS"/>
          <w:rtl w:val="0"/>
          <w:lang w:val="en-US"/>
        </w:rPr>
        <w:t xml:space="preserve">. Ptolemy wrote, </w:t>
      </w:r>
      <w:r>
        <w:rPr>
          <w:rFonts w:cs="Arial Unicode MS" w:eastAsia="Arial Unicode MS" w:hint="default"/>
          <w:rtl w:val="0"/>
          <w:lang w:val="en-US"/>
        </w:rPr>
        <w:t>‘</w:t>
      </w:r>
      <w:r>
        <w:rPr>
          <w:rFonts w:cs="Arial Unicode MS" w:eastAsia="Arial Unicode MS"/>
          <w:rtl w:val="0"/>
          <w:lang w:val="en-US"/>
        </w:rPr>
        <w:t>Of the second quarter, which embraces the southern part of Greater Asia,</w:t>
      </w:r>
      <w:r>
        <w:rPr>
          <w:rFonts w:cs="Arial Unicode MS" w:eastAsia="Arial Unicode MS"/>
          <w:rtl w:val="0"/>
          <w:lang w:val="en-US"/>
        </w:rPr>
        <w:t xml:space="preserve"> </w:t>
      </w:r>
      <w:r>
        <w:rPr>
          <w:rFonts w:cs="Arial Unicode MS" w:eastAsia="Arial Unicode MS"/>
          <w:rtl w:val="0"/>
          <w:lang w:val="en-US"/>
        </w:rPr>
        <w:t>the other parts, including India, Ariana, Gedrosia, Parthia, Media, Persia, Babylonia, Mesopotamia, and Assyria, which are situated in the southeast of the whole inhabited world, are, as we might presume, familiar to the south-eastern triangle, Taurus, Virgo, and Capricorn, and are governed by Venus and Saturn in oriental aspects.</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48"/>
      </w:r>
      <w:r>
        <w:rPr>
          <w:rFonts w:cs="Arial Unicode MS" w:eastAsia="Arial Unicode MS"/>
          <w:rtl w:val="0"/>
          <w:lang w:val="en-US"/>
        </w:rPr>
        <w:t xml:space="preserve"> Similarly, Alan Leo described in his book, Astrology for All, </w:t>
      </w:r>
      <w:r>
        <w:rPr>
          <w:rFonts w:cs="Arial Unicode MS" w:eastAsia="Arial Unicode MS" w:hint="default"/>
          <w:rtl w:val="0"/>
          <w:lang w:val="en-US"/>
        </w:rPr>
        <w:t>‘</w:t>
      </w:r>
      <w:r>
        <w:rPr>
          <w:rFonts w:cs="Arial Unicode MS" w:eastAsia="Arial Unicode MS"/>
          <w:rtl w:val="0"/>
          <w:lang w:val="en-US"/>
        </w:rPr>
        <w:t>In 1916 and 1817, Jupiter will pass through Aries and England will be benefited. Each nation gains by the benefit planets, as they are called, passing through the sign that governs it, while when  the malefic planets pass through they are afflicted.</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49"/>
      </w:r>
      <w:r>
        <w:rPr>
          <w:rFonts w:cs="Arial Unicode MS" w:eastAsia="Arial Unicode MS"/>
          <w:rtl w:val="0"/>
          <w:lang w:val="en-US"/>
        </w:rPr>
        <w:t xml:space="preserve"> </w:t>
      </w:r>
    </w:p>
    <w:p>
      <w:pPr>
        <w:pStyle w:val="Heading"/>
        <w:rPr>
          <w:rFonts w:ascii="Lora Bold" w:cs="Lora Bold" w:hAnsi="Lora Bold" w:eastAsia="Lora Bold"/>
        </w:rPr>
      </w:pPr>
      <w:r>
        <w:rPr>
          <w:rFonts w:ascii="Lora Bold" w:cs="Lora Bold" w:hAnsi="Lora Bold" w:eastAsia="Lora Bold"/>
        </w:rPr>
        <w:br w:type="textWrapping"/>
      </w:r>
      <w:r>
        <w:rPr>
          <w:rFonts w:ascii="Lora Bold" w:hAnsi="Lora Bold"/>
          <w:rtl w:val="0"/>
          <w:lang w:val="en-US"/>
        </w:rPr>
        <w:t>Doctrine of Terms and Zodiacal Man</w:t>
      </w:r>
    </w:p>
    <w:p>
      <w:pPr>
        <w:pStyle w:val="Body 2"/>
        <w:bidi w:val="0"/>
      </w:pPr>
    </w:p>
    <w:p>
      <w:pPr>
        <w:pStyle w:val="Body"/>
        <w:bidi w:val="0"/>
      </w:pPr>
      <w:r>
        <w:rPr>
          <w:rFonts w:cs="Arial Unicode MS" w:eastAsia="Arial Unicode MS"/>
          <w:rtl w:val="0"/>
          <w:lang w:val="en-US"/>
        </w:rPr>
        <w:t xml:space="preserve">Other recently discovered features of Hellenistic astrology found in ancient Babylonian texts, include the doctrine of Terms, </w:t>
      </w:r>
      <w:r>
        <w:rPr>
          <w:rFonts w:ascii="Lora Regular" w:cs="Lora Regular" w:hAnsi="Lora Regular" w:eastAsia="Lora Regular"/>
          <w:b w:val="0"/>
          <w:bCs w:val="0"/>
          <w:i w:val="0"/>
          <w:iCs w:val="0"/>
          <w:vertAlign w:val="superscript"/>
        </w:rPr>
        <w:footnoteReference w:id="50"/>
      </w:r>
      <w:r>
        <w:rPr>
          <w:rFonts w:cs="Arial Unicode MS" w:eastAsia="Arial Unicode MS"/>
          <w:rtl w:val="0"/>
          <w:lang w:val="en-US"/>
        </w:rPr>
        <w:t xml:space="preserve"> and the zodiacal man, which can be seen to Medieval astrology. According to Wee, </w:t>
      </w:r>
      <w:r>
        <w:rPr>
          <w:rFonts w:cs="Arial Unicode MS" w:eastAsia="Arial Unicode MS" w:hint="default"/>
          <w:rtl w:val="0"/>
          <w:lang w:val="en-US"/>
        </w:rPr>
        <w:t>‘</w:t>
      </w:r>
      <w:r>
        <w:rPr>
          <w:rFonts w:cs="Arial Unicode MS" w:eastAsia="Arial Unicode MS"/>
          <w:rtl w:val="0"/>
          <w:lang w:val="en-US"/>
        </w:rPr>
        <w:t xml:space="preserve">Each register encases a medical entry that describes the malady afflicting the sick man or his body parts, instructions and ingredients for therapy, and a prognosis that is uniformly optimistic: </w:t>
      </w:r>
      <w:r>
        <w:rPr>
          <w:rFonts w:cs="Arial Unicode MS" w:eastAsia="Arial Unicode MS" w:hint="default"/>
          <w:rtl w:val="1"/>
          <w:lang w:val="ar-SA" w:bidi="ar-SA"/>
        </w:rPr>
        <w:t>“</w:t>
      </w:r>
      <w:r>
        <w:rPr>
          <w:rFonts w:cs="Arial Unicode MS" w:eastAsia="Arial Unicode MS"/>
          <w:rtl w:val="0"/>
          <w:lang w:val="en-US"/>
        </w:rPr>
        <w:t>He will live.</w:t>
      </w:r>
      <w:r>
        <w:rPr>
          <w:rFonts w:cs="Arial Unicode MS" w:eastAsia="Arial Unicode MS" w:hint="default"/>
          <w:rtl w:val="0"/>
        </w:rPr>
        <w:t>”</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51"/>
      </w:r>
      <w:r>
        <w:rPr>
          <w:rFonts w:cs="Arial Unicode MS" w:eastAsia="Arial Unicode MS"/>
          <w:rtl w:val="0"/>
          <w:lang w:val="en-US"/>
        </w:rPr>
        <w:t xml:space="preserve"> Similarly, Ptolemy</w:t>
      </w:r>
      <w:r>
        <w:rPr>
          <w:rFonts w:cs="Arial Unicode MS" w:eastAsia="Arial Unicode MS" w:hint="default"/>
          <w:rtl w:val="0"/>
          <w:lang w:val="en-US"/>
        </w:rPr>
        <w:t>’</w:t>
      </w:r>
      <w:r>
        <w:rPr>
          <w:rFonts w:cs="Arial Unicode MS" w:eastAsia="Arial Unicode MS"/>
          <w:rtl w:val="0"/>
          <w:lang w:val="en-US"/>
        </w:rPr>
        <w:t xml:space="preserve">s Almagest </w:t>
      </w:r>
      <w:r>
        <w:rPr>
          <w:rFonts w:ascii="Lora Regular" w:cs="Lora Regular" w:hAnsi="Lora Regular" w:eastAsia="Lora Regular"/>
          <w:b w:val="0"/>
          <w:bCs w:val="0"/>
          <w:i w:val="0"/>
          <w:iCs w:val="0"/>
          <w:vertAlign w:val="superscript"/>
        </w:rPr>
        <w:footnoteReference w:id="52"/>
      </w:r>
      <w:r>
        <w:rPr>
          <w:rFonts w:cs="Arial Unicode MS" w:eastAsia="Arial Unicode MS"/>
          <w:rtl w:val="0"/>
          <w:lang w:val="en-US"/>
        </w:rPr>
        <w:t xml:space="preserve"> claims</w:t>
      </w:r>
      <w:r>
        <w:rPr>
          <w:rFonts w:cs="Arial Unicode MS" w:eastAsia="Arial Unicode MS"/>
          <w:rtl w:val="0"/>
          <w:lang w:val="en-US"/>
        </w:rPr>
        <w:t>, for instance,</w:t>
      </w:r>
      <w:r>
        <w:rPr>
          <w:rFonts w:cs="Arial Unicode MS" w:eastAsia="Arial Unicode MS"/>
          <w:rtl w:val="0"/>
          <w:lang w:val="en-US"/>
        </w:rPr>
        <w:t xml:space="preserve"> that Jupiter rules the lungs and that 'Jupiter causes death through strangulation, pneumonia, apoplexy, spasms, headaches, and cardiac affections</w:t>
      </w:r>
      <w:r>
        <w:rPr>
          <w:rFonts w:cs="Arial Unicode MS" w:eastAsia="Arial Unicode MS"/>
          <w:rtl w:val="0"/>
          <w:lang w:val="en-US"/>
        </w:rPr>
        <w:t>.</w:t>
      </w:r>
      <w:r>
        <w:rPr>
          <w:rFonts w:cs="Arial Unicode MS" w:eastAsia="Arial Unicode MS" w:hint="default"/>
          <w:rtl w:val="0"/>
          <w:lang w:val="en-US"/>
        </w:rPr>
        <w:t xml:space="preserve">’ </w:t>
      </w:r>
      <w:r>
        <w:rPr>
          <w:rFonts w:cs="Arial Unicode MS" w:eastAsia="Arial Unicode MS"/>
          <w:rtl w:val="0"/>
          <w:lang w:val="en-US"/>
        </w:rPr>
        <w:t>These discoveries have not seen wide scholarly criticism, however they provide further potential evidence of dissemination of detailed aspects of Babylonian astrological techniques.</w:t>
      </w:r>
    </w:p>
    <w:p>
      <w:pPr>
        <w:pStyle w:val="Body"/>
        <w:bidi w:val="0"/>
      </w:pPr>
    </w:p>
    <w:p>
      <w:pPr>
        <w:pStyle w:val="Heading"/>
        <w:rPr>
          <w:rFonts w:ascii="Lora Bold" w:cs="Lora Bold" w:hAnsi="Lora Bold" w:eastAsia="Lora Bold"/>
        </w:rPr>
      </w:pPr>
      <w:r>
        <w:rPr>
          <w:rFonts w:ascii="Lora Bold" w:hAnsi="Lora Bold"/>
          <w:rtl w:val="0"/>
          <w:lang w:val="en-US"/>
        </w:rPr>
        <w:t>Mathematical Astronomy</w:t>
      </w:r>
    </w:p>
    <w:p>
      <w:pPr>
        <w:pStyle w:val="Body"/>
        <w:bidi w:val="0"/>
      </w:pPr>
    </w:p>
    <w:p>
      <w:pPr>
        <w:pStyle w:val="Body"/>
        <w:bidi w:val="0"/>
      </w:pPr>
      <w:r>
        <w:rPr>
          <w:rFonts w:cs="Arial Unicode MS" w:eastAsia="Arial Unicode MS"/>
          <w:rtl w:val="0"/>
          <w:lang w:val="en-US"/>
        </w:rPr>
        <w:t xml:space="preserve">The final point of comparison is the notion of what could be considered a mathematical astronomy which survived from Babylonian times through the Hellenistic age. It was not until about the first century that the Greeks began differentiating between </w:t>
      </w:r>
      <w:r>
        <w:rPr>
          <w:rFonts w:cs="Arial Unicode MS" w:eastAsia="Arial Unicode MS" w:hint="default"/>
          <w:rtl w:val="0"/>
          <w:lang w:val="en-US"/>
        </w:rPr>
        <w:t>‘</w:t>
      </w:r>
      <w:r>
        <w:rPr>
          <w:rFonts w:cs="Arial Unicode MS" w:eastAsia="Arial Unicode MS"/>
          <w:rtl w:val="0"/>
          <w:lang w:val="en-US"/>
        </w:rPr>
        <w:t>astronomy</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astrology</w:t>
      </w:r>
      <w:r>
        <w:rPr>
          <w:rFonts w:cs="Arial Unicode MS" w:eastAsia="Arial Unicode MS" w:hint="default"/>
          <w:rtl w:val="0"/>
          <w:lang w:val="en-US"/>
        </w:rPr>
        <w:t>’</w:t>
      </w:r>
      <w:r>
        <w:rPr>
          <w:rFonts w:cs="Arial Unicode MS" w:eastAsia="Arial Unicode MS"/>
          <w:rtl w:val="0"/>
          <w:lang w:val="en-US"/>
        </w:rPr>
        <w:t xml:space="preserve">, which to the Greeks meant simply </w:t>
      </w:r>
      <w:r>
        <w:rPr>
          <w:rFonts w:cs="Arial Unicode MS" w:eastAsia="Arial Unicode MS" w:hint="default"/>
          <w:rtl w:val="0"/>
          <w:lang w:val="en-US"/>
        </w:rPr>
        <w:t>‘</w:t>
      </w:r>
      <w:r>
        <w:rPr>
          <w:rFonts w:cs="Arial Unicode MS" w:eastAsia="Arial Unicode MS"/>
          <w:rtl w:val="0"/>
          <w:lang w:val="en-US"/>
        </w:rPr>
        <w:t>study of the stars</w:t>
      </w:r>
      <w:r>
        <w:rPr>
          <w:rFonts w:cs="Arial Unicode MS" w:eastAsia="Arial Unicode MS" w:hint="default"/>
          <w:rtl w:val="0"/>
          <w:lang w:val="en-US"/>
        </w:rPr>
        <w:t>’</w:t>
      </w:r>
      <w:r>
        <w:rPr>
          <w:rFonts w:cs="Arial Unicode MS" w:eastAsia="Arial Unicode MS"/>
          <w:rtl w:val="0"/>
          <w:lang w:val="en-US"/>
        </w:rPr>
        <w:t>, in essence what the Babylonians had been partaking in for centuries prior.</w:t>
      </w:r>
      <w:r>
        <w:rPr>
          <w:rFonts w:ascii="Lora Regular" w:cs="Lora Regular" w:hAnsi="Lora Regular" w:eastAsia="Lora Regular"/>
          <w:b w:val="0"/>
          <w:bCs w:val="0"/>
          <w:i w:val="0"/>
          <w:iCs w:val="0"/>
          <w:vertAlign w:val="superscript"/>
        </w:rPr>
        <w:footnoteReference w:id="53"/>
      </w:r>
      <w:r>
        <w:rPr>
          <w:rFonts w:cs="Arial Unicode MS" w:eastAsia="Arial Unicode MS"/>
          <w:rtl w:val="0"/>
          <w:lang w:val="en-US"/>
        </w:rPr>
        <w:t xml:space="preserve">  This semantic bifurcation occurred with the rise of </w:t>
      </w:r>
      <w:r>
        <w:rPr>
          <w:rFonts w:cs="Arial Unicode MS" w:eastAsia="Arial Unicode MS"/>
          <w:rtl w:val="0"/>
        </w:rPr>
        <w:t>genethliacal</w:t>
      </w:r>
      <w:r>
        <w:rPr>
          <w:rFonts w:cs="Arial Unicode MS" w:eastAsia="Arial Unicode MS"/>
          <w:rtl w:val="0"/>
          <w:lang w:val="en-US"/>
        </w:rPr>
        <w:t xml:space="preserve"> astrology, the casting of personal horoscopes in Greece, which apparently was also a Babylonian inheritance. </w:t>
      </w:r>
      <w:r>
        <w:rPr>
          <w:rFonts w:cs="Arial Unicode MS" w:eastAsia="Arial Unicode MS"/>
          <w:rtl w:val="0"/>
        </w:rPr>
        <w:t xml:space="preserve">Herodotus </w:t>
      </w:r>
      <w:r>
        <w:rPr>
          <w:rFonts w:cs="Arial Unicode MS" w:eastAsia="Arial Unicode MS"/>
          <w:rtl w:val="0"/>
          <w:lang w:val="en-US"/>
        </w:rPr>
        <w:t>wrote that</w:t>
      </w:r>
      <w:r>
        <w:rPr>
          <w:rFonts w:cs="Arial Unicode MS" w:eastAsia="Arial Unicode MS"/>
          <w:rtl w:val="0"/>
          <w:lang w:val="en-US"/>
        </w:rPr>
        <w:t xml:space="preserve"> the Greeks </w:t>
      </w:r>
      <w:r>
        <w:rPr>
          <w:rFonts w:cs="Arial Unicode MS" w:eastAsia="Arial Unicode MS"/>
          <w:rtl w:val="0"/>
          <w:lang w:val="en-US"/>
        </w:rPr>
        <w:t>used the</w:t>
      </w:r>
      <w:r>
        <w:rPr>
          <w:rFonts w:cs="Arial Unicode MS" w:eastAsia="Arial Unicode MS"/>
          <w:rtl w:val="0"/>
          <w:lang w:val="en-US"/>
        </w:rPr>
        <w:t xml:space="preserve"> Babylonian gnomon and the polos, and the division of the day into </w:t>
      </w:r>
      <w:r>
        <w:rPr>
          <w:rFonts w:cs="Arial Unicode MS" w:eastAsia="Arial Unicode MS"/>
          <w:rtl w:val="0"/>
          <w:lang w:val="en-US"/>
        </w:rPr>
        <w:t>1</w:t>
      </w:r>
      <w:r>
        <w:rPr>
          <w:rFonts w:cs="Arial Unicode MS" w:eastAsia="Arial Unicode MS"/>
          <w:rtl w:val="0"/>
          <w:lang w:val="en-US"/>
        </w:rPr>
        <w:t>2 parts</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54"/>
      </w:r>
      <w:r>
        <w:rPr>
          <w:rFonts w:cs="Arial Unicode MS" w:eastAsia="Arial Unicode MS"/>
          <w:rtl w:val="0"/>
          <w:lang w:val="en-US"/>
        </w:rPr>
        <w:t xml:space="preserve"> Clarke concurs, pointing to a plethora of instruments and techniques which the Greeks inherited from the Babylonians, including the gnomon which the Babylonians used since at least 1000 BCE, as well mathematical methods for reckoning a location</w:t>
      </w:r>
      <w:r>
        <w:rPr>
          <w:rFonts w:cs="Arial Unicode MS" w:eastAsia="Arial Unicode MS" w:hint="default"/>
          <w:rtl w:val="0"/>
          <w:lang w:val="en-US"/>
        </w:rPr>
        <w:t>’</w:t>
      </w:r>
      <w:r>
        <w:rPr>
          <w:rFonts w:cs="Arial Unicode MS" w:eastAsia="Arial Unicode MS"/>
          <w:rtl w:val="0"/>
          <w:lang w:val="en-US"/>
        </w:rPr>
        <w:t xml:space="preserve">s latitude, and </w:t>
      </w:r>
      <w:r>
        <w:rPr>
          <w:rFonts w:cs="Arial Unicode MS" w:eastAsia="Arial Unicode MS"/>
          <w:rtl w:val="0"/>
          <w:lang w:val="en-US"/>
        </w:rPr>
        <w:t xml:space="preserve">the sexagesimal mathematical system </w:t>
      </w:r>
      <w:r>
        <w:rPr>
          <w:rFonts w:cs="Arial Unicode MS" w:eastAsia="Arial Unicode MS"/>
          <w:rtl w:val="0"/>
          <w:lang w:val="en-US"/>
        </w:rPr>
        <w:t>that</w:t>
      </w:r>
      <w:r>
        <w:rPr>
          <w:rFonts w:cs="Arial Unicode MS" w:eastAsia="Arial Unicode MS"/>
          <w:rtl w:val="0"/>
        </w:rPr>
        <w:t xml:space="preserve"> facilitate</w:t>
      </w:r>
      <w:r>
        <w:rPr>
          <w:rFonts w:cs="Arial Unicode MS" w:eastAsia="Arial Unicode MS"/>
          <w:rtl w:val="0"/>
          <w:lang w:val="en-US"/>
        </w:rPr>
        <w:t>d</w:t>
      </w:r>
      <w:r>
        <w:rPr>
          <w:rFonts w:cs="Arial Unicode MS" w:eastAsia="Arial Unicode MS"/>
          <w:rtl w:val="0"/>
          <w:lang w:val="en-US"/>
        </w:rPr>
        <w:t xml:space="preserve"> their division</w:t>
      </w:r>
      <w:r>
        <w:rPr>
          <w:rFonts w:cs="Arial Unicode MS" w:eastAsia="Arial Unicode MS"/>
          <w:rtl w:val="0"/>
          <w:lang w:val="en-US"/>
        </w:rPr>
        <w:t xml:space="preserve"> </w:t>
      </w:r>
      <w:r>
        <w:rPr>
          <w:rFonts w:cs="Arial Unicode MS" w:eastAsia="Arial Unicode MS"/>
          <w:rtl w:val="0"/>
          <w:lang w:val="en-US"/>
        </w:rPr>
        <w:t xml:space="preserve">of </w:t>
      </w:r>
      <w:r>
        <w:rPr>
          <w:rFonts w:cs="Arial Unicode MS" w:eastAsia="Arial Unicode MS"/>
          <w:rtl w:val="0"/>
          <w:lang w:val="en-US"/>
        </w:rPr>
        <w:t xml:space="preserve">the </w:t>
      </w:r>
      <w:r>
        <w:rPr>
          <w:rFonts w:cs="Arial Unicode MS" w:eastAsia="Arial Unicode MS"/>
          <w:rtl w:val="0"/>
          <w:lang w:val="en-US"/>
        </w:rPr>
        <w:t>heaven</w:t>
      </w:r>
      <w:r>
        <w:rPr>
          <w:rFonts w:cs="Arial Unicode MS" w:eastAsia="Arial Unicode MS"/>
          <w:rtl w:val="0"/>
          <w:lang w:val="en-US"/>
        </w:rPr>
        <w:t xml:space="preserve">s. </w:t>
      </w:r>
      <w:r>
        <w:rPr>
          <w:rFonts w:cs="Arial Unicode MS" w:eastAsia="Arial Unicode MS"/>
          <w:rtl w:val="0"/>
        </w:rPr>
        <w:t xml:space="preserve">Clarke </w:t>
      </w:r>
      <w:r>
        <w:rPr>
          <w:rFonts w:cs="Arial Unicode MS" w:eastAsia="Arial Unicode MS"/>
          <w:rtl w:val="0"/>
          <w:lang w:val="en-US"/>
        </w:rPr>
        <w:t>writes</w:t>
      </w:r>
      <w:r>
        <w:rPr>
          <w:rFonts w:cs="Arial Unicode MS" w:eastAsia="Arial Unicode MS"/>
          <w:rtl w:val="0"/>
        </w:rPr>
        <w:t xml:space="preserve">, </w:t>
      </w:r>
      <w:r>
        <w:rPr>
          <w:rFonts w:cs="Arial Unicode MS" w:eastAsia="Arial Unicode MS" w:hint="default"/>
          <w:rtl w:val="1"/>
        </w:rPr>
        <w:t>‘</w:t>
      </w:r>
      <w:r>
        <w:rPr>
          <w:rFonts w:cs="Arial Unicode MS" w:eastAsia="Arial Unicode MS"/>
          <w:rtl w:val="0"/>
          <w:lang w:val="en-US"/>
        </w:rPr>
        <w:t>It is now quite certain that a very considerable amount of the astronomical knowledge used, analysed, and to some extent better interpreted by the Greeks, was taken from the Babylonians. With admitted exceptions, the Greek philosophers were not observers.</w:t>
      </w:r>
      <w:r>
        <w:rPr>
          <w:rFonts w:cs="Arial Unicode MS" w:eastAsia="Arial Unicode MS" w:hint="default"/>
          <w:rtl w:val="1"/>
        </w:rPr>
        <w:t>’</w:t>
      </w:r>
      <w:r>
        <w:rPr>
          <w:rFonts w:cs="Arial Unicode MS" w:eastAsia="Arial Unicode MS"/>
          <w:rtl w:val="0"/>
          <w:lang w:val="en-US"/>
        </w:rPr>
        <w:t xml:space="preserve"> According to Clarke, Ptolemy</w:t>
      </w:r>
      <w:r>
        <w:rPr>
          <w:rFonts w:cs="Arial Unicode MS" w:eastAsia="Arial Unicode MS" w:hint="default"/>
          <w:rtl w:val="0"/>
          <w:lang w:val="en-US"/>
        </w:rPr>
        <w:t>’</w:t>
      </w:r>
      <w:r>
        <w:rPr>
          <w:rFonts w:cs="Arial Unicode MS" w:eastAsia="Arial Unicode MS"/>
          <w:rtl w:val="0"/>
          <w:lang w:val="en-US"/>
        </w:rPr>
        <w:t xml:space="preserve">s calculations relied on Seleucid-era ephemerides, using the Babylonian sexagesimal system, while his </w:t>
      </w:r>
      <w:r>
        <w:rPr>
          <w:rFonts w:cs="Arial Unicode MS" w:eastAsia="Arial Unicode MS" w:hint="default"/>
          <w:rtl w:val="0"/>
          <w:lang w:val="en-US"/>
        </w:rPr>
        <w:t>‘</w:t>
      </w:r>
      <w:r>
        <w:rPr>
          <w:rFonts w:cs="Arial Unicode MS" w:eastAsia="Arial Unicode MS"/>
          <w:rtl w:val="0"/>
          <w:lang w:val="en-US"/>
        </w:rPr>
        <w:t>rote</w:t>
      </w:r>
      <w:r>
        <w:rPr>
          <w:rFonts w:cs="Arial Unicode MS" w:eastAsia="Arial Unicode MS" w:hint="default"/>
          <w:rtl w:val="0"/>
          <w:lang w:val="en-US"/>
        </w:rPr>
        <w:t xml:space="preserve">’ </w:t>
      </w:r>
      <w:r>
        <w:rPr>
          <w:rFonts w:cs="Arial Unicode MS" w:eastAsia="Arial Unicode MS"/>
          <w:rtl w:val="0"/>
          <w:lang w:val="en-US"/>
        </w:rPr>
        <w:t>dates originated from Mesopotamian eclipse and planetary observations.</w:t>
      </w:r>
      <w:r>
        <w:rPr>
          <w:rFonts w:ascii="Lora Regular" w:cs="Lora Regular" w:hAnsi="Lora Regular" w:eastAsia="Lora Regular"/>
          <w:b w:val="0"/>
          <w:bCs w:val="0"/>
          <w:i w:val="0"/>
          <w:iCs w:val="0"/>
          <w:vertAlign w:val="superscript"/>
        </w:rPr>
        <w:footnoteReference w:id="55"/>
      </w:r>
      <w:r>
        <w:rPr>
          <w:rFonts w:cs="Arial Unicode MS" w:eastAsia="Arial Unicode MS"/>
          <w:rtl w:val="0"/>
          <w:lang w:val="en-US"/>
        </w:rPr>
        <w:t xml:space="preserve"> However, while the Babylonians were making advanced use of trigonomic functions to calculate the movements and cycles of their planet-gods, the Greeks relied heavily on Euclidean geometry, which may have handicapped their progress. Nonetheless, the Greeks, in contrast to a Hellenophiliac position, seem to have inherited a scientific-like method of measuring and dividing the heavens from their Mesopotamian brethren. Rochberg has also argued that, </w:t>
      </w:r>
      <w:r>
        <w:rPr>
          <w:rFonts w:cs="Arial Unicode MS" w:eastAsia="Arial Unicode MS" w:hint="default"/>
          <w:rtl w:val="0"/>
          <w:lang w:val="en-US"/>
        </w:rPr>
        <w:t>‘</w:t>
      </w:r>
      <w:r>
        <w:rPr>
          <w:rFonts w:cs="Arial Unicode MS" w:eastAsia="Arial Unicode MS"/>
          <w:rtl w:val="0"/>
          <w:lang w:val="en-US"/>
        </w:rPr>
        <w:t>d</w:t>
      </w:r>
      <w:r>
        <w:rPr>
          <w:rFonts w:cs="Arial Unicode MS" w:eastAsia="Arial Unicode MS"/>
          <w:rtl w:val="0"/>
          <w:lang w:val="en-US"/>
        </w:rPr>
        <w:t>espite the presence of "Babylonian" elements, the philosophical rationale of Greek astrology and its doctrine of interpretation are all Hellenistic Greek in origin and explainable only in terms of Greek tradition itself.</w:t>
      </w:r>
      <w:r>
        <w:rPr>
          <w:rFonts w:cs="Arial Unicode MS" w:eastAsia="Arial Unicode MS" w:hint="default"/>
          <w:rtl w:val="0"/>
          <w:lang w:val="en-US"/>
        </w:rPr>
        <w:t xml:space="preserve">’ </w:t>
      </w:r>
      <w:r>
        <w:rPr>
          <w:rFonts w:cs="Arial Unicode MS" w:eastAsia="Arial Unicode MS"/>
          <w:rtl w:val="0"/>
          <w:lang w:val="en-US"/>
        </w:rPr>
        <w:t xml:space="preserve">This means that while the calculations and methods borrowed from the Mesopotamians, the philosophical underpinnings of Hellenistic astrology were Greek in nature, </w:t>
      </w:r>
      <w:r>
        <w:rPr>
          <w:rFonts w:cs="Arial Unicode MS" w:eastAsia="Arial Unicode MS"/>
          <w:rtl w:val="0"/>
          <w:lang w:val="en-US"/>
        </w:rPr>
        <w:t>associated by August Bouch</w:t>
      </w:r>
      <w:r>
        <w:rPr>
          <w:rFonts w:cs="Arial Unicode MS" w:eastAsia="Arial Unicode MS" w:hint="default"/>
          <w:rtl w:val="0"/>
          <w:lang w:val="fr-FR"/>
        </w:rPr>
        <w:t>é</w:t>
      </w:r>
      <w:r>
        <w:rPr>
          <w:rFonts w:cs="Arial Unicode MS" w:eastAsia="Arial Unicode MS"/>
          <w:rtl w:val="0"/>
          <w:lang w:val="en-US"/>
        </w:rPr>
        <w:t>-Leclercq with Greek cosmology, specifically stoic fatalis</w:t>
      </w:r>
      <w:r>
        <w:rPr>
          <w:rFonts w:cs="Arial Unicode MS" w:eastAsia="Arial Unicode MS"/>
          <w:rtl w:val="0"/>
          <w:lang w:val="en-US"/>
        </w:rPr>
        <w:t>m.</w:t>
      </w:r>
      <w:r>
        <w:rPr>
          <w:rFonts w:ascii="Lora Regular" w:cs="Lora Regular" w:hAnsi="Lora Regular" w:eastAsia="Lora Regular"/>
          <w:b w:val="0"/>
          <w:bCs w:val="0"/>
          <w:i w:val="0"/>
          <w:iCs w:val="0"/>
          <w:vertAlign w:val="superscript"/>
        </w:rPr>
        <w:footnoteReference w:id="56"/>
      </w:r>
    </w:p>
    <w:p>
      <w:pPr>
        <w:pStyle w:val="Body"/>
        <w:bidi w:val="0"/>
      </w:pPr>
    </w:p>
    <w:p>
      <w:pPr>
        <w:pStyle w:val="Heading"/>
        <w:rPr>
          <w:rFonts w:ascii="Lora Bold" w:cs="Lora Bold" w:hAnsi="Lora Bold" w:eastAsia="Lora Bold"/>
        </w:rPr>
      </w:pPr>
      <w:r>
        <w:rPr>
          <w:rFonts w:ascii="Lora Bold" w:hAnsi="Lora Bold"/>
          <w:rtl w:val="0"/>
          <w:lang w:val="en-US"/>
        </w:rPr>
        <w:t>Conclusion</w:t>
      </w:r>
    </w:p>
    <w:p>
      <w:pPr>
        <w:pStyle w:val="Body"/>
        <w:bidi w:val="0"/>
      </w:pPr>
      <w:r>
        <w:rPr>
          <w:rFonts w:cs="Arial Unicode MS" w:eastAsia="Arial Unicode MS"/>
          <w:rtl w:val="0"/>
          <w:lang w:val="en-US"/>
        </w:rPr>
        <w:t xml:space="preserve">As Nick Campion writes in regards to astrology, </w:t>
      </w:r>
      <w:r>
        <w:rPr>
          <w:rFonts w:cs="Arial Unicode MS" w:eastAsia="Arial Unicode MS" w:hint="default"/>
          <w:rtl w:val="0"/>
          <w:lang w:val="en-US"/>
        </w:rPr>
        <w:t>‘</w:t>
      </w:r>
      <w:r>
        <w:rPr>
          <w:rFonts w:cs="Arial Unicode MS" w:eastAsia="Arial Unicode MS"/>
          <w:rtl w:val="0"/>
          <w:lang w:val="en-US"/>
        </w:rPr>
        <w:t>We have little idea of its origins, at least a little more than about the origins of human thought as a whole.</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57"/>
      </w:r>
      <w:r>
        <w:rPr>
          <w:rFonts w:cs="Arial Unicode MS" w:eastAsia="Arial Unicode MS"/>
          <w:rtl w:val="0"/>
          <w:lang w:val="en-US"/>
        </w:rPr>
        <w:t xml:space="preserve"> The answer to the dualistic polemic of whether the Greeks owed everything or nothing to Babylonian astrology is perhaps a lot more complex and nuanced.</w:t>
      </w:r>
      <w:r>
        <w:rPr>
          <w:rFonts w:ascii="Lora Regular" w:cs="Lora Regular" w:hAnsi="Lora Regular" w:eastAsia="Lora Regular"/>
          <w:b w:val="0"/>
          <w:bCs w:val="0"/>
          <w:i w:val="0"/>
          <w:iCs w:val="0"/>
          <w:vertAlign w:val="superscript"/>
        </w:rPr>
        <w:footnoteReference w:id="58"/>
      </w:r>
      <w:r>
        <w:rPr>
          <w:rFonts w:cs="Arial Unicode MS" w:eastAsia="Arial Unicode MS"/>
          <w:rtl w:val="0"/>
          <w:lang w:val="en-US"/>
        </w:rPr>
        <w:t xml:space="preserve"> In the end, despite Neuegebauer influential and now dated assertion that </w:t>
      </w:r>
      <w:r>
        <w:rPr>
          <w:rFonts w:cs="Arial Unicode MS" w:eastAsia="Arial Unicode MS" w:hint="default"/>
          <w:rtl w:val="0"/>
          <w:lang w:val="en-US"/>
        </w:rPr>
        <w:t>‘</w:t>
      </w:r>
      <w:r>
        <w:rPr>
          <w:rFonts w:cs="Arial Unicode MS" w:eastAsia="Arial Unicode MS"/>
          <w:rtl w:val="0"/>
          <w:lang w:val="en-US"/>
        </w:rPr>
        <w:t>the main structure of astrological theory is undoubtedly Hellenistic</w:t>
      </w:r>
      <w:r>
        <w:rPr>
          <w:rFonts w:cs="Arial Unicode MS" w:eastAsia="Arial Unicode MS" w:hint="default"/>
          <w:rtl w:val="0"/>
          <w:lang w:val="en-US"/>
        </w:rPr>
        <w:t>’</w:t>
      </w:r>
      <w:r>
        <w:rPr>
          <w:rFonts w:cs="Arial Unicode MS" w:eastAsia="Arial Unicode MS"/>
          <w:rtl w:val="0"/>
          <w:lang w:val="en-US"/>
        </w:rPr>
        <w:t xml:space="preserve">, </w:t>
      </w:r>
      <w:r>
        <w:rPr>
          <w:rFonts w:ascii="Lora Regular" w:cs="Lora Regular" w:hAnsi="Lora Regular" w:eastAsia="Lora Regular"/>
          <w:b w:val="0"/>
          <w:bCs w:val="0"/>
          <w:i w:val="0"/>
          <w:iCs w:val="0"/>
          <w:vertAlign w:val="superscript"/>
        </w:rPr>
        <w:footnoteReference w:id="59"/>
      </w:r>
      <w:r>
        <w:rPr>
          <w:rFonts w:cs="Arial Unicode MS" w:eastAsia="Arial Unicode MS"/>
          <w:rtl w:val="0"/>
          <w:lang w:val="en-US"/>
        </w:rPr>
        <w:t xml:space="preserve"> it will likely be agreed upon as Ward states, that Hellenistic astrology is a mixture of Greek, Babylonian, and some Egyptian elements.</w:t>
      </w:r>
      <w:r>
        <w:rPr>
          <w:rFonts w:ascii="Lora Regular" w:cs="Lora Regular" w:hAnsi="Lora Regular" w:eastAsia="Lora Regular"/>
          <w:b w:val="0"/>
          <w:bCs w:val="0"/>
          <w:i w:val="0"/>
          <w:iCs w:val="0"/>
          <w:vertAlign w:val="superscript"/>
        </w:rPr>
        <w:footnoteReference w:id="60"/>
      </w:r>
      <w:r>
        <w:rPr>
          <w:rFonts w:cs="Arial Unicode MS" w:eastAsia="Arial Unicode MS"/>
          <w:rtl w:val="0"/>
          <w:lang w:val="en-US"/>
        </w:rPr>
        <w:t xml:space="preserve"> </w:t>
      </w:r>
      <w:r>
        <w:rPr>
          <w:rFonts w:cs="Arial Unicode MS" w:eastAsia="Arial Unicode MS"/>
          <w:rtl w:val="0"/>
          <w:lang w:val="en-US"/>
        </w:rPr>
        <w:t>Therefore, our understanding of Babylonian astrology, its influence on the classical period, and its possible inheritance to Greek mathematical and scientific traditions, will improve as assyriologists diligently uncover and translate new material</w:t>
      </w:r>
      <w:r>
        <w:rPr>
          <w:rFonts w:cs="Arial Unicode MS" w:eastAsia="Arial Unicode MS"/>
          <w:rtl w:val="0"/>
          <w:lang w:val="en-US"/>
        </w:rPr>
        <w:t xml:space="preserve"> and discoveries come to light</w:t>
      </w:r>
      <w:r>
        <w:rPr>
          <w:rFonts w:cs="Arial Unicode MS" w:eastAsia="Arial Unicode MS"/>
          <w:rtl w:val="0"/>
        </w:rPr>
        <w:t>.</w:t>
      </w:r>
      <w:r>
        <w:rPr>
          <w:rFonts w:ascii="Arial Unicode MS" w:cs="Arial Unicode MS" w:hAnsi="Arial Unicode MS" w:eastAsia="Arial Unicode MS"/>
          <w:b w:val="0"/>
          <w:bCs w:val="0"/>
          <w:i w:val="0"/>
          <w:iCs w:val="0"/>
        </w:rPr>
        <w:br w:type="page"/>
      </w:r>
    </w:p>
    <w:p>
      <w:pPr>
        <w:pStyle w:val="Heading 2"/>
        <w:bidi w:val="0"/>
      </w:pPr>
      <w:r>
        <w:rPr>
          <w:rtl w:val="0"/>
        </w:rPr>
        <w:t>Bibliography</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rFonts w:ascii="Lora Bold" w:cs="Lora Bold" w:hAnsi="Lora Bold" w:eastAsia="Lora Bold"/>
          <w:outline w:val="0"/>
          <w:color w:val="434343"/>
          <w14:textFill>
            <w14:solidFill>
              <w14:srgbClr w14:val="444444"/>
            </w14:solidFill>
          </w14:textFill>
        </w:rPr>
      </w:pPr>
      <w:r>
        <w:rPr>
          <w:rFonts w:ascii="Lora Bold" w:hAnsi="Lora Bold"/>
          <w:outline w:val="0"/>
          <w:color w:val="434343"/>
          <w:rtl w:val="0"/>
          <w:lang w:val="en-US"/>
          <w14:textFill>
            <w14:solidFill>
              <w14:srgbClr w14:val="444444"/>
            </w14:solidFill>
          </w14:textFill>
        </w:rPr>
        <w:t>Primary Sources</w:t>
      </w:r>
    </w:p>
    <w:p>
      <w:pPr>
        <w:pStyle w:val="Body"/>
        <w:spacing w:after="80" w:line="288" w:lineRule="auto"/>
        <w:ind w:firstLine="0"/>
        <w:rPr>
          <w:outline w:val="0"/>
          <w:color w:val="434343"/>
          <w14:textFill>
            <w14:solidFill>
              <w14:srgbClr w14:val="444444"/>
            </w14:solidFill>
          </w14:textFill>
        </w:rPr>
      </w:pPr>
    </w:p>
    <w:p>
      <w:pPr>
        <w:pStyle w:val="Body 2"/>
        <w:bidi w:val="0"/>
      </w:pPr>
      <w:r>
        <w:rPr>
          <w:rFonts w:cs="Arial Unicode MS" w:eastAsia="Arial Unicode MS"/>
          <w:rtl w:val="0"/>
          <w:lang w:val="de-DE"/>
        </w:rPr>
        <w:t xml:space="preserve">Heidel, Alexander, </w:t>
      </w:r>
      <w:r>
        <w:rPr>
          <w:rFonts w:cs="Arial Unicode MS" w:eastAsia="Arial Unicode MS"/>
          <w:rtl w:val="0"/>
          <w:lang w:val="en-US"/>
        </w:rPr>
        <w:t>The Babylonian Genesis, the Story of the Creation</w:t>
      </w:r>
      <w:r>
        <w:rPr>
          <w:rFonts w:cs="Arial Unicode MS" w:eastAsia="Arial Unicode MS"/>
          <w:rtl w:val="0"/>
          <w:lang w:val="en-US"/>
        </w:rPr>
        <w:t xml:space="preserve"> (University of Chicago Press: Chicago,, 1942).</w:t>
      </w:r>
    </w:p>
    <w:p>
      <w:pPr>
        <w:pStyle w:val="Body 2"/>
        <w:bidi w:val="0"/>
      </w:pPr>
    </w:p>
    <w:p>
      <w:pPr>
        <w:pStyle w:val="Body 2"/>
        <w:bidi w:val="0"/>
      </w:pPr>
      <w:r>
        <w:rPr>
          <w:rFonts w:cs="Arial Unicode MS" w:eastAsia="Arial Unicode MS"/>
          <w:rtl w:val="0"/>
        </w:rPr>
        <w:t xml:space="preserve">Herodotus, and George Rawlinson, </w:t>
      </w:r>
      <w:r>
        <w:rPr>
          <w:rFonts w:cs="Arial Unicode MS" w:eastAsia="Arial Unicode MS"/>
          <w:i w:val="1"/>
          <w:iCs w:val="1"/>
          <w:rtl w:val="0"/>
          <w:lang w:val="en-US"/>
        </w:rPr>
        <w:t>The Histories</w:t>
      </w:r>
      <w:r>
        <w:rPr>
          <w:rFonts w:cs="Arial Unicode MS" w:eastAsia="Arial Unicode MS"/>
          <w:rtl w:val="0"/>
          <w:lang w:val="de-DE"/>
        </w:rPr>
        <w:t xml:space="preserve"> (A.A. Knopf: New York, 1997).</w:t>
      </w:r>
    </w:p>
    <w:p>
      <w:pPr>
        <w:pStyle w:val="Body 2"/>
        <w:bidi w:val="0"/>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Lilly</w:t>
      </w:r>
      <w:r>
        <w:rPr>
          <w:outline w:val="0"/>
          <w:color w:val="434343"/>
          <w:rtl w:val="0"/>
          <w:lang w:val="en-US"/>
          <w14:textFill>
            <w14:solidFill>
              <w14:srgbClr w14:val="444444"/>
            </w14:solidFill>
          </w14:textFill>
        </w:rPr>
        <w:t xml:space="preserve">, </w:t>
      </w:r>
      <w:r>
        <w:rPr>
          <w:outline w:val="0"/>
          <w:color w:val="434343"/>
          <w:rtl w:val="0"/>
          <w:lang w:val="it-IT"/>
          <w14:textFill>
            <w14:solidFill>
              <w14:srgbClr w14:val="444444"/>
            </w14:solidFill>
          </w14:textFill>
        </w:rPr>
        <w:t xml:space="preserve">William, </w:t>
      </w:r>
      <w:r>
        <w:rPr>
          <w:i w:val="1"/>
          <w:iCs w:val="1"/>
          <w:outline w:val="0"/>
          <w:color w:val="434343"/>
          <w:rtl w:val="0"/>
          <w14:textFill>
            <w14:solidFill>
              <w14:srgbClr w14:val="444444"/>
            </w14:solidFill>
          </w14:textFill>
        </w:rPr>
        <w:t>Christian Astrology</w:t>
      </w:r>
      <w:r>
        <w:rPr>
          <w:outline w:val="0"/>
          <w:color w:val="434343"/>
          <w:rtl w:val="0"/>
          <w:lang w:val="en-US"/>
          <w14:textFill>
            <w14:solidFill>
              <w14:srgbClr w14:val="444444"/>
            </w14:solidFill>
          </w14:textFill>
        </w:rPr>
        <w:t>, London 1647, facsimile edition, London: Regulus Publishing, 1985</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it-IT"/>
          <w14:textFill>
            <w14:solidFill>
              <w14:srgbClr w14:val="444444"/>
            </w14:solidFill>
          </w14:textFill>
        </w:rPr>
        <w:t xml:space="preserve">Leo, Alan, </w:t>
      </w:r>
      <w:r>
        <w:rPr>
          <w:i w:val="1"/>
          <w:iCs w:val="1"/>
          <w:outline w:val="0"/>
          <w:color w:val="434343"/>
          <w:rtl w:val="0"/>
          <w14:textFill>
            <w14:solidFill>
              <w14:srgbClr w14:val="444444"/>
            </w14:solidFill>
          </w14:textFill>
        </w:rPr>
        <w:t>Astrology for All</w:t>
      </w:r>
      <w:r>
        <w:rPr>
          <w:outline w:val="0"/>
          <w:color w:val="434343"/>
          <w:rtl w:val="0"/>
          <w:lang w:val="en-US"/>
          <w14:textFill>
            <w14:solidFill>
              <w14:srgbClr w14:val="444444"/>
            </w14:solidFill>
          </w14:textFill>
        </w:rPr>
        <w:t xml:space="preserve"> ("Modern astrology" office: London,, 1921).</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Oppenheim, A. Leo, 'A Babylonian Diviner's Manual', </w:t>
      </w:r>
      <w:r>
        <w:rPr>
          <w:i w:val="1"/>
          <w:iCs w:val="1"/>
          <w:outline w:val="0"/>
          <w:color w:val="434343"/>
          <w:rtl w:val="0"/>
          <w:lang w:val="en-US"/>
          <w14:textFill>
            <w14:solidFill>
              <w14:srgbClr w14:val="444444"/>
            </w14:solidFill>
          </w14:textFill>
        </w:rPr>
        <w:t>Journal of Near Eastern Studies</w:t>
      </w:r>
      <w:r>
        <w:rPr>
          <w:outline w:val="0"/>
          <w:color w:val="434343"/>
          <w:rtl w:val="0"/>
          <w14:textFill>
            <w14:solidFill>
              <w14:srgbClr w14:val="444444"/>
            </w14:solidFill>
          </w14:textFill>
        </w:rPr>
        <w:t>, 33: (1974), 197-220.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14:textFill>
            <w14:solidFill>
              <w14:srgbClr w14:val="444444"/>
            </w14:solidFill>
          </w14:textFill>
        </w:rPr>
        <w:t xml:space="preserve">Polydorus, Chrysogonus, </w:t>
      </w:r>
      <w:r>
        <w:rPr>
          <w:i w:val="1"/>
          <w:iCs w:val="1"/>
          <w:outline w:val="0"/>
          <w:color w:val="434343"/>
          <w:rtl w:val="0"/>
          <w:lang w:val="it-IT"/>
          <w14:textFill>
            <w14:solidFill>
              <w14:srgbClr w14:val="444444"/>
            </w14:solidFill>
          </w14:textFill>
        </w:rPr>
        <w:t>De Alchimia</w:t>
      </w:r>
      <w:r>
        <w:rPr>
          <w:outline w:val="0"/>
          <w:color w:val="434343"/>
          <w:rtl w:val="0"/>
          <w:lang w:val="en-US"/>
          <w14:textFill>
            <w14:solidFill>
              <w14:srgbClr w14:val="444444"/>
            </w14:solidFill>
          </w14:textFill>
        </w:rPr>
        <w:t>. Nuremberg, 1541</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Ptolemy, and Frank Egleston Robbins, </w:t>
      </w:r>
      <w:r>
        <w:rPr>
          <w:i w:val="1"/>
          <w:iCs w:val="1"/>
          <w:outline w:val="0"/>
          <w:color w:val="434343"/>
          <w:rtl w:val="0"/>
          <w:lang w:val="es-ES_tradnl"/>
          <w14:textFill>
            <w14:solidFill>
              <w14:srgbClr w14:val="444444"/>
            </w14:solidFill>
          </w14:textFill>
        </w:rPr>
        <w:t>Tetrabiblos</w:t>
      </w:r>
      <w:r>
        <w:rPr>
          <w:outline w:val="0"/>
          <w:color w:val="434343"/>
          <w:rtl w:val="0"/>
          <w:lang w:val="en-US"/>
          <w14:textFill>
            <w14:solidFill>
              <w14:srgbClr w14:val="444444"/>
            </w14:solidFill>
          </w14:textFill>
        </w:rPr>
        <w:t xml:space="preserve"> (Harvard university press, 1940).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pt-PT"/>
          <w14:textFill>
            <w14:solidFill>
              <w14:srgbClr w14:val="444444"/>
            </w14:solidFill>
          </w14:textFill>
        </w:rPr>
        <w:t xml:space="preserve">Reeve, C. D. C., </w:t>
      </w:r>
      <w:r>
        <w:rPr>
          <w:i w:val="1"/>
          <w:iCs w:val="1"/>
          <w:outline w:val="0"/>
          <w:color w:val="434343"/>
          <w:rtl w:val="0"/>
          <w:lang w:val="nl-NL"/>
          <w14:textFill>
            <w14:solidFill>
              <w14:srgbClr w14:val="444444"/>
            </w14:solidFill>
          </w14:textFill>
        </w:rPr>
        <w:t>Aristotle: De Caelo</w:t>
      </w:r>
      <w:r>
        <w:rPr>
          <w:outline w:val="0"/>
          <w:color w:val="434343"/>
          <w:rtl w:val="0"/>
          <w:lang w:val="en-US"/>
          <w14:textFill>
            <w14:solidFill>
              <w14:srgbClr w14:val="444444"/>
            </w14:solidFill>
          </w14:textFill>
        </w:rPr>
        <w:t xml:space="preserve"> (Hackett Publishing Company, Inc.: Indianapolis, 2020).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it-IT"/>
          <w14:textFill>
            <w14:solidFill>
              <w14:srgbClr w14:val="444444"/>
            </w14:solidFill>
          </w14:textFill>
        </w:rPr>
        <w:t xml:space="preserve">Rochberg, Francesca, </w:t>
      </w:r>
      <w:r>
        <w:rPr>
          <w:i w:val="1"/>
          <w:iCs w:val="1"/>
          <w:outline w:val="0"/>
          <w:color w:val="434343"/>
          <w:rtl w:val="0"/>
          <w:lang w:val="de-DE"/>
          <w14:textFill>
            <w14:solidFill>
              <w14:srgbClr w14:val="444444"/>
            </w14:solidFill>
          </w14:textFill>
        </w:rPr>
        <w:t>Babylonian Horoscopes</w:t>
      </w:r>
      <w:r>
        <w:rPr>
          <w:outline w:val="0"/>
          <w:color w:val="434343"/>
          <w:rtl w:val="0"/>
          <w:lang w:val="en-US"/>
          <w14:textFill>
            <w14:solidFill>
              <w14:srgbClr w14:val="444444"/>
            </w14:solidFill>
          </w14:textFill>
        </w:rPr>
        <w:t xml:space="preserve"> (American Philosophical Society, 1998).</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rFonts w:ascii="Lora Bold" w:cs="Lora Bold" w:hAnsi="Lora Bold" w:eastAsia="Lora Bold"/>
          <w:outline w:val="0"/>
          <w:color w:val="434343"/>
          <w14:textFill>
            <w14:solidFill>
              <w14:srgbClr w14:val="444444"/>
            </w14:solidFill>
          </w14:textFill>
        </w:rPr>
      </w:pPr>
      <w:r>
        <w:rPr>
          <w:rFonts w:ascii="Lora Bold" w:hAnsi="Lora Bold"/>
          <w:outline w:val="0"/>
          <w:color w:val="434343"/>
          <w:rtl w:val="0"/>
          <w:lang w:val="en-US"/>
          <w14:textFill>
            <w14:solidFill>
              <w14:srgbClr w14:val="444444"/>
            </w14:solidFill>
          </w14:textFill>
        </w:rPr>
        <w:t>Secondary Sources</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de-DE"/>
          <w14:textFill>
            <w14:solidFill>
              <w14:srgbClr w14:val="444444"/>
            </w14:solidFill>
          </w14:textFill>
        </w:rPr>
        <w:t xml:space="preserve">Campion, Nicholas, </w:t>
      </w:r>
      <w:r>
        <w:rPr>
          <w:outline w:val="0"/>
          <w:color w:val="434343"/>
          <w:rtl w:val="0"/>
          <w:lang w:val="en-US"/>
          <w14:textFill>
            <w14:solidFill>
              <w14:srgbClr w14:val="444444"/>
            </w14:solidFill>
          </w14:textFill>
        </w:rPr>
        <w:t>A History of Western Astrology Volume Ii: The Medieval and Modern Worlds</w:t>
      </w:r>
      <w:r>
        <w:rPr>
          <w:outline w:val="0"/>
          <w:color w:val="434343"/>
          <w:rtl w:val="0"/>
          <w:lang w:val="en-US"/>
          <w14:textFill>
            <w14:solidFill>
              <w14:srgbClr w14:val="444444"/>
            </w14:solidFill>
          </w14:textFill>
        </w:rPr>
        <w:t xml:space="preserve"> (Bloomsbury Publishing, 2009).</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Campion, Nicholas. 'Babylonian Astrology: Its Origin and Legacy in Europe.' in Helaine Selin and Sun Xiaochun (eds.), </w:t>
      </w:r>
      <w:r>
        <w:rPr>
          <w:i w:val="1"/>
          <w:iCs w:val="1"/>
          <w:outline w:val="0"/>
          <w:color w:val="434343"/>
          <w:rtl w:val="0"/>
          <w:lang w:val="en-US"/>
          <w14:textFill>
            <w14:solidFill>
              <w14:srgbClr w14:val="444444"/>
            </w14:solidFill>
          </w14:textFill>
        </w:rPr>
        <w:t>Astronomy across Cultures: The History of Non-Western Astronomy</w:t>
      </w:r>
      <w:r>
        <w:rPr>
          <w:outline w:val="0"/>
          <w:color w:val="434343"/>
          <w:rtl w:val="0"/>
          <w:lang w:val="de-DE"/>
          <w14:textFill>
            <w14:solidFill>
              <w14:srgbClr w14:val="444444"/>
            </w14:solidFill>
          </w14:textFill>
        </w:rPr>
        <w:t xml:space="preserve"> (Springer Netherlands: Dordrecht, 2000).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Campion, Nicholas, 'More on the Transmission of the Babylonian Zodiac to Greece: The Case of the Nativity Omens and Their Modern Legacy': (2010).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Jones, Alexander, John M. Steele, University New York, and World Institute for the Study of the Ancient, 'A New Discovery of a Component of Greek Astrology in Babylonian Tablets: The "Terms"': (2011).</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Leonard, W. Clarke, 'Greek Astronomy and Its Debt to the Babylonians', </w:t>
      </w:r>
      <w:r>
        <w:rPr>
          <w:i w:val="1"/>
          <w:iCs w:val="1"/>
          <w:outline w:val="0"/>
          <w:color w:val="434343"/>
          <w:rtl w:val="0"/>
          <w:lang w:val="en-US"/>
          <w14:textFill>
            <w14:solidFill>
              <w14:srgbClr w14:val="444444"/>
            </w14:solidFill>
          </w14:textFill>
        </w:rPr>
        <w:t>The British Journal for the History of Science</w:t>
      </w:r>
      <w:r>
        <w:rPr>
          <w:outline w:val="0"/>
          <w:color w:val="434343"/>
          <w:rtl w:val="0"/>
          <w14:textFill>
            <w14:solidFill>
              <w14:srgbClr w14:val="444444"/>
            </w14:solidFill>
          </w14:textFill>
        </w:rPr>
        <w:t>, 1: (1962), 65-77.</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Lull, Jos</w:t>
      </w:r>
      <w:r>
        <w:rPr>
          <w:outline w:val="0"/>
          <w:color w:val="434343"/>
          <w:rtl w:val="0"/>
          <w:lang w:val="fr-FR"/>
          <w14:textFill>
            <w14:solidFill>
              <w14:srgbClr w14:val="444444"/>
            </w14:solidFill>
          </w14:textFill>
        </w:rPr>
        <w:t>é</w:t>
      </w:r>
      <w:r>
        <w:rPr>
          <w:outline w:val="0"/>
          <w:color w:val="434343"/>
          <w:rtl w:val="0"/>
          <w:lang w:val="en-US"/>
          <w14:textFill>
            <w14:solidFill>
              <w14:srgbClr w14:val="444444"/>
            </w14:solidFill>
          </w14:textFill>
        </w:rPr>
        <w:t xml:space="preserve">, and Juan Antonio Belmonte, 'A Firmament above Thebes: Uncovering the Constellations of Ancient Egyptians', </w:t>
      </w:r>
      <w:r>
        <w:rPr>
          <w:i w:val="1"/>
          <w:iCs w:val="1"/>
          <w:outline w:val="0"/>
          <w:color w:val="434343"/>
          <w:rtl w:val="0"/>
          <w:lang w:val="en-US"/>
          <w14:textFill>
            <w14:solidFill>
              <w14:srgbClr w14:val="444444"/>
            </w14:solidFill>
          </w14:textFill>
        </w:rPr>
        <w:t>Journal for the History of Astronomy</w:t>
      </w:r>
      <w:r>
        <w:rPr>
          <w:outline w:val="0"/>
          <w:color w:val="434343"/>
          <w:rtl w:val="0"/>
          <w14:textFill>
            <w14:solidFill>
              <w14:srgbClr w14:val="444444"/>
            </w14:solidFill>
          </w14:textFill>
        </w:rPr>
        <w:t>, Vol. 37 Part 4: (2006), p. 373 - 92.</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Pingree, David, 'Hellenophilia Versus the History of Science', </w:t>
      </w:r>
      <w:r>
        <w:rPr>
          <w:i w:val="1"/>
          <w:iCs w:val="1"/>
          <w:outline w:val="0"/>
          <w:color w:val="434343"/>
          <w:rtl w:val="0"/>
          <w14:textFill>
            <w14:solidFill>
              <w14:srgbClr w14:val="444444"/>
            </w14:solidFill>
          </w14:textFill>
        </w:rPr>
        <w:t>Isis</w:t>
      </w:r>
      <w:r>
        <w:rPr>
          <w:outline w:val="0"/>
          <w:color w:val="434343"/>
          <w:rtl w:val="0"/>
          <w14:textFill>
            <w14:solidFill>
              <w14:srgbClr w14:val="444444"/>
            </w14:solidFill>
          </w14:textFill>
        </w:rPr>
        <w:t>, 83: (1992), 554-63.</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Reiner, Erica, 'The Uses of Astrology', </w:t>
      </w:r>
      <w:r>
        <w:rPr>
          <w:i w:val="1"/>
          <w:iCs w:val="1"/>
          <w:outline w:val="0"/>
          <w:color w:val="434343"/>
          <w:rtl w:val="0"/>
          <w:lang w:val="en-US"/>
          <w14:textFill>
            <w14:solidFill>
              <w14:srgbClr w14:val="444444"/>
            </w14:solidFill>
          </w14:textFill>
        </w:rPr>
        <w:t>Journal of the American Oriental Society</w:t>
      </w:r>
      <w:r>
        <w:rPr>
          <w:outline w:val="0"/>
          <w:color w:val="434343"/>
          <w:rtl w:val="0"/>
          <w14:textFill>
            <w14:solidFill>
              <w14:srgbClr w14:val="444444"/>
            </w14:solidFill>
          </w14:textFill>
        </w:rPr>
        <w:t>: (1985), 589-95.</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nl-NL"/>
          <w14:textFill>
            <w14:solidFill>
              <w14:srgbClr w14:val="444444"/>
            </w14:solidFill>
          </w14:textFill>
        </w:rPr>
        <w:t xml:space="preserve">Rochberg, F., 'Introduction', </w:t>
      </w:r>
      <w:r>
        <w:rPr>
          <w:i w:val="1"/>
          <w:iCs w:val="1"/>
          <w:outline w:val="0"/>
          <w:color w:val="434343"/>
          <w:rtl w:val="0"/>
          <w14:textFill>
            <w14:solidFill>
              <w14:srgbClr w14:val="444444"/>
            </w14:solidFill>
          </w14:textFill>
        </w:rPr>
        <w:t>Isis</w:t>
      </w:r>
      <w:r>
        <w:rPr>
          <w:outline w:val="0"/>
          <w:color w:val="434343"/>
          <w:rtl w:val="0"/>
          <w14:textFill>
            <w14:solidFill>
              <w14:srgbClr w14:val="444444"/>
            </w14:solidFill>
          </w14:textFill>
        </w:rPr>
        <w:t>, 83: (1992), 547-53.</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Rochberg-Halton, F., 'Elements of the Babylonian Contribution to Hellenistic Astrology', </w:t>
      </w:r>
      <w:r>
        <w:rPr>
          <w:i w:val="1"/>
          <w:iCs w:val="1"/>
          <w:outline w:val="0"/>
          <w:color w:val="434343"/>
          <w:rtl w:val="0"/>
          <w:lang w:val="en-US"/>
          <w14:textFill>
            <w14:solidFill>
              <w14:srgbClr w14:val="444444"/>
            </w14:solidFill>
          </w14:textFill>
        </w:rPr>
        <w:t>Journal of the American Oriental Society</w:t>
      </w:r>
      <w:r>
        <w:rPr>
          <w:outline w:val="0"/>
          <w:color w:val="434343"/>
          <w:rtl w:val="0"/>
          <w14:textFill>
            <w14:solidFill>
              <w14:srgbClr w14:val="444444"/>
            </w14:solidFill>
          </w14:textFill>
        </w:rPr>
        <w:t>, 108: (1988), 51-62.</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Saliba, George, 'Whose Science Is Arabic Science in Renaissance Europe', </w:t>
      </w:r>
      <w:r>
        <w:rPr>
          <w:i w:val="1"/>
          <w:iCs w:val="1"/>
          <w:outline w:val="0"/>
          <w:color w:val="434343"/>
          <w:rtl w:val="0"/>
          <w:lang w:val="en-US"/>
          <w14:textFill>
            <w14:solidFill>
              <w14:srgbClr w14:val="444444"/>
            </w14:solidFill>
          </w14:textFill>
        </w:rPr>
        <w:t>Retrieved March</w:t>
      </w:r>
      <w:r>
        <w:rPr>
          <w:outline w:val="0"/>
          <w:color w:val="434343"/>
          <w:rtl w:val="0"/>
          <w14:textFill>
            <w14:solidFill>
              <w14:srgbClr w14:val="444444"/>
            </w14:solidFill>
          </w14:textFill>
        </w:rPr>
        <w:t>, 15: (1999), 2002.</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fr-FR"/>
          <w14:textFill>
            <w14:solidFill>
              <w14:srgbClr w14:val="444444"/>
            </w14:solidFill>
          </w14:textFill>
        </w:rPr>
        <w:t xml:space="preserve">Serres, Patrice, </w:t>
      </w:r>
      <w:r>
        <w:rPr>
          <w:outline w:val="0"/>
          <w:color w:val="434343"/>
          <w:rtl w:val="0"/>
          <w:lang w:val="fr-FR"/>
          <w14:textFill>
            <w14:solidFill>
              <w14:srgbClr w14:val="444444"/>
            </w14:solidFill>
          </w14:textFill>
        </w:rPr>
        <w:t>Le Myste</w:t>
      </w:r>
      <w:r>
        <w:rPr>
          <w:outline w:val="0"/>
          <w:color w:val="434343"/>
          <w:rtl w:val="0"/>
          <w14:textFill>
            <w14:solidFill>
              <w14:srgbClr w14:val="444444"/>
            </w14:solidFill>
          </w14:textFill>
        </w:rPr>
        <w:t>̀</w:t>
      </w:r>
      <w:r>
        <w:rPr>
          <w:outline w:val="0"/>
          <w:color w:val="434343"/>
          <w:rtl w:val="0"/>
          <w:lang w:val="fr-FR"/>
          <w14:textFill>
            <w14:solidFill>
              <w14:srgbClr w14:val="444444"/>
            </w14:solidFill>
          </w14:textFill>
        </w:rPr>
        <w:t>Re De L'ordre Alphabe</w:t>
      </w:r>
      <w:r>
        <w:rPr>
          <w:outline w:val="0"/>
          <w:color w:val="434343"/>
          <w:rtl w:val="0"/>
          <w14:textFill>
            <w14:solidFill>
              <w14:srgbClr w14:val="444444"/>
            </w14:solidFill>
          </w14:textFill>
        </w:rPr>
        <w:t>́</w:t>
      </w:r>
      <w:r>
        <w:rPr>
          <w:outline w:val="0"/>
          <w:color w:val="434343"/>
          <w:rtl w:val="0"/>
          <w:lang w:val="fr-FR"/>
          <w14:textFill>
            <w14:solidFill>
              <w14:srgbClr w14:val="444444"/>
            </w14:solidFill>
          </w14:textFill>
        </w:rPr>
        <w:t>Tique : [De La Mesure Du Temps a</w:t>
      </w:r>
      <w:r>
        <w:rPr>
          <w:outline w:val="0"/>
          <w:color w:val="434343"/>
          <w:rtl w:val="0"/>
          <w14:textFill>
            <w14:solidFill>
              <w14:srgbClr w14:val="444444"/>
            </w14:solidFill>
          </w14:textFill>
        </w:rPr>
        <w:t xml:space="preserve">̀ </w:t>
      </w:r>
      <w:r>
        <w:rPr>
          <w:outline w:val="0"/>
          <w:color w:val="434343"/>
          <w:rtl w:val="0"/>
          <w:lang w:val="it-IT"/>
          <w14:textFill>
            <w14:solidFill>
              <w14:srgbClr w14:val="444444"/>
            </w14:solidFill>
          </w14:textFill>
        </w:rPr>
        <w:t>L'e</w:t>
      </w:r>
      <w:r>
        <w:rPr>
          <w:outline w:val="0"/>
          <w:color w:val="434343"/>
          <w:rtl w:val="0"/>
          <w14:textFill>
            <w14:solidFill>
              <w14:srgbClr w14:val="444444"/>
            </w14:solidFill>
          </w14:textFill>
        </w:rPr>
        <w:t>́</w:t>
      </w:r>
      <w:r>
        <w:rPr>
          <w:outline w:val="0"/>
          <w:color w:val="434343"/>
          <w:rtl w:val="0"/>
          <w:lang w:val="fr-FR"/>
          <w14:textFill>
            <w14:solidFill>
              <w14:srgbClr w14:val="444444"/>
            </w14:solidFill>
          </w14:textFill>
        </w:rPr>
        <w:t>Criture ]</w:t>
      </w:r>
      <w:r>
        <w:rPr>
          <w:outline w:val="0"/>
          <w:color w:val="434343"/>
          <w:rtl w:val="0"/>
          <w:lang w:val="fr-FR"/>
          <w14:textFill>
            <w14:solidFill>
              <w14:srgbClr w14:val="444444"/>
            </w14:solidFill>
          </w14:textFill>
        </w:rPr>
        <w:t xml:space="preserve"> (Presses du Cha</w:t>
      </w:r>
      <w:r>
        <w:rPr>
          <w:outline w:val="0"/>
          <w:color w:val="434343"/>
          <w:rtl w:val="0"/>
          <w14:textFill>
            <w14:solidFill>
              <w14:srgbClr w14:val="444444"/>
            </w14:solidFill>
          </w14:textFill>
        </w:rPr>
        <w:t>̂</w:t>
      </w:r>
      <w:r>
        <w:rPr>
          <w:outline w:val="0"/>
          <w:color w:val="434343"/>
          <w:rtl w:val="0"/>
          <w14:textFill>
            <w14:solidFill>
              <w14:srgbClr w14:val="444444"/>
            </w14:solidFill>
          </w14:textFill>
        </w:rPr>
        <w:t>telet: Paris, 2010).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Steele , John, 'The Development of the Babylonian Zodiac: Some Preliminary Observations', </w:t>
      </w:r>
      <w:r>
        <w:rPr>
          <w:i w:val="1"/>
          <w:iCs w:val="1"/>
          <w:outline w:val="0"/>
          <w:color w:val="434343"/>
          <w:rtl w:val="0"/>
          <w:lang w:val="en-US"/>
          <w14:textFill>
            <w14:solidFill>
              <w14:srgbClr w14:val="444444"/>
            </w14:solidFill>
          </w14:textFill>
        </w:rPr>
        <w:t>Mediterranean Archaeology and Archaeometry</w:t>
      </w:r>
      <w:r>
        <w:rPr>
          <w:outline w:val="0"/>
          <w:color w:val="434343"/>
          <w:rtl w:val="0"/>
          <w14:textFill>
            <w14:solidFill>
              <w14:srgbClr w14:val="444444"/>
            </w14:solidFill>
          </w14:textFill>
        </w:rPr>
        <w:t>, 18: (2018), 97-105.</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 xml:space="preserve">van der Waerden, B. L., 'History of the Zodiac', </w:t>
      </w:r>
      <w:r>
        <w:rPr>
          <w:i w:val="1"/>
          <w:iCs w:val="1"/>
          <w:outline w:val="0"/>
          <w:color w:val="434343"/>
          <w:rtl w:val="0"/>
          <w:lang w:val="de-DE"/>
          <w14:textFill>
            <w14:solidFill>
              <w14:srgbClr w14:val="444444"/>
            </w14:solidFill>
          </w14:textFill>
        </w:rPr>
        <w:t>Archiv f</w:t>
      </w:r>
      <w:r>
        <w:rPr>
          <w:i w:val="1"/>
          <w:iCs w:val="1"/>
          <w:outline w:val="0"/>
          <w:color w:val="434343"/>
          <w:rtl w:val="0"/>
          <w14:textFill>
            <w14:solidFill>
              <w14:srgbClr w14:val="444444"/>
            </w14:solidFill>
          </w14:textFill>
        </w:rPr>
        <w:t>ü</w:t>
      </w:r>
      <w:r>
        <w:rPr>
          <w:i w:val="1"/>
          <w:iCs w:val="1"/>
          <w:outline w:val="0"/>
          <w:color w:val="434343"/>
          <w:rtl w:val="0"/>
          <w:lang w:val="de-DE"/>
          <w14:textFill>
            <w14:solidFill>
              <w14:srgbClr w14:val="444444"/>
            </w14:solidFill>
          </w14:textFill>
        </w:rPr>
        <w:t>r Orientforschung</w:t>
      </w:r>
      <w:r>
        <w:rPr>
          <w:outline w:val="0"/>
          <w:color w:val="434343"/>
          <w:rtl w:val="0"/>
          <w14:textFill>
            <w14:solidFill>
              <w14:srgbClr w14:val="444444"/>
            </w14:solidFill>
          </w14:textFill>
        </w:rPr>
        <w:t>, 16: (1952), 216-30.</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rPr>
          <w:outline w:val="0"/>
          <w:color w:val="434343"/>
          <w14:textFill>
            <w14:solidFill>
              <w14:srgbClr w14:val="444444"/>
            </w14:solidFill>
          </w14:textFill>
        </w:rPr>
      </w:pPr>
      <w:r>
        <w:rPr>
          <w:outline w:val="0"/>
          <w:color w:val="434343"/>
          <w:rtl w:val="0"/>
          <w:lang w:val="en-US"/>
          <w14:textFill>
            <w14:solidFill>
              <w14:srgbClr w14:val="444444"/>
            </w14:solidFill>
          </w14:textFill>
        </w:rPr>
        <w:t>V. R. Desborough, R. V. Nicholls, and Mervyn Popham, 'A Euboean Centaur', The Annual of the British School at Athens, 65: (1970), p. 2</w:t>
      </w:r>
      <w:r>
        <w:rPr>
          <w:outline w:val="0"/>
          <w:color w:val="434343"/>
          <w:rtl w:val="0"/>
          <w:lang w:val="en-US"/>
          <w14:textFill>
            <w14:solidFill>
              <w14:srgbClr w14:val="444444"/>
            </w14:solidFill>
          </w14:textFill>
        </w:rPr>
        <w:t>8</w:t>
      </w:r>
    </w:p>
    <w:p>
      <w:pPr>
        <w:pStyle w:val="Body"/>
        <w:spacing w:after="80" w:line="288" w:lineRule="auto"/>
        <w:ind w:firstLine="0"/>
        <w:rPr>
          <w:outline w:val="0"/>
          <w:color w:val="434343"/>
          <w14:textFill>
            <w14:solidFill>
              <w14:srgbClr w14:val="444444"/>
            </w14:solidFill>
          </w14:textFill>
        </w:rPr>
      </w:pPr>
    </w:p>
    <w:p>
      <w:pPr>
        <w:pStyle w:val="Body"/>
        <w:spacing w:after="80" w:line="288" w:lineRule="auto"/>
        <w:ind w:firstLine="0"/>
      </w:pPr>
      <w:r>
        <w:rPr>
          <w:outline w:val="0"/>
          <w:color w:val="434343"/>
          <w:rtl w:val="0"/>
          <w:lang w:val="en-US"/>
          <w14:textFill>
            <w14:solidFill>
              <w14:srgbClr w14:val="444444"/>
            </w14:solidFill>
          </w14:textFill>
        </w:rPr>
        <w:t xml:space="preserve">Wee, John Z., 'Discovery of the Zodiac Man in Cuneiform', </w:t>
      </w:r>
      <w:r>
        <w:rPr>
          <w:i w:val="1"/>
          <w:iCs w:val="1"/>
          <w:outline w:val="0"/>
          <w:color w:val="434343"/>
          <w:rtl w:val="0"/>
          <w:lang w:val="en-US"/>
          <w14:textFill>
            <w14:solidFill>
              <w14:srgbClr w14:val="444444"/>
            </w14:solidFill>
          </w14:textFill>
        </w:rPr>
        <w:t>Journal of Cuneiform Studies</w:t>
      </w:r>
      <w:r>
        <w:rPr>
          <w:outline w:val="0"/>
          <w:color w:val="434343"/>
          <w:rtl w:val="0"/>
          <w14:textFill>
            <w14:solidFill>
              <w14:srgbClr w14:val="444444"/>
            </w14:solidFill>
          </w14:textFill>
        </w:rPr>
        <w:t>, 67: (2015), 217-33.</w:t>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Lora Regular">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Lora Bold">
    <w:charset w:val="00"/>
    <w:family w:val="roman"/>
    <w:pitch w:val="default"/>
  </w:font>
  <w:font w:name="Transliteration Ital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en-US"/>
        </w:rPr>
        <w:t xml:space="preserve"> Leonard, W. Clarke, 'Greek Astronomy and Its Debt to the Babylonians', </w:t>
      </w:r>
      <w:r>
        <w:rPr>
          <w:rFonts w:cs="Arial Unicode MS" w:eastAsia="Arial Unicode MS"/>
          <w:i w:val="1"/>
          <w:iCs w:val="1"/>
          <w:rtl w:val="0"/>
          <w:lang w:val="en-US"/>
        </w:rPr>
        <w:t>The British Journal for the History of Science</w:t>
      </w:r>
      <w:r>
        <w:rPr>
          <w:rFonts w:cs="Arial Unicode MS" w:eastAsia="Arial Unicode MS"/>
          <w:rtl w:val="0"/>
        </w:rPr>
        <w:t xml:space="preserve">, 1: (1962), </w:t>
      </w:r>
      <w:r>
        <w:rPr>
          <w:rFonts w:cs="Arial Unicode MS" w:eastAsia="Arial Unicode MS"/>
          <w:rtl w:val="0"/>
          <w:lang w:val="en-US"/>
        </w:rPr>
        <w:t>p. 65</w:t>
      </w:r>
    </w:p>
  </w:footnote>
  <w:footnote w:id="2">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de-DE"/>
        </w:rPr>
        <w:t>Nicholas</w:t>
      </w:r>
      <w:r>
        <w:rPr>
          <w:rFonts w:cs="Arial Unicode MS" w:eastAsia="Arial Unicode MS"/>
          <w:rtl w:val="0"/>
          <w:lang w:val="en-US"/>
        </w:rPr>
        <w:t xml:space="preserve"> </w:t>
      </w:r>
      <w:r>
        <w:rPr>
          <w:rFonts w:cs="Arial Unicode MS" w:eastAsia="Arial Unicode MS"/>
          <w:rtl w:val="0"/>
          <w:lang w:val="en-US"/>
        </w:rPr>
        <w:t xml:space="preserve">Campion. 'Babylonian Astrology: Its Origin and Legacy in Europe.' in Helaine Selin and Sun Xiaochun (eds.), </w:t>
      </w:r>
      <w:r>
        <w:rPr>
          <w:rFonts w:cs="Arial Unicode MS" w:eastAsia="Arial Unicode MS"/>
          <w:i w:val="1"/>
          <w:iCs w:val="1"/>
          <w:rtl w:val="0"/>
          <w:lang w:val="en-US"/>
        </w:rPr>
        <w:t>Astronomy across Cultures: The History of Non-Western Astronomy</w:t>
      </w:r>
      <w:r>
        <w:rPr>
          <w:rFonts w:cs="Arial Unicode MS" w:eastAsia="Arial Unicode MS"/>
          <w:rtl w:val="0"/>
          <w:lang w:val="de-DE"/>
        </w:rPr>
        <w:t xml:space="preserve"> (Springer Netherlands: Dordrecht, 2000)</w:t>
      </w:r>
      <w:r>
        <w:rPr>
          <w:rFonts w:cs="Arial Unicode MS" w:eastAsia="Arial Unicode MS"/>
          <w:rtl w:val="0"/>
          <w:lang w:val="en-US"/>
        </w:rPr>
        <w:t>, p.</w:t>
      </w:r>
      <w:r>
        <w:rPr>
          <w:rFonts w:cs="Arial Unicode MS" w:eastAsia="Arial Unicode MS"/>
          <w:rtl w:val="0"/>
        </w:rPr>
        <w:t xml:space="preserve"> 510</w:t>
      </w:r>
    </w:p>
  </w:footnote>
  <w:footnote w:id="3">
    <w:p>
      <w:pPr>
        <w:pStyle w:val="Footnote"/>
        <w:bidi w:val="0"/>
      </w:pPr>
      <w:r>
        <w:rPr>
          <w:vertAlign w:val="superscript"/>
        </w:rPr>
        <w:footnoteRef/>
      </w:r>
      <w:r>
        <w:rPr>
          <w:rFonts w:cs="Arial Unicode MS" w:eastAsia="Arial Unicode MS"/>
          <w:rtl w:val="0"/>
          <w:lang w:val="de-DE"/>
        </w:rPr>
        <w:t xml:space="preserve"> George</w:t>
      </w:r>
      <w:r>
        <w:rPr>
          <w:rFonts w:cs="Arial Unicode MS" w:eastAsia="Arial Unicode MS"/>
          <w:rtl w:val="0"/>
          <w:lang w:val="en-US"/>
        </w:rPr>
        <w:t xml:space="preserve"> </w:t>
      </w:r>
      <w:r>
        <w:rPr>
          <w:rFonts w:cs="Arial Unicode MS" w:eastAsia="Arial Unicode MS"/>
          <w:rtl w:val="0"/>
          <w:lang w:val="en-US"/>
        </w:rPr>
        <w:t xml:space="preserve">Saliba, 'Whose Science Is Arabic Science in Renaissance Europe', </w:t>
      </w:r>
      <w:r>
        <w:rPr>
          <w:rFonts w:cs="Arial Unicode MS" w:eastAsia="Arial Unicode MS"/>
          <w:i w:val="1"/>
          <w:iCs w:val="1"/>
          <w:rtl w:val="0"/>
          <w:lang w:val="en-US"/>
        </w:rPr>
        <w:t>Retrieved March</w:t>
      </w:r>
      <w:r>
        <w:rPr>
          <w:rFonts w:cs="Arial Unicode MS" w:eastAsia="Arial Unicode MS"/>
          <w:rtl w:val="0"/>
        </w:rPr>
        <w:t>, 15: (1999), 2002</w:t>
      </w:r>
      <w:r>
        <w:rPr>
          <w:rFonts w:cs="Arial Unicode MS" w:eastAsia="Arial Unicode MS"/>
          <w:rtl w:val="0"/>
          <w:lang w:val="en-US"/>
        </w:rPr>
        <w:t>, p. 1</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Francesca </w:t>
      </w:r>
      <w:r>
        <w:rPr>
          <w:rFonts w:cs="Arial Unicode MS" w:eastAsia="Arial Unicode MS"/>
          <w:rtl w:val="0"/>
          <w:lang w:val="nl-NL"/>
        </w:rPr>
        <w:t xml:space="preserve">Rochberg, 'Introduction', </w:t>
      </w:r>
      <w:r>
        <w:rPr>
          <w:rFonts w:cs="Arial Unicode MS" w:eastAsia="Arial Unicode MS"/>
          <w:i w:val="1"/>
          <w:iCs w:val="1"/>
          <w:rtl w:val="0"/>
        </w:rPr>
        <w:t>Isis</w:t>
      </w:r>
      <w:r>
        <w:rPr>
          <w:rFonts w:cs="Arial Unicode MS" w:eastAsia="Arial Unicode MS"/>
          <w:rtl w:val="0"/>
        </w:rPr>
        <w:t xml:space="preserve">, 83: (1992), </w:t>
      </w:r>
      <w:r>
        <w:rPr>
          <w:rFonts w:cs="Arial Unicode MS" w:eastAsia="Arial Unicode MS"/>
          <w:rtl w:val="0"/>
          <w:lang w:val="en-US"/>
        </w:rPr>
        <w:t xml:space="preserve">p. </w:t>
      </w:r>
      <w:r>
        <w:rPr>
          <w:rFonts w:cs="Arial Unicode MS" w:eastAsia="Arial Unicode MS"/>
          <w:rtl w:val="0"/>
        </w:rPr>
        <w:t>549</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Francesca </w:t>
      </w:r>
      <w:r>
        <w:rPr>
          <w:rFonts w:cs="Arial Unicode MS" w:eastAsia="Arial Unicode MS"/>
          <w:rtl w:val="0"/>
          <w:lang w:val="nl-NL"/>
        </w:rPr>
        <w:t xml:space="preserve">Rochberg, 'Introduction', </w:t>
      </w:r>
      <w:r>
        <w:rPr>
          <w:rFonts w:cs="Arial Unicode MS" w:eastAsia="Arial Unicode MS"/>
          <w:i w:val="1"/>
          <w:iCs w:val="1"/>
          <w:rtl w:val="0"/>
        </w:rPr>
        <w:t>Isis</w:t>
      </w:r>
      <w:r>
        <w:rPr>
          <w:rFonts w:cs="Arial Unicode MS" w:eastAsia="Arial Unicode MS"/>
          <w:rtl w:val="0"/>
        </w:rPr>
        <w:t xml:space="preserve">, 83: (1992), </w:t>
      </w:r>
      <w:r>
        <w:rPr>
          <w:rFonts w:cs="Arial Unicode MS" w:eastAsia="Arial Unicode MS"/>
          <w:rtl w:val="0"/>
          <w:lang w:val="en-US"/>
        </w:rPr>
        <w:t xml:space="preserve">p. </w:t>
      </w:r>
      <w:r>
        <w:rPr>
          <w:rFonts w:cs="Arial Unicode MS" w:eastAsia="Arial Unicode MS"/>
          <w:rtl w:val="0"/>
        </w:rPr>
        <w:t>549</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Francesca </w:t>
      </w:r>
      <w:r>
        <w:rPr>
          <w:rFonts w:cs="Arial Unicode MS" w:eastAsia="Arial Unicode MS"/>
          <w:rtl w:val="0"/>
          <w:lang w:val="nl-NL"/>
        </w:rPr>
        <w:t xml:space="preserve">Rochberg, 'Introduction', </w:t>
      </w:r>
      <w:r>
        <w:rPr>
          <w:rFonts w:cs="Arial Unicode MS" w:eastAsia="Arial Unicode MS"/>
          <w:i w:val="1"/>
          <w:iCs w:val="1"/>
          <w:rtl w:val="0"/>
        </w:rPr>
        <w:t>Isis</w:t>
      </w:r>
      <w:r>
        <w:rPr>
          <w:rFonts w:cs="Arial Unicode MS" w:eastAsia="Arial Unicode MS"/>
          <w:rtl w:val="0"/>
        </w:rPr>
        <w:t xml:space="preserve">, 83: (1992), </w:t>
      </w:r>
      <w:r>
        <w:rPr>
          <w:rFonts w:cs="Arial Unicode MS" w:eastAsia="Arial Unicode MS"/>
          <w:rtl w:val="0"/>
          <w:lang w:val="en-US"/>
        </w:rPr>
        <w:t xml:space="preserve">p. </w:t>
      </w:r>
      <w:r>
        <w:rPr>
          <w:rFonts w:cs="Arial Unicode MS" w:eastAsia="Arial Unicode MS"/>
          <w:rtl w:val="0"/>
        </w:rPr>
        <w:t>549</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hint="default"/>
          <w:rtl w:val="0"/>
          <w:lang w:val="en-US"/>
        </w:rPr>
        <w:t>‘</w:t>
      </w:r>
      <w:r>
        <w:rPr>
          <w:rFonts w:cs="Arial Unicode MS" w:eastAsia="Arial Unicode MS"/>
          <w:rtl w:val="0"/>
          <w:lang w:val="en-US"/>
        </w:rPr>
        <w:t>Origin</w:t>
      </w:r>
      <w:r>
        <w:rPr>
          <w:rFonts w:cs="Arial Unicode MS" w:eastAsia="Arial Unicode MS" w:hint="default"/>
          <w:rtl w:val="0"/>
          <w:lang w:val="en-US"/>
        </w:rPr>
        <w:t>’</w:t>
      </w:r>
      <w:r>
        <w:rPr>
          <w:rFonts w:cs="Arial Unicode MS" w:eastAsia="Arial Unicode MS"/>
          <w:rtl w:val="0"/>
          <w:lang w:val="en-US"/>
        </w:rPr>
        <w:t>, p.</w:t>
      </w:r>
      <w:r>
        <w:rPr>
          <w:rFonts w:cs="Arial Unicode MS" w:eastAsia="Arial Unicode MS"/>
          <w:rtl w:val="0"/>
        </w:rPr>
        <w:t xml:space="preserve"> 509</w:t>
      </w:r>
    </w:p>
  </w:footnote>
  <w:footnote w:id="8">
    <w:p>
      <w:pPr>
        <w:pStyle w:val="Footnote"/>
        <w:bidi w:val="0"/>
      </w:pPr>
      <w:r>
        <w:rPr>
          <w:vertAlign w:val="superscript"/>
        </w:rPr>
        <w:footnoteRef/>
      </w:r>
      <w:r>
        <w:rPr>
          <w:rFonts w:cs="Arial Unicode MS" w:eastAsia="Arial Unicode MS"/>
          <w:rtl w:val="0"/>
          <w:lang w:val="de-DE"/>
        </w:rPr>
        <w:t xml:space="preserve"> Nicholas</w:t>
      </w:r>
      <w:r>
        <w:rPr>
          <w:rFonts w:cs="Arial Unicode MS" w:eastAsia="Arial Unicode MS"/>
          <w:rtl w:val="0"/>
          <w:lang w:val="en-US"/>
        </w:rPr>
        <w:t xml:space="preserve"> </w:t>
      </w:r>
      <w:r>
        <w:rPr>
          <w:rFonts w:cs="Arial Unicode MS" w:eastAsia="Arial Unicode MS"/>
          <w:rtl w:val="0"/>
          <w:lang w:val="en-US"/>
        </w:rPr>
        <w:t>Campion, 'More on the Transmission of the Babylonian Zodiac to Greece: The Case of the Nativity Omens and Their Modern Legacy': (2010)</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 xml:space="preserve">p. </w:t>
      </w:r>
      <w:r>
        <w:rPr>
          <w:rFonts w:cs="Arial Unicode MS" w:eastAsia="Arial Unicode MS"/>
          <w:rtl w:val="0"/>
        </w:rPr>
        <w:t>3</w:t>
      </w:r>
    </w:p>
  </w:footnote>
  <w:footnote w:id="9">
    <w:p>
      <w:pPr>
        <w:pStyle w:val="Footnote"/>
        <w:bidi w:val="0"/>
      </w:pPr>
      <w:r>
        <w:rPr>
          <w:vertAlign w:val="superscript"/>
        </w:rPr>
        <w:footnoteRef/>
      </w:r>
      <w:r>
        <w:rPr>
          <w:rFonts w:cs="Arial Unicode MS" w:eastAsia="Arial Unicode MS"/>
          <w:rtl w:val="0"/>
        </w:rPr>
        <w:t xml:space="preserve"> David</w:t>
      </w:r>
      <w:r>
        <w:rPr>
          <w:rFonts w:cs="Arial Unicode MS" w:eastAsia="Arial Unicode MS"/>
          <w:rtl w:val="0"/>
          <w:lang w:val="en-US"/>
        </w:rPr>
        <w:t xml:space="preserve"> </w:t>
      </w:r>
      <w:r>
        <w:rPr>
          <w:rFonts w:cs="Arial Unicode MS" w:eastAsia="Arial Unicode MS"/>
          <w:rtl w:val="0"/>
          <w:lang w:val="en-US"/>
        </w:rPr>
        <w:t xml:space="preserve">Pingree, 'Hellenophilia Versus the History of Science', </w:t>
      </w:r>
      <w:r>
        <w:rPr>
          <w:rFonts w:cs="Arial Unicode MS" w:eastAsia="Arial Unicode MS"/>
          <w:i w:val="1"/>
          <w:iCs w:val="1"/>
          <w:rtl w:val="0"/>
        </w:rPr>
        <w:t>Isis</w:t>
      </w:r>
      <w:r>
        <w:rPr>
          <w:rFonts w:cs="Arial Unicode MS" w:eastAsia="Arial Unicode MS"/>
          <w:rtl w:val="0"/>
        </w:rPr>
        <w:t>, 83: (1992)</w:t>
      </w:r>
      <w:r>
        <w:rPr>
          <w:rFonts w:cs="Arial Unicode MS" w:eastAsia="Arial Unicode MS"/>
          <w:rtl w:val="0"/>
          <w:lang w:val="en-US"/>
        </w:rPr>
        <w:t>, p. 555.</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Francesca </w:t>
      </w:r>
      <w:r>
        <w:rPr>
          <w:rFonts w:cs="Arial Unicode MS" w:eastAsia="Arial Unicode MS"/>
          <w:rtl w:val="0"/>
          <w:lang w:val="en-US"/>
        </w:rPr>
        <w:t xml:space="preserve">Rochberg-Halton, 'Elements of the Babylonian Contribution to Hellenistic Astrology', </w:t>
      </w:r>
      <w:r>
        <w:rPr>
          <w:rFonts w:cs="Arial Unicode MS" w:eastAsia="Arial Unicode MS"/>
          <w:i w:val="1"/>
          <w:iCs w:val="1"/>
          <w:rtl w:val="0"/>
          <w:lang w:val="en-US"/>
        </w:rPr>
        <w:t>Journal of the American Oriental Society</w:t>
      </w:r>
      <w:r>
        <w:rPr>
          <w:rFonts w:cs="Arial Unicode MS" w:eastAsia="Arial Unicode MS"/>
          <w:rtl w:val="0"/>
        </w:rPr>
        <w:t>, 108: (1988)</w:t>
      </w:r>
      <w:r>
        <w:rPr>
          <w:rFonts w:cs="Arial Unicode MS" w:eastAsia="Arial Unicode MS"/>
          <w:rtl w:val="0"/>
          <w:lang w:val="en-US"/>
        </w:rPr>
        <w:t>, p.</w:t>
      </w:r>
      <w:r>
        <w:rPr>
          <w:rFonts w:cs="Arial Unicode MS" w:eastAsia="Arial Unicode MS"/>
          <w:rtl w:val="0"/>
        </w:rPr>
        <w:t xml:space="preserve"> 51</w:t>
      </w:r>
    </w:p>
  </w:footnote>
  <w:footnote w:id="11">
    <w:p>
      <w:pPr>
        <w:pStyle w:val="Footnote"/>
        <w:bidi w:val="0"/>
      </w:pPr>
      <w:r>
        <w:rPr>
          <w:vertAlign w:val="superscript"/>
        </w:rPr>
        <w:footnoteRef/>
      </w:r>
      <w:r>
        <w:rPr>
          <w:rFonts w:cs="Arial Unicode MS" w:eastAsia="Arial Unicode MS"/>
          <w:rtl w:val="0"/>
          <w:lang w:val="de-DE"/>
        </w:rPr>
        <w:t xml:space="preserve"> Rochberg-Halton, </w:t>
      </w:r>
      <w:r>
        <w:rPr>
          <w:rFonts w:cs="Arial Unicode MS" w:eastAsia="Arial Unicode MS" w:hint="default"/>
          <w:rtl w:val="0"/>
          <w:lang w:val="en-US"/>
        </w:rPr>
        <w:t>‘</w:t>
      </w:r>
      <w:r>
        <w:rPr>
          <w:rFonts w:cs="Arial Unicode MS" w:eastAsia="Arial Unicode MS"/>
          <w:rtl w:val="0"/>
          <w:lang w:val="en-US"/>
        </w:rPr>
        <w:t>Contributions</w:t>
      </w:r>
      <w:r>
        <w:rPr>
          <w:rFonts w:cs="Arial Unicode MS" w:eastAsia="Arial Unicode MS" w:hint="default"/>
          <w:rtl w:val="0"/>
          <w:lang w:val="en-US"/>
        </w:rPr>
        <w:t>’</w:t>
      </w:r>
      <w:r>
        <w:rPr>
          <w:rFonts w:cs="Arial Unicode MS" w:eastAsia="Arial Unicode MS"/>
          <w:rtl w:val="0"/>
          <w:lang w:val="en-US"/>
        </w:rPr>
        <w:t>, p.</w:t>
      </w:r>
      <w:r>
        <w:rPr>
          <w:rFonts w:cs="Arial Unicode MS" w:eastAsia="Arial Unicode MS"/>
          <w:rtl w:val="0"/>
        </w:rPr>
        <w:t xml:space="preserve"> 51</w:t>
      </w:r>
    </w:p>
  </w:footnote>
  <w:footnote w:id="12">
    <w:p>
      <w:pPr>
        <w:pStyle w:val="Footnote"/>
        <w:bidi w:val="0"/>
      </w:pPr>
      <w:r>
        <w:rPr>
          <w:vertAlign w:val="superscript"/>
        </w:rPr>
        <w:footnoteRef/>
      </w:r>
      <w:r>
        <w:rPr>
          <w:rFonts w:cs="Arial Unicode MS" w:eastAsia="Arial Unicode MS"/>
          <w:rtl w:val="0"/>
          <w:lang w:val="de-DE"/>
        </w:rPr>
        <w:t xml:space="preserve"> Rochberg-Halton, </w:t>
      </w:r>
      <w:r>
        <w:rPr>
          <w:rFonts w:cs="Arial Unicode MS" w:eastAsia="Arial Unicode MS" w:hint="default"/>
          <w:rtl w:val="1"/>
        </w:rPr>
        <w:t>‘</w:t>
      </w:r>
      <w:r>
        <w:rPr>
          <w:rFonts w:cs="Arial Unicode MS" w:eastAsia="Arial Unicode MS"/>
          <w:rtl w:val="0"/>
          <w:lang w:val="fr-FR"/>
        </w:rPr>
        <w:t>Contributions</w:t>
      </w:r>
      <w:r>
        <w:rPr>
          <w:rFonts w:cs="Arial Unicode MS" w:eastAsia="Arial Unicode MS" w:hint="default"/>
          <w:rtl w:val="1"/>
        </w:rPr>
        <w:t>’</w:t>
      </w:r>
      <w:r>
        <w:rPr>
          <w:rFonts w:cs="Arial Unicode MS" w:eastAsia="Arial Unicode MS"/>
          <w:rtl w:val="0"/>
        </w:rPr>
        <w:t>, p. 5</w:t>
      </w:r>
      <w:r>
        <w:rPr>
          <w:rFonts w:cs="Arial Unicode MS" w:eastAsia="Arial Unicode MS"/>
          <w:rtl w:val="0"/>
          <w:lang w:val="en-US"/>
        </w:rPr>
        <w:t>3</w:t>
      </w:r>
    </w:p>
  </w:footnote>
  <w:footnote w:id="13">
    <w:p>
      <w:pPr>
        <w:pStyle w:val="Footnote"/>
        <w:bidi w:val="0"/>
      </w:pPr>
      <w:r>
        <w:rPr>
          <w:vertAlign w:val="superscript"/>
        </w:rPr>
        <w:footnoteRef/>
      </w:r>
      <w:r>
        <w:rPr>
          <w:rFonts w:cs="Arial Unicode MS" w:eastAsia="Arial Unicode MS"/>
          <w:rtl w:val="0"/>
          <w:lang w:val="nl-NL"/>
        </w:rPr>
        <w:t xml:space="preserve"> Leonard, 'Debt', </w:t>
      </w:r>
      <w:r>
        <w:rPr>
          <w:rFonts w:cs="Arial Unicode MS" w:eastAsia="Arial Unicode MS"/>
          <w:rtl w:val="0"/>
          <w:lang w:val="en-US"/>
        </w:rPr>
        <w:t>p. 71</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Aristotle, </w:t>
      </w:r>
      <w:r>
        <w:rPr>
          <w:rFonts w:cs="Arial Unicode MS" w:eastAsia="Arial Unicode MS"/>
          <w:i w:val="1"/>
          <w:iCs w:val="1"/>
          <w:rtl w:val="0"/>
          <w:lang w:val="en-US"/>
        </w:rPr>
        <w:t xml:space="preserve">De Caelo, </w:t>
      </w:r>
      <w:r>
        <w:rPr>
          <w:rFonts w:cs="Arial Unicode MS" w:eastAsia="Arial Unicode MS"/>
          <w:rtl w:val="0"/>
          <w:lang w:val="en-US"/>
        </w:rPr>
        <w:t>Book II, 12.</w:t>
      </w:r>
    </w:p>
  </w:footnote>
  <w:footnote w:id="15">
    <w:p>
      <w:pPr>
        <w:pStyle w:val="Footnote"/>
        <w:bidi w:val="0"/>
      </w:pPr>
      <w:r>
        <w:rPr>
          <w:vertAlign w:val="superscript"/>
        </w:rPr>
        <w:footnoteRef/>
      </w:r>
      <w:r>
        <w:rPr>
          <w:rFonts w:cs="Arial Unicode MS" w:eastAsia="Arial Unicode MS"/>
          <w:rtl w:val="0"/>
        </w:rPr>
        <w:t xml:space="preserve"> B. L.</w:t>
      </w:r>
      <w:r>
        <w:rPr>
          <w:rFonts w:cs="Arial Unicode MS" w:eastAsia="Arial Unicode MS"/>
          <w:rtl w:val="0"/>
          <w:lang w:val="en-US"/>
        </w:rPr>
        <w:t xml:space="preserve"> </w:t>
      </w:r>
      <w:r>
        <w:rPr>
          <w:rFonts w:cs="Arial Unicode MS" w:eastAsia="Arial Unicode MS"/>
          <w:rtl w:val="0"/>
          <w:lang w:val="en-US"/>
        </w:rPr>
        <w:t xml:space="preserve">van der Waerden, 'History of the Zodiac', </w:t>
      </w:r>
      <w:r>
        <w:rPr>
          <w:rFonts w:cs="Arial Unicode MS" w:eastAsia="Arial Unicode MS"/>
          <w:i w:val="1"/>
          <w:iCs w:val="1"/>
          <w:rtl w:val="0"/>
          <w:lang w:val="de-DE"/>
        </w:rPr>
        <w:t>Archiv f</w:t>
      </w:r>
      <w:r>
        <w:rPr>
          <w:rFonts w:cs="Arial Unicode MS" w:eastAsia="Arial Unicode MS" w:hint="default"/>
          <w:i w:val="1"/>
          <w:iCs w:val="1"/>
          <w:rtl w:val="0"/>
        </w:rPr>
        <w:t>ü</w:t>
      </w:r>
      <w:r>
        <w:rPr>
          <w:rFonts w:cs="Arial Unicode MS" w:eastAsia="Arial Unicode MS"/>
          <w:i w:val="1"/>
          <w:iCs w:val="1"/>
          <w:rtl w:val="0"/>
          <w:lang w:val="de-DE"/>
        </w:rPr>
        <w:t>r Orientforschung</w:t>
      </w:r>
      <w:r>
        <w:rPr>
          <w:rFonts w:cs="Arial Unicode MS" w:eastAsia="Arial Unicode MS"/>
          <w:rtl w:val="0"/>
        </w:rPr>
        <w:t>, 16: (1952</w:t>
      </w:r>
      <w:r>
        <w:rPr>
          <w:rFonts w:cs="Arial Unicode MS" w:eastAsia="Arial Unicode MS"/>
          <w:rtl w:val="0"/>
          <w:lang w:val="en-US"/>
        </w:rPr>
        <w:t>) p. 220</w:t>
      </w:r>
    </w:p>
  </w:footnote>
  <w:footnote w:id="16">
    <w:p>
      <w:pPr>
        <w:pStyle w:val="Footnote"/>
        <w:bidi w:val="0"/>
      </w:pPr>
      <w:r>
        <w:rPr>
          <w:vertAlign w:val="superscript"/>
        </w:rPr>
        <w:footnoteRef/>
      </w:r>
      <w:r>
        <w:rPr>
          <w:rFonts w:cs="Arial Unicode MS" w:eastAsia="Arial Unicode MS"/>
          <w:rtl w:val="0"/>
          <w:lang w:val="nl-NL"/>
        </w:rPr>
        <w:t xml:space="preserve"> van der Waerden,</w:t>
      </w:r>
      <w:r>
        <w:rPr>
          <w:rFonts w:cs="Arial Unicode MS" w:eastAsia="Arial Unicode MS"/>
          <w:rtl w:val="0"/>
          <w:lang w:val="en-US"/>
        </w:rPr>
        <w:t xml:space="preserve"> </w:t>
      </w:r>
      <w:r>
        <w:rPr>
          <w:rFonts w:cs="Arial Unicode MS" w:eastAsia="Arial Unicode MS"/>
          <w:rtl w:val="0"/>
          <w:lang w:val="nl-NL"/>
        </w:rPr>
        <w:t xml:space="preserve">'History', </w:t>
      </w:r>
      <w:r>
        <w:rPr>
          <w:rFonts w:cs="Arial Unicode MS" w:eastAsia="Arial Unicode MS"/>
          <w:rtl w:val="0"/>
          <w:lang w:val="en-US"/>
        </w:rPr>
        <w:t xml:space="preserve">p. </w:t>
      </w:r>
      <w:r>
        <w:rPr>
          <w:rFonts w:cs="Arial Unicode MS" w:eastAsia="Arial Unicode MS"/>
          <w:rtl w:val="0"/>
        </w:rPr>
        <w:t>225</w:t>
      </w:r>
    </w:p>
  </w:footnote>
  <w:footnote w:id="17">
    <w:p>
      <w:pPr>
        <w:pStyle w:val="Footnote"/>
        <w:bidi w:val="0"/>
      </w:pPr>
      <w:r>
        <w:rPr>
          <w:vertAlign w:val="superscript"/>
        </w:rPr>
        <w:footnoteRef/>
      </w:r>
      <w:r>
        <w:rPr>
          <w:rFonts w:cs="Arial Unicode MS" w:eastAsia="Arial Unicode MS"/>
          <w:rtl w:val="0"/>
          <w:lang w:val="nl-NL"/>
        </w:rPr>
        <w:t xml:space="preserve"> van der Waerden, 'History', p. 226</w:t>
      </w:r>
    </w:p>
  </w:footnote>
  <w:footnote w:id="18">
    <w:p>
      <w:pPr>
        <w:pStyle w:val="Footnote"/>
        <w:bidi w:val="0"/>
      </w:pPr>
      <w:r>
        <w:rPr>
          <w:vertAlign w:val="superscript"/>
        </w:rPr>
        <w:footnoteRef/>
      </w:r>
      <w:r>
        <w:rPr>
          <w:rFonts w:cs="Arial Unicode MS" w:eastAsia="Arial Unicode MS"/>
          <w:rtl w:val="0"/>
        </w:rPr>
        <w:t xml:space="preserve"> V. R.</w:t>
      </w:r>
      <w:r>
        <w:rPr>
          <w:rFonts w:cs="Arial Unicode MS" w:eastAsia="Arial Unicode MS"/>
          <w:rtl w:val="0"/>
          <w:lang w:val="en-US"/>
        </w:rPr>
        <w:t xml:space="preserve"> Desborough, R. V. Nicholls, and Mervyn Popham, 'A Euboean Centaur', </w:t>
      </w:r>
      <w:r>
        <w:rPr>
          <w:rFonts w:cs="Arial Unicode MS" w:eastAsia="Arial Unicode MS"/>
          <w:i w:val="1"/>
          <w:iCs w:val="1"/>
          <w:rtl w:val="0"/>
          <w:lang w:val="en-US"/>
        </w:rPr>
        <w:t>The Annual of the British School at Athens</w:t>
      </w:r>
      <w:r>
        <w:rPr>
          <w:rFonts w:cs="Arial Unicode MS" w:eastAsia="Arial Unicode MS"/>
          <w:rtl w:val="0"/>
          <w:lang w:val="en-US"/>
        </w:rPr>
        <w:t>, 65: (1970), p. 28</w:t>
      </w:r>
    </w:p>
  </w:footnote>
  <w:footnote w:id="19">
    <w:p>
      <w:pPr>
        <w:pStyle w:val="Footnote"/>
        <w:bidi w:val="0"/>
      </w:pPr>
      <w:r>
        <w:rPr>
          <w:vertAlign w:val="superscript"/>
        </w:rPr>
        <w:footnoteRef/>
      </w:r>
      <w:r>
        <w:rPr>
          <w:rFonts w:cs="Arial Unicode MS" w:eastAsia="Arial Unicode MS"/>
          <w:rtl w:val="0"/>
          <w:lang w:val="it-IT"/>
        </w:rPr>
        <w:t xml:space="preserve"> Francesca</w:t>
      </w:r>
      <w:r>
        <w:rPr>
          <w:rFonts w:cs="Arial Unicode MS" w:eastAsia="Arial Unicode MS"/>
          <w:rtl w:val="0"/>
          <w:lang w:val="en-US"/>
        </w:rPr>
        <w:t xml:space="preserve"> </w:t>
      </w:r>
      <w:r>
        <w:rPr>
          <w:rFonts w:cs="Arial Unicode MS" w:eastAsia="Arial Unicode MS"/>
          <w:rtl w:val="0"/>
          <w:lang w:val="de-DE"/>
        </w:rPr>
        <w:t xml:space="preserve">Rochberg, </w:t>
      </w:r>
      <w:r>
        <w:rPr>
          <w:rFonts w:cs="Arial Unicode MS" w:eastAsia="Arial Unicode MS"/>
          <w:i w:val="1"/>
          <w:iCs w:val="1"/>
          <w:rtl w:val="0"/>
          <w:lang w:val="de-DE"/>
        </w:rPr>
        <w:t>Babylonian Horoscopes</w:t>
      </w:r>
      <w:r>
        <w:rPr>
          <w:rFonts w:cs="Arial Unicode MS" w:eastAsia="Arial Unicode MS"/>
          <w:rtl w:val="0"/>
          <w:lang w:val="en-US"/>
        </w:rPr>
        <w:t xml:space="preserve"> (American Philosophical Society, 1998)</w:t>
      </w:r>
      <w:r>
        <w:rPr>
          <w:rFonts w:cs="Arial Unicode MS" w:eastAsia="Arial Unicode MS"/>
          <w:rtl w:val="0"/>
          <w:lang w:val="en-US"/>
        </w:rPr>
        <w:t>, p.</w:t>
      </w:r>
      <w:r>
        <w:rPr>
          <w:rFonts w:cs="Arial Unicode MS" w:eastAsia="Arial Unicode MS"/>
          <w:rtl w:val="0"/>
        </w:rPr>
        <w:t xml:space="preserve"> 30</w:t>
      </w:r>
    </w:p>
  </w:footnote>
  <w:footnote w:id="20">
    <w:p>
      <w:pPr>
        <w:pStyle w:val="Footnote"/>
        <w:bidi w:val="0"/>
      </w:pPr>
      <w:r>
        <w:rPr>
          <w:vertAlign w:val="superscript"/>
        </w:rPr>
        <w:footnoteRef/>
      </w:r>
      <w:r>
        <w:rPr>
          <w:rFonts w:cs="Arial Unicode MS" w:eastAsia="Arial Unicode MS"/>
          <w:rtl w:val="0"/>
          <w:lang w:val="de-DE"/>
        </w:rPr>
        <w:t xml:space="preserve"> Rochberg, </w:t>
      </w:r>
      <w:r>
        <w:rPr>
          <w:rFonts w:cs="Arial Unicode MS" w:eastAsia="Arial Unicode MS"/>
          <w:i w:val="1"/>
          <w:iCs w:val="1"/>
          <w:rtl w:val="0"/>
        </w:rPr>
        <w:t>Babylonian</w:t>
      </w:r>
      <w:r>
        <w:rPr>
          <w:rFonts w:cs="Arial Unicode MS" w:eastAsia="Arial Unicode MS"/>
          <w:i w:val="1"/>
          <w:iCs w:val="1"/>
          <w:rtl w:val="0"/>
          <w:lang w:val="en-US"/>
        </w:rPr>
        <w:t>,</w:t>
      </w:r>
      <w:r>
        <w:rPr>
          <w:rFonts w:cs="Arial Unicode MS" w:eastAsia="Arial Unicode MS"/>
          <w:rtl w:val="0"/>
          <w:lang w:val="en-US"/>
        </w:rPr>
        <w:t xml:space="preserve"> p.</w:t>
      </w:r>
      <w:r>
        <w:rPr>
          <w:rFonts w:cs="Arial Unicode MS" w:eastAsia="Arial Unicode MS"/>
          <w:rtl w:val="0"/>
        </w:rPr>
        <w:t xml:space="preserve"> 3</w:t>
      </w:r>
      <w:r>
        <w:rPr>
          <w:rFonts w:cs="Arial Unicode MS" w:eastAsia="Arial Unicode MS"/>
          <w:rtl w:val="0"/>
          <w:lang w:val="en-US"/>
        </w:rPr>
        <w:t>4</w:t>
      </w:r>
    </w:p>
  </w:footnote>
  <w:footnote w:id="21">
    <w:p>
      <w:pPr>
        <w:pStyle w:val="Footnote"/>
        <w:bidi w:val="0"/>
      </w:pPr>
      <w:r>
        <w:rPr>
          <w:vertAlign w:val="superscript"/>
        </w:rPr>
        <w:footnoteRef/>
      </w:r>
      <w:r>
        <w:rPr>
          <w:rFonts w:cs="Arial Unicode MS" w:eastAsia="Arial Unicode MS"/>
          <w:rtl w:val="0"/>
        </w:rPr>
        <w:t xml:space="preserve"> Jos</w:t>
      </w:r>
      <w:r>
        <w:rPr>
          <w:rFonts w:cs="Arial Unicode MS" w:eastAsia="Arial Unicode MS" w:hint="default"/>
          <w:rtl w:val="0"/>
          <w:lang w:val="fr-FR"/>
        </w:rPr>
        <w:t>é</w:t>
      </w:r>
      <w:r>
        <w:rPr>
          <w:rFonts w:cs="Arial Unicode MS" w:eastAsia="Arial Unicode MS"/>
          <w:rtl w:val="0"/>
          <w:lang w:val="en-US"/>
        </w:rPr>
        <w:t xml:space="preserve"> </w:t>
      </w:r>
      <w:r>
        <w:rPr>
          <w:rFonts w:cs="Arial Unicode MS" w:eastAsia="Arial Unicode MS"/>
          <w:rtl w:val="0"/>
          <w:lang w:val="en-US"/>
        </w:rPr>
        <w:t xml:space="preserve">Lull and Juan Antonio Belmonte, 'A Firmament above Thebes: Uncovering the Constellations of Ancient Egyptians', </w:t>
      </w:r>
      <w:r>
        <w:rPr>
          <w:rFonts w:cs="Arial Unicode MS" w:eastAsia="Arial Unicode MS"/>
          <w:i w:val="1"/>
          <w:iCs w:val="1"/>
          <w:rtl w:val="0"/>
          <w:lang w:val="en-US"/>
        </w:rPr>
        <w:t>Journal for the History of Astronomy</w:t>
      </w:r>
      <w:r>
        <w:rPr>
          <w:rFonts w:cs="Arial Unicode MS" w:eastAsia="Arial Unicode MS"/>
          <w:rtl w:val="0"/>
        </w:rPr>
        <w:t>, Vol. 37 Part 4: (2006), p. 3</w:t>
      </w:r>
      <w:r>
        <w:rPr>
          <w:rFonts w:cs="Arial Unicode MS" w:eastAsia="Arial Unicode MS"/>
          <w:rtl w:val="0"/>
          <w:lang w:val="en-US"/>
        </w:rPr>
        <w:t>86</w:t>
      </w:r>
    </w:p>
  </w:footnote>
  <w:footnote w:id="22">
    <w:p>
      <w:pPr>
        <w:pStyle w:val="Footnote"/>
        <w:bidi w:val="0"/>
      </w:pPr>
      <w:r>
        <w:rPr>
          <w:vertAlign w:val="superscript"/>
        </w:rPr>
        <w:footnoteRef/>
      </w:r>
      <w:r>
        <w:rPr>
          <w:rFonts w:cs="Arial Unicode MS" w:eastAsia="Arial Unicode MS"/>
          <w:rtl w:val="0"/>
          <w:lang w:val="de-DE"/>
        </w:rPr>
        <w:t xml:space="preserve"> R. A., Wells,</w:t>
      </w:r>
      <w:r>
        <w:rPr>
          <w:rFonts w:cs="Arial Unicode MS" w:eastAsia="Arial Unicode MS" w:hint="default"/>
          <w:rtl w:val="0"/>
          <w:lang w:val="en-US"/>
        </w:rPr>
        <w:t xml:space="preserve"> ‘</w:t>
      </w:r>
      <w:r>
        <w:rPr>
          <w:rFonts w:cs="Arial Unicode MS" w:eastAsia="Arial Unicode MS"/>
          <w:rtl w:val="0"/>
          <w:lang w:val="en-US"/>
        </w:rPr>
        <w:t xml:space="preserve">Sothis and the Satet Temple on Elephantine: A Direct Connection', </w:t>
      </w:r>
      <w:r>
        <w:rPr>
          <w:rFonts w:cs="Arial Unicode MS" w:eastAsia="Arial Unicode MS"/>
          <w:i w:val="1"/>
          <w:iCs w:val="1"/>
          <w:rtl w:val="0"/>
          <w:lang w:val="de-DE"/>
        </w:rPr>
        <w:t>Studien zur Alt</w:t>
      </w:r>
      <w:r>
        <w:rPr>
          <w:rFonts w:cs="Arial Unicode MS" w:eastAsia="Arial Unicode MS" w:hint="default"/>
          <w:i w:val="1"/>
          <w:iCs w:val="1"/>
          <w:rtl w:val="0"/>
        </w:rPr>
        <w:t>ä</w:t>
      </w:r>
      <w:r>
        <w:rPr>
          <w:rFonts w:cs="Arial Unicode MS" w:eastAsia="Arial Unicode MS"/>
          <w:i w:val="1"/>
          <w:iCs w:val="1"/>
          <w:rtl w:val="0"/>
          <w:lang w:val="de-DE"/>
        </w:rPr>
        <w:t>gyptischen Kultur</w:t>
      </w:r>
      <w:r>
        <w:rPr>
          <w:rFonts w:cs="Arial Unicode MS" w:eastAsia="Arial Unicode MS"/>
          <w:rtl w:val="0"/>
        </w:rPr>
        <w:t>, Bd. 12, (1985), p. 2</w:t>
      </w:r>
      <w:r>
        <w:rPr>
          <w:rFonts w:cs="Arial Unicode MS" w:eastAsia="Arial Unicode MS"/>
          <w:rtl w:val="0"/>
          <w:lang w:val="en-US"/>
        </w:rPr>
        <w:t>77</w:t>
      </w:r>
    </w:p>
  </w:footnote>
  <w:footnote w:id="23">
    <w:p>
      <w:pPr>
        <w:pStyle w:val="Footnote"/>
        <w:bidi w:val="0"/>
      </w:pPr>
      <w:r>
        <w:rPr>
          <w:vertAlign w:val="superscript"/>
        </w:rPr>
        <w:footnoteRef/>
      </w:r>
      <w:r>
        <w:rPr>
          <w:rFonts w:cs="Arial Unicode MS" w:eastAsia="Arial Unicode MS"/>
          <w:rtl w:val="0"/>
          <w:lang w:val="de-DE"/>
        </w:rPr>
        <w:t xml:space="preserve"> Nicholas</w:t>
      </w:r>
      <w:r>
        <w:rPr>
          <w:rFonts w:cs="Arial Unicode MS" w:eastAsia="Arial Unicode MS"/>
          <w:rtl w:val="0"/>
          <w:lang w:val="en-US"/>
        </w:rPr>
        <w:t xml:space="preserve"> </w:t>
      </w:r>
      <w:r>
        <w:rPr>
          <w:rFonts w:cs="Arial Unicode MS" w:eastAsia="Arial Unicode MS"/>
          <w:rtl w:val="0"/>
          <w:lang w:val="en-US"/>
        </w:rPr>
        <w:t>Campion, A History of Western Astrology Volume Ii: The Medieval and Modern Worlds (Bloomsbury Publishing, 2009)</w:t>
      </w:r>
      <w:r>
        <w:rPr>
          <w:rFonts w:cs="Arial Unicode MS" w:eastAsia="Arial Unicode MS"/>
          <w:rtl w:val="0"/>
          <w:lang w:val="en-US"/>
        </w:rPr>
        <w:t>, p. 11</w:t>
      </w:r>
    </w:p>
  </w:footnote>
  <w:footnote w:id="24">
    <w:p>
      <w:pPr>
        <w:pStyle w:val="Footnote"/>
        <w:bidi w:val="0"/>
      </w:pPr>
      <w:r>
        <w:rPr>
          <w:vertAlign w:val="superscript"/>
        </w:rPr>
        <w:footnoteRef/>
      </w:r>
      <w:r>
        <w:rPr>
          <w:rFonts w:cs="Arial Unicode MS" w:eastAsia="Arial Unicode MS"/>
          <w:rtl w:val="0"/>
          <w:lang w:val="de-DE"/>
        </w:rPr>
        <w:t xml:space="preserve"> Alexander</w:t>
      </w:r>
      <w:r>
        <w:rPr>
          <w:rFonts w:cs="Arial Unicode MS" w:eastAsia="Arial Unicode MS"/>
          <w:rtl w:val="0"/>
          <w:lang w:val="en-US"/>
        </w:rPr>
        <w:t xml:space="preserve"> </w:t>
      </w:r>
      <w:r>
        <w:rPr>
          <w:rFonts w:cs="Arial Unicode MS" w:eastAsia="Arial Unicode MS"/>
          <w:rtl w:val="0"/>
          <w:lang w:val="en-US"/>
        </w:rPr>
        <w:t>Heidel, The Babylonian Genesis, the Story of the Creation (University of Chicago Press: Chicago, 1942)</w:t>
      </w:r>
    </w:p>
  </w:footnote>
  <w:footnote w:id="25">
    <w:p>
      <w:pPr>
        <w:pStyle w:val="Footnote"/>
        <w:bidi w:val="0"/>
      </w:pPr>
      <w:r>
        <w:rPr>
          <w:vertAlign w:val="superscript"/>
        </w:rPr>
        <w:footnoteRef/>
      </w:r>
      <w:r>
        <w:rPr>
          <w:rFonts w:cs="Arial Unicode MS" w:eastAsia="Arial Unicode MS"/>
          <w:rtl w:val="0"/>
          <w:lang w:val="nl-NL"/>
        </w:rPr>
        <w:t xml:space="preserve"> van der Waerden, 'History', p. 216</w:t>
      </w:r>
    </w:p>
  </w:footnote>
  <w:footnote w:id="26">
    <w:p>
      <w:pPr>
        <w:pStyle w:val="Footnote"/>
        <w:bidi w:val="0"/>
      </w:pPr>
      <w:r>
        <w:rPr>
          <w:vertAlign w:val="superscript"/>
        </w:rPr>
        <w:footnoteRef/>
      </w:r>
      <w:r>
        <w:rPr>
          <w:rFonts w:cs="Arial Unicode MS" w:eastAsia="Arial Unicode MS"/>
          <w:rtl w:val="0"/>
          <w:lang w:val="de-DE"/>
        </w:rPr>
        <w:t xml:space="preserve"> Rochberg, </w:t>
      </w:r>
      <w:r>
        <w:rPr>
          <w:rFonts w:cs="Arial Unicode MS" w:eastAsia="Arial Unicode MS"/>
          <w:i w:val="1"/>
          <w:iCs w:val="1"/>
          <w:rtl w:val="0"/>
        </w:rPr>
        <w:t>Babylonian</w:t>
      </w:r>
      <w:r>
        <w:rPr>
          <w:rFonts w:cs="Arial Unicode MS" w:eastAsia="Arial Unicode MS"/>
          <w:i w:val="1"/>
          <w:iCs w:val="1"/>
          <w:rtl w:val="0"/>
          <w:lang w:val="en-US"/>
        </w:rPr>
        <w:t>,</w:t>
      </w:r>
      <w:r>
        <w:rPr>
          <w:rFonts w:cs="Arial Unicode MS" w:eastAsia="Arial Unicode MS"/>
          <w:rtl w:val="0"/>
          <w:lang w:val="en-US"/>
        </w:rPr>
        <w:t xml:space="preserve"> p.</w:t>
      </w:r>
      <w:r>
        <w:rPr>
          <w:rFonts w:cs="Arial Unicode MS" w:eastAsia="Arial Unicode MS"/>
          <w:rtl w:val="0"/>
        </w:rPr>
        <w:t xml:space="preserve"> 29</w:t>
      </w:r>
    </w:p>
  </w:footnote>
  <w:footnote w:id="27">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0"/>
          <w:lang w:val="en-US"/>
        </w:rPr>
        <w:t>‘</w:t>
      </w:r>
      <w:r>
        <w:rPr>
          <w:rFonts w:cs="Arial Unicode MS" w:eastAsia="Arial Unicode MS"/>
          <w:rtl w:val="0"/>
          <w:lang w:val="en-US"/>
        </w:rPr>
        <w:t>Transmission'</w:t>
      </w:r>
      <w:r>
        <w:rPr>
          <w:rFonts w:cs="Arial Unicode MS" w:eastAsia="Arial Unicode MS"/>
          <w:rtl w:val="0"/>
        </w:rPr>
        <w:t>, p.</w:t>
      </w:r>
      <w:r>
        <w:rPr>
          <w:rFonts w:cs="Arial Unicode MS" w:eastAsia="Arial Unicode MS"/>
          <w:rtl w:val="0"/>
          <w:lang w:val="en-US"/>
        </w:rPr>
        <w:t xml:space="preserve"> 4</w:t>
      </w:r>
    </w:p>
  </w:footnote>
  <w:footnote w:id="28">
    <w:p>
      <w:pPr>
        <w:pStyle w:val="Footnote"/>
        <w:bidi w:val="0"/>
      </w:pPr>
      <w:r>
        <w:rPr>
          <w:vertAlign w:val="superscript"/>
        </w:rPr>
        <w:footnoteRef/>
      </w:r>
      <w:r>
        <w:rPr>
          <w:rFonts w:cs="Arial Unicode MS" w:eastAsia="Arial Unicode MS"/>
          <w:rtl w:val="0"/>
          <w:lang w:val="nl-NL"/>
        </w:rPr>
        <w:t xml:space="preserve"> van der Waerden, 'History', p. 218</w:t>
      </w:r>
    </w:p>
  </w:footnote>
  <w:footnote w:id="29">
    <w:p>
      <w:pPr>
        <w:pStyle w:val="Footnote"/>
        <w:bidi w:val="0"/>
      </w:pPr>
      <w:r>
        <w:rPr>
          <w:vertAlign w:val="superscript"/>
        </w:rPr>
        <w:footnoteRef/>
      </w:r>
      <w:r>
        <w:rPr>
          <w:rFonts w:cs="Arial Unicode MS" w:eastAsia="Arial Unicode MS"/>
          <w:rtl w:val="0"/>
          <w:lang w:val="nl-NL"/>
        </w:rPr>
        <w:t xml:space="preserve"> van der Waerden, 'History', p.</w:t>
      </w:r>
      <w:r>
        <w:rPr>
          <w:rFonts w:cs="Arial Unicode MS" w:eastAsia="Arial Unicode MS"/>
          <w:rtl w:val="0"/>
          <w:lang w:val="en-US"/>
        </w:rPr>
        <w:t xml:space="preserve"> 216</w:t>
      </w:r>
    </w:p>
  </w:footnote>
  <w:footnote w:id="30">
    <w:p>
      <w:pPr>
        <w:pStyle w:val="Footnote"/>
        <w:bidi w:val="0"/>
      </w:pPr>
      <w:r>
        <w:rPr>
          <w:vertAlign w:val="superscript"/>
        </w:rPr>
        <w:footnoteRef/>
      </w:r>
      <w:r>
        <w:rPr>
          <w:rFonts w:cs="Arial Unicode MS" w:eastAsia="Arial Unicode MS"/>
          <w:rtl w:val="0"/>
          <w:lang w:val="en-US"/>
        </w:rPr>
        <w:t xml:space="preserve"> Patrice</w:t>
      </w:r>
      <w:r>
        <w:rPr>
          <w:rFonts w:cs="Arial Unicode MS" w:eastAsia="Arial Unicode MS"/>
          <w:rtl w:val="0"/>
          <w:lang w:val="en-US"/>
        </w:rPr>
        <w:t xml:space="preserve"> </w:t>
      </w:r>
      <w:r>
        <w:rPr>
          <w:rFonts w:cs="Arial Unicode MS" w:eastAsia="Arial Unicode MS"/>
          <w:rtl w:val="0"/>
          <w:lang w:val="pt-PT"/>
        </w:rPr>
        <w:t xml:space="preserve">Serres, </w:t>
      </w:r>
      <w:r>
        <w:rPr>
          <w:rFonts w:cs="Arial Unicode MS" w:eastAsia="Arial Unicode MS"/>
          <w:i w:val="1"/>
          <w:iCs w:val="1"/>
          <w:rtl w:val="0"/>
          <w:lang w:val="fr-FR"/>
        </w:rPr>
        <w:t>Le Myste</w:t>
      </w:r>
      <w:r>
        <w:rPr>
          <w:rFonts w:cs="Arial Unicode MS" w:eastAsia="Arial Unicode MS" w:hint="default"/>
          <w:i w:val="1"/>
          <w:iCs w:val="1"/>
          <w:rtl w:val="0"/>
        </w:rPr>
        <w:t>̀</w:t>
      </w:r>
      <w:r>
        <w:rPr>
          <w:rFonts w:cs="Arial Unicode MS" w:eastAsia="Arial Unicode MS"/>
          <w:i w:val="1"/>
          <w:iCs w:val="1"/>
          <w:rtl w:val="0"/>
          <w:lang w:val="en-US"/>
        </w:rPr>
        <w:t>r</w:t>
      </w:r>
      <w:r>
        <w:rPr>
          <w:rFonts w:cs="Arial Unicode MS" w:eastAsia="Arial Unicode MS"/>
          <w:i w:val="1"/>
          <w:iCs w:val="1"/>
          <w:rtl w:val="0"/>
          <w:lang w:val="fr-FR"/>
        </w:rPr>
        <w:t>e De L'ordre Alphabe</w:t>
      </w:r>
      <w:r>
        <w:rPr>
          <w:rFonts w:cs="Arial Unicode MS" w:eastAsia="Arial Unicode MS" w:hint="default"/>
          <w:i w:val="1"/>
          <w:iCs w:val="1"/>
          <w:rtl w:val="0"/>
        </w:rPr>
        <w:t>́</w:t>
      </w:r>
      <w:r>
        <w:rPr>
          <w:rFonts w:cs="Arial Unicode MS" w:eastAsia="Arial Unicode MS"/>
          <w:i w:val="1"/>
          <w:iCs w:val="1"/>
          <w:rtl w:val="0"/>
          <w:lang w:val="en-US"/>
        </w:rPr>
        <w:t>t</w:t>
      </w:r>
      <w:r>
        <w:rPr>
          <w:rFonts w:cs="Arial Unicode MS" w:eastAsia="Arial Unicode MS"/>
          <w:i w:val="1"/>
          <w:iCs w:val="1"/>
          <w:rtl w:val="0"/>
          <w:lang w:val="fr-FR"/>
        </w:rPr>
        <w:t>ique</w:t>
      </w:r>
      <w:r>
        <w:rPr>
          <w:rFonts w:cs="Arial Unicode MS" w:eastAsia="Arial Unicode MS"/>
          <w:rtl w:val="0"/>
          <w:lang w:val="fr-FR"/>
        </w:rPr>
        <w:t xml:space="preserve"> : [De La Mesure Du Temps a</w:t>
      </w:r>
      <w:r>
        <w:rPr>
          <w:rFonts w:cs="Arial Unicode MS" w:eastAsia="Arial Unicode MS" w:hint="default"/>
          <w:rtl w:val="0"/>
        </w:rPr>
        <w:t xml:space="preserve">̀ </w:t>
      </w:r>
      <w:r>
        <w:rPr>
          <w:rFonts w:cs="Arial Unicode MS" w:eastAsia="Arial Unicode MS"/>
          <w:rtl w:val="0"/>
          <w:lang w:val="it-IT"/>
        </w:rPr>
        <w:t>L'e</w:t>
      </w:r>
      <w:r>
        <w:rPr>
          <w:rFonts w:cs="Arial Unicode MS" w:eastAsia="Arial Unicode MS" w:hint="default"/>
          <w:rtl w:val="0"/>
        </w:rPr>
        <w:t>́</w:t>
      </w:r>
      <w:r>
        <w:rPr>
          <w:rFonts w:cs="Arial Unicode MS" w:eastAsia="Arial Unicode MS"/>
          <w:rtl w:val="0"/>
          <w:lang w:val="en-US"/>
        </w:rPr>
        <w:t>c</w:t>
      </w:r>
      <w:r>
        <w:rPr>
          <w:rFonts w:cs="Arial Unicode MS" w:eastAsia="Arial Unicode MS"/>
          <w:rtl w:val="0"/>
          <w:lang w:val="fr-FR"/>
        </w:rPr>
        <w:t>riture ] (Presses du Cha</w:t>
      </w:r>
      <w:r>
        <w:rPr>
          <w:rFonts w:cs="Arial Unicode MS" w:eastAsia="Arial Unicode MS" w:hint="default"/>
          <w:rtl w:val="0"/>
        </w:rPr>
        <w:t>̂</w:t>
      </w:r>
      <w:r>
        <w:rPr>
          <w:rFonts w:cs="Arial Unicode MS" w:eastAsia="Arial Unicode MS"/>
          <w:rtl w:val="0"/>
        </w:rPr>
        <w:t>telet: Paris, 2010)</w:t>
      </w:r>
      <w:r>
        <w:rPr>
          <w:rFonts w:cs="Arial Unicode MS" w:eastAsia="Arial Unicode MS"/>
          <w:rtl w:val="0"/>
          <w:lang w:val="en-US"/>
        </w:rPr>
        <w:t xml:space="preserve">, p. </w:t>
      </w:r>
      <w:r>
        <w:rPr>
          <w:rFonts w:cs="Arial Unicode MS" w:eastAsia="Arial Unicode MS"/>
          <w:rtl w:val="0"/>
        </w:rPr>
        <w:t>69</w:t>
      </w:r>
    </w:p>
  </w:footnote>
  <w:footnote w:id="31">
    <w:p>
      <w:pPr>
        <w:pStyle w:val="Footnote"/>
        <w:bidi w:val="0"/>
      </w:pPr>
      <w:r>
        <w:rPr>
          <w:vertAlign w:val="superscript"/>
        </w:rPr>
        <w:footnoteRef/>
      </w:r>
      <w:r>
        <w:rPr>
          <w:rFonts w:cs="Arial Unicode MS" w:eastAsia="Arial Unicode MS"/>
          <w:rtl w:val="0"/>
          <w:lang w:val="pt-PT"/>
        </w:rPr>
        <w:t xml:space="preserve"> Serres, </w:t>
      </w:r>
      <w:r>
        <w:rPr>
          <w:rFonts w:cs="Arial Unicode MS" w:eastAsia="Arial Unicode MS"/>
          <w:i w:val="1"/>
          <w:iCs w:val="1"/>
          <w:rtl w:val="0"/>
          <w:lang w:val="fr-FR"/>
        </w:rPr>
        <w:t>Le Myste</w:t>
      </w:r>
      <w:r>
        <w:rPr>
          <w:rFonts w:cs="Arial Unicode MS" w:eastAsia="Arial Unicode MS" w:hint="default"/>
          <w:i w:val="1"/>
          <w:iCs w:val="1"/>
          <w:rtl w:val="0"/>
        </w:rPr>
        <w:t>̀</w:t>
      </w:r>
      <w:r>
        <w:rPr>
          <w:rFonts w:cs="Arial Unicode MS" w:eastAsia="Arial Unicode MS"/>
          <w:i w:val="1"/>
          <w:iCs w:val="1"/>
          <w:rtl w:val="0"/>
          <w:lang w:val="en-US"/>
        </w:rPr>
        <w:t>r</w:t>
      </w:r>
      <w:r>
        <w:rPr>
          <w:rFonts w:cs="Arial Unicode MS" w:eastAsia="Arial Unicode MS"/>
          <w:i w:val="1"/>
          <w:iCs w:val="1"/>
          <w:rtl w:val="0"/>
        </w:rPr>
        <w:t>e</w:t>
      </w:r>
      <w:r>
        <w:rPr>
          <w:rFonts w:cs="Arial Unicode MS" w:eastAsia="Arial Unicode MS"/>
          <w:shd w:val="clear" w:color="auto" w:fill="ffffff"/>
          <w:rtl w:val="0"/>
        </w:rPr>
        <w:t>,</w:t>
      </w:r>
      <w:r>
        <w:rPr>
          <w:rFonts w:cs="Arial Unicode MS" w:eastAsia="Arial Unicode MS"/>
          <w:shd w:val="clear" w:color="auto" w:fill="ffffff"/>
          <w:rtl w:val="0"/>
          <w:lang w:val="en-US"/>
        </w:rPr>
        <w:t xml:space="preserve"> p. 71</w:t>
      </w:r>
    </w:p>
  </w:footnote>
  <w:footnote w:id="32">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 xml:space="preserve">Transmission', p. </w:t>
      </w:r>
      <w:r>
        <w:rPr>
          <w:rFonts w:cs="Arial Unicode MS" w:eastAsia="Arial Unicode MS"/>
          <w:rtl w:val="0"/>
          <w:lang w:val="en-US"/>
        </w:rPr>
        <w:t>3</w:t>
      </w:r>
    </w:p>
  </w:footnote>
  <w:footnote w:id="33">
    <w:p>
      <w:pPr>
        <w:pStyle w:val="Footnote"/>
        <w:bidi w:val="0"/>
      </w:pPr>
      <w:r>
        <w:rPr>
          <w:vertAlign w:val="superscript"/>
        </w:rPr>
        <w:footnoteRef/>
      </w:r>
      <w:r>
        <w:rPr>
          <w:rFonts w:cs="Arial Unicode MS" w:eastAsia="Arial Unicode MS"/>
          <w:rtl w:val="0"/>
          <w:lang w:val="de-DE"/>
        </w:rPr>
        <w:t xml:space="preserve"> Rochberg, </w:t>
      </w:r>
      <w:r>
        <w:rPr>
          <w:rFonts w:cs="Arial Unicode MS" w:eastAsia="Arial Unicode MS"/>
          <w:i w:val="1"/>
          <w:iCs w:val="1"/>
          <w:rtl w:val="0"/>
        </w:rPr>
        <w:t>Babylonian</w:t>
      </w:r>
      <w:r>
        <w:rPr>
          <w:rFonts w:cs="Arial Unicode MS" w:eastAsia="Arial Unicode MS"/>
          <w:i w:val="1"/>
          <w:iCs w:val="1"/>
          <w:rtl w:val="0"/>
          <w:lang w:val="en-US"/>
        </w:rPr>
        <w:t>,</w:t>
      </w:r>
      <w:r>
        <w:rPr>
          <w:rFonts w:cs="Arial Unicode MS" w:eastAsia="Arial Unicode MS"/>
          <w:rtl w:val="0"/>
          <w:lang w:val="en-US"/>
        </w:rPr>
        <w:t xml:space="preserve"> p.</w:t>
      </w:r>
      <w:r>
        <w:rPr>
          <w:rFonts w:cs="Arial Unicode MS" w:eastAsia="Arial Unicode MS"/>
          <w:rtl w:val="0"/>
        </w:rPr>
        <w:t xml:space="preserve"> 2</w:t>
      </w:r>
    </w:p>
  </w:footnote>
  <w:footnote w:id="34">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 3</w:t>
      </w:r>
    </w:p>
  </w:footnote>
  <w:footnote w:id="35">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 5</w:t>
      </w:r>
    </w:p>
  </w:footnote>
  <w:footnote w:id="36">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w:t>
      </w:r>
      <w:r>
        <w:rPr>
          <w:rFonts w:cs="Arial Unicode MS" w:eastAsia="Arial Unicode MS"/>
          <w:rtl w:val="0"/>
          <w:lang w:val="en-US"/>
        </w:rPr>
        <w:t xml:space="preserve"> 9</w:t>
      </w:r>
    </w:p>
  </w:footnote>
  <w:footnote w:id="37">
    <w:p>
      <w:pPr>
        <w:pStyle w:val="Footnote"/>
        <w:bidi w:val="0"/>
      </w:pPr>
      <w:r>
        <w:rPr>
          <w:vertAlign w:val="superscript"/>
        </w:rPr>
        <w:footnoteRef/>
      </w:r>
      <w:r>
        <w:rPr>
          <w:rFonts w:cs="Arial Unicode MS" w:eastAsia="Arial Unicode MS"/>
          <w:rtl w:val="0"/>
        </w:rPr>
        <w:t xml:space="preserve"> Ptolemy, </w:t>
      </w:r>
      <w:r>
        <w:rPr>
          <w:rFonts w:cs="Arial Unicode MS" w:eastAsia="Arial Unicode MS"/>
          <w:i w:val="1"/>
          <w:iCs w:val="1"/>
          <w:rtl w:val="0"/>
          <w:lang w:val="es-ES_tradnl"/>
        </w:rPr>
        <w:t>Tetrabiblos</w:t>
      </w:r>
      <w:r>
        <w:rPr>
          <w:rFonts w:cs="Arial Unicode MS" w:eastAsia="Arial Unicode MS"/>
          <w:rtl w:val="0"/>
        </w:rPr>
        <w:t xml:space="preserve"> III.13. </w:t>
      </w:r>
    </w:p>
  </w:footnote>
  <w:footnote w:id="38">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 9</w:t>
      </w:r>
    </w:p>
  </w:footnote>
  <w:footnote w:id="39">
    <w:p>
      <w:pPr>
        <w:pStyle w:val="Footnote"/>
        <w:bidi w:val="0"/>
      </w:pPr>
      <w:r>
        <w:rPr>
          <w:vertAlign w:val="superscript"/>
        </w:rPr>
        <w:footnoteRef/>
      </w:r>
      <w:r>
        <w:rPr>
          <w:rFonts w:cs="Arial Unicode MS" w:eastAsia="Arial Unicode MS"/>
          <w:rtl w:val="0"/>
          <w:lang w:val="en-US"/>
        </w:rPr>
        <w:t xml:space="preserve"> William Lilly, </w:t>
      </w:r>
      <w:r>
        <w:rPr>
          <w:rFonts w:cs="Arial Unicode MS" w:eastAsia="Arial Unicode MS"/>
          <w:i w:val="1"/>
          <w:iCs w:val="1"/>
          <w:rtl w:val="0"/>
        </w:rPr>
        <w:t>Christian Astrology</w:t>
      </w:r>
      <w:r>
        <w:rPr>
          <w:rFonts w:cs="Arial Unicode MS" w:eastAsia="Arial Unicode MS"/>
          <w:rtl w:val="0"/>
          <w:lang w:val="en-US"/>
        </w:rPr>
        <w:t>, London 1647, facsimile edition, London: Regulus Publishing, 1985, p. 73.</w:t>
      </w:r>
    </w:p>
  </w:footnote>
  <w:footnote w:id="40">
    <w:p>
      <w:pPr>
        <w:pStyle w:val="Footnote"/>
        <w:bidi w:val="0"/>
      </w:pPr>
      <w:r>
        <w:rPr>
          <w:vertAlign w:val="superscript"/>
        </w:rPr>
        <w:footnoteRef/>
      </w:r>
      <w:r>
        <w:rPr>
          <w:rFonts w:cs="Arial Unicode MS" w:eastAsia="Arial Unicode MS"/>
          <w:rtl w:val="0"/>
        </w:rPr>
        <w:t xml:space="preserve"> Leo</w:t>
      </w:r>
      <w:r>
        <w:rPr>
          <w:rFonts w:cs="Arial Unicode MS" w:eastAsia="Arial Unicode MS"/>
          <w:rtl w:val="0"/>
          <w:lang w:val="en-US"/>
        </w:rPr>
        <w:t xml:space="preserve"> A. </w:t>
      </w:r>
      <w:r>
        <w:rPr>
          <w:rFonts w:cs="Arial Unicode MS" w:eastAsia="Arial Unicode MS"/>
          <w:rtl w:val="0"/>
          <w:lang w:val="en-US"/>
        </w:rPr>
        <w:t xml:space="preserve">Oppenheim, 'A Babylonian Diviner's Manual', </w:t>
      </w:r>
      <w:r>
        <w:rPr>
          <w:rFonts w:cs="Arial Unicode MS" w:eastAsia="Arial Unicode MS"/>
          <w:i w:val="1"/>
          <w:iCs w:val="1"/>
          <w:rtl w:val="0"/>
          <w:lang w:val="en-US"/>
        </w:rPr>
        <w:t>Journal of Near Eastern Studies</w:t>
      </w:r>
      <w:r>
        <w:rPr>
          <w:rFonts w:cs="Arial Unicode MS" w:eastAsia="Arial Unicode MS"/>
          <w:rtl w:val="0"/>
        </w:rPr>
        <w:t xml:space="preserve">, 33: (1974), </w:t>
      </w:r>
      <w:r>
        <w:rPr>
          <w:rFonts w:cs="Arial Unicode MS" w:eastAsia="Arial Unicode MS"/>
          <w:rtl w:val="0"/>
          <w:lang w:val="en-US"/>
        </w:rPr>
        <w:t xml:space="preserve">p. </w:t>
      </w:r>
      <w:r>
        <w:rPr>
          <w:rFonts w:cs="Arial Unicode MS" w:eastAsia="Arial Unicode MS"/>
          <w:rtl w:val="0"/>
        </w:rPr>
        <w:t>204</w:t>
      </w:r>
    </w:p>
  </w:footnote>
  <w:footnote w:id="41">
    <w:p>
      <w:pPr>
        <w:pStyle w:val="Footnote"/>
        <w:bidi w:val="0"/>
        <w:ind w:left="0" w:right="0" w:firstLine="0"/>
        <w:jc w:val="left"/>
        <w:rPr>
          <w:rtl w:val="0"/>
        </w:rPr>
      </w:pPr>
      <w:r>
        <w:rPr>
          <w:u w:color="444444"/>
          <w:vertAlign w:val="superscript"/>
          <w:rtl w:val="0"/>
          <w14:textOutline w14:w="12700" w14:cap="flat">
            <w14:noFill/>
            <w14:miter w14:lim="400000"/>
          </w14:textOutline>
        </w:rPr>
        <w:footnoteRef/>
      </w:r>
      <w:r>
        <w:rPr>
          <w:u w:color="444444"/>
          <w:rtl w:val="0"/>
          <w14:textOutline w14:w="12700" w14:cap="flat">
            <w14:noFill/>
            <w14:miter w14:lim="400000"/>
          </w14:textOutline>
        </w:rPr>
        <w:t xml:space="preserve"> </w:t>
      </w:r>
      <w:r>
        <w:rPr>
          <w:u w:color="444444"/>
          <w:rtl w:val="0"/>
          <w:lang w:val="it-IT"/>
          <w14:textOutline w14:w="12700" w14:cap="flat">
            <w14:noFill/>
            <w14:miter w14:lim="400000"/>
          </w14:textOutline>
        </w:rPr>
        <w:t>Chrysogonus</w:t>
      </w:r>
      <w:r>
        <w:rPr>
          <w:u w:color="444444"/>
          <w:rtl w:val="0"/>
          <w:lang w:val="en-US"/>
          <w14:textOutline w14:w="12700" w14:cap="flat">
            <w14:noFill/>
            <w14:miter w14:lim="400000"/>
          </w14:textOutline>
        </w:rPr>
        <w:t xml:space="preserve"> </w:t>
      </w:r>
      <w:r>
        <w:rPr>
          <w:u w:color="444444"/>
          <w:rtl w:val="0"/>
          <w14:textOutline w14:w="12700" w14:cap="flat">
            <w14:noFill/>
            <w14:miter w14:lim="400000"/>
          </w14:textOutline>
        </w:rPr>
        <w:t>Polydorus</w:t>
      </w:r>
      <w:r>
        <w:rPr>
          <w:u w:color="444444"/>
          <w:rtl w:val="0"/>
          <w14:textOutline w14:w="12700" w14:cap="flat">
            <w14:noFill/>
            <w14:miter w14:lim="400000"/>
          </w14:textOutline>
        </w:rPr>
        <w:t xml:space="preserve">, </w:t>
      </w:r>
      <w:r>
        <w:rPr>
          <w:u w:color="444444"/>
          <w:rtl w:val="0"/>
          <w:lang w:val="en-US"/>
          <w14:textOutline w14:w="12700" w14:cap="flat">
            <w14:noFill/>
            <w14:miter w14:lim="400000"/>
          </w14:textOutline>
        </w:rPr>
        <w:t>‘</w:t>
      </w:r>
      <w:r>
        <w:rPr>
          <w:u w:color="444444"/>
          <w:rtl w:val="0"/>
          <w:lang w:val="it-IT"/>
          <w14:textOutline w14:w="12700" w14:cap="flat">
            <w14:noFill/>
            <w14:miter w14:lim="400000"/>
          </w14:textOutline>
        </w:rPr>
        <w:t>De Alchimia</w:t>
      </w:r>
      <w:r>
        <w:rPr>
          <w:u w:color="444444"/>
          <w:rtl w:val="0"/>
          <w:lang w:val="en-US"/>
          <w14:textOutline w14:w="12700" w14:cap="flat">
            <w14:noFill/>
            <w14:miter w14:lim="400000"/>
          </w14:textOutline>
        </w:rPr>
        <w:t>’</w:t>
      </w:r>
      <w:r>
        <w:rPr>
          <w:u w:color="444444"/>
          <w:rtl w:val="0"/>
          <w:lang w:val="en-US"/>
          <w14:textOutline w14:w="12700" w14:cap="flat">
            <w14:noFill/>
            <w14:miter w14:lim="400000"/>
          </w14:textOutline>
        </w:rPr>
        <w:t>. Nuremberg, 1541</w:t>
      </w:r>
      <w:r>
        <w:rPr>
          <w:u w:color="444444"/>
          <w:rtl w:val="0"/>
          <w:lang w:val="en-US"/>
          <w14:textOutline w14:w="12700" w14:cap="flat">
            <w14:noFill/>
            <w14:miter w14:lim="400000"/>
          </w14:textOutline>
        </w:rPr>
        <w:t>, p. 1</w:t>
      </w:r>
    </w:p>
  </w:footnote>
  <w:footnote w:id="42">
    <w:p>
      <w:pPr>
        <w:pStyle w:val="Footnote"/>
        <w:bidi w:val="0"/>
      </w:pPr>
      <w:r>
        <w:rPr>
          <w:vertAlign w:val="superscript"/>
        </w:rPr>
        <w:footnoteRef/>
      </w:r>
      <w:r>
        <w:rPr>
          <w:rFonts w:cs="Arial Unicode MS" w:eastAsia="Arial Unicode MS"/>
          <w:rtl w:val="0"/>
          <w:lang w:val="de-DE"/>
        </w:rPr>
        <w:t xml:space="preserve"> Rochberg-Halton, </w:t>
      </w:r>
      <w:r>
        <w:rPr>
          <w:rFonts w:cs="Arial Unicode MS" w:eastAsia="Arial Unicode MS" w:hint="default"/>
          <w:rtl w:val="1"/>
        </w:rPr>
        <w:t>‘</w:t>
      </w:r>
      <w:r>
        <w:rPr>
          <w:rFonts w:cs="Arial Unicode MS" w:eastAsia="Arial Unicode MS"/>
          <w:rtl w:val="0"/>
          <w:lang w:val="fr-FR"/>
        </w:rPr>
        <w:t>Contributions</w:t>
      </w:r>
      <w:r>
        <w:rPr>
          <w:rFonts w:cs="Arial Unicode MS" w:eastAsia="Arial Unicode MS" w:hint="default"/>
          <w:rtl w:val="1"/>
        </w:rPr>
        <w:t>’</w:t>
      </w:r>
      <w:r>
        <w:rPr>
          <w:rFonts w:cs="Arial Unicode MS" w:eastAsia="Arial Unicode MS"/>
          <w:rtl w:val="0"/>
        </w:rPr>
        <w:t>, p. 52</w:t>
      </w:r>
    </w:p>
  </w:footnote>
  <w:footnote w:id="43">
    <w:p>
      <w:pPr>
        <w:pStyle w:val="Footnote"/>
        <w:bidi w:val="0"/>
      </w:pPr>
      <w:r>
        <w:rPr>
          <w:vertAlign w:val="superscript"/>
        </w:rPr>
        <w:footnoteRef/>
      </w:r>
      <w:r>
        <w:rPr>
          <w:rFonts w:cs="Arial Unicode MS" w:eastAsia="Arial Unicode MS"/>
          <w:rtl w:val="0"/>
          <w:lang w:val="de-DE"/>
        </w:rPr>
        <w:t xml:space="preserve"> Rochberg, </w:t>
      </w:r>
      <w:r>
        <w:rPr>
          <w:rFonts w:cs="Arial Unicode MS" w:eastAsia="Arial Unicode MS"/>
          <w:i w:val="1"/>
          <w:iCs w:val="1"/>
          <w:rtl w:val="0"/>
        </w:rPr>
        <w:t>Babylonian</w:t>
      </w:r>
      <w:r>
        <w:rPr>
          <w:rFonts w:cs="Arial Unicode MS" w:eastAsia="Arial Unicode MS"/>
          <w:i w:val="1"/>
          <w:iCs w:val="1"/>
          <w:rtl w:val="0"/>
          <w:lang w:val="en-US"/>
        </w:rPr>
        <w:t>,</w:t>
      </w:r>
      <w:r>
        <w:rPr>
          <w:rFonts w:cs="Arial Unicode MS" w:eastAsia="Arial Unicode MS"/>
          <w:rtl w:val="0"/>
          <w:lang w:val="en-US"/>
        </w:rPr>
        <w:t xml:space="preserve"> p. 10</w:t>
      </w:r>
    </w:p>
  </w:footnote>
  <w:footnote w:id="44">
    <w:p>
      <w:pPr>
        <w:pStyle w:val="Footnote"/>
        <w:bidi w:val="0"/>
      </w:pPr>
      <w:r>
        <w:rPr>
          <w:vertAlign w:val="superscript"/>
        </w:rPr>
        <w:footnoteRef/>
      </w:r>
      <w:r>
        <w:rPr>
          <w:rFonts w:cs="Arial Unicode MS" w:eastAsia="Arial Unicode MS"/>
          <w:rtl w:val="0"/>
          <w:lang w:val="de-DE"/>
        </w:rPr>
        <w:t xml:space="preserve"> Rochberg-Halton, </w:t>
      </w:r>
      <w:r>
        <w:rPr>
          <w:rFonts w:cs="Arial Unicode MS" w:eastAsia="Arial Unicode MS" w:hint="default"/>
          <w:rtl w:val="1"/>
        </w:rPr>
        <w:t>‘</w:t>
      </w:r>
      <w:r>
        <w:rPr>
          <w:rFonts w:cs="Arial Unicode MS" w:eastAsia="Arial Unicode MS"/>
          <w:rtl w:val="0"/>
          <w:lang w:val="fr-FR"/>
        </w:rPr>
        <w:t>Contributions</w:t>
      </w:r>
      <w:r>
        <w:rPr>
          <w:rFonts w:cs="Arial Unicode MS" w:eastAsia="Arial Unicode MS" w:hint="default"/>
          <w:rtl w:val="1"/>
        </w:rPr>
        <w:t>’</w:t>
      </w:r>
      <w:r>
        <w:rPr>
          <w:rFonts w:cs="Arial Unicode MS" w:eastAsia="Arial Unicode MS"/>
          <w:rtl w:val="0"/>
        </w:rPr>
        <w:t>, p.</w:t>
      </w:r>
      <w:r>
        <w:rPr>
          <w:rFonts w:cs="Arial Unicode MS" w:eastAsia="Arial Unicode MS"/>
          <w:rtl w:val="0"/>
          <w:lang w:val="en-US"/>
        </w:rPr>
        <w:t xml:space="preserve"> 56</w:t>
      </w:r>
    </w:p>
  </w:footnote>
  <w:footnote w:id="45">
    <w:p>
      <w:pPr>
        <w:pStyle w:val="Footnote"/>
        <w:bidi w:val="0"/>
        <w:ind w:left="0" w:right="0" w:firstLine="0"/>
        <w:jc w:val="left"/>
        <w:rPr>
          <w:rtl w:val="0"/>
        </w:rPr>
      </w:pPr>
      <w:r>
        <w:rPr>
          <w:u w:color="444444"/>
          <w:vertAlign w:val="superscript"/>
          <w:rtl w:val="0"/>
          <w14:textOutline w14:w="12700" w14:cap="flat">
            <w14:noFill/>
            <w14:miter w14:lim="400000"/>
          </w14:textOutline>
        </w:rPr>
        <w:footnoteRef/>
      </w:r>
      <w:r>
        <w:rPr>
          <w:u w:color="444444"/>
          <w:rtl w:val="0"/>
          <w14:textOutline w14:w="12700" w14:cap="flat">
            <w14:noFill/>
            <w14:miter w14:lim="400000"/>
          </w14:textOutline>
        </w:rPr>
        <w:t xml:space="preserve"> </w:t>
      </w:r>
      <w:r>
        <w:rPr>
          <w:u w:color="444444"/>
          <w:rtl w:val="0"/>
          <w:lang w:val="en-US"/>
          <w14:textOutline w14:w="12700" w14:cap="flat">
            <w14:noFill/>
            <w14:miter w14:lim="400000"/>
          </w14:textOutline>
        </w:rPr>
        <w:t xml:space="preserve">Ptolemy, </w:t>
      </w:r>
      <w:r>
        <w:rPr>
          <w:i w:val="1"/>
          <w:iCs w:val="1"/>
          <w:u w:color="444444"/>
          <w:rtl w:val="0"/>
          <w:lang w:val="en-US"/>
          <w14:textOutline w14:w="12700" w14:cap="flat">
            <w14:noFill/>
            <w14:miter w14:lim="400000"/>
          </w14:textOutline>
        </w:rPr>
        <w:t>Tetrabiblos</w:t>
      </w:r>
      <w:r>
        <w:rPr>
          <w:u w:color="444444"/>
          <w:rtl w:val="0"/>
          <w:lang w:val="en-US"/>
          <w14:textOutline w14:w="12700" w14:cap="flat">
            <w14:noFill/>
            <w14:miter w14:lim="400000"/>
          </w14:textOutline>
        </w:rPr>
        <w:t>, 1:19</w:t>
      </w:r>
    </w:p>
  </w:footnote>
  <w:footnote w:id="46">
    <w:p>
      <w:pPr>
        <w:pStyle w:val="Footnote"/>
        <w:bidi w:val="0"/>
      </w:pPr>
      <w:r>
        <w:rPr>
          <w:vertAlign w:val="superscript"/>
        </w:rPr>
        <w:footnoteRef/>
      </w:r>
      <w:r>
        <w:rPr>
          <w:rFonts w:cs="Arial Unicode MS" w:eastAsia="Arial Unicode MS"/>
          <w:rtl w:val="0"/>
          <w:lang w:val="de-DE"/>
        </w:rPr>
        <w:t xml:space="preserve"> Rochberg-Halton, </w:t>
      </w:r>
      <w:r>
        <w:rPr>
          <w:rFonts w:cs="Arial Unicode MS" w:eastAsia="Arial Unicode MS" w:hint="default"/>
          <w:rtl w:val="1"/>
        </w:rPr>
        <w:t>‘</w:t>
      </w:r>
      <w:r>
        <w:rPr>
          <w:rFonts w:cs="Arial Unicode MS" w:eastAsia="Arial Unicode MS"/>
          <w:rtl w:val="0"/>
          <w:lang w:val="fr-FR"/>
        </w:rPr>
        <w:t>Contributions</w:t>
      </w:r>
      <w:r>
        <w:rPr>
          <w:rFonts w:cs="Arial Unicode MS" w:eastAsia="Arial Unicode MS" w:hint="default"/>
          <w:rtl w:val="1"/>
        </w:rPr>
        <w:t>’</w:t>
      </w:r>
      <w:r>
        <w:rPr>
          <w:rFonts w:cs="Arial Unicode MS" w:eastAsia="Arial Unicode MS"/>
          <w:rtl w:val="0"/>
        </w:rPr>
        <w:t>, p.</w:t>
      </w:r>
      <w:r>
        <w:rPr>
          <w:rFonts w:cs="Arial Unicode MS" w:eastAsia="Arial Unicode MS"/>
          <w:rtl w:val="0"/>
          <w:lang w:val="en-US"/>
        </w:rPr>
        <w:t xml:space="preserve"> 57</w:t>
      </w:r>
    </w:p>
  </w:footnote>
  <w:footnote w:id="47">
    <w:p>
      <w:pPr>
        <w:pStyle w:val="Footnote"/>
        <w:bidi w:val="0"/>
      </w:pPr>
      <w:r>
        <w:rPr>
          <w:vertAlign w:val="superscript"/>
        </w:rPr>
        <w:footnoteRef/>
      </w:r>
      <w:r>
        <w:rPr>
          <w:rFonts w:cs="Arial Unicode MS" w:eastAsia="Arial Unicode MS" w:hint="default"/>
          <w:rtl w:val="0"/>
        </w:rPr>
        <w:t xml:space="preserve">  </w:t>
      </w:r>
      <w:r>
        <w:rPr>
          <w:rFonts w:cs="Arial Unicode MS" w:eastAsia="Arial Unicode MS"/>
          <w:rtl w:val="0"/>
          <w:lang w:val="it-IT"/>
        </w:rPr>
        <w:t>Erica</w:t>
      </w:r>
      <w:r>
        <w:rPr>
          <w:rFonts w:cs="Arial Unicode MS" w:eastAsia="Arial Unicode MS"/>
          <w:rtl w:val="0"/>
          <w:lang w:val="en-US"/>
        </w:rPr>
        <w:t xml:space="preserve"> </w:t>
      </w:r>
      <w:r>
        <w:rPr>
          <w:rFonts w:cs="Arial Unicode MS" w:eastAsia="Arial Unicode MS"/>
          <w:rtl w:val="0"/>
          <w:lang w:val="en-US"/>
        </w:rPr>
        <w:t xml:space="preserve">Reiner, 'The Uses of Astrology', </w:t>
      </w:r>
      <w:r>
        <w:rPr>
          <w:rFonts w:cs="Arial Unicode MS" w:eastAsia="Arial Unicode MS"/>
          <w:i w:val="1"/>
          <w:iCs w:val="1"/>
          <w:rtl w:val="0"/>
          <w:lang w:val="en-US"/>
        </w:rPr>
        <w:t>Journal of the American Oriental Society</w:t>
      </w:r>
      <w:r>
        <w:rPr>
          <w:rFonts w:cs="Arial Unicode MS" w:eastAsia="Arial Unicode MS"/>
          <w:rtl w:val="0"/>
        </w:rPr>
        <w:t xml:space="preserve">: (1985), </w:t>
      </w:r>
      <w:r>
        <w:rPr>
          <w:rFonts w:cs="Arial Unicode MS" w:eastAsia="Arial Unicode MS"/>
          <w:rtl w:val="0"/>
          <w:lang w:val="en-US"/>
        </w:rPr>
        <w:t xml:space="preserve">p. </w:t>
      </w:r>
      <w:r>
        <w:rPr>
          <w:rFonts w:cs="Arial Unicode MS" w:eastAsia="Arial Unicode MS"/>
          <w:rtl w:val="0"/>
        </w:rPr>
        <w:t>592</w:t>
      </w:r>
    </w:p>
  </w:footnote>
  <w:footnote w:id="4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w:t>
      </w:r>
      <w:r>
        <w:rPr>
          <w:rFonts w:cs="Arial Unicode MS" w:eastAsia="Arial Unicode MS"/>
          <w:i w:val="1"/>
          <w:iCs w:val="1"/>
          <w:rtl w:val="0"/>
          <w:lang w:val="en-US"/>
        </w:rPr>
        <w:t>Tetrabiblos</w:t>
      </w:r>
      <w:r>
        <w:rPr>
          <w:rFonts w:cs="Arial Unicode MS" w:eastAsia="Arial Unicode MS"/>
          <w:rtl w:val="0"/>
          <w:lang w:val="en-US"/>
        </w:rPr>
        <w:t xml:space="preserve">, </w:t>
      </w:r>
      <w:r>
        <w:rPr>
          <w:rFonts w:cs="Arial Unicode MS" w:eastAsia="Arial Unicode MS"/>
          <w:rtl w:val="0"/>
          <w:lang w:val="en-US"/>
        </w:rPr>
        <w:t>3</w:t>
      </w:r>
      <w:r>
        <w:rPr>
          <w:rFonts w:cs="Arial Unicode MS" w:eastAsia="Arial Unicode MS"/>
          <w:rtl w:val="0"/>
          <w:lang w:val="en-US"/>
        </w:rPr>
        <w:t>:1</w:t>
      </w:r>
    </w:p>
  </w:footnote>
  <w:footnote w:id="49">
    <w:p>
      <w:pPr>
        <w:pStyle w:val="Footnote"/>
        <w:bidi w:val="0"/>
      </w:pPr>
      <w:r>
        <w:rPr>
          <w:vertAlign w:val="superscript"/>
        </w:rPr>
        <w:footnoteRef/>
      </w:r>
      <w:r>
        <w:rPr>
          <w:rFonts w:cs="Arial Unicode MS" w:eastAsia="Arial Unicode MS"/>
          <w:rtl w:val="0"/>
        </w:rPr>
        <w:t xml:space="preserve"> Alan</w:t>
      </w:r>
      <w:r>
        <w:rPr>
          <w:rFonts w:cs="Arial Unicode MS" w:eastAsia="Arial Unicode MS"/>
          <w:rtl w:val="0"/>
          <w:lang w:val="en-US"/>
        </w:rPr>
        <w:t xml:space="preserve"> </w:t>
      </w:r>
      <w:r>
        <w:rPr>
          <w:rFonts w:cs="Arial Unicode MS" w:eastAsia="Arial Unicode MS"/>
          <w:rtl w:val="0"/>
          <w:lang w:val="it-IT"/>
        </w:rPr>
        <w:t xml:space="preserve">Leo, </w:t>
      </w:r>
      <w:r>
        <w:rPr>
          <w:rFonts w:cs="Arial Unicode MS" w:eastAsia="Arial Unicode MS"/>
          <w:i w:val="1"/>
          <w:iCs w:val="1"/>
          <w:rtl w:val="0"/>
        </w:rPr>
        <w:t>Astrology for All</w:t>
      </w:r>
      <w:r>
        <w:rPr>
          <w:rFonts w:cs="Arial Unicode MS" w:eastAsia="Arial Unicode MS"/>
          <w:rtl w:val="0"/>
          <w:lang w:val="en-US"/>
        </w:rPr>
        <w:t xml:space="preserve"> ("Modern astrology" office: London,, 1921)</w:t>
      </w:r>
      <w:r>
        <w:rPr>
          <w:rFonts w:cs="Arial Unicode MS" w:eastAsia="Arial Unicode MS"/>
          <w:rtl w:val="0"/>
          <w:lang w:val="en-US"/>
        </w:rPr>
        <w:t>, p. 407</w:t>
      </w:r>
    </w:p>
  </w:footnote>
  <w:footnote w:id="50">
    <w:p>
      <w:pPr>
        <w:pStyle w:val="Footnote"/>
        <w:bidi w:val="0"/>
      </w:pPr>
      <w:r>
        <w:rPr>
          <w:vertAlign w:val="superscript"/>
        </w:rPr>
        <w:footnoteRef/>
      </w:r>
      <w:r>
        <w:rPr>
          <w:rFonts w:cs="Arial Unicode MS" w:eastAsia="Arial Unicode MS"/>
          <w:rtl w:val="0"/>
          <w:lang w:val="de-DE"/>
        </w:rPr>
        <w:t xml:space="preserve"> Alexander</w:t>
      </w:r>
      <w:r>
        <w:rPr>
          <w:rFonts w:cs="Arial Unicode MS" w:eastAsia="Arial Unicode MS"/>
          <w:rtl w:val="0"/>
          <w:lang w:val="en-US"/>
        </w:rPr>
        <w:t xml:space="preserve"> </w:t>
      </w:r>
      <w:r>
        <w:rPr>
          <w:rFonts w:cs="Arial Unicode MS" w:eastAsia="Arial Unicode MS"/>
          <w:rtl w:val="0"/>
          <w:lang w:val="en-US"/>
        </w:rPr>
        <w:t>Jones, John M. Steele, University New York, and World Institute for the Study of the Ancient, 'A New Discovery of a Component of Greek Astrology in Babylonian Tablets: The "Terms"': (2011)</w:t>
      </w:r>
      <w:r>
        <w:rPr>
          <w:rFonts w:cs="Arial Unicode MS" w:eastAsia="Arial Unicode MS"/>
          <w:rtl w:val="0"/>
          <w:lang w:val="en-US"/>
        </w:rPr>
        <w:t>, p. 1</w:t>
      </w:r>
    </w:p>
  </w:footnote>
  <w:footnote w:id="51">
    <w:p>
      <w:pPr>
        <w:pStyle w:val="Footnote"/>
        <w:bidi w:val="0"/>
      </w:pPr>
      <w:r>
        <w:rPr>
          <w:vertAlign w:val="superscript"/>
        </w:rPr>
        <w:footnoteRef/>
      </w:r>
      <w:r>
        <w:rPr>
          <w:rFonts w:cs="Arial Unicode MS" w:eastAsia="Arial Unicode MS"/>
          <w:rtl w:val="0"/>
          <w:lang w:val="de-DE"/>
        </w:rPr>
        <w:t xml:space="preserve"> John Z.</w:t>
      </w:r>
      <w:r>
        <w:rPr>
          <w:rFonts w:cs="Arial Unicode MS" w:eastAsia="Arial Unicode MS"/>
          <w:rtl w:val="0"/>
          <w:lang w:val="en-US"/>
        </w:rPr>
        <w:t xml:space="preserve"> </w:t>
      </w:r>
      <w:r>
        <w:rPr>
          <w:rFonts w:cs="Arial Unicode MS" w:eastAsia="Arial Unicode MS"/>
          <w:rtl w:val="0"/>
          <w:lang w:val="en-US"/>
        </w:rPr>
        <w:t xml:space="preserve">Wee, 'Discovery of the Zodiac Man in Cuneiform', </w:t>
      </w:r>
      <w:r>
        <w:rPr>
          <w:rFonts w:cs="Arial Unicode MS" w:eastAsia="Arial Unicode MS"/>
          <w:i w:val="1"/>
          <w:iCs w:val="1"/>
          <w:rtl w:val="0"/>
          <w:lang w:val="en-US"/>
        </w:rPr>
        <w:t>Journal of Cuneiform Studies</w:t>
      </w:r>
      <w:r>
        <w:rPr>
          <w:rFonts w:cs="Arial Unicode MS" w:eastAsia="Arial Unicode MS"/>
          <w:rtl w:val="0"/>
        </w:rPr>
        <w:t xml:space="preserve">, 67: (2015), </w:t>
      </w:r>
      <w:r>
        <w:rPr>
          <w:rFonts w:cs="Arial Unicode MS" w:eastAsia="Arial Unicode MS"/>
          <w:rtl w:val="0"/>
          <w:lang w:val="en-US"/>
        </w:rPr>
        <w:t xml:space="preserve">p. </w:t>
      </w:r>
      <w:r>
        <w:rPr>
          <w:rFonts w:cs="Arial Unicode MS" w:eastAsia="Arial Unicode MS"/>
          <w:rtl w:val="0"/>
        </w:rPr>
        <w:t>225</w:t>
      </w:r>
    </w:p>
  </w:footnote>
  <w:footnote w:id="52">
    <w:p>
      <w:pPr>
        <w:pStyle w:val="Footnote"/>
        <w:bidi w:val="0"/>
        <w:ind w:left="0" w:right="0" w:firstLine="0"/>
        <w:jc w:val="left"/>
        <w:rPr>
          <w:rtl w:val="0"/>
        </w:rPr>
      </w:pPr>
      <w:r>
        <w:rPr>
          <w:u w:color="444444"/>
          <w:vertAlign w:val="superscript"/>
          <w:rtl w:val="0"/>
          <w14:textOutline w14:w="12700" w14:cap="flat">
            <w14:noFill/>
            <w14:miter w14:lim="400000"/>
          </w14:textOutline>
        </w:rPr>
        <w:footnoteRef/>
      </w:r>
      <w:r>
        <w:rPr>
          <w:u w:color="444444"/>
          <w:rtl w:val="0"/>
          <w14:textOutline w14:w="12700" w14:cap="flat">
            <w14:noFill/>
            <w14:miter w14:lim="400000"/>
          </w14:textOutline>
        </w:rPr>
        <w:t xml:space="preserve"> </w:t>
      </w:r>
      <w:r>
        <w:rPr>
          <w:u w:color="444444"/>
          <w:rtl w:val="0"/>
          <w:lang w:val="en-US"/>
          <w14:textOutline w14:w="12700" w14:cap="flat">
            <w14:noFill/>
            <w14:miter w14:lim="400000"/>
          </w14:textOutline>
        </w:rPr>
        <w:t xml:space="preserve">Ptolemy, </w:t>
      </w:r>
      <w:r>
        <w:rPr>
          <w:i w:val="1"/>
          <w:iCs w:val="1"/>
          <w:u w:color="444444"/>
          <w:rtl w:val="0"/>
          <w:lang w:val="en-US"/>
          <w14:textOutline w14:w="12700" w14:cap="flat">
            <w14:noFill/>
            <w14:miter w14:lim="400000"/>
          </w14:textOutline>
        </w:rPr>
        <w:t>Tetrabiblos</w:t>
      </w:r>
      <w:r>
        <w:rPr>
          <w:u w:color="444444"/>
          <w:rtl w:val="0"/>
          <w:lang w:val="en-US"/>
          <w14:textOutline w14:w="12700" w14:cap="flat">
            <w14:noFill/>
            <w14:miter w14:lim="400000"/>
          </w14:textOutline>
        </w:rPr>
        <w:t xml:space="preserve">, </w:t>
      </w:r>
      <w:r>
        <w:rPr>
          <w:u w:color="444444"/>
          <w:rtl w:val="0"/>
          <w:lang w:val="en-US"/>
          <w14:textOutline w14:w="12700" w14:cap="flat">
            <w14:noFill/>
            <w14:miter w14:lim="400000"/>
          </w14:textOutline>
        </w:rPr>
        <w:t>4</w:t>
      </w:r>
      <w:r>
        <w:rPr>
          <w:u w:color="444444"/>
          <w:rtl w:val="0"/>
          <w:lang w:val="en-US"/>
          <w14:textOutline w14:w="12700" w14:cap="flat">
            <w14:noFill/>
            <w14:miter w14:lim="400000"/>
          </w14:textOutline>
        </w:rPr>
        <w:t>:</w:t>
      </w:r>
      <w:r>
        <w:rPr>
          <w:u w:color="444444"/>
          <w:rtl w:val="0"/>
          <w:lang w:val="en-US"/>
          <w14:textOutline w14:w="12700" w14:cap="flat">
            <w14:noFill/>
            <w14:miter w14:lim="400000"/>
          </w14:textOutline>
        </w:rPr>
        <w:t>52</w:t>
      </w:r>
    </w:p>
  </w:footnote>
  <w:footnote w:id="53">
    <w:p>
      <w:pPr>
        <w:pStyle w:val="Footnote"/>
        <w:bidi w:val="0"/>
      </w:pPr>
      <w:r>
        <w:rPr>
          <w:vertAlign w:val="superscript"/>
        </w:rPr>
        <w:footnoteRef/>
      </w:r>
      <w:r>
        <w:rPr>
          <w:rFonts w:cs="Arial Unicode MS" w:eastAsia="Arial Unicode MS"/>
          <w:rtl w:val="0"/>
          <w:lang w:val="en-US"/>
        </w:rPr>
        <w:t xml:space="preserve"> Clarke, </w:t>
      </w:r>
      <w:r>
        <w:rPr>
          <w:rFonts w:cs="Arial Unicode MS" w:eastAsia="Arial Unicode MS" w:hint="default"/>
          <w:rtl w:val="0"/>
          <w:lang w:val="en-US"/>
        </w:rPr>
        <w:t>‘</w:t>
      </w:r>
      <w:r>
        <w:rPr>
          <w:rFonts w:cs="Arial Unicode MS" w:eastAsia="Arial Unicode MS"/>
          <w:rtl w:val="0"/>
          <w:lang w:val="en-US"/>
        </w:rPr>
        <w:t>Debt</w:t>
      </w:r>
      <w:r>
        <w:rPr>
          <w:rFonts w:cs="Arial Unicode MS" w:eastAsia="Arial Unicode MS" w:hint="default"/>
          <w:rtl w:val="0"/>
          <w:lang w:val="en-US"/>
        </w:rPr>
        <w:t>’</w:t>
      </w:r>
      <w:r>
        <w:rPr>
          <w:rFonts w:cs="Arial Unicode MS" w:eastAsia="Arial Unicode MS"/>
          <w:rtl w:val="0"/>
          <w:lang w:val="en-US"/>
        </w:rPr>
        <w:t>, p. 71</w:t>
      </w:r>
    </w:p>
  </w:footnote>
  <w:footnote w:id="54">
    <w:p>
      <w:pPr>
        <w:pStyle w:val="Footnote"/>
        <w:bidi w:val="0"/>
      </w:pPr>
      <w:r>
        <w:rPr>
          <w:vertAlign w:val="superscript"/>
        </w:rPr>
        <w:footnoteRef/>
      </w:r>
      <w:r>
        <w:rPr>
          <w:rFonts w:cs="Arial Unicode MS" w:eastAsia="Arial Unicode MS"/>
          <w:rtl w:val="0"/>
        </w:rPr>
        <w:t xml:space="preserve"> Herodotus, </w:t>
      </w:r>
      <w:r>
        <w:rPr>
          <w:rFonts w:cs="Arial Unicode MS" w:eastAsia="Arial Unicode MS"/>
          <w:i w:val="1"/>
          <w:iCs w:val="1"/>
          <w:rtl w:val="0"/>
          <w:lang w:val="en-US"/>
        </w:rPr>
        <w:t>The Histories</w:t>
      </w:r>
      <w:r>
        <w:rPr>
          <w:rFonts w:cs="Arial Unicode MS" w:eastAsia="Arial Unicode MS"/>
          <w:i w:val="1"/>
          <w:iCs w:val="1"/>
          <w:rtl w:val="0"/>
          <w:lang w:val="en-US"/>
        </w:rPr>
        <w:t xml:space="preserve">, </w:t>
      </w:r>
      <w:r>
        <w:rPr>
          <w:rFonts w:cs="Arial Unicode MS" w:eastAsia="Arial Unicode MS"/>
          <w:i w:val="1"/>
          <w:iCs w:val="1"/>
          <w:rtl w:val="0"/>
        </w:rPr>
        <w:t>II.IO</w:t>
      </w:r>
    </w:p>
  </w:footnote>
  <w:footnote w:id="5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Clarke, </w:t>
      </w:r>
      <w:r>
        <w:rPr>
          <w:rFonts w:cs="Arial Unicode MS" w:eastAsia="Arial Unicode MS" w:hint="default"/>
          <w:rtl w:val="0"/>
          <w:lang w:val="en-US"/>
        </w:rPr>
        <w:t>‘</w:t>
      </w:r>
      <w:r>
        <w:rPr>
          <w:rFonts w:cs="Arial Unicode MS" w:eastAsia="Arial Unicode MS"/>
          <w:rtl w:val="0"/>
          <w:lang w:val="en-US"/>
        </w:rPr>
        <w:t>Debt</w:t>
      </w:r>
      <w:r>
        <w:rPr>
          <w:rFonts w:cs="Arial Unicode MS" w:eastAsia="Arial Unicode MS" w:hint="default"/>
          <w:rtl w:val="0"/>
          <w:lang w:val="en-US"/>
        </w:rPr>
        <w:t>’</w:t>
      </w:r>
      <w:r>
        <w:rPr>
          <w:rFonts w:cs="Arial Unicode MS" w:eastAsia="Arial Unicode MS"/>
          <w:rtl w:val="0"/>
          <w:lang w:val="en-US"/>
        </w:rPr>
        <w:t>, p. 77</w:t>
      </w:r>
    </w:p>
  </w:footnote>
  <w:footnote w:id="56">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 3</w:t>
      </w:r>
    </w:p>
  </w:footnote>
  <w:footnote w:id="5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History</w:t>
      </w:r>
      <w:r>
        <w:rPr>
          <w:rFonts w:cs="Arial Unicode MS" w:eastAsia="Arial Unicode MS"/>
          <w:rtl w:val="0"/>
          <w:lang w:val="en-US"/>
        </w:rPr>
        <w:t>, p. 1</w:t>
      </w:r>
    </w:p>
  </w:footnote>
  <w:footnote w:id="58">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 1</w:t>
      </w:r>
    </w:p>
  </w:footnote>
  <w:footnote w:id="59">
    <w:p>
      <w:pPr>
        <w:pStyle w:val="Footnote"/>
        <w:bidi w:val="0"/>
      </w:pPr>
      <w:r>
        <w:rPr>
          <w:vertAlign w:val="superscript"/>
        </w:rPr>
        <w:footnoteRef/>
      </w:r>
      <w:r>
        <w:rPr>
          <w:rFonts w:cs="Arial Unicode MS" w:eastAsia="Arial Unicode MS"/>
          <w:rtl w:val="0"/>
          <w:lang w:val="it-IT"/>
        </w:rPr>
        <w:t xml:space="preserve"> Campion, </w:t>
      </w:r>
      <w:r>
        <w:rPr>
          <w:rFonts w:cs="Arial Unicode MS" w:eastAsia="Arial Unicode MS" w:hint="default"/>
          <w:rtl w:val="1"/>
        </w:rPr>
        <w:t>‘</w:t>
      </w:r>
      <w:r>
        <w:rPr>
          <w:rFonts w:cs="Arial Unicode MS" w:eastAsia="Arial Unicode MS"/>
          <w:rtl w:val="0"/>
          <w:lang w:val="nl-NL"/>
        </w:rPr>
        <w:t>Transmission', p.</w:t>
      </w:r>
      <w:r>
        <w:rPr>
          <w:rFonts w:cs="Arial Unicode MS" w:eastAsia="Arial Unicode MS"/>
          <w:rtl w:val="0"/>
          <w:lang w:val="en-US"/>
        </w:rPr>
        <w:t xml:space="preserve"> 3</w:t>
      </w:r>
    </w:p>
  </w:footnote>
  <w:footnote w:id="6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ward 218</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tl w:val="0"/>
        <w:lang w:val="en-US"/>
      </w:rPr>
      <w:t xml:space="preserve">ALESSANDRO BERIO </w:t>
    </w:r>
    <w:r>
      <w:rPr>
        <w:rtl w:val="0"/>
      </w:rPr>
      <w:t>1907991</w:t>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Lora Regular" w:cs="Arial Unicode MS" w:hAnsi="Lora Regular" w:eastAsia="Arial Unicode MS"/>
      <w:b w:val="0"/>
      <w:bCs w:val="0"/>
      <w:i w:val="0"/>
      <w:iCs w:val="0"/>
      <w:caps w:val="1"/>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dc5921"/>
      <w:spacing w:val="6"/>
      <w:kern w:val="0"/>
      <w:position w:val="0"/>
      <w:sz w:val="64"/>
      <w:szCs w:val="64"/>
      <w:u w:val="none"/>
      <w:shd w:val="nil" w:color="auto" w:fill="auto"/>
      <w:vertAlign w:val="baseline"/>
      <w14:textOutline>
        <w14:noFill/>
      </w14:textOutline>
      <w14:textFill>
        <w14:solidFill>
          <w14:srgbClr w14:val="DC5922"/>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4"/>
      <w:szCs w:val="24"/>
      <w:u w:val="none"/>
      <w:shd w:val="nil" w:color="auto" w:fill="auto"/>
      <w:vertAlign w:val="baseline"/>
      <w14:textOutline>
        <w14:noFill/>
      </w14:textOutline>
      <w14:textFill>
        <w14:solidFill>
          <w14:srgbClr w14:val="444444"/>
        </w14:solidFill>
      </w14:textFill>
    </w:rPr>
  </w:style>
  <w:style w:type="character" w:styleId="Hyperlink.0">
    <w:name w:val="Hyperlink.0"/>
    <w:basedOn w:val="Hyperlink"/>
    <w:next w:val="Hyperlink.0"/>
    <w:rPr>
      <w:u w:val="single"/>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b422a"/>
      <w:spacing w:val="0"/>
      <w:kern w:val="0"/>
      <w:position w:val="0"/>
      <w:sz w:val="36"/>
      <w:szCs w:val="36"/>
      <w:u w:val="none"/>
      <w:shd w:val="nil" w:color="auto" w:fill="auto"/>
      <w:vertAlign w:val="baseline"/>
      <w:lang w:val="en-US"/>
      <w14:textOutline>
        <w14:noFill/>
      </w14:textOutline>
      <w14:textFill>
        <w14:solidFill>
          <w14:srgbClr w14:val="5C432B"/>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Lora Regular" w:cs="Lora Regular" w:hAnsi="Lora Regular" w:eastAsia="Lora Regular"/>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0"/>
      <w:szCs w:val="20"/>
      <w:u w:val="none"/>
      <w:shd w:val="nil" w:color="auto" w:fill="auto"/>
      <w:vertAlign w:val="baseline"/>
      <w14:textOutline>
        <w14:noFill/>
      </w14:textOutline>
      <w14:textFill>
        <w14:solidFill>
          <w14:srgbClr w14:val="444444"/>
        </w14:solidFill>
      </w14:textFill>
    </w:rPr>
  </w:style>
  <w:style w:type="paragraph" w:styleId="Heading">
    <w:name w:val="Heading"/>
    <w:next w:val="Body 2"/>
    <w:pPr>
      <w:keepNext w:val="0"/>
      <w:keepLines w:val="0"/>
      <w:pageBreakBefore w:val="0"/>
      <w:widowControl w:val="1"/>
      <w:shd w:val="clear" w:color="auto" w:fill="auto"/>
      <w:suppressAutoHyphens w:val="0"/>
      <w:bidi w:val="0"/>
      <w:spacing w:before="0" w:after="0" w:line="312" w:lineRule="auto"/>
      <w:ind w:left="0" w:right="0" w:firstLine="0"/>
      <w:jc w:val="left"/>
      <w:outlineLvl w:val="0"/>
    </w:pPr>
    <w:rPr>
      <w:rFonts w:ascii="Lora Regular" w:cs="Lora Regular" w:hAnsi="Lora Regular" w:eastAsia="Lora Regular"/>
      <w:b w:val="0"/>
      <w:bCs w:val="0"/>
      <w:i w:val="0"/>
      <w:iCs w:val="0"/>
      <w:caps w:val="0"/>
      <w:smallCaps w:val="0"/>
      <w:strike w:val="0"/>
      <w:dstrike w:val="0"/>
      <w:outline w:val="0"/>
      <w:color w:val="000000"/>
      <w:spacing w:val="0"/>
      <w:kern w:val="0"/>
      <w:position w:val="0"/>
      <w:sz w:val="26"/>
      <w:szCs w:val="26"/>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434343"/>
      <w:spacing w:val="0"/>
      <w:kern w:val="0"/>
      <w:position w:val="0"/>
      <w:sz w:val="24"/>
      <w:szCs w:val="24"/>
      <w:u w:val="none"/>
      <w:shd w:val="nil" w:color="auto" w:fill="auto"/>
      <w:vertAlign w:val="baseline"/>
      <w:lang w:val="en-US"/>
      <w14:textOutline>
        <w14:noFill/>
      </w14:textOutline>
      <w14:textFill>
        <w14:solidFill>
          <w14:srgbClr w14:val="444444"/>
        </w14:solidFill>
      </w14:textFill>
    </w:rPr>
  </w:style>
  <w:style w:type="paragraph" w:styleId="Post Quote">
    <w:name w:val="Post Quote"/>
    <w:next w:val="Post 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Heading 2">
    <w:name w:val="Heading 2"/>
    <w:next w:val="Body 2"/>
    <w:pPr>
      <w:keepNext w:val="1"/>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a5754"/>
      <w:spacing w:val="0"/>
      <w:kern w:val="0"/>
      <w:position w:val="0"/>
      <w:sz w:val="36"/>
      <w:szCs w:val="36"/>
      <w:u w:val="none"/>
      <w:shd w:val="nil" w:color="auto" w:fill="auto"/>
      <w:vertAlign w:val="baseline"/>
      <w:lang w:val="fr-FR"/>
      <w14:textOutline>
        <w14:noFill/>
      </w14:textOutline>
      <w14:textFill>
        <w14:solidFill>
          <w14:srgbClr w14:val="5B5854"/>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Lora Regular"/>
        <a:ea typeface="Lora Regular"/>
        <a:cs typeface="Lora Regular"/>
      </a:majorFont>
      <a:minorFont>
        <a:latin typeface="Lora Bold"/>
        <a:ea typeface="Lora Bold"/>
        <a:cs typeface="Lora 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FFFFFF"/>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20000"/>
          </a:lnSpc>
          <a:spcBef>
            <a:spcPts val="400"/>
          </a:spcBef>
          <a:spcAft>
            <a:spcPts val="0"/>
          </a:spcAft>
          <a:buClrTx/>
          <a:buSzTx/>
          <a:buFontTx/>
          <a:buNone/>
          <a:tabLst/>
          <a:defRPr b="0" baseline="0" cap="none" i="0" spc="0" strike="noStrike" sz="1200" u="none" kumimoji="0" normalizeH="0">
            <a:ln>
              <a:noFill/>
            </a:ln>
            <a:solidFill>
              <a:srgbClr val="444444"/>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