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spacing w:lineRule="auto" w:line="360"/>
        <w:jc w:val="both"/>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spacing w:lineRule="auto" w:line="360"/>
        <w:jc w:val="both"/>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spacing w:lineRule="auto" w:line="360"/>
        <w:jc w:val="both"/>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spacing w:lineRule="auto" w:line="360"/>
        <w:jc w:val="both"/>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spacing w:lineRule="auto" w:line="360"/>
        <w:jc w:val="both"/>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spacing w:lineRule="auto" w:line="360"/>
        <w:jc w:val="both"/>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spacing w:lineRule="auto" w:line="360"/>
        <w:jc w:val="both"/>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spacing w:lineRule="auto" w:line="360"/>
        <w:jc w:val="both"/>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spacing w:lineRule="auto" w:line="360"/>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t>Evidence-Based Policing and applications</w:t>
      </w:r>
    </w:p>
    <w:p>
      <w:pPr>
        <w:pStyle w:val="Normal"/>
        <w:spacing w:lineRule="auto" w:line="360"/>
        <w:jc w:val="both"/>
        <w:rPr>
          <w:rFonts w:ascii="Times New Roman" w:hAnsi="Times New Roman" w:eastAsia="Times New Roman" w:cs="Times New Roman"/>
          <w:b/>
          <w:b/>
          <w:sz w:val="32"/>
          <w:szCs w:val="32"/>
        </w:rPr>
      </w:pPr>
      <w:r>
        <w:rPr>
          <w:rFonts w:eastAsia="Times New Roman" w:cs="Times New Roman" w:ascii="Times New Roman" w:hAnsi="Times New Roman"/>
          <w:b/>
          <w:sz w:val="32"/>
          <w:szCs w:val="32"/>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STUDENT NAME: Constantin Matevici</w:t>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STUDENT ID:2133059</w:t>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r>
        <w:br w:type="page"/>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Table of Contents</w:t>
      </w:r>
    </w:p>
    <w:sdt>
      <w:sdtPr>
        <w:docPartObj>
          <w:docPartGallery w:val="Table of Contents"/>
          <w:docPartUnique w:val="true"/>
        </w:docPartObj>
        <w:id w:val="1709186555"/>
      </w:sdtPr>
      <w:sdtContent>
        <w:p>
          <w:pPr>
            <w:pStyle w:val="TOCHeading"/>
            <w:spacing w:lineRule="auto" w:line="360"/>
            <w:jc w:val="both"/>
            <w:rPr/>
          </w:pPr>
          <w:r>
            <w:rPr/>
          </w:r>
        </w:p>
        <w:p>
          <w:pPr>
            <w:pStyle w:val="Tabledesmatiresniveau1"/>
            <w:tabs>
              <w:tab w:val="clear" w:pos="720"/>
              <w:tab w:val="right" w:pos="9350" w:leader="dot"/>
            </w:tabs>
            <w:spacing w:lineRule="auto" w:line="360"/>
            <w:jc w:val="both"/>
            <w:rPr>
              <w:rFonts w:ascii="Times New Roman" w:hAnsi="Times New Roman" w:cs="Times New Roman"/>
              <w:sz w:val="24"/>
              <w:szCs w:val="24"/>
            </w:rPr>
          </w:pPr>
          <w:r>
            <w:fldChar w:fldCharType="begin"/>
          </w:r>
          <w:r>
            <w:rPr>
              <w:webHidden/>
              <w:rStyle w:val="Sautdindex"/>
              <w:sz w:val="24"/>
              <w:szCs w:val="24"/>
              <w:rFonts w:cs="Times New Roman" w:ascii="Times New Roman" w:hAnsi="Times New Roman"/>
            </w:rPr>
            <w:instrText> TOC \z \o "1-3" \u \h</w:instrText>
          </w:r>
          <w:r>
            <w:rPr>
              <w:webHidden/>
              <w:rStyle w:val="Sautdindex"/>
              <w:sz w:val="24"/>
              <w:szCs w:val="24"/>
              <w:rFonts w:cs="Times New Roman" w:ascii="Times New Roman" w:hAnsi="Times New Roman"/>
            </w:rPr>
            <w:fldChar w:fldCharType="separate"/>
          </w:r>
          <w:hyperlink w:anchor="_Toc109318128">
            <w:r>
              <w:rPr>
                <w:webHidden/>
                <w:rStyle w:val="Sautdindex"/>
                <w:rFonts w:cs="Times New Roman" w:ascii="Times New Roman" w:hAnsi="Times New Roman"/>
                <w:sz w:val="24"/>
                <w:szCs w:val="24"/>
              </w:rPr>
              <w:t>Introduction</w:t>
            </w:r>
            <w:r>
              <w:rPr>
                <w:webHidden/>
              </w:rPr>
              <w:fldChar w:fldCharType="begin"/>
            </w:r>
            <w:r>
              <w:rPr>
                <w:webHidden/>
              </w:rPr>
              <w:instrText>PAGEREF _Toc109318128 \h</w:instrText>
            </w:r>
            <w:r>
              <w:rPr>
                <w:webHidden/>
              </w:rPr>
              <w:fldChar w:fldCharType="separate"/>
            </w:r>
            <w:r>
              <w:rPr>
                <w:rStyle w:val="Sautdindex"/>
                <w:rFonts w:cs="Times New Roman" w:ascii="Times New Roman" w:hAnsi="Times New Roman"/>
                <w:vanish w:val="false"/>
                <w:sz w:val="24"/>
                <w:szCs w:val="24"/>
              </w:rPr>
              <w:tab/>
              <w:t>3</w:t>
            </w:r>
            <w:r>
              <w:rPr>
                <w:webHidden/>
              </w:rPr>
              <w:fldChar w:fldCharType="end"/>
            </w:r>
          </w:hyperlink>
        </w:p>
        <w:p>
          <w:pPr>
            <w:pStyle w:val="Tabledesmatiresniveau1"/>
            <w:tabs>
              <w:tab w:val="clear" w:pos="720"/>
              <w:tab w:val="right" w:pos="9350" w:leader="dot"/>
            </w:tabs>
            <w:spacing w:lineRule="auto" w:line="360"/>
            <w:jc w:val="both"/>
            <w:rPr>
              <w:rFonts w:ascii="Times New Roman" w:hAnsi="Times New Roman" w:cs="Times New Roman"/>
              <w:sz w:val="24"/>
              <w:szCs w:val="24"/>
            </w:rPr>
          </w:pPr>
          <w:hyperlink w:anchor="_Toc109318129">
            <w:r>
              <w:rPr>
                <w:webHidden/>
                <w:rStyle w:val="Sautdindex"/>
                <w:rFonts w:cs="Times New Roman" w:ascii="Times New Roman" w:hAnsi="Times New Roman"/>
                <w:sz w:val="24"/>
                <w:szCs w:val="24"/>
              </w:rPr>
              <w:t>Evaluating theories of Crime Prevention and their application to real life</w:t>
            </w:r>
            <w:r>
              <w:rPr>
                <w:webHidden/>
              </w:rPr>
              <w:fldChar w:fldCharType="begin"/>
            </w:r>
            <w:r>
              <w:rPr>
                <w:webHidden/>
              </w:rPr>
              <w:instrText>PAGEREF _Toc109318129 \h</w:instrText>
            </w:r>
            <w:r>
              <w:rPr>
                <w:webHidden/>
              </w:rPr>
              <w:fldChar w:fldCharType="separate"/>
            </w:r>
            <w:r>
              <w:rPr>
                <w:rStyle w:val="Sautdindex"/>
                <w:rFonts w:cs="Times New Roman" w:ascii="Times New Roman" w:hAnsi="Times New Roman"/>
                <w:vanish w:val="false"/>
                <w:sz w:val="24"/>
                <w:szCs w:val="24"/>
              </w:rPr>
              <w:tab/>
              <w:t>3</w:t>
            </w:r>
            <w:r>
              <w:rPr>
                <w:webHidden/>
              </w:rPr>
              <w:fldChar w:fldCharType="end"/>
            </w:r>
          </w:hyperlink>
        </w:p>
        <w:p>
          <w:pPr>
            <w:pStyle w:val="Tabledesmatiresniveau1"/>
            <w:tabs>
              <w:tab w:val="clear" w:pos="720"/>
              <w:tab w:val="right" w:pos="9350" w:leader="dot"/>
            </w:tabs>
            <w:spacing w:lineRule="auto" w:line="360"/>
            <w:jc w:val="both"/>
            <w:rPr>
              <w:rFonts w:ascii="Times New Roman" w:hAnsi="Times New Roman" w:cs="Times New Roman"/>
              <w:sz w:val="24"/>
              <w:szCs w:val="24"/>
            </w:rPr>
          </w:pPr>
          <w:hyperlink w:anchor="_Toc109318130">
            <w:r>
              <w:rPr>
                <w:webHidden/>
                <w:rStyle w:val="Sautdindex"/>
                <w:rFonts w:cs="Times New Roman" w:ascii="Times New Roman" w:hAnsi="Times New Roman"/>
                <w:sz w:val="24"/>
                <w:szCs w:val="24"/>
              </w:rPr>
              <w:t>Conclusion</w:t>
            </w:r>
            <w:r>
              <w:rPr>
                <w:webHidden/>
              </w:rPr>
              <w:fldChar w:fldCharType="begin"/>
            </w:r>
            <w:r>
              <w:rPr>
                <w:webHidden/>
              </w:rPr>
              <w:instrText>PAGEREF _Toc109318130 \h</w:instrText>
            </w:r>
            <w:r>
              <w:rPr>
                <w:webHidden/>
              </w:rPr>
              <w:fldChar w:fldCharType="separate"/>
            </w:r>
            <w:r>
              <w:rPr>
                <w:rStyle w:val="Sautdindex"/>
                <w:rFonts w:cs="Times New Roman" w:ascii="Times New Roman" w:hAnsi="Times New Roman"/>
                <w:vanish w:val="false"/>
                <w:sz w:val="24"/>
                <w:szCs w:val="24"/>
              </w:rPr>
              <w:tab/>
              <w:t>8</w:t>
            </w:r>
            <w:r>
              <w:rPr>
                <w:webHidden/>
              </w:rPr>
              <w:fldChar w:fldCharType="end"/>
            </w:r>
          </w:hyperlink>
        </w:p>
        <w:p>
          <w:pPr>
            <w:pStyle w:val="Tabledesmatiresniveau1"/>
            <w:tabs>
              <w:tab w:val="clear" w:pos="720"/>
              <w:tab w:val="right" w:pos="9350" w:leader="dot"/>
            </w:tabs>
            <w:spacing w:lineRule="auto" w:line="360"/>
            <w:jc w:val="both"/>
            <w:rPr>
              <w:rFonts w:ascii="Times New Roman" w:hAnsi="Times New Roman" w:cs="Times New Roman"/>
              <w:sz w:val="24"/>
              <w:szCs w:val="24"/>
            </w:rPr>
          </w:pPr>
          <w:hyperlink w:anchor="_Toc109318131">
            <w:r>
              <w:rPr>
                <w:webHidden/>
                <w:rStyle w:val="Sautdindex"/>
                <w:rFonts w:cs="Times New Roman" w:ascii="Times New Roman" w:hAnsi="Times New Roman"/>
                <w:sz w:val="24"/>
                <w:szCs w:val="24"/>
              </w:rPr>
              <w:t>Reference List</w:t>
            </w:r>
            <w:r>
              <w:rPr>
                <w:webHidden/>
              </w:rPr>
              <w:fldChar w:fldCharType="begin"/>
            </w:r>
            <w:r>
              <w:rPr>
                <w:webHidden/>
              </w:rPr>
              <w:instrText>PAGEREF _Toc109318131 \h</w:instrText>
            </w:r>
            <w:r>
              <w:rPr>
                <w:webHidden/>
              </w:rPr>
              <w:fldChar w:fldCharType="separate"/>
            </w:r>
            <w:r>
              <w:rPr>
                <w:rStyle w:val="Sautdindex"/>
                <w:rFonts w:cs="Times New Roman" w:ascii="Times New Roman" w:hAnsi="Times New Roman"/>
                <w:vanish w:val="false"/>
                <w:sz w:val="24"/>
                <w:szCs w:val="24"/>
              </w:rPr>
              <w:tab/>
              <w:t>9</w:t>
            </w:r>
            <w:r>
              <w:rPr>
                <w:webHidden/>
              </w:rPr>
              <w:fldChar w:fldCharType="end"/>
            </w:r>
          </w:hyperlink>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r>
            <w:rPr>
              <w:sz w:val="24"/>
              <w:szCs w:val="24"/>
              <w:rFonts w:cs="Times New Roman" w:ascii="Times New Roman" w:hAnsi="Times New Roman"/>
            </w:rPr>
            <w:fldChar w:fldCharType="end"/>
          </w:r>
        </w:p>
      </w:sdtContent>
    </w:sdt>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Titre1"/>
        <w:rPr/>
      </w:pPr>
      <w:bookmarkStart w:id="0" w:name="_Toc109318128"/>
      <w:r>
        <w:rPr/>
        <w:t>Introduction</w:t>
      </w:r>
      <w:bookmarkEnd w:id="0"/>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Crime prevention is an important factor in criminal justice as it helps to prevent the population of UK citizens by evaluating the precautionary safety measures which reduce the number of criminal activities. The main aim of this study is to provide a brief discussion of the key theories related to crime prevention and its impact on an individual. The study also deals with different factors that are responsible for the cause of criminal activities and raises awareness of the types of immoral actions that occur due to the misuse of the code of ethics. The primary purpose of this study is to ensure that an individual should implement the strategic decision to problems to overcome the difficulties.</w:t>
      </w:r>
    </w:p>
    <w:p>
      <w:pPr>
        <w:pStyle w:val="Titre1"/>
        <w:rPr/>
      </w:pPr>
      <w:bookmarkStart w:id="1" w:name="_Toc109318129"/>
      <w:r>
        <w:rPr/>
        <w:t>Evaluating theories of Crime Prevention and their application to real life</w:t>
      </w:r>
      <w:bookmarkEnd w:id="1"/>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Crime is a highly complex phenomenon and the rise of criminal activities has led the mass to several questions to curb the problems associated with illegal activities. According to </w:t>
      </w:r>
      <w:r>
        <w:rPr>
          <w:rFonts w:eastAsia="Times New Roman" w:cs="Times New Roman" w:ascii="Times New Roman" w:hAnsi="Times New Roman"/>
          <w:color w:val="222222"/>
          <w:sz w:val="24"/>
          <w:szCs w:val="24"/>
          <w:highlight w:val="white"/>
        </w:rPr>
        <w:t>Koch, (2019) has been observed that the places in the UK regions such as England and Wales have the majority number of crime that is taking place this year. London, the UK capital had a relatively high rate of crimes compared to Northern Ireland.</w:t>
      </w:r>
    </w:p>
    <w:p>
      <w:pPr>
        <w:pStyle w:val="Normal"/>
        <w:spacing w:lineRule="auto" w:line="360"/>
        <w:jc w:val="both"/>
        <w:rPr>
          <w:rFonts w:ascii="Times New Roman" w:hAnsi="Times New Roman" w:eastAsia="Times New Roman" w:cs="Times New Roman"/>
          <w:b/>
          <w:b/>
          <w:i/>
          <w:i/>
          <w:sz w:val="24"/>
          <w:szCs w:val="24"/>
        </w:rPr>
      </w:pPr>
      <w:r>
        <w:rPr>
          <w:rFonts w:eastAsia="Times New Roman" w:cs="Times New Roman" w:ascii="Times New Roman" w:hAnsi="Times New Roman"/>
          <w:b/>
          <w:i/>
          <w:sz w:val="24"/>
          <w:szCs w:val="24"/>
        </w:rPr>
        <w:t xml:space="preserve">Cause of Criminal Activities in Wales </w:t>
      </w:r>
    </w:p>
    <w:p>
      <w:pPr>
        <w:pStyle w:val="Normal"/>
        <w:spacing w:lineRule="auto" w:line="36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sz w:val="24"/>
          <w:szCs w:val="24"/>
        </w:rPr>
        <w:t>The rise of illegal activities that are witnessed by the people residing in Wales has created a significant impact on the lives of individuals. The crime rate is increasing with the passing time in England and it makes a severe problem for the people living in the country. The British government needs to implement a practical approach by providing huge workforce resources to control the situations efficiently. Many people are not aware of the causes of different types of crime that are taking place in the country and are thereby not able to overcome the situations. According to</w:t>
      </w:r>
      <w:r>
        <w:rPr>
          <w:rFonts w:eastAsia="Times New Roman" w:cs="Times New Roman" w:ascii="Times New Roman" w:hAnsi="Times New Roman"/>
          <w:color w:val="222222"/>
          <w:sz w:val="24"/>
          <w:szCs w:val="24"/>
          <w:highlight w:val="white"/>
        </w:rPr>
        <w:t xml:space="preserve">Tunley et al. (2018), the causes of crime are very complex, and many researchers cannot find the exact reasons behind the corruption activities that often occur throughout the nation. It may be poverty, parental neglect, self-esteem, and alcohol and drug abuse can be the major causes associated with illegal activities. </w:t>
      </w:r>
    </w:p>
    <w:p>
      <w:pPr>
        <w:pStyle w:val="Normal"/>
        <w:spacing w:lineRule="auto" w:line="36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b/>
          <w:color w:val="222222"/>
          <w:sz w:val="24"/>
          <w:szCs w:val="24"/>
          <w:highlight w:val="white"/>
        </w:rPr>
        <w:t>Individualist and collectivist-</w:t>
      </w:r>
      <w:r>
        <w:rPr>
          <w:rFonts w:eastAsia="Times New Roman" w:cs="Times New Roman" w:ascii="Times New Roman" w:hAnsi="Times New Roman"/>
          <w:color w:val="222222"/>
          <w:sz w:val="24"/>
          <w:szCs w:val="24"/>
          <w:highlight w:val="white"/>
        </w:rPr>
        <w:t xml:space="preserve"> This refers to the types of crimes that an individual commits on a personal weakness of an individual. As per Kotlaja, (2020) an, individuals tend to focus on their fault and finally, they commit a crime due to which they suffer the consequences when caught. According to researchers, it has been found that an individual believes that if an offence made by any victim is stronger than the powers that the police has is more powerful, then there will be less number of crimes. </w:t>
      </w:r>
    </w:p>
    <w:p>
      <w:pPr>
        <w:pStyle w:val="Normal"/>
        <w:spacing w:lineRule="auto" w:line="360"/>
        <w:jc w:val="center"/>
        <w:rPr>
          <w:rFonts w:ascii="Times New Roman" w:hAnsi="Times New Roman" w:eastAsia="Times New Roman" w:cs="Times New Roman"/>
          <w:color w:val="222222"/>
          <w:sz w:val="24"/>
          <w:szCs w:val="24"/>
          <w:highlight w:val="white"/>
        </w:rPr>
      </w:pPr>
      <w:r>
        <w:rPr/>
        <w:drawing>
          <wp:inline distT="0" distB="0" distL="0" distR="0">
            <wp:extent cx="4419600" cy="373380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4419600" cy="3733800"/>
                    </a:xfrm>
                    <a:prstGeom prst="rect">
                      <a:avLst/>
                    </a:prstGeom>
                  </pic:spPr>
                </pic:pic>
              </a:graphicData>
            </a:graphic>
          </wp:inline>
        </w:drawing>
      </w:r>
    </w:p>
    <w:p>
      <w:pPr>
        <w:pStyle w:val="Normal"/>
        <w:spacing w:lineRule="auto" w:line="360"/>
        <w:jc w:val="center"/>
        <w:rPr>
          <w:rFonts w:ascii="Times New Roman" w:hAnsi="Times New Roman" w:eastAsia="Times New Roman" w:cs="Times New Roman"/>
          <w:b/>
          <w:b/>
          <w:color w:val="222222"/>
          <w:sz w:val="24"/>
          <w:szCs w:val="24"/>
          <w:highlight w:val="white"/>
        </w:rPr>
      </w:pPr>
      <w:r>
        <w:rPr>
          <w:rFonts w:eastAsia="Times New Roman" w:cs="Times New Roman" w:ascii="Times New Roman" w:hAnsi="Times New Roman"/>
          <w:b/>
          <w:color w:val="222222"/>
          <w:sz w:val="24"/>
          <w:szCs w:val="24"/>
          <w:highlight w:val="white"/>
        </w:rPr>
        <w:t>Table 1: Causes of crime</w:t>
      </w:r>
    </w:p>
    <w:p>
      <w:pPr>
        <w:pStyle w:val="Normal"/>
        <w:spacing w:lineRule="auto" w:line="360"/>
        <w:jc w:val="center"/>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(Source: Koch, 2019)</w:t>
      </w:r>
    </w:p>
    <w:p>
      <w:pPr>
        <w:pStyle w:val="Normal"/>
        <w:spacing w:lineRule="auto" w:line="36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 xml:space="preserve">Collectivists believe that due to a lack of unemployment opportunities and biasness in society, an individual is forced to choose the wrong path and influenced by criminal behaviour (Cai et al., 2022). Recently the British government has observed that both individualism and collectivism are the fundamental causes of the crime that is taking place in the region and the severe impact of actions of the serious crime. Therefore, it is the responsibility of the UK government to tackle the situations both causes and offenders. </w:t>
      </w:r>
    </w:p>
    <w:p>
      <w:pPr>
        <w:pStyle w:val="Normal"/>
        <w:spacing w:lineRule="auto" w:line="36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 xml:space="preserve">The reason for the causes of crime that are taking place in the region of Wales is a lack of accurate information on the after-effects of crimes. According to some researchers, young people are likely associated with criminal activities as their brain does not develop at that age. Moreover, individuals commit crimes when there is a lack of facilities or believe that criminal behaviour is their nature. </w:t>
      </w:r>
    </w:p>
    <w:p>
      <w:pPr>
        <w:pStyle w:val="Normal"/>
        <w:spacing w:lineRule="auto" w:line="36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Factors that are responsible for the causes of criminal activities are shown in the table:</w:t>
      </w:r>
    </w:p>
    <w:p>
      <w:pPr>
        <w:pStyle w:val="Normal"/>
        <w:spacing w:lineRule="auto" w:line="36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r>
    </w:p>
    <w:tbl>
      <w:tblPr>
        <w:tblStyle w:val="Table1"/>
        <w:tblW w:w="9360" w:type="dxa"/>
        <w:jc w:val="left"/>
        <w:tblInd w:w="100" w:type="dxa"/>
        <w:tblCellMar>
          <w:top w:w="100" w:type="dxa"/>
          <w:left w:w="100" w:type="dxa"/>
          <w:bottom w:w="100" w:type="dxa"/>
          <w:right w:w="100" w:type="dxa"/>
        </w:tblCellMar>
        <w:tblLook w:val="0600"/>
      </w:tblPr>
      <w:tblGrid>
        <w:gridCol w:w="4680"/>
        <w:gridCol w:w="4679"/>
      </w:tblGrid>
      <w:tr>
        <w:trPr>
          <w:tblHeader w:val="true"/>
          <w:cantSplit w:val="true"/>
        </w:trPr>
        <w:tc>
          <w:tcPr>
            <w:tcW w:w="468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Factor</w:t>
            </w:r>
          </w:p>
        </w:tc>
        <w:tc>
          <w:tcPr>
            <w:tcW w:w="467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Percentage of the victim</w:t>
            </w:r>
          </w:p>
        </w:tc>
      </w:tr>
      <w:tr>
        <w:trPr>
          <w:tblHeader w:val="true"/>
          <w:cantSplit w:val="true"/>
        </w:trPr>
        <w:tc>
          <w:tcPr>
            <w:tcW w:w="468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Mental Health</w:t>
            </w:r>
          </w:p>
        </w:tc>
        <w:tc>
          <w:tcPr>
            <w:tcW w:w="467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30%</w:t>
            </w:r>
          </w:p>
        </w:tc>
      </w:tr>
      <w:tr>
        <w:trPr>
          <w:tblHeader w:val="true"/>
          <w:cantSplit w:val="true"/>
        </w:trPr>
        <w:tc>
          <w:tcPr>
            <w:tcW w:w="468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Alcohol misuse</w:t>
            </w:r>
          </w:p>
        </w:tc>
        <w:tc>
          <w:tcPr>
            <w:tcW w:w="467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25%</w:t>
            </w:r>
          </w:p>
        </w:tc>
      </w:tr>
      <w:tr>
        <w:trPr>
          <w:tblHeader w:val="true"/>
          <w:cantSplit w:val="true"/>
        </w:trPr>
        <w:tc>
          <w:tcPr>
            <w:tcW w:w="468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Drug misuse</w:t>
            </w:r>
          </w:p>
        </w:tc>
        <w:tc>
          <w:tcPr>
            <w:tcW w:w="467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25%</w:t>
            </w:r>
          </w:p>
        </w:tc>
      </w:tr>
      <w:tr>
        <w:trPr>
          <w:tblHeader w:val="true"/>
          <w:cantSplit w:val="true"/>
        </w:trPr>
        <w:tc>
          <w:tcPr>
            <w:tcW w:w="468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Unemployment</w:t>
            </w:r>
          </w:p>
        </w:tc>
        <w:tc>
          <w:tcPr>
            <w:tcW w:w="467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19%</w:t>
            </w:r>
          </w:p>
        </w:tc>
      </w:tr>
      <w:tr>
        <w:trPr>
          <w:tblHeader w:val="true"/>
          <w:cantSplit w:val="true"/>
        </w:trPr>
        <w:tc>
          <w:tcPr>
            <w:tcW w:w="468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Family relationships</w:t>
            </w:r>
          </w:p>
        </w:tc>
        <w:tc>
          <w:tcPr>
            <w:tcW w:w="467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16%</w:t>
            </w:r>
          </w:p>
        </w:tc>
      </w:tr>
      <w:tr>
        <w:trPr>
          <w:tblHeader w:val="true"/>
          <w:cantSplit w:val="true"/>
        </w:trPr>
        <w:tc>
          <w:tcPr>
            <w:tcW w:w="468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Financial support</w:t>
            </w:r>
          </w:p>
        </w:tc>
        <w:tc>
          <w:tcPr>
            <w:tcW w:w="467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20%</w:t>
            </w:r>
          </w:p>
        </w:tc>
      </w:tr>
      <w:tr>
        <w:trPr>
          <w:tblHeader w:val="true"/>
          <w:cantSplit w:val="true"/>
        </w:trPr>
        <w:tc>
          <w:tcPr>
            <w:tcW w:w="468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Support in the society</w:t>
            </w:r>
          </w:p>
        </w:tc>
        <w:tc>
          <w:tcPr>
            <w:tcW w:w="467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15%</w:t>
            </w:r>
          </w:p>
        </w:tc>
      </w:tr>
      <w:tr>
        <w:trPr>
          <w:tblHeader w:val="true"/>
          <w:cantSplit w:val="true"/>
        </w:trPr>
        <w:tc>
          <w:tcPr>
            <w:tcW w:w="468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Neighborhood</w:t>
            </w:r>
          </w:p>
        </w:tc>
        <w:tc>
          <w:tcPr>
            <w:tcW w:w="467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9%</w:t>
            </w:r>
          </w:p>
        </w:tc>
      </w:tr>
      <w:tr>
        <w:trPr>
          <w:tblHeader w:val="true"/>
          <w:cantSplit w:val="true"/>
        </w:trPr>
        <w:tc>
          <w:tcPr>
            <w:tcW w:w="468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Peer pressure</w:t>
            </w:r>
          </w:p>
        </w:tc>
        <w:tc>
          <w:tcPr>
            <w:tcW w:w="467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10%</w:t>
            </w:r>
          </w:p>
        </w:tc>
      </w:tr>
    </w:tbl>
    <w:p>
      <w:pPr>
        <w:pStyle w:val="Normal"/>
        <w:spacing w:lineRule="auto" w:line="360"/>
        <w:jc w:val="center"/>
        <w:rPr>
          <w:rFonts w:ascii="Times New Roman" w:hAnsi="Times New Roman" w:eastAsia="Times New Roman" w:cs="Times New Roman"/>
          <w:b/>
          <w:b/>
          <w:color w:val="222222"/>
          <w:sz w:val="24"/>
          <w:szCs w:val="24"/>
          <w:highlight w:val="white"/>
        </w:rPr>
      </w:pPr>
      <w:r>
        <w:rPr>
          <w:rFonts w:eastAsia="Times New Roman" w:cs="Times New Roman" w:ascii="Times New Roman" w:hAnsi="Times New Roman"/>
          <w:b/>
          <w:color w:val="222222"/>
          <w:sz w:val="24"/>
          <w:szCs w:val="24"/>
          <w:highlight w:val="white"/>
        </w:rPr>
      </w:r>
    </w:p>
    <w:p>
      <w:pPr>
        <w:pStyle w:val="Normal"/>
        <w:spacing w:lineRule="auto" w:line="360"/>
        <w:jc w:val="center"/>
        <w:rPr>
          <w:rFonts w:ascii="Times New Roman" w:hAnsi="Times New Roman" w:eastAsia="Times New Roman" w:cs="Times New Roman"/>
          <w:b/>
          <w:b/>
          <w:color w:val="222222"/>
          <w:sz w:val="24"/>
          <w:szCs w:val="24"/>
          <w:highlight w:val="white"/>
        </w:rPr>
      </w:pPr>
      <w:r>
        <w:rPr>
          <w:rFonts w:eastAsia="Times New Roman" w:cs="Times New Roman" w:ascii="Times New Roman" w:hAnsi="Times New Roman"/>
          <w:b/>
          <w:color w:val="222222"/>
          <w:sz w:val="24"/>
          <w:szCs w:val="24"/>
          <w:highlight w:val="white"/>
        </w:rPr>
        <w:t>Table 2: Factors of crime</w:t>
      </w:r>
    </w:p>
    <w:p>
      <w:pPr>
        <w:pStyle w:val="Normal"/>
        <w:spacing w:lineRule="auto" w:line="360"/>
        <w:jc w:val="center"/>
        <w:rPr>
          <w:rFonts w:ascii="Times New Roman" w:hAnsi="Times New Roman" w:eastAsia="Times New Roman" w:cs="Times New Roman"/>
          <w:bCs/>
          <w:color w:val="222222"/>
          <w:sz w:val="24"/>
          <w:szCs w:val="24"/>
          <w:highlight w:val="white"/>
        </w:rPr>
      </w:pPr>
      <w:r>
        <w:rPr>
          <w:rFonts w:eastAsia="Times New Roman" w:cs="Times New Roman" w:ascii="Times New Roman" w:hAnsi="Times New Roman"/>
          <w:bCs/>
          <w:color w:val="222222"/>
          <w:sz w:val="24"/>
          <w:szCs w:val="24"/>
          <w:highlight w:val="white"/>
        </w:rPr>
        <w:t>(Source: as created by the author)</w:t>
      </w:r>
    </w:p>
    <w:p>
      <w:pPr>
        <w:pStyle w:val="Normal"/>
        <w:spacing w:lineRule="auto" w:line="36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r>
    </w:p>
    <w:p>
      <w:pPr>
        <w:pStyle w:val="Normal"/>
        <w:spacing w:lineRule="auto" w:line="360"/>
        <w:jc w:val="both"/>
        <w:rPr>
          <w:rFonts w:ascii="Times New Roman" w:hAnsi="Times New Roman" w:eastAsia="Times New Roman" w:cs="Times New Roman"/>
          <w:b/>
          <w:b/>
          <w:i/>
          <w:i/>
          <w:sz w:val="24"/>
          <w:szCs w:val="24"/>
        </w:rPr>
      </w:pPr>
      <w:r>
        <w:rPr>
          <w:rFonts w:eastAsia="Times New Roman" w:cs="Times New Roman" w:ascii="Times New Roman" w:hAnsi="Times New Roman"/>
          <w:b/>
          <w:i/>
          <w:sz w:val="24"/>
          <w:szCs w:val="24"/>
        </w:rPr>
        <w:t>Crime, Justice and Law</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There are different types of rules and protocols developed by the British government to guide the citizens to follow the right path. The proper guidelines act as a safeguard for the mass residing in the country. Moreover, effective practices are used by the UK government to treat the victims in England and Wales to minimize the number of criminal activities. In order to bear with the difficulties, the government needs to maintain a proper method to handle the coursework involving dissatisfaction with the police complaints (</w:t>
      </w:r>
      <w:r>
        <w:rPr>
          <w:rFonts w:eastAsia="Times New Roman" w:cs="Times New Roman" w:ascii="Times New Roman" w:hAnsi="Times New Roman"/>
          <w:color w:val="222222"/>
          <w:sz w:val="24"/>
          <w:szCs w:val="24"/>
          <w:highlight w:val="white"/>
        </w:rPr>
        <w:t>Veenbrink, 2019).</w:t>
      </w:r>
      <w:r>
        <w:rPr>
          <w:rFonts w:eastAsia="Times New Roman" w:cs="Times New Roman" w:ascii="Times New Roman" w:hAnsi="Times New Roman"/>
          <w:sz w:val="24"/>
          <w:szCs w:val="24"/>
        </w:rPr>
        <w:t xml:space="preserve"> The legal department establishes the procedure and the fine is levied on the victim if they failed to do their responsibility. The parliament of the UK sets the jury service to follow specific rules and regulations under the Juries Act 1974. </w:t>
      </w:r>
    </w:p>
    <w:p>
      <w:pPr>
        <w:pStyle w:val="Normal"/>
        <w:spacing w:lineRule="auto" w:line="360"/>
        <w:jc w:val="both"/>
        <w:rPr>
          <w:rFonts w:ascii="Times New Roman" w:hAnsi="Times New Roman" w:eastAsia="Times New Roman" w:cs="Times New Roman"/>
          <w:b/>
          <w:b/>
          <w:i/>
          <w:i/>
          <w:sz w:val="24"/>
          <w:szCs w:val="24"/>
        </w:rPr>
      </w:pPr>
      <w:r>
        <w:rPr>
          <w:rFonts w:eastAsia="Times New Roman" w:cs="Times New Roman" w:ascii="Times New Roman" w:hAnsi="Times New Roman"/>
          <w:b/>
          <w:i/>
          <w:sz w:val="24"/>
          <w:szCs w:val="24"/>
        </w:rPr>
        <w:t xml:space="preserve">Theories of Crime prevention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Crime prevention is the process to minimise crime with the manipulation of an effective method. The changes in the culture and society influence an individual to commit a crime and have an ongoing impact on an individual life. In order to control the situations effectively, the study has an overview of some of the criminological theories to identify the main causes of crime.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The criminological theories have been categorized into two main categories, which are as follows:</w:t>
      </w:r>
    </w:p>
    <w:p>
      <w:pPr>
        <w:pStyle w:val="Normal"/>
        <w:numPr>
          <w:ilvl w:val="0"/>
          <w:numId w:val="1"/>
        </w:numPr>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Biological Theory</w:t>
      </w:r>
    </w:p>
    <w:p>
      <w:pPr>
        <w:pStyle w:val="Normal"/>
        <w:numPr>
          <w:ilvl w:val="0"/>
          <w:numId w:val="1"/>
        </w:numPr>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Sociological Theory</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Biological theory</w:t>
      </w:r>
      <w:r>
        <w:rPr>
          <w:rFonts w:eastAsia="Times New Roman" w:cs="Times New Roman" w:ascii="Times New Roman" w:hAnsi="Times New Roman"/>
          <w:sz w:val="24"/>
          <w:szCs w:val="24"/>
        </w:rPr>
        <w:t xml:space="preserve">: This theory was coined by an Italian psychiatrist named Cesare Lombroso. The evidence shows that some people are born criminals whose features differ from normal human beings. Lombroso suggested that some people's brains are either mal-developed or fully developed which changes their attributes and behaviors. Under this theory, it has been remarked that there is a certain condition in which biochemical conditions linked to food diet decreases an individual's appetite. Neurophysiologic conditions such as learning disabilities, sometimes an individual facing a problem while learning due to brain damage causes a severe crime.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Sociological Theory</w:t>
      </w:r>
      <w:r>
        <w:rPr>
          <w:rFonts w:eastAsia="Times New Roman" w:cs="Times New Roman" w:ascii="Times New Roman" w:hAnsi="Times New Roman"/>
          <w:sz w:val="24"/>
          <w:szCs w:val="24"/>
        </w:rPr>
        <w:t>: In this theory, some researchers evaluated that the reason behind doing crime may be external factors such as an individual experience with their surroundings, the family as well as peer pressure. Shaw and Mc Kinsey found that due to inadequate facilities of proper housing, food and employment, are liable to commit a crime without the fear of consequences of the actions. As per this theory, people are bound to follow the behaviour and traits of their surroundings to do illegal activities. The researchers explained that the changing patterns due to the immigrants to Chicago create a breakdown of cultural values from the diverse groups, which hurts the locality's sentiments. Fear and aggression influence most of the UK's population and cannot control the behaviour of local youth.</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 xml:space="preserve">Strain Theory: </w:t>
      </w:r>
      <w:r>
        <w:rPr>
          <w:rFonts w:eastAsia="Times New Roman" w:cs="Times New Roman" w:ascii="Times New Roman" w:hAnsi="Times New Roman"/>
          <w:sz w:val="24"/>
          <w:szCs w:val="24"/>
        </w:rPr>
        <w:t>This theory is established by one of the founders of sociology Emile Durkheim. He explained that due to rapid changes in the social norms there is a huge gap between the cultural values and the structural means to achieve this. It increases the likelihood of crime due to frustration, anger and fear arousal. An individual who is under huge pressure to run their family engage in some other means of employment to survive without thinking of the consequences related to the consequences.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Rational choice theory</w:t>
      </w:r>
      <w:r>
        <w:rPr>
          <w:rFonts w:eastAsia="Times New Roman" w:cs="Times New Roman" w:ascii="Times New Roman" w:hAnsi="Times New Roman"/>
          <w:sz w:val="24"/>
          <w:szCs w:val="24"/>
        </w:rPr>
        <w:t>: Under this theory, briefly explains an individual's choices or own personal preferences while doing any work. In this theory, the victim not only decides the crime but also makes a prior plan of the suitable place and time of the occurrence of the crime. It is a serious issue as sometimes the police officers cannot predict the cause of such criminal offence. It is highly important to regulate criminal activities as continuous ongoing criminal activities can sometimes lead to huge risk and increase the number of crime (</w:t>
      </w:r>
      <w:r>
        <w:rPr>
          <w:rFonts w:eastAsia="Times New Roman" w:cs="Times New Roman" w:ascii="Times New Roman" w:hAnsi="Times New Roman"/>
          <w:color w:val="222222"/>
          <w:sz w:val="24"/>
          <w:szCs w:val="24"/>
          <w:highlight w:val="white"/>
        </w:rPr>
        <w:t>Zhao et al., 2021)</w:t>
      </w:r>
      <w:r>
        <w:rPr>
          <w:rFonts w:eastAsia="Times New Roman" w:cs="Times New Roman" w:ascii="Times New Roman" w:hAnsi="Times New Roman"/>
          <w:sz w:val="24"/>
          <w:szCs w:val="24"/>
        </w:rPr>
        <w:t>. Sometimes an individual do their work based on their preferences and choices and make the choices to commit crimes as per their ability. Moreover, they suffer for the rest of their life due to a lack of ability to make an accurate decision and choose the wrong path.</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Relative Deprivation Theory</w:t>
      </w:r>
      <w:r>
        <w:rPr>
          <w:rFonts w:eastAsia="Times New Roman" w:cs="Times New Roman" w:ascii="Times New Roman" w:hAnsi="Times New Roman"/>
          <w:sz w:val="24"/>
          <w:szCs w:val="24"/>
        </w:rPr>
        <w:t xml:space="preserve">: Relative deprivation theory suggests that crime happens when a victim suffers from an inferiority complex by comparing with another group of people with similar characteristics.  </w:t>
      </w:r>
    </w:p>
    <w:p>
      <w:pPr>
        <w:pStyle w:val="Normal"/>
        <w:spacing w:lineRule="auto" w:line="360"/>
        <w:jc w:val="both"/>
        <w:rPr>
          <w:rFonts w:ascii="Times New Roman" w:hAnsi="Times New Roman" w:eastAsia="Times New Roman" w:cs="Times New Roman"/>
          <w:b/>
          <w:b/>
          <w:i/>
          <w:i/>
          <w:sz w:val="24"/>
          <w:szCs w:val="24"/>
        </w:rPr>
      </w:pPr>
      <w:r>
        <w:rPr>
          <w:rFonts w:eastAsia="Times New Roman" w:cs="Times New Roman" w:ascii="Times New Roman" w:hAnsi="Times New Roman"/>
          <w:b/>
          <w:i/>
          <w:sz w:val="24"/>
          <w:szCs w:val="24"/>
        </w:rPr>
        <w:t xml:space="preserve">Application of Strategies of Crime Prevention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Crime prevention strategies focus on measuring the criminal offence committed by the youth and adolescents. This is done through the implementation of numerous programs at public and private schools to spread awareness of the pitfalls that occur due to criminal activities. Individuals can take precautionary measures to protect themselves from the effects of criminal offences. The different types of crime prevention measures such as increasing formal surveillance such as CCTV and alarms in the workplaces to avoid any kind of illegal work</w:t>
      </w:r>
    </w:p>
    <w:p>
      <w:pPr>
        <w:pStyle w:val="Normal"/>
        <w:spacing w:lineRule="auto" w:line="360"/>
        <w:jc w:val="both"/>
        <w:rPr>
          <w:rFonts w:ascii="Times New Roman" w:hAnsi="Times New Roman" w:eastAsia="Times New Roman" w:cs="Times New Roman"/>
          <w:b/>
          <w:b/>
          <w:i/>
          <w:i/>
          <w:sz w:val="24"/>
          <w:szCs w:val="24"/>
        </w:rPr>
      </w:pPr>
      <w:r>
        <w:rPr>
          <w:rFonts w:eastAsia="Times New Roman" w:cs="Times New Roman" w:ascii="Times New Roman" w:hAnsi="Times New Roman"/>
          <w:b/>
          <w:sz w:val="24"/>
          <w:szCs w:val="24"/>
        </w:rPr>
        <w:t>Case study</w:t>
      </w:r>
      <w:r>
        <w:rPr>
          <w:rFonts w:eastAsia="Times New Roman" w:cs="Times New Roman" w:ascii="Times New Roman" w:hAnsi="Times New Roman"/>
          <w:sz w:val="24"/>
          <w:szCs w:val="24"/>
        </w:rPr>
        <w:t xml:space="preserve">: </w:t>
      </w:r>
      <w:r>
        <w:rPr>
          <w:rFonts w:eastAsia="Times New Roman" w:cs="Times New Roman" w:ascii="Times New Roman" w:hAnsi="Times New Roman"/>
          <w:b/>
          <w:i/>
          <w:sz w:val="24"/>
          <w:szCs w:val="24"/>
        </w:rPr>
        <w:t>The pains of imprisonment for incarcerated mothers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This case study explains Gabi's lifestyle, sentenced to ten years in prison for drug trafficking in Mexico. In this case study, the strain theory is the most suitable where Gabi has chosen the illegal job to feed her children and due to the influence of her surroundings is bound to do this kind of business. Gabi made a rational choice which has been observed in her behaviour which is the result of the outcome of decisions and choices made by the offender. The help of effective protocols for crime prevention helps to provide strategic solutions to get rid of the risk.</w:t>
      </w:r>
    </w:p>
    <w:p>
      <w:pPr>
        <w:pStyle w:val="Normal"/>
        <w:spacing w:lineRule="auto" w:line="36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b/>
          <w:sz w:val="24"/>
          <w:szCs w:val="24"/>
        </w:rPr>
        <w:t>Case Study</w:t>
      </w:r>
      <w:r>
        <w:rPr>
          <w:rFonts w:eastAsia="Times New Roman" w:cs="Times New Roman" w:ascii="Times New Roman" w:hAnsi="Times New Roman"/>
          <w:sz w:val="24"/>
          <w:szCs w:val="24"/>
        </w:rPr>
        <w:t xml:space="preserve">: </w:t>
      </w:r>
      <w:r>
        <w:rPr>
          <w:rFonts w:eastAsia="Times New Roman" w:cs="Times New Roman" w:ascii="Times New Roman" w:hAnsi="Times New Roman"/>
          <w:b/>
          <w:i/>
          <w:sz w:val="24"/>
          <w:szCs w:val="24"/>
        </w:rPr>
        <w:t xml:space="preserve">Computer misuse and fraud victimisation in Wales- </w:t>
      </w:r>
      <w:r>
        <w:rPr>
          <w:rFonts w:eastAsia="Times New Roman" w:cs="Times New Roman" w:ascii="Times New Roman" w:hAnsi="Times New Roman"/>
          <w:sz w:val="24"/>
          <w:szCs w:val="24"/>
        </w:rPr>
        <w:t xml:space="preserve">The case study related to computer misuse and fraud victimization in Wales, UK has been reported in police custody. According to </w:t>
      </w:r>
      <w:r>
        <w:rPr>
          <w:rFonts w:eastAsia="Times New Roman" w:cs="Times New Roman" w:ascii="Times New Roman" w:hAnsi="Times New Roman"/>
          <w:color w:val="222222"/>
          <w:sz w:val="24"/>
          <w:szCs w:val="24"/>
          <w:highlight w:val="white"/>
        </w:rPr>
        <w:t>Correia, (2019) crime prevention has also provided strategic solutions to solve the crime cases that took place in the year 2017 ransom ware attacks including "WannaCry" which has exploited many organizations in the UK. Crime prevention strategies help to protect individuals, organizations and systems from being victimized and prevent individuals from engaging in crime. Under this case study, the strain theory was effectively used to evaluate the traits and attributes of individuals and made changes accordingly to impact their lifestyles.</w:t>
      </w:r>
    </w:p>
    <w:p>
      <w:pPr>
        <w:pStyle w:val="Normal"/>
        <w:spacing w:lineRule="auto" w:line="36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Crime prevention is the process to minimise the risk associated with crime in a particular area. An individual needs to control the effects of criminal activities with a self-awareness program. Moreover, every individual needs to make an effort to involve the citizen and support the police with the collected data to mitigate the worst situations collectively. An individual must focus on the problems associated with committing crimes and minimise the rate of crimes happening worldwide. According to Wooditch, (2021) crime prevention stressed the physical design changes which include the target hardening, controlling access and targeting the place where the crime takes place.  Secondly, it focuses on the management changes involving different types of policies in altering property ownership. With the help of this management, changes increase the security within the workplace, resulting in good outcomes. Moreover, Crime Prevention through Environmental Design manipulates effective strategies to bring changes in the surroundings which change the behaviour of an individual that reduces the rate of crime and the fear of crime. The strategies such as natural surveillance, natural access control, territorial reinforcement and maintenance will provide in-depth knowledge of the risk to the offenders. Territorial reinforcement refers to the design process of an area from where any illegal activities can be observed as that area belongs to everybody (Piza et al., 2019). This type of strategy that is done by the people helps to prevent the danger of any illegal activities and maintain the property properly with effective controlling measures for crime prevention.</w:t>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Titre1"/>
        <w:rPr/>
      </w:pPr>
      <w:bookmarkStart w:id="2" w:name="_Toc109318130"/>
      <w:r>
        <w:rPr/>
        <w:t>Conclusion</w:t>
      </w:r>
      <w:bookmarkEnd w:id="2"/>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The study deals with effective measures done by crime prevention to control crime fear. To understand the crime properly the study highlights the various factors that can reduce the crime and the strategies that have been taken into consideration to curb the problems associated with the risk. Furthermore, the study also summarizes different types of criminology theories to identify the traits of an individual. The main purpose of this study is to ensure that an individual should implement the strategic decision to problems to overcome the difficulties.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Titre1"/>
        <w:rPr/>
      </w:pPr>
      <w:bookmarkStart w:id="3" w:name="_Toc109318131"/>
      <w:r>
        <w:rPr/>
        <w:t>Reference List</w:t>
      </w:r>
      <w:bookmarkEnd w:id="3"/>
    </w:p>
    <w:p>
      <w:pPr>
        <w:pStyle w:val="Normal"/>
        <w:tabs>
          <w:tab w:val="clear" w:pos="720"/>
          <w:tab w:val="left" w:pos="1440" w:leader="none"/>
        </w:tabs>
        <w:spacing w:lineRule="auto" w:line="360" w:before="0" w:after="240"/>
        <w:jc w:val="both"/>
        <w:rPr>
          <w:rFonts w:ascii="Times New Roman" w:hAnsi="Times New Roman" w:eastAsia="Times New Roman" w:cs="Times New Roman"/>
          <w:sz w:val="24"/>
          <w:szCs w:val="24"/>
        </w:rPr>
      </w:pPr>
      <w:r>
        <w:rPr>
          <w:rFonts w:eastAsia="Times New Roman" w:cs="Times New Roman" w:ascii="Times New Roman" w:hAnsi="Times New Roman"/>
          <w:color w:val="222222"/>
          <w:sz w:val="24"/>
          <w:szCs w:val="24"/>
          <w:highlight w:val="white"/>
        </w:rPr>
        <w:t xml:space="preserve">Braga, A.A., Weisburd, D. and Turchan, B., 2018. Focused deterrence strategies and crime control: An updated systematic review and meta‐analysis of the empirical evidence. </w:t>
      </w:r>
      <w:r>
        <w:rPr>
          <w:rFonts w:eastAsia="Times New Roman" w:cs="Times New Roman" w:ascii="Times New Roman" w:hAnsi="Times New Roman"/>
          <w:i/>
          <w:color w:val="222222"/>
          <w:sz w:val="24"/>
          <w:szCs w:val="24"/>
          <w:highlight w:val="white"/>
        </w:rPr>
        <w:t>Criminology &amp; Public Policy</w:t>
      </w:r>
      <w:r>
        <w:rPr>
          <w:rFonts w:eastAsia="Times New Roman" w:cs="Times New Roman" w:ascii="Times New Roman" w:hAnsi="Times New Roman"/>
          <w:color w:val="222222"/>
          <w:sz w:val="24"/>
          <w:szCs w:val="24"/>
          <w:highlight w:val="white"/>
        </w:rPr>
        <w:t xml:space="preserve">, </w:t>
      </w:r>
      <w:r>
        <w:rPr>
          <w:rFonts w:eastAsia="Times New Roman" w:cs="Times New Roman" w:ascii="Times New Roman" w:hAnsi="Times New Roman"/>
          <w:i/>
          <w:color w:val="222222"/>
          <w:sz w:val="24"/>
          <w:szCs w:val="24"/>
          <w:highlight w:val="white"/>
        </w:rPr>
        <w:t>17</w:t>
      </w:r>
      <w:r>
        <w:rPr>
          <w:rFonts w:eastAsia="Times New Roman" w:cs="Times New Roman" w:ascii="Times New Roman" w:hAnsi="Times New Roman"/>
          <w:color w:val="222222"/>
          <w:sz w:val="24"/>
          <w:szCs w:val="24"/>
          <w:highlight w:val="white"/>
        </w:rPr>
        <w:t xml:space="preserve">(1), pp.205-250. </w:t>
      </w:r>
      <w:hyperlink r:id="rId3">
        <w:r>
          <w:rPr>
            <w:rStyle w:val="ListLabel10"/>
            <w:rFonts w:eastAsia="Times New Roman" w:cs="Times New Roman" w:ascii="Times New Roman" w:hAnsi="Times New Roman"/>
            <w:color w:val="1155CC"/>
            <w:sz w:val="24"/>
            <w:szCs w:val="24"/>
            <w:highlight w:val="white"/>
            <w:u w:val="single"/>
          </w:rPr>
          <w:t>https://onlinelibrary.wiley.com/doi/abs/10.1111/1745-9133.12353</w:t>
        </w:r>
      </w:hyperlink>
    </w:p>
    <w:p>
      <w:pPr>
        <w:pStyle w:val="Normal"/>
        <w:spacing w:lineRule="auto" w:line="360" w:before="0" w:after="24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 xml:space="preserve">Cai, M., Caskey, G.W., Cowen, N., Murtazashvili, I., Murtazashvili, J.B. and Salahodjaev, R., 2022. Individualism, economic freedom, and charitable giving. </w:t>
      </w:r>
      <w:r>
        <w:rPr>
          <w:rFonts w:eastAsia="Times New Roman" w:cs="Times New Roman" w:ascii="Times New Roman" w:hAnsi="Times New Roman"/>
          <w:i/>
          <w:color w:val="222222"/>
          <w:sz w:val="24"/>
          <w:szCs w:val="24"/>
          <w:highlight w:val="white"/>
        </w:rPr>
        <w:t>Journal of Economic Behavior &amp; Organization</w:t>
      </w:r>
      <w:r>
        <w:rPr>
          <w:rFonts w:eastAsia="Times New Roman" w:cs="Times New Roman" w:ascii="Times New Roman" w:hAnsi="Times New Roman"/>
          <w:color w:val="222222"/>
          <w:sz w:val="24"/>
          <w:szCs w:val="24"/>
          <w:highlight w:val="white"/>
        </w:rPr>
        <w:t xml:space="preserve">, </w:t>
      </w:r>
      <w:r>
        <w:rPr>
          <w:rFonts w:eastAsia="Times New Roman" w:cs="Times New Roman" w:ascii="Times New Roman" w:hAnsi="Times New Roman"/>
          <w:i/>
          <w:color w:val="222222"/>
          <w:sz w:val="24"/>
          <w:szCs w:val="24"/>
          <w:highlight w:val="white"/>
        </w:rPr>
        <w:t>200</w:t>
      </w:r>
      <w:r>
        <w:rPr>
          <w:rFonts w:eastAsia="Times New Roman" w:cs="Times New Roman" w:ascii="Times New Roman" w:hAnsi="Times New Roman"/>
          <w:color w:val="222222"/>
          <w:sz w:val="24"/>
          <w:szCs w:val="24"/>
          <w:highlight w:val="white"/>
        </w:rPr>
        <w:t xml:space="preserve">, pp.868-884. </w:t>
      </w:r>
      <w:hyperlink r:id="rId4">
        <w:r>
          <w:rPr>
            <w:rStyle w:val="ListLabel10"/>
            <w:rFonts w:eastAsia="Times New Roman" w:cs="Times New Roman" w:ascii="Times New Roman" w:hAnsi="Times New Roman"/>
            <w:color w:val="1155CC"/>
            <w:sz w:val="24"/>
            <w:szCs w:val="24"/>
            <w:highlight w:val="white"/>
            <w:u w:val="single"/>
          </w:rPr>
          <w:t>https://www.sciencedirect.com/science/article/pii/S0167268122002347</w:t>
        </w:r>
      </w:hyperlink>
    </w:p>
    <w:p>
      <w:pPr>
        <w:pStyle w:val="Normal"/>
        <w:spacing w:lineRule="auto" w:line="360" w:before="0" w:after="24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 xml:space="preserve">Correia, S.G., 2019. Responding to victimisation in a digital world: a case study of fraud and computer misuse reported in Wales. </w:t>
      </w:r>
      <w:r>
        <w:rPr>
          <w:rFonts w:eastAsia="Times New Roman" w:cs="Times New Roman" w:ascii="Times New Roman" w:hAnsi="Times New Roman"/>
          <w:i/>
          <w:color w:val="222222"/>
          <w:sz w:val="24"/>
          <w:szCs w:val="24"/>
          <w:highlight w:val="white"/>
        </w:rPr>
        <w:t>Crime Science</w:t>
      </w:r>
      <w:r>
        <w:rPr>
          <w:rFonts w:eastAsia="Times New Roman" w:cs="Times New Roman" w:ascii="Times New Roman" w:hAnsi="Times New Roman"/>
          <w:color w:val="222222"/>
          <w:sz w:val="24"/>
          <w:szCs w:val="24"/>
          <w:highlight w:val="white"/>
        </w:rPr>
        <w:t xml:space="preserve">, </w:t>
      </w:r>
      <w:r>
        <w:rPr>
          <w:rFonts w:eastAsia="Times New Roman" w:cs="Times New Roman" w:ascii="Times New Roman" w:hAnsi="Times New Roman"/>
          <w:i/>
          <w:color w:val="222222"/>
          <w:sz w:val="24"/>
          <w:szCs w:val="24"/>
          <w:highlight w:val="white"/>
        </w:rPr>
        <w:t>8</w:t>
      </w:r>
      <w:r>
        <w:rPr>
          <w:rFonts w:eastAsia="Times New Roman" w:cs="Times New Roman" w:ascii="Times New Roman" w:hAnsi="Times New Roman"/>
          <w:color w:val="222222"/>
          <w:sz w:val="24"/>
          <w:szCs w:val="24"/>
          <w:highlight w:val="white"/>
        </w:rPr>
        <w:t xml:space="preserve">(1), pp.1-12. </w:t>
      </w:r>
      <w:hyperlink r:id="rId5">
        <w:r>
          <w:rPr>
            <w:rStyle w:val="ListLabel10"/>
            <w:rFonts w:eastAsia="Times New Roman" w:cs="Times New Roman" w:ascii="Times New Roman" w:hAnsi="Times New Roman"/>
            <w:color w:val="1155CC"/>
            <w:sz w:val="24"/>
            <w:szCs w:val="24"/>
            <w:highlight w:val="white"/>
            <w:u w:val="single"/>
          </w:rPr>
          <w:t>https://link.springer.com/article/10.1186/s40163-019-0099-7</w:t>
        </w:r>
      </w:hyperlink>
    </w:p>
    <w:p>
      <w:pPr>
        <w:pStyle w:val="Normal"/>
        <w:spacing w:lineRule="auto" w:line="360" w:before="0" w:after="24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 xml:space="preserve">Eck, J.E. and Clarke, R.V., 2019. Situational crime prevention: Theory, practice and evidence. In </w:t>
      </w:r>
      <w:r>
        <w:rPr>
          <w:rFonts w:eastAsia="Times New Roman" w:cs="Times New Roman" w:ascii="Times New Roman" w:hAnsi="Times New Roman"/>
          <w:i/>
          <w:color w:val="222222"/>
          <w:sz w:val="24"/>
          <w:szCs w:val="24"/>
          <w:highlight w:val="white"/>
        </w:rPr>
        <w:t>Handbook on crime and deviance</w:t>
      </w:r>
      <w:r>
        <w:rPr>
          <w:rFonts w:eastAsia="Times New Roman" w:cs="Times New Roman" w:ascii="Times New Roman" w:hAnsi="Times New Roman"/>
          <w:color w:val="222222"/>
          <w:sz w:val="24"/>
          <w:szCs w:val="24"/>
          <w:highlight w:val="white"/>
        </w:rPr>
        <w:t xml:space="preserve"> (pp. 355-376). Springer, Cham. </w:t>
      </w:r>
      <w:hyperlink r:id="rId6">
        <w:r>
          <w:rPr>
            <w:rStyle w:val="ListLabel10"/>
            <w:rFonts w:eastAsia="Times New Roman" w:cs="Times New Roman" w:ascii="Times New Roman" w:hAnsi="Times New Roman"/>
            <w:color w:val="1155CC"/>
            <w:sz w:val="24"/>
            <w:szCs w:val="24"/>
            <w:highlight w:val="white"/>
            <w:u w:val="single"/>
          </w:rPr>
          <w:t>https://link.springer.com/chapter/10.1007/978-3-030-20779-3_18</w:t>
        </w:r>
      </w:hyperlink>
    </w:p>
    <w:p>
      <w:pPr>
        <w:pStyle w:val="Normal"/>
        <w:spacing w:lineRule="auto" w:line="360" w:before="0" w:after="24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 xml:space="preserve">Koch, B.C., 2019. </w:t>
      </w:r>
      <w:r>
        <w:rPr>
          <w:rFonts w:eastAsia="Times New Roman" w:cs="Times New Roman" w:ascii="Times New Roman" w:hAnsi="Times New Roman"/>
          <w:i/>
          <w:color w:val="222222"/>
          <w:sz w:val="24"/>
          <w:szCs w:val="24"/>
          <w:highlight w:val="white"/>
        </w:rPr>
        <w:t>The politics of crime prevention</w:t>
      </w:r>
      <w:r>
        <w:rPr>
          <w:rFonts w:eastAsia="Times New Roman" w:cs="Times New Roman" w:ascii="Times New Roman" w:hAnsi="Times New Roman"/>
          <w:color w:val="222222"/>
          <w:sz w:val="24"/>
          <w:szCs w:val="24"/>
          <w:highlight w:val="white"/>
        </w:rPr>
        <w:t xml:space="preserve">. Routledge. </w:t>
      </w:r>
      <w:hyperlink r:id="rId7">
        <w:r>
          <w:rPr>
            <w:rStyle w:val="ListLabel10"/>
            <w:rFonts w:eastAsia="Times New Roman" w:cs="Times New Roman" w:ascii="Times New Roman" w:hAnsi="Times New Roman"/>
            <w:color w:val="1155CC"/>
            <w:sz w:val="24"/>
            <w:szCs w:val="24"/>
            <w:highlight w:val="white"/>
            <w:u w:val="single"/>
          </w:rPr>
          <w:t>https://www.taylorfrancis.com/books/mono/10.4324/9780429438547/politics-crime-prevention-brigitte-koch</w:t>
        </w:r>
      </w:hyperlink>
    </w:p>
    <w:p>
      <w:pPr>
        <w:pStyle w:val="Normal"/>
        <w:spacing w:lineRule="auto" w:line="360" w:before="0" w:after="24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 xml:space="preserve">Kotlaja, M.M., 2020. Cultural contexts of individualism vs. collectivism: Exploring the relationships between family bonding, supervision and deviance. </w:t>
      </w:r>
      <w:r>
        <w:rPr>
          <w:rFonts w:eastAsia="Times New Roman" w:cs="Times New Roman" w:ascii="Times New Roman" w:hAnsi="Times New Roman"/>
          <w:i/>
          <w:color w:val="222222"/>
          <w:sz w:val="24"/>
          <w:szCs w:val="24"/>
          <w:highlight w:val="white"/>
        </w:rPr>
        <w:t>European Journal of Criminology</w:t>
      </w:r>
      <w:r>
        <w:rPr>
          <w:rFonts w:eastAsia="Times New Roman" w:cs="Times New Roman" w:ascii="Times New Roman" w:hAnsi="Times New Roman"/>
          <w:color w:val="222222"/>
          <w:sz w:val="24"/>
          <w:szCs w:val="24"/>
          <w:highlight w:val="white"/>
        </w:rPr>
        <w:t xml:space="preserve">, </w:t>
      </w:r>
      <w:r>
        <w:rPr>
          <w:rFonts w:eastAsia="Times New Roman" w:cs="Times New Roman" w:ascii="Times New Roman" w:hAnsi="Times New Roman"/>
          <w:i/>
          <w:color w:val="222222"/>
          <w:sz w:val="24"/>
          <w:szCs w:val="24"/>
          <w:highlight w:val="white"/>
        </w:rPr>
        <w:t>17</w:t>
      </w:r>
      <w:r>
        <w:rPr>
          <w:rFonts w:eastAsia="Times New Roman" w:cs="Times New Roman" w:ascii="Times New Roman" w:hAnsi="Times New Roman"/>
          <w:color w:val="222222"/>
          <w:sz w:val="24"/>
          <w:szCs w:val="24"/>
          <w:highlight w:val="white"/>
        </w:rPr>
        <w:t xml:space="preserve">(3), pp.288-305. </w:t>
      </w:r>
      <w:hyperlink r:id="rId8">
        <w:r>
          <w:rPr>
            <w:rStyle w:val="ListLabel10"/>
            <w:rFonts w:eastAsia="Times New Roman" w:cs="Times New Roman" w:ascii="Times New Roman" w:hAnsi="Times New Roman"/>
            <w:color w:val="1155CC"/>
            <w:sz w:val="24"/>
            <w:szCs w:val="24"/>
            <w:highlight w:val="white"/>
            <w:u w:val="single"/>
          </w:rPr>
          <w:t>https://journals.sagepub.com/doi/abs/10.1177/1477370818792482</w:t>
        </w:r>
      </w:hyperlink>
    </w:p>
    <w:p>
      <w:pPr>
        <w:pStyle w:val="Normal"/>
        <w:spacing w:lineRule="auto" w:line="360" w:before="0" w:after="24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 xml:space="preserve">Piza, E.L., Welsh, B.C., Farrington, D.P. and Thomas, A.L., 2019. CCTV surveillance for crime prevention: A 40‐year systematic review with meta‐analysis. </w:t>
      </w:r>
      <w:r>
        <w:rPr>
          <w:rFonts w:eastAsia="Times New Roman" w:cs="Times New Roman" w:ascii="Times New Roman" w:hAnsi="Times New Roman"/>
          <w:i/>
          <w:color w:val="222222"/>
          <w:sz w:val="24"/>
          <w:szCs w:val="24"/>
          <w:highlight w:val="white"/>
        </w:rPr>
        <w:t>Criminology &amp; Public Policy</w:t>
      </w:r>
      <w:r>
        <w:rPr>
          <w:rFonts w:eastAsia="Times New Roman" w:cs="Times New Roman" w:ascii="Times New Roman" w:hAnsi="Times New Roman"/>
          <w:color w:val="222222"/>
          <w:sz w:val="24"/>
          <w:szCs w:val="24"/>
          <w:highlight w:val="white"/>
        </w:rPr>
        <w:t xml:space="preserve">, </w:t>
      </w:r>
      <w:r>
        <w:rPr>
          <w:rFonts w:eastAsia="Times New Roman" w:cs="Times New Roman" w:ascii="Times New Roman" w:hAnsi="Times New Roman"/>
          <w:i/>
          <w:color w:val="222222"/>
          <w:sz w:val="24"/>
          <w:szCs w:val="24"/>
          <w:highlight w:val="white"/>
        </w:rPr>
        <w:t>18</w:t>
      </w:r>
      <w:r>
        <w:rPr>
          <w:rFonts w:eastAsia="Times New Roman" w:cs="Times New Roman" w:ascii="Times New Roman" w:hAnsi="Times New Roman"/>
          <w:color w:val="222222"/>
          <w:sz w:val="24"/>
          <w:szCs w:val="24"/>
          <w:highlight w:val="white"/>
        </w:rPr>
        <w:t>(1), pp.135-159. https://onlinelibrary.wiley.com/doi/abs/10.1111/1745-9133.12419</w:t>
      </w:r>
    </w:p>
    <w:p>
      <w:pPr>
        <w:pStyle w:val="Normal"/>
        <w:spacing w:lineRule="auto" w:line="360" w:before="0" w:after="24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 xml:space="preserve">Tunley, M., Button, M., Shepherd, D. and Blackbourn, D., 2018. Preventing occupational corruption: utilising situational crime prevention techniques and theory to enhance organisational resilience. </w:t>
      </w:r>
      <w:r>
        <w:rPr>
          <w:rFonts w:eastAsia="Times New Roman" w:cs="Times New Roman" w:ascii="Times New Roman" w:hAnsi="Times New Roman"/>
          <w:i/>
          <w:color w:val="222222"/>
          <w:sz w:val="24"/>
          <w:szCs w:val="24"/>
          <w:highlight w:val="white"/>
        </w:rPr>
        <w:t>Security Journal</w:t>
      </w:r>
      <w:r>
        <w:rPr>
          <w:rFonts w:eastAsia="Times New Roman" w:cs="Times New Roman" w:ascii="Times New Roman" w:hAnsi="Times New Roman"/>
          <w:color w:val="222222"/>
          <w:sz w:val="24"/>
          <w:szCs w:val="24"/>
          <w:highlight w:val="white"/>
        </w:rPr>
        <w:t xml:space="preserve">, </w:t>
      </w:r>
      <w:r>
        <w:rPr>
          <w:rFonts w:eastAsia="Times New Roman" w:cs="Times New Roman" w:ascii="Times New Roman" w:hAnsi="Times New Roman"/>
          <w:i/>
          <w:color w:val="222222"/>
          <w:sz w:val="24"/>
          <w:szCs w:val="24"/>
          <w:highlight w:val="white"/>
        </w:rPr>
        <w:t>31</w:t>
      </w:r>
      <w:r>
        <w:rPr>
          <w:rFonts w:eastAsia="Times New Roman" w:cs="Times New Roman" w:ascii="Times New Roman" w:hAnsi="Times New Roman"/>
          <w:color w:val="222222"/>
          <w:sz w:val="24"/>
          <w:szCs w:val="24"/>
          <w:highlight w:val="white"/>
        </w:rPr>
        <w:t xml:space="preserve">(1), pp.21-52. </w:t>
      </w:r>
      <w:hyperlink r:id="rId9">
        <w:r>
          <w:rPr>
            <w:rStyle w:val="ListLabel10"/>
            <w:rFonts w:eastAsia="Times New Roman" w:cs="Times New Roman" w:ascii="Times New Roman" w:hAnsi="Times New Roman"/>
            <w:color w:val="1155CC"/>
            <w:sz w:val="24"/>
            <w:szCs w:val="24"/>
            <w:highlight w:val="white"/>
            <w:u w:val="single"/>
          </w:rPr>
          <w:t>https://link.springer.com/article/10.1057/s41284-016-0087-5</w:t>
        </w:r>
      </w:hyperlink>
    </w:p>
    <w:p>
      <w:pPr>
        <w:pStyle w:val="Normal"/>
        <w:spacing w:lineRule="auto" w:line="360" w:before="0" w:after="24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 xml:space="preserve">Veenbrink, M., 2019. </w:t>
      </w:r>
      <w:r>
        <w:rPr>
          <w:rFonts w:eastAsia="Times New Roman" w:cs="Times New Roman" w:ascii="Times New Roman" w:hAnsi="Times New Roman"/>
          <w:i/>
          <w:color w:val="222222"/>
          <w:sz w:val="24"/>
          <w:szCs w:val="24"/>
          <w:highlight w:val="white"/>
        </w:rPr>
        <w:t>Criminal Law Principles and the Enforcement of EU and National Competition Law: A Silent Takeover?</w:t>
      </w:r>
      <w:r>
        <w:rPr>
          <w:rFonts w:eastAsia="Times New Roman" w:cs="Times New Roman" w:ascii="Times New Roman" w:hAnsi="Times New Roman"/>
          <w:color w:val="222222"/>
          <w:sz w:val="24"/>
          <w:szCs w:val="24"/>
          <w:highlight w:val="white"/>
        </w:rPr>
        <w:t xml:space="preserve">. Kluwer Law International BV. </w:t>
      </w:r>
      <w:hyperlink r:id="rId10">
        <w:r>
          <w:rPr>
            <w:rStyle w:val="ListLabel10"/>
            <w:rFonts w:eastAsia="Times New Roman" w:cs="Times New Roman" w:ascii="Times New Roman" w:hAnsi="Times New Roman"/>
            <w:color w:val="1155CC"/>
            <w:sz w:val="24"/>
            <w:szCs w:val="24"/>
            <w:highlight w:val="white"/>
            <w:u w:val="single"/>
          </w:rPr>
          <w:t>https://journals.sagepub.com/doi/abs/10.1177/1477370818792482</w:t>
        </w:r>
      </w:hyperlink>
    </w:p>
    <w:p>
      <w:pPr>
        <w:pStyle w:val="Normal"/>
        <w:spacing w:lineRule="auto" w:line="360" w:before="0" w:after="24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highlight w:val="white"/>
        </w:rPr>
        <w:t xml:space="preserve">Wooditch, A., 2021. The benefits of patrol officers using unallocated time for everyday crime prevention. </w:t>
      </w:r>
      <w:r>
        <w:rPr>
          <w:rFonts w:eastAsia="Times New Roman" w:cs="Times New Roman" w:ascii="Times New Roman" w:hAnsi="Times New Roman"/>
          <w:i/>
          <w:color w:val="222222"/>
          <w:sz w:val="24"/>
          <w:szCs w:val="24"/>
          <w:highlight w:val="white"/>
        </w:rPr>
        <w:t>Journal of Quantitative Criminology</w:t>
      </w:r>
      <w:r>
        <w:rPr>
          <w:rFonts w:eastAsia="Times New Roman" w:cs="Times New Roman" w:ascii="Times New Roman" w:hAnsi="Times New Roman"/>
          <w:color w:val="222222"/>
          <w:sz w:val="24"/>
          <w:szCs w:val="24"/>
          <w:highlight w:val="white"/>
        </w:rPr>
        <w:t xml:space="preserve">, pp.1-25. </w:t>
      </w:r>
      <w:hyperlink r:id="rId11">
        <w:r>
          <w:rPr>
            <w:rStyle w:val="ListLabel10"/>
            <w:rFonts w:eastAsia="Times New Roman" w:cs="Times New Roman" w:ascii="Times New Roman" w:hAnsi="Times New Roman"/>
            <w:color w:val="1155CC"/>
            <w:sz w:val="24"/>
            <w:szCs w:val="24"/>
            <w:highlight w:val="white"/>
            <w:u w:val="single"/>
          </w:rPr>
          <w:t>https://link.springer.com/article/10.1007/s10940-021-09527-4</w:t>
        </w:r>
      </w:hyperlink>
    </w:p>
    <w:p>
      <w:pPr>
        <w:pStyle w:val="Normal"/>
        <w:spacing w:lineRule="auto" w:line="360" w:before="0" w:after="240"/>
        <w:jc w:val="both"/>
        <w:rPr/>
      </w:pPr>
      <w:r>
        <w:rPr>
          <w:rFonts w:eastAsia="Times New Roman" w:cs="Times New Roman" w:ascii="Times New Roman" w:hAnsi="Times New Roman"/>
          <w:color w:val="222222"/>
          <w:sz w:val="24"/>
          <w:szCs w:val="24"/>
          <w:highlight w:val="white"/>
        </w:rPr>
        <w:t xml:space="preserve">Zhao, J., Wang, X., Zhang, H. and Zhao, R., 2021. Rational choice theory is applied to an explanation of juvenile offender decision-making in the Chinese setting. </w:t>
      </w:r>
      <w:r>
        <w:rPr>
          <w:rFonts w:eastAsia="Times New Roman" w:cs="Times New Roman" w:ascii="Times New Roman" w:hAnsi="Times New Roman"/>
          <w:i/>
          <w:color w:val="222222"/>
          <w:sz w:val="24"/>
          <w:szCs w:val="24"/>
          <w:highlight w:val="white"/>
        </w:rPr>
        <w:t>International journal of offender therapy and comparative criminology</w:t>
      </w:r>
      <w:r>
        <w:rPr>
          <w:rFonts w:eastAsia="Times New Roman" w:cs="Times New Roman" w:ascii="Times New Roman" w:hAnsi="Times New Roman"/>
          <w:color w:val="222222"/>
          <w:sz w:val="24"/>
          <w:szCs w:val="24"/>
          <w:highlight w:val="white"/>
        </w:rPr>
        <w:t xml:space="preserve">, </w:t>
      </w:r>
      <w:r>
        <w:rPr>
          <w:rFonts w:eastAsia="Times New Roman" w:cs="Times New Roman" w:ascii="Times New Roman" w:hAnsi="Times New Roman"/>
          <w:i/>
          <w:color w:val="222222"/>
          <w:sz w:val="24"/>
          <w:szCs w:val="24"/>
          <w:highlight w:val="white"/>
        </w:rPr>
        <w:t>65</w:t>
      </w:r>
      <w:r>
        <w:rPr>
          <w:rFonts w:eastAsia="Times New Roman" w:cs="Times New Roman" w:ascii="Times New Roman" w:hAnsi="Times New Roman"/>
          <w:color w:val="222222"/>
          <w:sz w:val="24"/>
          <w:szCs w:val="24"/>
          <w:highlight w:val="white"/>
        </w:rPr>
        <w:t xml:space="preserve">(4), pp.434-457. </w:t>
      </w:r>
      <w:hyperlink r:id="rId12">
        <w:r>
          <w:rPr>
            <w:rStyle w:val="ListLabel10"/>
            <w:rFonts w:eastAsia="Times New Roman" w:cs="Times New Roman" w:ascii="Times New Roman" w:hAnsi="Times New Roman"/>
            <w:color w:val="1155CC"/>
            <w:sz w:val="24"/>
            <w:szCs w:val="24"/>
            <w:highlight w:val="white"/>
            <w:u w:val="single"/>
          </w:rPr>
          <w:t>https://journals.sagepub.com/doi/abs/10.1177/0306624X20931429</w:t>
        </w:r>
      </w:hyperlink>
    </w:p>
    <w:sectPr>
      <w:headerReference w:type="default" r:id="rId13"/>
      <w:type w:val="nextPage"/>
      <w:pgSz w:w="12240" w:h="15840"/>
      <w:pgMar w:left="1440" w:right="1440" w:header="72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Arial">
    <w:charset w:val="00"/>
    <w:family w:val="roman"/>
    <w:pitch w:val="variable"/>
  </w:font>
  <w:font w:name="Tahoma">
    <w:charset w:val="00"/>
    <w:family w:val="roman"/>
    <w:pitch w:val="variable"/>
  </w:font>
  <w:font w:name="Calibri">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869550324"/>
    </w:sdtPr>
    <w:sdtContent>
      <w:p>
        <w:pPr>
          <w:pStyle w:val="Entte"/>
          <w:jc w:val="right"/>
          <w:rPr/>
        </w:pPr>
        <w:r>
          <w:rPr/>
          <w:fldChar w:fldCharType="begin"/>
        </w:r>
        <w:r>
          <w:rPr/>
          <w:instrText> PAGE </w:instrText>
        </w:r>
        <w:r>
          <w:rPr/>
          <w:fldChar w:fldCharType="separate"/>
        </w:r>
        <w:r>
          <w:rPr/>
          <w:t>10</w:t>
        </w:r>
        <w:r>
          <w:rPr/>
          <w:fldChar w:fldCharType="end"/>
        </w:r>
      </w:p>
    </w:sdtContent>
  </w:sdt>
  <w:p>
    <w:pPr>
      <w:pStyle w:val="Entte"/>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24"/>
        <w:u w:val="none"/>
        <w:b/>
        <w:rFonts w:ascii="Times New Roman" w:hAnsi="Times New Roman"/>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48"/>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90b94"/>
    <w:pPr>
      <w:widowControl/>
      <w:bidi w:val="0"/>
      <w:spacing w:lineRule="auto" w:line="276"/>
      <w:jc w:val="left"/>
    </w:pPr>
    <w:rPr>
      <w:rFonts w:ascii="Arial" w:hAnsi="Arial" w:eastAsia="Arial" w:cs="Arial"/>
      <w:color w:val="auto"/>
      <w:kern w:val="0"/>
      <w:sz w:val="22"/>
      <w:szCs w:val="22"/>
      <w:lang w:val="en-GB" w:eastAsia="en-US" w:bidi="ar-SA"/>
    </w:rPr>
  </w:style>
  <w:style w:type="paragraph" w:styleId="Titre1">
    <w:name w:val="Heading 1"/>
    <w:basedOn w:val="Normal"/>
    <w:next w:val="Normal"/>
    <w:qFormat/>
    <w:rsid w:val="00fc3de9"/>
    <w:pPr>
      <w:keepNext w:val="true"/>
      <w:keepLines/>
      <w:spacing w:lineRule="auto" w:line="360" w:before="400" w:after="120"/>
      <w:jc w:val="both"/>
      <w:outlineLvl w:val="0"/>
    </w:pPr>
    <w:rPr>
      <w:rFonts w:ascii="Times New Roman" w:hAnsi="Times New Roman"/>
      <w:b/>
      <w:sz w:val="24"/>
      <w:szCs w:val="40"/>
    </w:rPr>
  </w:style>
  <w:style w:type="paragraph" w:styleId="Titre2">
    <w:name w:val="Heading 2"/>
    <w:basedOn w:val="Normal"/>
    <w:next w:val="Normal"/>
    <w:qFormat/>
    <w:rsid w:val="00b90b94"/>
    <w:pPr>
      <w:keepNext w:val="true"/>
      <w:keepLines/>
      <w:spacing w:before="360" w:after="120"/>
      <w:outlineLvl w:val="1"/>
    </w:pPr>
    <w:rPr>
      <w:sz w:val="32"/>
      <w:szCs w:val="32"/>
    </w:rPr>
  </w:style>
  <w:style w:type="paragraph" w:styleId="Titre3">
    <w:name w:val="Heading 3"/>
    <w:basedOn w:val="Normal"/>
    <w:next w:val="Normal"/>
    <w:qFormat/>
    <w:rsid w:val="00b90b94"/>
    <w:pPr>
      <w:keepNext w:val="true"/>
      <w:keepLines/>
      <w:spacing w:before="320" w:after="80"/>
      <w:outlineLvl w:val="2"/>
    </w:pPr>
    <w:rPr>
      <w:color w:val="434343"/>
      <w:sz w:val="28"/>
      <w:szCs w:val="28"/>
    </w:rPr>
  </w:style>
  <w:style w:type="paragraph" w:styleId="Titre4">
    <w:name w:val="Heading 4"/>
    <w:basedOn w:val="Normal"/>
    <w:next w:val="Normal"/>
    <w:qFormat/>
    <w:rsid w:val="00b90b94"/>
    <w:pPr>
      <w:keepNext w:val="true"/>
      <w:keepLines/>
      <w:spacing w:before="280" w:after="80"/>
      <w:outlineLvl w:val="3"/>
    </w:pPr>
    <w:rPr>
      <w:color w:val="666666"/>
      <w:sz w:val="24"/>
      <w:szCs w:val="24"/>
    </w:rPr>
  </w:style>
  <w:style w:type="paragraph" w:styleId="Titre5">
    <w:name w:val="Heading 5"/>
    <w:basedOn w:val="Normal"/>
    <w:next w:val="Normal"/>
    <w:qFormat/>
    <w:rsid w:val="00b90b94"/>
    <w:pPr>
      <w:keepNext w:val="true"/>
      <w:keepLines/>
      <w:spacing w:before="240" w:after="80"/>
      <w:outlineLvl w:val="4"/>
    </w:pPr>
    <w:rPr>
      <w:color w:val="666666"/>
    </w:rPr>
  </w:style>
  <w:style w:type="paragraph" w:styleId="Titre6">
    <w:name w:val="Heading 6"/>
    <w:basedOn w:val="Normal"/>
    <w:next w:val="Normal"/>
    <w:qFormat/>
    <w:rsid w:val="00b90b94"/>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CommentTextChar" w:customStyle="1">
    <w:name w:val="Comment Text Char"/>
    <w:basedOn w:val="DefaultParagraphFont"/>
    <w:link w:val="CommentText"/>
    <w:uiPriority w:val="99"/>
    <w:semiHidden/>
    <w:qFormat/>
    <w:rsid w:val="00b90b94"/>
    <w:rPr>
      <w:sz w:val="20"/>
      <w:szCs w:val="20"/>
    </w:rPr>
  </w:style>
  <w:style w:type="character" w:styleId="Annotationreference">
    <w:name w:val="annotation reference"/>
    <w:basedOn w:val="DefaultParagraphFont"/>
    <w:uiPriority w:val="99"/>
    <w:semiHidden/>
    <w:unhideWhenUsed/>
    <w:qFormat/>
    <w:rsid w:val="00b90b94"/>
    <w:rPr>
      <w:sz w:val="16"/>
      <w:szCs w:val="16"/>
    </w:rPr>
  </w:style>
  <w:style w:type="character" w:styleId="BalloonTextChar" w:customStyle="1">
    <w:name w:val="Balloon Text Char"/>
    <w:basedOn w:val="DefaultParagraphFont"/>
    <w:link w:val="BalloonText"/>
    <w:uiPriority w:val="99"/>
    <w:semiHidden/>
    <w:qFormat/>
    <w:rsid w:val="000e70c5"/>
    <w:rPr>
      <w:rFonts w:ascii="Tahoma" w:hAnsi="Tahoma" w:cs="Tahoma"/>
      <w:sz w:val="16"/>
      <w:szCs w:val="16"/>
    </w:rPr>
  </w:style>
  <w:style w:type="character" w:styleId="LienInternet">
    <w:name w:val="Lien Internet"/>
    <w:basedOn w:val="DefaultParagraphFont"/>
    <w:uiPriority w:val="99"/>
    <w:unhideWhenUsed/>
    <w:rsid w:val="00fc3de9"/>
    <w:rPr>
      <w:color w:val="0000FF" w:themeColor="hyperlink"/>
      <w:u w:val="single"/>
    </w:rPr>
  </w:style>
  <w:style w:type="character" w:styleId="HeaderChar" w:customStyle="1">
    <w:name w:val="Header Char"/>
    <w:basedOn w:val="DefaultParagraphFont"/>
    <w:link w:val="Header"/>
    <w:uiPriority w:val="99"/>
    <w:qFormat/>
    <w:rsid w:val="00013f20"/>
    <w:rPr/>
  </w:style>
  <w:style w:type="character" w:styleId="FooterChar" w:customStyle="1">
    <w:name w:val="Footer Char"/>
    <w:basedOn w:val="DefaultParagraphFont"/>
    <w:link w:val="Footer"/>
    <w:uiPriority w:val="99"/>
    <w:qFormat/>
    <w:rsid w:val="00013f20"/>
    <w:rPr/>
  </w:style>
  <w:style w:type="character" w:styleId="ListLabel1">
    <w:name w:val="ListLabel 1"/>
    <w:qFormat/>
    <w:rPr>
      <w:rFonts w:ascii="Times New Roman" w:hAnsi="Times New Roman"/>
      <w:b/>
      <w:sz w:val="24"/>
      <w:u w:val="none"/>
    </w:rPr>
  </w:style>
  <w:style w:type="character" w:styleId="ListLabel2">
    <w:name w:val="ListLabel 2"/>
    <w:qFormat/>
    <w:rPr>
      <w:u w:val="none"/>
    </w:rPr>
  </w:style>
  <w:style w:type="character" w:styleId="ListLabel3">
    <w:name w:val="ListLabel 3"/>
    <w:qFormat/>
    <w:rPr>
      <w:u w:val="none"/>
    </w:rPr>
  </w:style>
  <w:style w:type="character" w:styleId="ListLabel4">
    <w:name w:val="ListLabel 4"/>
    <w:qFormat/>
    <w:rPr>
      <w:u w:val="none"/>
    </w:rPr>
  </w:style>
  <w:style w:type="character" w:styleId="ListLabel5">
    <w:name w:val="ListLabel 5"/>
    <w:qFormat/>
    <w:rPr>
      <w:u w:val="none"/>
    </w:rPr>
  </w:style>
  <w:style w:type="character" w:styleId="ListLabel6">
    <w:name w:val="ListLabel 6"/>
    <w:qFormat/>
    <w:rPr>
      <w:u w:val="none"/>
    </w:rPr>
  </w:style>
  <w:style w:type="character" w:styleId="ListLabel7">
    <w:name w:val="ListLabel 7"/>
    <w:qFormat/>
    <w:rPr>
      <w:u w:val="none"/>
    </w:rPr>
  </w:style>
  <w:style w:type="character" w:styleId="ListLabel8">
    <w:name w:val="ListLabel 8"/>
    <w:qFormat/>
    <w:rPr>
      <w:u w:val="none"/>
    </w:rPr>
  </w:style>
  <w:style w:type="character" w:styleId="ListLabel9">
    <w:name w:val="ListLabel 9"/>
    <w:qFormat/>
    <w:rPr>
      <w:u w:val="none"/>
    </w:rPr>
  </w:style>
  <w:style w:type="character" w:styleId="ListLabel10">
    <w:name w:val="ListLabel 10"/>
    <w:qFormat/>
    <w:rPr>
      <w:rFonts w:ascii="Times New Roman" w:hAnsi="Times New Roman" w:eastAsia="Times New Roman" w:cs="Times New Roman"/>
      <w:color w:val="1155CC"/>
      <w:sz w:val="24"/>
      <w:szCs w:val="24"/>
      <w:highlight w:val="white"/>
      <w:u w:val="single"/>
    </w:rPr>
  </w:style>
  <w:style w:type="character" w:styleId="Sautdindex">
    <w:name w:val="Saut d'index"/>
    <w:qFormat/>
    <w:rPr/>
  </w:style>
  <w:style w:type="paragraph" w:styleId="Titre">
    <w:name w:val="Titre"/>
    <w:basedOn w:val="Normal"/>
    <w:next w:val="Corpsdetexte"/>
    <w:qFormat/>
    <w:pPr>
      <w:keepNext w:val="true"/>
      <w:spacing w:before="240" w:after="120"/>
    </w:pPr>
    <w:rPr>
      <w:rFonts w:ascii="Arial" w:hAnsi="Arial"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reprincipal">
    <w:name w:val="Title"/>
    <w:basedOn w:val="Normal"/>
    <w:next w:val="Normal"/>
    <w:qFormat/>
    <w:rsid w:val="00b90b94"/>
    <w:pPr>
      <w:keepNext w:val="true"/>
      <w:keepLines/>
      <w:spacing w:before="0" w:after="60"/>
    </w:pPr>
    <w:rPr>
      <w:sz w:val="52"/>
      <w:szCs w:val="52"/>
    </w:rPr>
  </w:style>
  <w:style w:type="paragraph" w:styleId="Soustitre">
    <w:name w:val="Subtitle"/>
    <w:basedOn w:val="Normal"/>
    <w:next w:val="Normal"/>
    <w:qFormat/>
    <w:rsid w:val="00b90b94"/>
    <w:pPr>
      <w:keepNext w:val="true"/>
      <w:keepLines/>
      <w:spacing w:before="0" w:after="320"/>
    </w:pPr>
    <w:rPr>
      <w:color w:val="666666"/>
      <w:sz w:val="30"/>
      <w:szCs w:val="30"/>
    </w:rPr>
  </w:style>
  <w:style w:type="paragraph" w:styleId="Annotationtext">
    <w:name w:val="annotation text"/>
    <w:basedOn w:val="Normal"/>
    <w:link w:val="CommentTextChar"/>
    <w:uiPriority w:val="99"/>
    <w:semiHidden/>
    <w:unhideWhenUsed/>
    <w:qFormat/>
    <w:rsid w:val="00b90b94"/>
    <w:pPr>
      <w:spacing w:lineRule="auto" w:line="240"/>
    </w:pPr>
    <w:rPr>
      <w:sz w:val="20"/>
      <w:szCs w:val="20"/>
    </w:rPr>
  </w:style>
  <w:style w:type="paragraph" w:styleId="BalloonText">
    <w:name w:val="Balloon Text"/>
    <w:basedOn w:val="Normal"/>
    <w:link w:val="BalloonTextChar"/>
    <w:uiPriority w:val="99"/>
    <w:semiHidden/>
    <w:unhideWhenUsed/>
    <w:qFormat/>
    <w:rsid w:val="000e70c5"/>
    <w:pPr>
      <w:spacing w:lineRule="auto" w:line="240"/>
    </w:pPr>
    <w:rPr>
      <w:rFonts w:ascii="Tahoma" w:hAnsi="Tahoma" w:cs="Tahoma"/>
      <w:sz w:val="16"/>
      <w:szCs w:val="16"/>
    </w:rPr>
  </w:style>
  <w:style w:type="paragraph" w:styleId="TOCHeading">
    <w:name w:val="TOC Heading"/>
    <w:basedOn w:val="Titre1"/>
    <w:next w:val="Normal"/>
    <w:uiPriority w:val="39"/>
    <w:semiHidden/>
    <w:unhideWhenUsed/>
    <w:qFormat/>
    <w:rsid w:val="00fc3de9"/>
    <w:pPr>
      <w:spacing w:lineRule="auto" w:line="276" w:before="480" w:after="0"/>
      <w:jc w:val="left"/>
    </w:pPr>
    <w:rPr>
      <w:rFonts w:ascii="Calibri" w:hAnsi="Calibri" w:eastAsia="" w:cs="" w:asciiTheme="majorHAnsi" w:cstheme="majorBidi" w:eastAsiaTheme="majorEastAsia" w:hAnsiTheme="majorHAnsi"/>
      <w:bCs/>
      <w:color w:val="365F91" w:themeColor="accent1" w:themeShade="bf"/>
      <w:sz w:val="28"/>
      <w:szCs w:val="28"/>
    </w:rPr>
  </w:style>
  <w:style w:type="paragraph" w:styleId="Tabledesmatiresniveau1">
    <w:name w:val="TOC 1"/>
    <w:basedOn w:val="Normal"/>
    <w:next w:val="Normal"/>
    <w:autoRedefine/>
    <w:uiPriority w:val="39"/>
    <w:unhideWhenUsed/>
    <w:rsid w:val="00fc3de9"/>
    <w:pPr>
      <w:spacing w:before="0" w:after="100"/>
    </w:pPr>
    <w:rPr/>
  </w:style>
  <w:style w:type="paragraph" w:styleId="Entte">
    <w:name w:val="Header"/>
    <w:basedOn w:val="Normal"/>
    <w:link w:val="HeaderChar"/>
    <w:uiPriority w:val="99"/>
    <w:unhideWhenUsed/>
    <w:rsid w:val="00013f20"/>
    <w:pPr>
      <w:tabs>
        <w:tab w:val="clear" w:pos="720"/>
        <w:tab w:val="center" w:pos="4513" w:leader="none"/>
        <w:tab w:val="right" w:pos="9026" w:leader="none"/>
      </w:tabs>
      <w:spacing w:lineRule="auto" w:line="240"/>
    </w:pPr>
    <w:rPr/>
  </w:style>
  <w:style w:type="paragraph" w:styleId="Pieddepage">
    <w:name w:val="Footer"/>
    <w:basedOn w:val="Normal"/>
    <w:link w:val="FooterChar"/>
    <w:uiPriority w:val="99"/>
    <w:unhideWhenUsed/>
    <w:rsid w:val="00013f20"/>
    <w:pPr>
      <w:tabs>
        <w:tab w:val="clear" w:pos="720"/>
        <w:tab w:val="center" w:pos="4513" w:leader="none"/>
        <w:tab w:val="right" w:pos="9026" w:leader="none"/>
      </w:tabs>
      <w:spacing w:lineRule="auto" w:line="24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Table1">
    <w:name w:val="Table1"/>
    <w:basedOn w:val="TableNormal"/>
    <w:rsid w:val="00b90b94"/>
    <w:tblPr>
      <w:tblStyleRowBandSize w:val="1"/>
      <w:tblStyleColBandSize w:val="1"/>
      <w:tblInd w:w="0" w:type="dxa"/>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onlinelibrary.wiley.com/doi/abs/10.1111/1745-9133.12353" TargetMode="External"/><Relationship Id="rId4" Type="http://schemas.openxmlformats.org/officeDocument/2006/relationships/hyperlink" Target="https://www.sciencedirect.com/science/article/pii/S0167268122002347" TargetMode="External"/><Relationship Id="rId5" Type="http://schemas.openxmlformats.org/officeDocument/2006/relationships/hyperlink" Target="https://link.springer.com/article/10.1186/s40163-019-0099-7" TargetMode="External"/><Relationship Id="rId6" Type="http://schemas.openxmlformats.org/officeDocument/2006/relationships/hyperlink" Target="https://link.springer.com/chapter/10.1007/978-3-030-20779-3_18" TargetMode="External"/><Relationship Id="rId7" Type="http://schemas.openxmlformats.org/officeDocument/2006/relationships/hyperlink" Target="https://www.taylorfrancis.com/books/mono/10.4324/9780429438547/politics-crime-prevention-brigitte-koch" TargetMode="External"/><Relationship Id="rId8" Type="http://schemas.openxmlformats.org/officeDocument/2006/relationships/hyperlink" Target="https://journals.sagepub.com/doi/abs/10.1177/1477370818792482" TargetMode="External"/><Relationship Id="rId9" Type="http://schemas.openxmlformats.org/officeDocument/2006/relationships/hyperlink" Target="https://link.springer.com/article/10.1057/s41284-016-0087-5" TargetMode="External"/><Relationship Id="rId10" Type="http://schemas.openxmlformats.org/officeDocument/2006/relationships/hyperlink" Target="https://journals.sagepub.com/doi/abs/10.1177/1477370818792482" TargetMode="External"/><Relationship Id="rId11" Type="http://schemas.openxmlformats.org/officeDocument/2006/relationships/hyperlink" Target="https://link.springer.com/article/10.1007/s10940-021-09527-4" TargetMode="External"/><Relationship Id="rId12" Type="http://schemas.openxmlformats.org/officeDocument/2006/relationships/hyperlink" Target="https://journals.sagepub.com/doi/abs/10.1177/0306624X20931429" TargetMode="External"/><Relationship Id="rId13" Type="http://schemas.openxmlformats.org/officeDocument/2006/relationships/header" Target="header1.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68A6A-572B-42EF-B323-FEB5708E7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Trio_Office/6.2.8.2$Windows_x86 LibreOffice_project/</Application>
  <Pages>10</Pages>
  <Words>2318</Words>
  <Characters>13265</Characters>
  <CharactersWithSpaces>15518</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2022-07-21T13:20:00Z</dcterms:created>
  <dc:creator/>
  <dc:description/>
  <dc:language>fr-CH</dc:language>
  <cp:lastModifiedBy/>
  <dcterms:modified xsi:type="dcterms:W3CDTF">2022-07-22T23:46:53Z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