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05C1F" w14:textId="77777777" w:rsidR="00A972F1" w:rsidRPr="007920F1" w:rsidRDefault="00A972F1" w:rsidP="00A972F1">
      <w:pPr>
        <w:pStyle w:val="Default"/>
        <w:rPr>
          <w:b/>
          <w:bCs/>
          <w:sz w:val="22"/>
          <w:szCs w:val="22"/>
        </w:rPr>
      </w:pPr>
      <w:r w:rsidRPr="007920F1">
        <w:rPr>
          <w:b/>
          <w:bCs/>
          <w:sz w:val="22"/>
          <w:szCs w:val="22"/>
        </w:rPr>
        <w:t xml:space="preserve">What are the risks of ineffective engagement between police and local communities, and how might poor engagement affect community cohesion? Your answer should be based on academic research, although you may make reference to relevant case studies. </w:t>
      </w:r>
    </w:p>
    <w:p w14:paraId="2E6AD78C" w14:textId="77777777" w:rsidR="00A972F1" w:rsidRDefault="00A972F1" w:rsidP="00A972F1"/>
    <w:p w14:paraId="53DBD7DF" w14:textId="77777777" w:rsidR="00A972F1" w:rsidRDefault="00A972F1" w:rsidP="00A972F1">
      <w:r>
        <w:t>This essay is going to examine the critical role in which effective engagement between police and their local communities has on the effect of impacting crime within the community. This essay is going to look at how poor engagement between police and the community can have a detrimental and lasting effect on crime statistics. It’s also going to examine methods which have worked to reduce crime as a direct result of police working with a community, as well as exploring the problems and difficulties in which the police may encounter.</w:t>
      </w:r>
    </w:p>
    <w:p w14:paraId="33F560D3" w14:textId="0617A128" w:rsidR="00A972F1" w:rsidRPr="00635777" w:rsidRDefault="00A972F1" w:rsidP="00A972F1">
      <w:r>
        <w:t>To begin this essay will examine why it is considered necessary to have effective communication between the police and the communities in which they operate. The answer to this lies within the Peelian principles as set out by Sir Robert Peel, on which the police service was founded</w:t>
      </w:r>
      <w:r w:rsidR="00B27226">
        <w:t xml:space="preserve"> (</w:t>
      </w:r>
      <w:r w:rsidR="00B51E3C">
        <w:t xml:space="preserve">Lentz &amp; Chaires, 2007, </w:t>
      </w:r>
      <w:r w:rsidR="009C2AA9">
        <w:t>p.69).</w:t>
      </w:r>
      <w:r>
        <w:t xml:space="preserve"> There are nine principles of policing as set out by Sir Robert Peel but the most important takeaway from these principles is that of policing by consent (Reiner, 20</w:t>
      </w:r>
      <w:r w:rsidR="00EB1B91">
        <w:t>10</w:t>
      </w:r>
      <w:r>
        <w:t>). In essence the belief is that in order to effectively apply the law the police needs the consent of the public, as it is from public trust in the police that efficient policing is able to happen. Without this trust, the police simply cannot function efficiently.</w:t>
      </w:r>
    </w:p>
    <w:p w14:paraId="67905E2F" w14:textId="6BCF0AC4" w:rsidR="00A972F1" w:rsidRDefault="00A972F1" w:rsidP="00A972F1">
      <w:r>
        <w:t>The risks of ineffective engagement between the police and local communities are a crucial concern in ensuring community cohesion and trust building. It is essential for police forces across the United Kingdom to establish effective methods of engagement within their local communities to foster positive relationships., enhance safety, and encourage cooperation in crime prevention and reporting</w:t>
      </w:r>
      <w:r w:rsidR="0043327A">
        <w:t xml:space="preserve"> </w:t>
      </w:r>
      <w:r w:rsidR="000A3966">
        <w:t>(Bradford, 2018, p.22).</w:t>
      </w:r>
      <w:r>
        <w:t xml:space="preserve"> Engaging with local communities can take various forms. Local community engagement meetings provide an opportunity for residents to voice their concerns and collaborate with the police in addressing neighbourhood issues (Blair et al, 2021). A local community engagement meeting is something which can be organised on a regular monthly or even weekly to bi-weekly basis depending on the needs of the individual community in which it is based. The purpose of these meetings is to facilitate a regular point of contact between members of a community and the police. By having officers attend these meetings, as well as members of the public and other bodies such as housing associations or social services, police are able to maintain a link to their community which can establish trust and aid in the development of intelligence regarding ongoing criminal issues within an area. This allows for police to develop plans to tackle the issues which matter most to their communities</w:t>
      </w:r>
      <w:r w:rsidR="008A3C92">
        <w:t xml:space="preserve"> (Salkin &amp; Lavin, 200</w:t>
      </w:r>
      <w:r w:rsidR="00D13137">
        <w:t>9</w:t>
      </w:r>
      <w:r w:rsidR="008A3C92">
        <w:t>, p.15</w:t>
      </w:r>
      <w:r w:rsidR="00D13137">
        <w:t>7</w:t>
      </w:r>
      <w:r w:rsidR="008A3C92">
        <w:t>).</w:t>
      </w:r>
    </w:p>
    <w:p w14:paraId="287A219E" w14:textId="1A5EEA01" w:rsidR="00A972F1" w:rsidRDefault="00A972F1" w:rsidP="00A972F1">
      <w:r>
        <w:t>Ineffective engagement between police and third party agencies can also have a detrimental effect on the community</w:t>
      </w:r>
      <w:r w:rsidR="00D13137">
        <w:t xml:space="preserve"> (</w:t>
      </w:r>
      <w:r w:rsidR="00EA61C1">
        <w:t xml:space="preserve">Mazerolle &amp; Ransley, 2019, </w:t>
      </w:r>
      <w:r w:rsidR="00EC3D1B">
        <w:t>p.347).</w:t>
      </w:r>
      <w:r>
        <w:t xml:space="preserve"> In order to effectively manage the risks and actively deter crime within communities, police forces need to work with third partner agencies such as social services, housing associations and youth clubs etc. to work towards a universal goal. When there is a lack of communication between police and third party agencies, this creates a risk of poor community cohesion in future with the police, as the police as a body are not able to solve all problems themselves. By working with third party agencies, the root cause of criminal activity can often be targeted, resulting in safer communities</w:t>
      </w:r>
      <w:r w:rsidR="00FA309A">
        <w:t xml:space="preserve"> (M</w:t>
      </w:r>
      <w:r w:rsidR="005617FB">
        <w:t>e</w:t>
      </w:r>
      <w:r w:rsidR="00FA309A">
        <w:t>yer &amp; Mazer</w:t>
      </w:r>
      <w:r w:rsidR="005617FB">
        <w:t>olle, 2014, p.242).</w:t>
      </w:r>
    </w:p>
    <w:p w14:paraId="70687D7E" w14:textId="32CF990A" w:rsidR="00A972F1" w:rsidRDefault="00A972F1" w:rsidP="00A972F1">
      <w:r>
        <w:t>Neighbourhood watch schemes also play a significant role in engaging community members by encouraging them to actively participate in crime prevention efforts, by actively engaging communities to identify crime when it is not possible to patrol an area at all periods of the day</w:t>
      </w:r>
      <w:r w:rsidR="00367DC4">
        <w:t xml:space="preserve"> </w:t>
      </w:r>
      <w:r w:rsidR="00367DC4">
        <w:lastRenderedPageBreak/>
        <w:t>(Laycock &amp; Tilley, 1995</w:t>
      </w:r>
      <w:r w:rsidR="00C76360">
        <w:t>).</w:t>
      </w:r>
      <w:r>
        <w:t xml:space="preserve"> Additionally, police community support officers (PCSOs) serve as important intermediaries between the police and the public, promoting dialogue and understanding (Blair et al, 2021). The importance of PCSOs being a visible presence within the communities can not be understated. A large majority of the intelligence which guides police action plans comes from the public, so having a PCSO patrolling allows members of the public to approach and discuss their concerns freely, without the fear that some may associate with reporting issues within an environment such as a police station</w:t>
      </w:r>
      <w:r w:rsidR="007D7BF0">
        <w:t xml:space="preserve"> </w:t>
      </w:r>
      <w:r w:rsidR="007D7BF0">
        <w:rPr>
          <w:rFonts w:ascii="Arial" w:hAnsi="Arial" w:cs="Arial"/>
          <w:color w:val="222222"/>
          <w:sz w:val="20"/>
          <w:szCs w:val="20"/>
          <w:shd w:val="clear" w:color="auto" w:fill="FFFFFF"/>
        </w:rPr>
        <w:t>(Grant, 2013, p.286)</w:t>
      </w:r>
      <w:r w:rsidR="00B17B05">
        <w:t>.</w:t>
      </w:r>
    </w:p>
    <w:p w14:paraId="73A33578" w14:textId="38400132" w:rsidR="00A972F1" w:rsidRPr="00970F41" w:rsidRDefault="00A972F1" w:rsidP="00A972F1">
      <w:pPr>
        <w:rPr>
          <w:rFonts w:ascii="Arial" w:hAnsi="Arial" w:cs="Arial"/>
          <w:color w:val="222222"/>
          <w:sz w:val="20"/>
          <w:szCs w:val="20"/>
          <w:shd w:val="clear" w:color="auto" w:fill="FFFFFF"/>
        </w:rPr>
      </w:pPr>
      <w:r>
        <w:t>In todays digital age, social media has also emerged as a powerful tool for engagement. Local police forces can utilize platforms such as Twitter and Facebook to disseminate information regarding safety measures, crime alerts, and updates with regards to ongoing investigations</w:t>
      </w:r>
      <w:r w:rsidR="00970F41">
        <w:t xml:space="preserve"> </w:t>
      </w:r>
      <w:r w:rsidR="00970F41">
        <w:rPr>
          <w:rFonts w:ascii="Arial" w:hAnsi="Arial" w:cs="Arial"/>
          <w:color w:val="222222"/>
          <w:sz w:val="20"/>
          <w:szCs w:val="20"/>
          <w:shd w:val="clear" w:color="auto" w:fill="FFFFFF"/>
        </w:rPr>
        <w:t>(Ruddell &amp; Jones, 2013, p.64)</w:t>
      </w:r>
      <w:r w:rsidR="00970F41">
        <w:rPr>
          <w:rFonts w:ascii="Arial" w:hAnsi="Arial" w:cs="Arial"/>
          <w:color w:val="222222"/>
          <w:sz w:val="20"/>
          <w:szCs w:val="20"/>
          <w:shd w:val="clear" w:color="auto" w:fill="FFFFFF"/>
        </w:rPr>
        <w:t>.</w:t>
      </w:r>
      <w:r>
        <w:t xml:space="preserve"> Social media offers an accessible platform that allows for immediate communication with the public while bridging geographical distances (Vu et al, 2022). It’s also capable of spreading information more quickly to the general population, which can be critical in aiding police in situations such as locating missing persons. By leveraging social media effectively, police forces can engage directly with community members, address their concerns promptly, and maintain transparency</w:t>
      </w:r>
      <w:r w:rsidR="00B63855">
        <w:t xml:space="preserve"> </w:t>
      </w:r>
      <w:r w:rsidR="00B63855">
        <w:rPr>
          <w:rFonts w:ascii="Arial" w:hAnsi="Arial" w:cs="Arial"/>
          <w:color w:val="222222"/>
          <w:sz w:val="20"/>
          <w:szCs w:val="20"/>
          <w:shd w:val="clear" w:color="auto" w:fill="FFFFFF"/>
        </w:rPr>
        <w:t>(Crump, 2011, p.1)</w:t>
      </w:r>
      <w:r w:rsidR="00B63855">
        <w:rPr>
          <w:rFonts w:ascii="Arial" w:hAnsi="Arial" w:cs="Arial"/>
          <w:color w:val="222222"/>
          <w:sz w:val="20"/>
          <w:szCs w:val="20"/>
          <w:shd w:val="clear" w:color="auto" w:fill="FFFFFF"/>
        </w:rPr>
        <w:t>.</w:t>
      </w:r>
    </w:p>
    <w:p w14:paraId="57472F9C" w14:textId="039B0D5A" w:rsidR="00A972F1" w:rsidRPr="0058612E" w:rsidRDefault="00A972F1" w:rsidP="00A972F1">
      <w:pPr>
        <w:rPr>
          <w:rFonts w:ascii="Arial" w:hAnsi="Arial" w:cs="Arial"/>
          <w:color w:val="222222"/>
          <w:sz w:val="20"/>
          <w:szCs w:val="20"/>
          <w:shd w:val="clear" w:color="auto" w:fill="FFFFFF"/>
        </w:rPr>
      </w:pPr>
      <w:r>
        <w:t>Another factor in effective engagement between police and their communities is the initial response of police during emergencies and how this significantly impacts public perception</w:t>
      </w:r>
      <w:r w:rsidR="0058612E">
        <w:t xml:space="preserve"> </w:t>
      </w:r>
      <w:r w:rsidR="0058612E">
        <w:rPr>
          <w:rFonts w:ascii="Arial" w:hAnsi="Arial" w:cs="Arial"/>
          <w:color w:val="222222"/>
          <w:sz w:val="20"/>
          <w:szCs w:val="20"/>
          <w:shd w:val="clear" w:color="auto" w:fill="FFFFFF"/>
        </w:rPr>
        <w:t>(Maguire &amp; Johnson, 2010, p.703)</w:t>
      </w:r>
      <w:r w:rsidR="0058612E">
        <w:rPr>
          <w:rFonts w:ascii="Arial" w:hAnsi="Arial" w:cs="Arial"/>
          <w:color w:val="222222"/>
          <w:sz w:val="20"/>
          <w:szCs w:val="20"/>
          <w:shd w:val="clear" w:color="auto" w:fill="FFFFFF"/>
        </w:rPr>
        <w:t xml:space="preserve">. </w:t>
      </w:r>
      <w:r>
        <w:t>Instances where police officers demonstrate professionalism, empathy and efficiency contribute positively towards building trust within the communities they serve. (Van der Merwe &amp; Morelli, 2022). However, insufficient or ineffective responses to emergencies by police can lead to mistrust among community members which may hinder future cooperation or collaborations between the police and the local community</w:t>
      </w:r>
      <w:r w:rsidR="004803D2">
        <w:t xml:space="preserve"> (Maguire &amp; Johnson, 2010</w:t>
      </w:r>
      <w:r w:rsidR="000A56F4">
        <w:t>, p.703).</w:t>
      </w:r>
      <w:r>
        <w:t xml:space="preserve"> This emphasises the critical role in which response officers play in encouraging community engagement. Whereas whilst attending an initial emergency call the response to that specific incident may have been positive, there may be repercussions from other issues which arise in the area while police are in attendance. Police officers need to therefore constantly be aware of each member of the community, not just the incident they are directly dealing with, as blinkered vision towards one incident could lead to other incidents becoming overlooked and resulting in poor community cohesion in future</w:t>
      </w:r>
      <w:r w:rsidR="00CD4944">
        <w:t xml:space="preserve"> </w:t>
      </w:r>
      <w:r w:rsidR="00CD4944">
        <w:rPr>
          <w:rFonts w:ascii="Arial" w:hAnsi="Arial" w:cs="Arial"/>
          <w:color w:val="222222"/>
          <w:sz w:val="20"/>
          <w:szCs w:val="20"/>
          <w:shd w:val="clear" w:color="auto" w:fill="FFFFFF"/>
        </w:rPr>
        <w:t>(Maple &amp; Kebbell, 2021, p.2377)</w:t>
      </w:r>
      <w:r w:rsidR="00CD4944">
        <w:rPr>
          <w:rFonts w:ascii="Arial" w:hAnsi="Arial" w:cs="Arial"/>
          <w:color w:val="222222"/>
          <w:sz w:val="20"/>
          <w:szCs w:val="20"/>
          <w:shd w:val="clear" w:color="auto" w:fill="FFFFFF"/>
        </w:rPr>
        <w:t>.</w:t>
      </w:r>
    </w:p>
    <w:p w14:paraId="3115D6A8" w14:textId="34F30265" w:rsidR="00EE4B17" w:rsidRDefault="00A972F1" w:rsidP="00EE4B17">
      <w:pPr>
        <w:rPr>
          <w:rFonts w:ascii="Arial" w:hAnsi="Arial" w:cs="Arial"/>
          <w:color w:val="222222"/>
          <w:sz w:val="20"/>
          <w:szCs w:val="20"/>
          <w:shd w:val="clear" w:color="auto" w:fill="FFFFFF"/>
        </w:rPr>
      </w:pPr>
      <w:r>
        <w:t>Keeping victims updated about investigations progression is yet another crucial element of community engagement, not only for their piece of mind but also for establishing trust between the police and their local communities. Regular communication demonstrates accountability on behalf of the police force whilst also empowering victims who have been affected by crime. Open lines of communication help to build confidence that justice will be served and enhances overall community cohesion (Blair et al, 2021). Due to the nature of police work being primarily reactive from front line officers, there is a risk that communication following an incident is lacking and this lack of engagement with victims can lead to a lack of reporting of incidents in future to police</w:t>
      </w:r>
      <w:r w:rsidR="00C25824">
        <w:t xml:space="preserve"> </w:t>
      </w:r>
      <w:r w:rsidR="00EE4B17">
        <w:rPr>
          <w:rFonts w:ascii="Arial" w:hAnsi="Arial" w:cs="Arial"/>
          <w:color w:val="222222"/>
          <w:sz w:val="20"/>
          <w:szCs w:val="20"/>
          <w:shd w:val="clear" w:color="auto" w:fill="FFFFFF"/>
        </w:rPr>
        <w:t>(Nelson et al, 2003, p.125)</w:t>
      </w:r>
      <w:r w:rsidR="00C25824">
        <w:rPr>
          <w:rFonts w:ascii="Arial" w:hAnsi="Arial" w:cs="Arial"/>
          <w:color w:val="222222"/>
          <w:sz w:val="20"/>
          <w:szCs w:val="20"/>
          <w:shd w:val="clear" w:color="auto" w:fill="FFFFFF"/>
        </w:rPr>
        <w:t>.</w:t>
      </w:r>
    </w:p>
    <w:p w14:paraId="7C73F828" w14:textId="13FF0E83" w:rsidR="00A972F1" w:rsidRPr="00882FC8" w:rsidRDefault="00A972F1" w:rsidP="00A972F1">
      <w:pPr>
        <w:rPr>
          <w:rFonts w:ascii="Arial" w:hAnsi="Arial" w:cs="Arial"/>
          <w:color w:val="222222"/>
          <w:sz w:val="20"/>
          <w:szCs w:val="20"/>
          <w:shd w:val="clear" w:color="auto" w:fill="FFFFFF"/>
        </w:rPr>
      </w:pPr>
      <w:r>
        <w:t xml:space="preserve">When trust between local communities and the police as a whole is lacking, several risks arise. One significant consequence is the under reporting of crimes. Individuals who do not trust the police may be reluctant to report criminal activities, leading to a distorted understanding of the actual crime rates within communities (Chinekezi et al, 2023). This poses a severe challenge for effective crime prevention and intervention. Currently public trust in the police service in England and Wales is at record low levels. This is following examples of malpractice displayed by serving police officers in recent years, one of which most notably being the case of Sarah Everard being killed by Wayne </w:t>
      </w:r>
      <w:r>
        <w:lastRenderedPageBreak/>
        <w:t>Couzens</w:t>
      </w:r>
      <w:r w:rsidR="00082AB9">
        <w:t xml:space="preserve"> (Brown &amp; Hobbs, 2023)</w:t>
      </w:r>
      <w:r w:rsidR="00A51006">
        <w:t>.</w:t>
      </w:r>
      <w:r>
        <w:t xml:space="preserve"> Ultimately if the police do not act in a manner which is in accordance with the law, the public perception will be one that there is no hope of securing justice. This poses a massive risk as the public are less likely to report incidents of crime to police as a result. This issue of trust between the communities and the police is sadly not new however. One historic incident of relevance is that of the Brixton riots, in which police officers targeted black members of society based on their ethnicity. This lead to a severe lack of trust between members of the black community and the police force which is still prevalent today</w:t>
      </w:r>
      <w:r w:rsidR="00882FC8">
        <w:t xml:space="preserve"> </w:t>
      </w:r>
      <w:r w:rsidR="00882FC8">
        <w:rPr>
          <w:rFonts w:ascii="Arial" w:hAnsi="Arial" w:cs="Arial"/>
          <w:color w:val="222222"/>
          <w:sz w:val="20"/>
          <w:szCs w:val="20"/>
          <w:shd w:val="clear" w:color="auto" w:fill="FFFFFF"/>
        </w:rPr>
        <w:t>(Benyon &amp; Scarman, 1984, p.223)</w:t>
      </w:r>
      <w:r w:rsidR="00882FC8">
        <w:rPr>
          <w:rFonts w:ascii="Arial" w:hAnsi="Arial" w:cs="Arial"/>
          <w:color w:val="222222"/>
          <w:sz w:val="20"/>
          <w:szCs w:val="20"/>
          <w:shd w:val="clear" w:color="auto" w:fill="FFFFFF"/>
        </w:rPr>
        <w:t xml:space="preserve">. </w:t>
      </w:r>
      <w:r>
        <w:t>Measures such as employing more officers of black ethnicity to the police force go some way towards regaining part of the trust lost to these communities, however currently the proportion of black ethnicity serving police officers is still low in comparison to the ratio of black members of the United Kingdom community as a whole</w:t>
      </w:r>
      <w:r w:rsidR="00334A8E">
        <w:t xml:space="preserve"> </w:t>
      </w:r>
      <w:r w:rsidR="00334A8E">
        <w:rPr>
          <w:rFonts w:ascii="Arial" w:hAnsi="Arial" w:cs="Arial"/>
          <w:color w:val="222222"/>
          <w:sz w:val="20"/>
          <w:szCs w:val="20"/>
          <w:shd w:val="clear" w:color="auto" w:fill="FFFFFF"/>
        </w:rPr>
        <w:t>(Nicholson et al, 2017, p.206)</w:t>
      </w:r>
      <w:r w:rsidR="00334A8E">
        <w:rPr>
          <w:rFonts w:ascii="Arial" w:hAnsi="Arial" w:cs="Arial"/>
          <w:color w:val="222222"/>
          <w:sz w:val="20"/>
          <w:szCs w:val="20"/>
          <w:shd w:val="clear" w:color="auto" w:fill="FFFFFF"/>
        </w:rPr>
        <w:t>(</w:t>
      </w:r>
      <w:r w:rsidR="008B0BE7">
        <w:rPr>
          <w:rFonts w:ascii="Arial" w:hAnsi="Arial" w:cs="Arial"/>
          <w:color w:val="222222"/>
          <w:sz w:val="20"/>
          <w:szCs w:val="20"/>
          <w:shd w:val="clear" w:color="auto" w:fill="FFFFFF"/>
        </w:rPr>
        <w:t>UK census data).</w:t>
      </w:r>
    </w:p>
    <w:p w14:paraId="080411CB" w14:textId="423ECE64" w:rsidR="00A972F1" w:rsidRDefault="00A972F1" w:rsidP="00A972F1">
      <w:r>
        <w:t>A lack of trust in the police can also hinder any cooperation with police from their communities. When community members do not have faith in the police or are in fear of retaliation or repercussions, they may be less inclined to provide information or assistance to any ongoing investigations</w:t>
      </w:r>
      <w:r w:rsidR="00B7475D">
        <w:t xml:space="preserve"> (Benyon &amp; Scarman, 1984, p.223).</w:t>
      </w:r>
      <w:r>
        <w:t xml:space="preserve"> This can have the effect of hampering efforts to solve crimes efficiently and as a result has a direct impact on public safety. Maintaining a visible police presence is critical for the effective engagement with local communities. Visible policing enhances feelings of safety among residents by deterring potential criminals and providing reassurance during times of insecurity (Van de Merwe &amp; Morelli, 2022). In addition, regular interaction between police officers and community members fosters positive relationships, familiarity and mutual respect.</w:t>
      </w:r>
    </w:p>
    <w:p w14:paraId="1F2B4495" w14:textId="77777777" w:rsidR="00A972F1" w:rsidRDefault="00A972F1" w:rsidP="00A972F1">
      <w:r>
        <w:t>In conclusion, ineffective engagement between the police force and their local communities carries a significant amount of risks that undermine community cohesion and trust building. It is essential for police forces to adopt various methods of engagement such as local community meetings, neighbourhood watch schemes as well as the employment of officers such as PCSO’s to engage directly with a community, whilst also using social media platforms effectively. The first response from police officers during emergencies should prioritize professionalism and empathy to all present members of the community, not just those who are linked to the incident they are attending, to foster trust among communities with the police. Regular communication with victims contributes positively towards establishing this trust towards the police and an accountability whilst promoting confidence in the police.</w:t>
      </w:r>
    </w:p>
    <w:p w14:paraId="59F2C592" w14:textId="77777777" w:rsidR="00A972F1" w:rsidRDefault="00A972F1" w:rsidP="00A972F1">
      <w:r>
        <w:t xml:space="preserve">Additionally, the risks associated with a lack of trust include the under reporting of crimes and results in hindered cooperation with police forces. To counteract these challenges, a visible police presence should be maintained within neighbourhoods as much as is possible as it increases feelings of safety and creates positive relationships therefore building strong bonds between local communities and the police force that serves them. Ongoing efforts must continue to strengthen engagement between police and local communities as trust is currently at a record low level. This ongoing effort will contribute towards trust building, effective crime prevention, and ultimately safer and more cohesive services. </w:t>
      </w:r>
    </w:p>
    <w:p w14:paraId="5707D420" w14:textId="3D66854F" w:rsidR="00CF612E" w:rsidRDefault="00EB343F">
      <w:r>
        <w:t>(1834 words)</w:t>
      </w:r>
    </w:p>
    <w:p w14:paraId="736AB964" w14:textId="605719ED" w:rsidR="00A972F1" w:rsidRDefault="00A972F1"/>
    <w:p w14:paraId="088A88D2" w14:textId="45AF8D19" w:rsidR="00A972F1" w:rsidRDefault="00A972F1"/>
    <w:p w14:paraId="7AC4C362" w14:textId="6988757E" w:rsidR="00A972F1" w:rsidRDefault="00A972F1"/>
    <w:p w14:paraId="3F00602F" w14:textId="77777777" w:rsidR="00A972F1" w:rsidRPr="005B0AE2" w:rsidRDefault="00A972F1" w:rsidP="00A972F1">
      <w:pPr>
        <w:pStyle w:val="Default"/>
        <w:rPr>
          <w:b/>
          <w:bCs/>
          <w:sz w:val="22"/>
          <w:szCs w:val="22"/>
        </w:rPr>
      </w:pPr>
      <w:r w:rsidRPr="005B0AE2">
        <w:rPr>
          <w:b/>
          <w:bCs/>
          <w:sz w:val="22"/>
          <w:szCs w:val="22"/>
        </w:rPr>
        <w:lastRenderedPageBreak/>
        <w:t xml:space="preserve">To what extent do response officers have a role in counter-terrorism policing? Your answer must be based on academic research, although you may make reference to recent, relevant case studies. </w:t>
      </w:r>
    </w:p>
    <w:p w14:paraId="0C76CBA9" w14:textId="77777777" w:rsidR="00A972F1" w:rsidRDefault="00A972F1" w:rsidP="00A972F1">
      <w:pPr>
        <w:pStyle w:val="Default"/>
        <w:rPr>
          <w:sz w:val="22"/>
          <w:szCs w:val="22"/>
        </w:rPr>
      </w:pPr>
    </w:p>
    <w:p w14:paraId="446FCB0A" w14:textId="77777777" w:rsidR="00A972F1" w:rsidRDefault="00A972F1" w:rsidP="00A972F1">
      <w:r>
        <w:t>This essay is going to explore how counter terrorism policing is a crucial aspect of maintaining national security and preventing acts of terrorism and the role of response officers in relation to this. At the forefront of this effort are front line response police officers who play a vital role in identifying and responding to potential terrorist activity. This essay will explore the extent to which response officers are involved in the policing of counter terrorism, examining their responsibilities, communication with specialised units and historical terrorist events and the effectiveness of the response which they have previously been given.</w:t>
      </w:r>
    </w:p>
    <w:p w14:paraId="0FCD24C3" w14:textId="77777777" w:rsidR="00A972F1" w:rsidRDefault="00A972F1" w:rsidP="00A972F1">
      <w:r>
        <w:t>To begin this essay, it is necessary to look at what the definition of a terrorist incident is. A terrorist incident can be defined as an act or threat committed with the intention to intimidate or coerce a population for political, ideological, or religious purposes (Khan et al, 2021). These incidents often involve violence or the threat of violence and target innocent civilians. The objectives behind these acts include instilling fear, disrupting societal stability, and influencing political decision making.</w:t>
      </w:r>
    </w:p>
    <w:p w14:paraId="4C08166B" w14:textId="77777777" w:rsidR="00A972F1" w:rsidRDefault="00A972F1" w:rsidP="00A972F1">
      <w:r>
        <w:t>With regards to exploring the role response officers have in identifying terrorist activity, response officers have a critical role in recognising potential signs of terrorist activity within their communities. They serve as the eyes and ears on the ground, actively patrolling communities whilst remaining alert to suspicious behaviour (Black &amp; Lumsden, 2019). Their ability to identify indicators such as unusual purchases, extremist propaganda materials, or concerning activity within their local area is increased due to them having a presence in the community amongst persons who may not otherwise have been identified or known to counter terror police. By acting as an engaging set of eyes for counter terror police this can help to prevent planned attacks as information and intelligence can be relayed from response officers back to the relevant specialised units.</w:t>
      </w:r>
    </w:p>
    <w:p w14:paraId="6D50EEF2" w14:textId="1FB13EA7" w:rsidR="00A972F1" w:rsidRPr="001C24E7" w:rsidRDefault="00A972F1" w:rsidP="00A972F1">
      <w:pPr>
        <w:rPr>
          <w:rFonts w:ascii="Arial" w:hAnsi="Arial" w:cs="Arial"/>
          <w:color w:val="222222"/>
          <w:sz w:val="20"/>
          <w:szCs w:val="20"/>
          <w:shd w:val="clear" w:color="auto" w:fill="FFFFFF"/>
        </w:rPr>
      </w:pPr>
      <w:r>
        <w:t>In addition to this, response officers are also able to gather intelligence by engaging with members of the public during routine daily activities. This can be anything from attending emergencies to conducting their own investigations. Response officers are regularly out in their respective force areas, and as such tend to come across a vast amount of information purely by being at a location at a specific moment. Building strong relationships within their communities enables response officers to receive valuable information about potential threats (Cinimi, 2023). This intelligence can then be shared with specialised units including counter terror police, who are responsible for investigating terrorism related activities in more depth. By building strong relationships with members of the community in which they work, members of that community are more likely to engage and pass on information with officers which they otherwise may feel is not worth reporting. Whilst members of the public may generally not consider some information to be worth reporting directly to the police, having it come up naturally in conversation can prove an efficient way for response officers to develop intelligence which may contribute to ongoing investigations by counter terror officers</w:t>
      </w:r>
      <w:r w:rsidR="001C24E7">
        <w:t xml:space="preserve"> </w:t>
      </w:r>
      <w:r w:rsidR="001C24E7">
        <w:rPr>
          <w:rFonts w:ascii="Arial" w:hAnsi="Arial" w:cs="Arial"/>
          <w:color w:val="222222"/>
          <w:sz w:val="20"/>
          <w:szCs w:val="20"/>
          <w:shd w:val="clear" w:color="auto" w:fill="FFFFFF"/>
        </w:rPr>
        <w:t>(Innes, 2006, p.222)</w:t>
      </w:r>
      <w:r w:rsidR="001C24E7">
        <w:rPr>
          <w:rFonts w:ascii="Arial" w:hAnsi="Arial" w:cs="Arial"/>
          <w:color w:val="222222"/>
          <w:sz w:val="20"/>
          <w:szCs w:val="20"/>
          <w:shd w:val="clear" w:color="auto" w:fill="FFFFFF"/>
        </w:rPr>
        <w:t>.</w:t>
      </w:r>
    </w:p>
    <w:p w14:paraId="54EB9F37" w14:textId="0B78F8F1" w:rsidR="00A972F1" w:rsidRPr="0090021C" w:rsidRDefault="00A972F1" w:rsidP="00A972F1">
      <w:pPr>
        <w:rPr>
          <w:rFonts w:ascii="Arial" w:hAnsi="Arial" w:cs="Arial"/>
          <w:color w:val="222222"/>
          <w:sz w:val="20"/>
          <w:szCs w:val="20"/>
          <w:shd w:val="clear" w:color="auto" w:fill="FFFFFF"/>
        </w:rPr>
      </w:pPr>
      <w:r>
        <w:t xml:space="preserve">The importance of effective communication between response officers and counter terror police is paramount in countering terrorism efficiently (Chase et al, 2022). By establishing clear lines of communication, information sharing becomes more streamlined leading to better coordination among agencies involved in counter terrorism efforts. This has become much easier since the introduction of computers and the ability to share information more easily and quicker with other agencies. This enables counter terror police and other agencies to react faster to reports submitted to them by response officers, and ultimately lead to safer communities as a result. Front line officers </w:t>
      </w:r>
      <w:r>
        <w:lastRenderedPageBreak/>
        <w:t>such as response police are the first responders to incidents and are often in a unique position as a result to gather valuable evidence at the scene. By promptly relaying this information to counter terror police, response officers facilitate more efficient investigations. This collaboration enhances overall effectiveness in preventing terrorist incidents as it allows for a swift and targeted response</w:t>
      </w:r>
      <w:r w:rsidR="0090021C">
        <w:t xml:space="preserve"> </w:t>
      </w:r>
      <w:r w:rsidR="0090021C">
        <w:rPr>
          <w:rFonts w:ascii="Arial" w:hAnsi="Arial" w:cs="Arial"/>
          <w:color w:val="222222"/>
          <w:sz w:val="20"/>
          <w:szCs w:val="20"/>
          <w:shd w:val="clear" w:color="auto" w:fill="FFFFFF"/>
        </w:rPr>
        <w:t>(Flanagin, 2002, p.85)</w:t>
      </w:r>
      <w:r w:rsidR="0090021C">
        <w:rPr>
          <w:rFonts w:ascii="Arial" w:hAnsi="Arial" w:cs="Arial"/>
          <w:color w:val="222222"/>
          <w:sz w:val="20"/>
          <w:szCs w:val="20"/>
          <w:shd w:val="clear" w:color="auto" w:fill="FFFFFF"/>
        </w:rPr>
        <w:t>.</w:t>
      </w:r>
    </w:p>
    <w:p w14:paraId="6E47F0FF" w14:textId="77777777" w:rsidR="00A972F1" w:rsidRDefault="00A972F1" w:rsidP="00A972F1">
      <w:r>
        <w:t xml:space="preserve">In recent history, there have been several occasions of responses to terrorist incidents in which the actions of response officers have played a pivotal role in furthering investigations by counter terror police. Such events as the 2005 7/7 London bus bombing, the 2017 Ariana Grande Manchester arena bombing, and the 2019 London bridge attacks serve as illustrative examples of how response officers were involved in identifying threats, responding to the emergencies, and supporting the ongoing investigation by other agencies (Black &amp; Lumsden, 2019). In these instances, response officers have played crucial roles in securing incident scenes, providing medical assistance to victims who may later become invaluable as witnesses, gathering witness statements, and collecting or preserving forensic evidence. These contributions would have been instrumental in advancing subsequent investigations. By effectively cordoning and preserving a scene, it allows for counter terrorism police to identify potential evidence which enables them to identify the group to which the individuals involved in the attacks were affiliated. This can help progress further investigations and lead to the identification of other factions of these groups allowing them to be prevented from carrying out further attacks. </w:t>
      </w:r>
    </w:p>
    <w:p w14:paraId="58F555AE" w14:textId="37DC056D" w:rsidR="00A972F1" w:rsidRPr="00AE7161" w:rsidRDefault="00A972F1" w:rsidP="00A972F1">
      <w:pPr>
        <w:rPr>
          <w:rFonts w:ascii="Arial" w:hAnsi="Arial" w:cs="Arial"/>
          <w:color w:val="222222"/>
          <w:sz w:val="20"/>
          <w:szCs w:val="20"/>
          <w:shd w:val="clear" w:color="auto" w:fill="FFFFFF"/>
        </w:rPr>
      </w:pPr>
      <w:r>
        <w:t>Response officers in these situations are in a unique position by being first to arrive at a scene, as they are able to provide first accounts and descriptions of what they have witnessed themselves. They are also able to identify the first accounts of witnesses who may have been present at the time of the attacks, which provides crucial information to counter terror agencies to help further investigations to prevent further attacks. By speaking with people on initial attendance, there is less of a risk of information becoming lost as members of the public may not feel the need to report something retrospectively as they may not feel that it is as relevant given the scale of everything else which has happened. The ability of response officers to preserve evidence in situ on scene also helps prevent cross contamination which leads to a more targeted investigation when counter terror police take over the investigations</w:t>
      </w:r>
      <w:r w:rsidR="00AE7161">
        <w:t xml:space="preserve"> </w:t>
      </w:r>
      <w:r w:rsidR="00AE7161">
        <w:rPr>
          <w:rFonts w:ascii="Arial" w:hAnsi="Arial" w:cs="Arial"/>
          <w:color w:val="222222"/>
          <w:sz w:val="20"/>
          <w:szCs w:val="20"/>
          <w:shd w:val="clear" w:color="auto" w:fill="FFFFFF"/>
        </w:rPr>
        <w:t>(Thomas, 2016, p.31)</w:t>
      </w:r>
      <w:r w:rsidR="00AE7161">
        <w:rPr>
          <w:rFonts w:ascii="Arial" w:hAnsi="Arial" w:cs="Arial"/>
          <w:color w:val="222222"/>
          <w:sz w:val="20"/>
          <w:szCs w:val="20"/>
          <w:shd w:val="clear" w:color="auto" w:fill="FFFFFF"/>
        </w:rPr>
        <w:t>.</w:t>
      </w:r>
    </w:p>
    <w:p w14:paraId="56E4D58B" w14:textId="63F92535" w:rsidR="00A972F1" w:rsidRPr="00213B89" w:rsidRDefault="00A972F1" w:rsidP="00A972F1">
      <w:pPr>
        <w:rPr>
          <w:rFonts w:ascii="Arial" w:hAnsi="Arial" w:cs="Arial"/>
          <w:color w:val="222222"/>
          <w:sz w:val="20"/>
          <w:szCs w:val="20"/>
          <w:shd w:val="clear" w:color="auto" w:fill="FFFFFF"/>
        </w:rPr>
      </w:pPr>
      <w:r>
        <w:t>Response officers have been the first to engage with incidents of a terrorist nature in more distant history as well. To provide an historical context to the role of front line police officers in counter terrorism policing, it is essential to examine their responses during the period of the IRA bombings from the seventies right through to the early twenty first century. During this period, and particularly during the seventies and eighties, response officers faced significant challenges due to limited resources and technological advancements (Chase et al, 2022). Compared with modern day tactics for response officers dealing with a terrorist incident, response officers of this time had a far more difficult time as it was more difficult to coordinate and liaise quickly across the length of each force within England and Wales. This was in large part due to the technologies which modern response officers have ease of access to today, simply not being as readily available to the response officers of this era</w:t>
      </w:r>
      <w:r w:rsidR="00213B89">
        <w:t xml:space="preserve"> </w:t>
      </w:r>
      <w:r w:rsidR="00213B89">
        <w:rPr>
          <w:rFonts w:ascii="Arial" w:hAnsi="Arial" w:cs="Arial"/>
          <w:color w:val="222222"/>
          <w:sz w:val="20"/>
          <w:szCs w:val="20"/>
          <w:shd w:val="clear" w:color="auto" w:fill="FFFFFF"/>
        </w:rPr>
        <w:t>(Coaffee, 2004, p.201)</w:t>
      </w:r>
      <w:r w:rsidR="00213B89">
        <w:rPr>
          <w:rFonts w:ascii="Arial" w:hAnsi="Arial" w:cs="Arial"/>
          <w:color w:val="222222"/>
          <w:sz w:val="20"/>
          <w:szCs w:val="20"/>
          <w:shd w:val="clear" w:color="auto" w:fill="FFFFFF"/>
        </w:rPr>
        <w:t>.</w:t>
      </w:r>
    </w:p>
    <w:p w14:paraId="23E10D77" w14:textId="07E83286" w:rsidR="00A972F1" w:rsidRDefault="00A972F1" w:rsidP="00A972F1">
      <w:r>
        <w:t>However, despite these constraints, response officers demonstrated resilience by adapting their tactics through increased intelligence sharing within the communities which were affected by IRA activities. They developed closer ties with residents of these communities who as a result were able to provide critical information that aided efforts against future attacks</w:t>
      </w:r>
      <w:r w:rsidR="00473F34">
        <w:t xml:space="preserve"> (Innes, 2006, p.222). </w:t>
      </w:r>
      <w:r>
        <w:t xml:space="preserve">This strengthens the argument of the critical role in which response officers play a role in counter terrorism policing. Front line officers are regularly community facing, and as a result are uniquely </w:t>
      </w:r>
      <w:r>
        <w:lastRenderedPageBreak/>
        <w:t>placed to develop these relationships within their community, allowing for members of the public to feel that they are able to approach the police more openly to discuss any concerns which they may have.</w:t>
      </w:r>
    </w:p>
    <w:p w14:paraId="0BCE4B27" w14:textId="49DEB376" w:rsidR="00A972F1" w:rsidRDefault="00A972F1" w:rsidP="00A972F1">
      <w:r>
        <w:t>Over time, counter terrorism strategies ha</w:t>
      </w:r>
      <w:r w:rsidR="00FC1A04">
        <w:t>ve</w:t>
      </w:r>
      <w:r>
        <w:t xml:space="preserve"> evolved significantly in large part due to advances in technology, as well as changes in legislation and improved training methods (Chase et al, 2022).  Changes in legislation such as the terrorism act of 2000</w:t>
      </w:r>
      <w:r w:rsidR="004C342B">
        <w:t>,</w:t>
      </w:r>
      <w:r w:rsidR="005B7410">
        <w:t xml:space="preserve"> </w:t>
      </w:r>
      <w:r>
        <w:t>have allowed for police officers to have more powers in relation to dealing with persons suspected of being involved in terrorist activity</w:t>
      </w:r>
      <w:r w:rsidR="004C342B">
        <w:t xml:space="preserve"> </w:t>
      </w:r>
      <w:r w:rsidR="004C342B">
        <w:t>(Bryant, 2021, p.184)</w:t>
      </w:r>
      <w:r w:rsidR="004C342B">
        <w:t>.</w:t>
      </w:r>
      <w:r>
        <w:t xml:space="preserve"> These powers include stop and search powers under sections 43, 43A and 47A. Section 43 allows police officers to stop, detain, and search any person whom they suspect to be a terrorist, or any person who may be in possession of an item which may constitute evidence of being involved in terrorist activity. Section 43A is similar but is in relation to the stop search powers of vehicles. Section 47A of the act allows for a police officer within a specified area and time period to search any person or vehicle. This is only in relation to searching for evidence of terror activity, however differing from other search powers, there is no need for the police officer to have reasonable suspicion that the person or vehicle is connected with terrorist activity. There is also additional powers of detention of terror suspects under the police and criminal evidence act Code H </w:t>
      </w:r>
      <w:r w:rsidR="00707FBC">
        <w:t>(</w:t>
      </w:r>
      <w:r w:rsidR="00AA1B0B">
        <w:t>Bryant, 2021, p.</w:t>
      </w:r>
      <w:r w:rsidR="006A1956">
        <w:t>68).</w:t>
      </w:r>
      <w:r>
        <w:t xml:space="preserve">  </w:t>
      </w:r>
    </w:p>
    <w:p w14:paraId="0425BE22" w14:textId="77777777" w:rsidR="00A972F1" w:rsidRDefault="00A972F1" w:rsidP="00A972F1">
      <w:r>
        <w:t xml:space="preserve">Response officers today are able to benefit from increased access to new tools and systems designed to identify and respond to potential terrorist threats. Modern day response officers are equipped with more training in regards to recognising the signs of suspicious behaviour online and offline, enabling them to contribute effectively to the overall counter terrorism efforts of the United Kingdom. </w:t>
      </w:r>
    </w:p>
    <w:p w14:paraId="36FBE336" w14:textId="77777777" w:rsidR="00A972F1" w:rsidRDefault="00A972F1" w:rsidP="00A972F1">
      <w:r>
        <w:t xml:space="preserve">In conclusion, response officers play a vital role in counter terrorism policing by identifying and responding to potential threats, collaborating with specialised units such as counter terror police, and have adapted their strategies over time to become more efficient. Their contributions are essential in the gathering of intelligence, therefore aiding in the prevention of attacks from taking place, and supporting the wider investigations. By recognising the significance of response officers involvement, we can continue to enhance our national security measures effectively as a whole. Further training and research for response officers in the field of counter terrorism policing could seek to explore ongoing training initiatives for response officers that focus on early detection of radicalisation patterns within communities and improving community orientated approaches to gather actionable intelligence, as this has proved effective in the past. Understanding the evolving nature of terrorist threats is crucial for developing effective prevention strategies. This research could inform policy decisions aimed at strengthening collaboration between response officers and specialised units involved in countering terrorism. </w:t>
      </w:r>
    </w:p>
    <w:p w14:paraId="784865AE" w14:textId="7C8F0584" w:rsidR="00A972F1" w:rsidRDefault="00EC735A" w:rsidP="00A972F1">
      <w:r>
        <w:t>(1802 words)</w:t>
      </w:r>
    </w:p>
    <w:p w14:paraId="6A5A4792" w14:textId="77777777" w:rsidR="00A972F1" w:rsidRDefault="00A972F1"/>
    <w:p w14:paraId="7D2E5D52" w14:textId="77777777" w:rsidR="009C2F9F" w:rsidRDefault="009C2F9F"/>
    <w:p w14:paraId="03E91A45" w14:textId="77777777" w:rsidR="009C2F9F" w:rsidRDefault="009C2F9F"/>
    <w:p w14:paraId="6EDA6AAA" w14:textId="77777777" w:rsidR="009C2F9F" w:rsidRDefault="009C2F9F"/>
    <w:p w14:paraId="0C7C6E27" w14:textId="77777777" w:rsidR="009C2F9F" w:rsidRDefault="009C2F9F"/>
    <w:p w14:paraId="713DE826" w14:textId="77777777" w:rsidR="009C2F9F" w:rsidRDefault="009C2F9F"/>
    <w:p w14:paraId="64EC0FB7" w14:textId="7B77D462" w:rsidR="009C2F9F" w:rsidRDefault="009C2F9F">
      <w:pPr>
        <w:rPr>
          <w:b/>
          <w:bCs/>
          <w:u w:val="single"/>
        </w:rPr>
      </w:pPr>
      <w:r>
        <w:rPr>
          <w:b/>
          <w:bCs/>
          <w:u w:val="single"/>
        </w:rPr>
        <w:lastRenderedPageBreak/>
        <w:t>BIBLIOGRAPHY</w:t>
      </w:r>
    </w:p>
    <w:p w14:paraId="4332966D" w14:textId="77777777" w:rsidR="001F77BB" w:rsidRDefault="001F77BB" w:rsidP="00D53953">
      <w:pPr>
        <w:rPr>
          <w:rFonts w:ascii="Arial" w:hAnsi="Arial" w:cs="Arial"/>
          <w:color w:val="222222"/>
          <w:sz w:val="20"/>
          <w:szCs w:val="20"/>
          <w:shd w:val="clear" w:color="auto" w:fill="FFFFFF"/>
        </w:rPr>
      </w:pPr>
      <w:r>
        <w:rPr>
          <w:rFonts w:ascii="Arial" w:hAnsi="Arial" w:cs="Arial"/>
          <w:color w:val="222222"/>
          <w:sz w:val="20"/>
          <w:szCs w:val="20"/>
          <w:shd w:val="clear" w:color="auto" w:fill="FFFFFF"/>
        </w:rPr>
        <w:t>Alkhalil, Z., Hewage, C., Nawaf, L. and Khan, I., 2021. Phishing attacks: A recent comprehensive study and a new anatomy. </w:t>
      </w:r>
      <w:r>
        <w:rPr>
          <w:rFonts w:ascii="Arial" w:hAnsi="Arial" w:cs="Arial"/>
          <w:i/>
          <w:iCs/>
          <w:color w:val="222222"/>
          <w:sz w:val="20"/>
          <w:szCs w:val="20"/>
          <w:shd w:val="clear" w:color="auto" w:fill="FFFFFF"/>
        </w:rPr>
        <w:t>Frontiers in Computer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 p.563060.</w:t>
      </w:r>
    </w:p>
    <w:p w14:paraId="06C1A56C" w14:textId="77777777" w:rsidR="001F77BB" w:rsidRDefault="001F77BB" w:rsidP="00495D78">
      <w:pPr>
        <w:rPr>
          <w:rFonts w:ascii="Arial" w:hAnsi="Arial" w:cs="Arial"/>
          <w:color w:val="222222"/>
          <w:sz w:val="20"/>
          <w:szCs w:val="20"/>
          <w:shd w:val="clear" w:color="auto" w:fill="FFFFFF"/>
        </w:rPr>
      </w:pPr>
      <w:r>
        <w:rPr>
          <w:rFonts w:ascii="Arial" w:hAnsi="Arial" w:cs="Arial"/>
          <w:color w:val="222222"/>
          <w:sz w:val="20"/>
          <w:szCs w:val="20"/>
          <w:shd w:val="clear" w:color="auto" w:fill="FFFFFF"/>
        </w:rPr>
        <w:t>Barton, H. and Valero-Silva, N., 2013. Policing in partnership: a case study in crime prevention. </w:t>
      </w:r>
      <w:r>
        <w:rPr>
          <w:rFonts w:ascii="Arial" w:hAnsi="Arial" w:cs="Arial"/>
          <w:i/>
          <w:iCs/>
          <w:color w:val="222222"/>
          <w:sz w:val="20"/>
          <w:szCs w:val="20"/>
          <w:shd w:val="clear" w:color="auto" w:fill="FFFFFF"/>
        </w:rPr>
        <w:t>International Journal of Public Sector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 xml:space="preserve">(7), pp.543-553. </w:t>
      </w:r>
    </w:p>
    <w:p w14:paraId="4DF3E132"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Benyon, J., 1984. Scarman and after. In </w:t>
      </w:r>
      <w:r>
        <w:rPr>
          <w:rFonts w:ascii="Arial" w:hAnsi="Arial" w:cs="Arial"/>
          <w:i/>
          <w:iCs/>
          <w:color w:val="222222"/>
          <w:sz w:val="20"/>
          <w:szCs w:val="20"/>
          <w:shd w:val="clear" w:color="auto" w:fill="FFFFFF"/>
        </w:rPr>
        <w:t>Scarman and After</w:t>
      </w:r>
      <w:r>
        <w:rPr>
          <w:rFonts w:ascii="Arial" w:hAnsi="Arial" w:cs="Arial"/>
          <w:color w:val="222222"/>
          <w:sz w:val="20"/>
          <w:szCs w:val="20"/>
          <w:shd w:val="clear" w:color="auto" w:fill="FFFFFF"/>
        </w:rPr>
        <w:t> (pp. 233-243).</w:t>
      </w:r>
    </w:p>
    <w:p w14:paraId="20132783"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Blair, G., Weinstein, J.M., Christia, F., Arias, E., Badran, E., Blair, R.A., Cheema, A., Farooqui, A., Fetzer, T., Grossman, G. and Haim, D., 2021. Community policing does not build citizen trust in police or reduce crime in the Global South. </w:t>
      </w:r>
      <w:r>
        <w:rPr>
          <w:rFonts w:ascii="Arial" w:hAnsi="Arial" w:cs="Arial"/>
          <w:i/>
          <w:iCs/>
          <w:color w:val="222222"/>
          <w:sz w:val="20"/>
          <w:szCs w:val="20"/>
          <w:shd w:val="clear" w:color="auto" w:fill="FFFFFF"/>
        </w:rPr>
        <w:t>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374</w:t>
      </w:r>
      <w:r>
        <w:rPr>
          <w:rFonts w:ascii="Arial" w:hAnsi="Arial" w:cs="Arial"/>
          <w:color w:val="222222"/>
          <w:sz w:val="20"/>
          <w:szCs w:val="20"/>
          <w:shd w:val="clear" w:color="auto" w:fill="FFFFFF"/>
        </w:rPr>
        <w:t>(6571), p.eabd3446</w:t>
      </w:r>
    </w:p>
    <w:p w14:paraId="19DF9918"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Bradford, B., 2014. Policing and social identity: Procedural justice, inclusion and cooperation between police and public. </w:t>
      </w:r>
      <w:r>
        <w:rPr>
          <w:rFonts w:ascii="Arial" w:hAnsi="Arial" w:cs="Arial"/>
          <w:i/>
          <w:iCs/>
          <w:color w:val="222222"/>
          <w:sz w:val="20"/>
          <w:szCs w:val="20"/>
          <w:shd w:val="clear" w:color="auto" w:fill="FFFFFF"/>
        </w:rPr>
        <w:t>Policing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 pp.22-43</w:t>
      </w:r>
    </w:p>
    <w:p w14:paraId="3200F2A7"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Brown, R. and Hobbs, A., 2023. Trust in the police</w:t>
      </w:r>
      <w:r>
        <w:rPr>
          <w:rFonts w:ascii="Arial" w:hAnsi="Arial" w:cs="Arial"/>
          <w:color w:val="222222"/>
          <w:sz w:val="20"/>
          <w:szCs w:val="20"/>
          <w:shd w:val="clear" w:color="auto" w:fill="FFFFFF"/>
        </w:rPr>
        <w:t>, researchgate.net (Accessed: 23 August 2023).</w:t>
      </w:r>
    </w:p>
    <w:p w14:paraId="6969CEB3" w14:textId="77777777" w:rsidR="001F77BB" w:rsidRDefault="001F77BB" w:rsidP="00A97B2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Bryant, R, Bryant, S, (2021) </w:t>
      </w:r>
      <w:r>
        <w:rPr>
          <w:rFonts w:ascii="Arial" w:hAnsi="Arial" w:cs="Arial"/>
          <w:i/>
          <w:iCs/>
          <w:color w:val="222222"/>
          <w:sz w:val="20"/>
          <w:szCs w:val="20"/>
          <w:shd w:val="clear" w:color="auto" w:fill="FFFFFF"/>
        </w:rPr>
        <w:t xml:space="preserve">Blackstone’s handbook for policing students </w:t>
      </w:r>
      <w:r>
        <w:rPr>
          <w:rFonts w:ascii="Arial" w:hAnsi="Arial" w:cs="Arial"/>
          <w:color w:val="222222"/>
          <w:sz w:val="20"/>
          <w:szCs w:val="20"/>
          <w:shd w:val="clear" w:color="auto" w:fill="FFFFFF"/>
        </w:rPr>
        <w:t>15</w:t>
      </w:r>
      <w:r w:rsidRPr="000C25CF">
        <w:rPr>
          <w:rFonts w:ascii="Arial" w:hAnsi="Arial" w:cs="Arial"/>
          <w:color w:val="222222"/>
          <w:sz w:val="20"/>
          <w:szCs w:val="20"/>
          <w:shd w:val="clear" w:color="auto" w:fill="FFFFFF"/>
          <w:vertAlign w:val="superscript"/>
        </w:rPr>
        <w:t>th</w:t>
      </w:r>
      <w:r>
        <w:rPr>
          <w:rFonts w:ascii="Arial" w:hAnsi="Arial" w:cs="Arial"/>
          <w:color w:val="222222"/>
          <w:sz w:val="20"/>
          <w:szCs w:val="20"/>
          <w:shd w:val="clear" w:color="auto" w:fill="FFFFFF"/>
        </w:rPr>
        <w:t xml:space="preserve"> edn. Oxford university press.</w:t>
      </w:r>
    </w:p>
    <w:p w14:paraId="1B2BA7A9"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Chinekezi, O., Andress, L., Agonafer, E.P., Massick, S., Piepenbrink, S., Sutton, K.M., Alberti, P.M., De la Torre, D., Guillot-Wright, S. and Lee, M., 2023. From the national to the local: Issues of trust and a model for community-academic-engagement. </w:t>
      </w:r>
      <w:r>
        <w:rPr>
          <w:rFonts w:ascii="Arial" w:hAnsi="Arial" w:cs="Arial"/>
          <w:i/>
          <w:iCs/>
          <w:color w:val="222222"/>
          <w:sz w:val="20"/>
          <w:szCs w:val="20"/>
          <w:shd w:val="clear" w:color="auto" w:fill="FFFFFF"/>
        </w:rPr>
        <w:t>Frontiers in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 p.1068425.</w:t>
      </w:r>
    </w:p>
    <w:p w14:paraId="74CBB0D2" w14:textId="77777777" w:rsidR="001F77BB" w:rsidRDefault="001F77BB" w:rsidP="00D53953">
      <w:pPr>
        <w:rPr>
          <w:rFonts w:ascii="Arial" w:hAnsi="Arial" w:cs="Arial"/>
          <w:color w:val="222222"/>
          <w:sz w:val="20"/>
          <w:szCs w:val="20"/>
          <w:shd w:val="clear" w:color="auto" w:fill="FFFFFF"/>
        </w:rPr>
      </w:pPr>
      <w:r>
        <w:rPr>
          <w:rFonts w:ascii="Arial" w:hAnsi="Arial" w:cs="Arial"/>
          <w:color w:val="222222"/>
          <w:sz w:val="20"/>
          <w:szCs w:val="20"/>
          <w:shd w:val="clear" w:color="auto" w:fill="FFFFFF"/>
        </w:rPr>
        <w:t>Coaffee, J., 2004. Rings of steel, rings of concrete and rings of confidence: designing out terrorism in central London pre and post September 11th. </w:t>
      </w:r>
      <w:r>
        <w:rPr>
          <w:rFonts w:ascii="Arial" w:hAnsi="Arial" w:cs="Arial"/>
          <w:i/>
          <w:iCs/>
          <w:color w:val="222222"/>
          <w:sz w:val="20"/>
          <w:szCs w:val="20"/>
          <w:shd w:val="clear" w:color="auto" w:fill="FFFFFF"/>
        </w:rPr>
        <w:t>International Journal of Urban and Regional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(1), pp.201-211.</w:t>
      </w:r>
    </w:p>
    <w:p w14:paraId="454B4B7E" w14:textId="77777777" w:rsidR="001F77BB" w:rsidRDefault="001F77BB" w:rsidP="002803FD">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College of policing, (2023), Available at: </w:t>
      </w:r>
      <w:hyperlink r:id="rId4" w:history="1">
        <w:r w:rsidRPr="00726765">
          <w:rPr>
            <w:rStyle w:val="Hyperlink"/>
            <w:rFonts w:ascii="Arial" w:hAnsi="Arial" w:cs="Arial"/>
            <w:i/>
            <w:iCs/>
            <w:sz w:val="20"/>
            <w:szCs w:val="20"/>
            <w:shd w:val="clear" w:color="auto" w:fill="FFFFFF"/>
          </w:rPr>
          <w:t>www.college.police.uk</w:t>
        </w:r>
      </w:hyperlink>
      <w:r>
        <w:rPr>
          <w:rFonts w:ascii="Arial" w:hAnsi="Arial" w:cs="Arial"/>
          <w:i/>
          <w:iCs/>
          <w:color w:val="222222"/>
          <w:sz w:val="20"/>
          <w:szCs w:val="20"/>
          <w:shd w:val="clear" w:color="auto" w:fill="FFFFFF"/>
        </w:rPr>
        <w:t xml:space="preserve"> </w:t>
      </w:r>
      <w:r>
        <w:rPr>
          <w:rFonts w:ascii="Arial" w:hAnsi="Arial" w:cs="Arial"/>
          <w:color w:val="222222"/>
          <w:sz w:val="20"/>
          <w:szCs w:val="20"/>
          <w:shd w:val="clear" w:color="auto" w:fill="FFFFFF"/>
        </w:rPr>
        <w:t xml:space="preserve">(Accessed: </w:t>
      </w:r>
      <w:r>
        <w:rPr>
          <w:rFonts w:ascii="Arial" w:hAnsi="Arial" w:cs="Arial"/>
          <w:color w:val="222222"/>
          <w:sz w:val="20"/>
          <w:szCs w:val="20"/>
          <w:shd w:val="clear" w:color="auto" w:fill="FFFFFF"/>
        </w:rPr>
        <w:t>28</w:t>
      </w:r>
      <w:r>
        <w:rPr>
          <w:rFonts w:ascii="Arial" w:hAnsi="Arial" w:cs="Arial"/>
          <w:color w:val="222222"/>
          <w:sz w:val="20"/>
          <w:szCs w:val="20"/>
          <w:shd w:val="clear" w:color="auto" w:fill="FFFFFF"/>
        </w:rPr>
        <w:t xml:space="preserve"> A</w:t>
      </w:r>
      <w:r>
        <w:rPr>
          <w:rFonts w:ascii="Arial" w:hAnsi="Arial" w:cs="Arial"/>
          <w:color w:val="222222"/>
          <w:sz w:val="20"/>
          <w:szCs w:val="20"/>
          <w:shd w:val="clear" w:color="auto" w:fill="FFFFFF"/>
        </w:rPr>
        <w:t>ugust</w:t>
      </w:r>
      <w:r>
        <w:rPr>
          <w:rFonts w:ascii="Arial" w:hAnsi="Arial" w:cs="Arial"/>
          <w:color w:val="222222"/>
          <w:sz w:val="20"/>
          <w:szCs w:val="20"/>
          <w:shd w:val="clear" w:color="auto" w:fill="FFFFFF"/>
        </w:rPr>
        <w:t xml:space="preserve"> 2023)</w:t>
      </w:r>
    </w:p>
    <w:p w14:paraId="749C0D7E"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Crump, J., 2011. What are the police doing on Twitter? Social media, the police and the public. </w:t>
      </w:r>
      <w:r>
        <w:rPr>
          <w:rFonts w:ascii="Arial" w:hAnsi="Arial" w:cs="Arial"/>
          <w:i/>
          <w:iCs/>
          <w:color w:val="222222"/>
          <w:sz w:val="20"/>
          <w:szCs w:val="20"/>
          <w:shd w:val="clear" w:color="auto" w:fill="FFFFFF"/>
        </w:rPr>
        <w:t>Policy &amp; internet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(4), pp.1-27.</w:t>
      </w:r>
    </w:p>
    <w:p w14:paraId="21BE8A1E" w14:textId="77777777" w:rsidR="001F77BB" w:rsidRDefault="001F77BB" w:rsidP="00D53953">
      <w:pPr>
        <w:rPr>
          <w:rFonts w:ascii="Arial" w:hAnsi="Arial" w:cs="Arial"/>
          <w:color w:val="222222"/>
          <w:sz w:val="20"/>
          <w:szCs w:val="20"/>
          <w:shd w:val="clear" w:color="auto" w:fill="FFFFFF"/>
        </w:rPr>
      </w:pPr>
      <w:r>
        <w:rPr>
          <w:rFonts w:ascii="Arial" w:hAnsi="Arial" w:cs="Arial"/>
          <w:color w:val="222222"/>
          <w:sz w:val="20"/>
          <w:szCs w:val="20"/>
          <w:shd w:val="clear" w:color="auto" w:fill="FFFFFF"/>
        </w:rPr>
        <w:t>Flanagin, A.J., 2002. The impact of contemporary communication and information technologies on police organizations. </w:t>
      </w:r>
      <w:r>
        <w:rPr>
          <w:rFonts w:ascii="Arial" w:hAnsi="Arial" w:cs="Arial"/>
          <w:i/>
          <w:iCs/>
          <w:color w:val="222222"/>
          <w:sz w:val="20"/>
          <w:szCs w:val="20"/>
          <w:shd w:val="clear" w:color="auto" w:fill="FFFFFF"/>
        </w:rPr>
        <w:t>Law enforcement, communication and community</w:t>
      </w:r>
      <w:r>
        <w:rPr>
          <w:rFonts w:ascii="Arial" w:hAnsi="Arial" w:cs="Arial"/>
          <w:color w:val="222222"/>
          <w:sz w:val="20"/>
          <w:szCs w:val="20"/>
          <w:shd w:val="clear" w:color="auto" w:fill="FFFFFF"/>
        </w:rPr>
        <w:t>, pp.85-107.</w:t>
      </w:r>
    </w:p>
    <w:p w14:paraId="25C577BE"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Grant, K., 2013. Proactive policing: the role of a police community support officer and the value of community engagement: work based learning report. </w:t>
      </w:r>
      <w:r>
        <w:rPr>
          <w:rFonts w:ascii="Arial" w:hAnsi="Arial" w:cs="Arial"/>
          <w:i/>
          <w:iCs/>
          <w:color w:val="222222"/>
          <w:sz w:val="20"/>
          <w:szCs w:val="20"/>
          <w:shd w:val="clear" w:color="auto" w:fill="FFFFFF"/>
        </w:rPr>
        <w:t>Plymouth Law and Criminal Justice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 pp.286-289.</w:t>
      </w:r>
    </w:p>
    <w:p w14:paraId="238F7B82" w14:textId="77777777" w:rsidR="001F77BB" w:rsidRDefault="001F77BB" w:rsidP="00384B68">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Holdaway, S., (1998). ‘Police race relations in England: A history of policy.’ </w:t>
      </w:r>
      <w:r>
        <w:rPr>
          <w:rFonts w:ascii="Arial" w:hAnsi="Arial" w:cs="Arial"/>
          <w:i/>
          <w:iCs/>
          <w:color w:val="222222"/>
          <w:sz w:val="20"/>
          <w:szCs w:val="20"/>
          <w:shd w:val="clear" w:color="auto" w:fill="FFFFFF"/>
        </w:rPr>
        <w:t>International Journal of Intercultural Relations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(3), pp.329-349.</w:t>
      </w:r>
    </w:p>
    <w:p w14:paraId="5281E8A4"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Innes, M., 2006. Policing uncertainty: Countering terror through community intelligence and democratic policing. </w:t>
      </w:r>
      <w:r>
        <w:rPr>
          <w:rFonts w:ascii="Arial" w:hAnsi="Arial" w:cs="Arial"/>
          <w:i/>
          <w:iCs/>
          <w:color w:val="222222"/>
          <w:sz w:val="20"/>
          <w:szCs w:val="20"/>
          <w:shd w:val="clear" w:color="auto" w:fill="FFFFFF"/>
        </w:rPr>
        <w:t>The Annals of the American Academy of Political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605</w:t>
      </w:r>
      <w:r>
        <w:rPr>
          <w:rFonts w:ascii="Arial" w:hAnsi="Arial" w:cs="Arial"/>
          <w:color w:val="222222"/>
          <w:sz w:val="20"/>
          <w:szCs w:val="20"/>
          <w:shd w:val="clear" w:color="auto" w:fill="FFFFFF"/>
        </w:rPr>
        <w:t>(1), pp.222-241</w:t>
      </w:r>
    </w:p>
    <w:p w14:paraId="5CC6C12E" w14:textId="77777777" w:rsidR="001F77BB" w:rsidRDefault="001F77BB" w:rsidP="00D53953">
      <w:pPr>
        <w:rPr>
          <w:rFonts w:ascii="Arial" w:hAnsi="Arial" w:cs="Arial"/>
          <w:color w:val="222222"/>
          <w:sz w:val="20"/>
          <w:szCs w:val="20"/>
          <w:shd w:val="clear" w:color="auto" w:fill="FFFFFF"/>
        </w:rPr>
      </w:pPr>
      <w:r>
        <w:rPr>
          <w:rFonts w:ascii="Arial" w:hAnsi="Arial" w:cs="Arial"/>
          <w:color w:val="222222"/>
          <w:sz w:val="20"/>
          <w:szCs w:val="20"/>
          <w:shd w:val="clear" w:color="auto" w:fill="FFFFFF"/>
        </w:rPr>
        <w:t>Innes, M., 2006. Policing uncertainty: Countering terror through community intelligence and democratic policing. </w:t>
      </w:r>
      <w:r>
        <w:rPr>
          <w:rFonts w:ascii="Arial" w:hAnsi="Arial" w:cs="Arial"/>
          <w:i/>
          <w:iCs/>
          <w:color w:val="222222"/>
          <w:sz w:val="20"/>
          <w:szCs w:val="20"/>
          <w:shd w:val="clear" w:color="auto" w:fill="FFFFFF"/>
        </w:rPr>
        <w:t>The Annals of the American Academy of Political and Social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605</w:t>
      </w:r>
      <w:r>
        <w:rPr>
          <w:rFonts w:ascii="Arial" w:hAnsi="Arial" w:cs="Arial"/>
          <w:color w:val="222222"/>
          <w:sz w:val="20"/>
          <w:szCs w:val="20"/>
          <w:shd w:val="clear" w:color="auto" w:fill="FFFFFF"/>
        </w:rPr>
        <w:t>(1), pp.222-241</w:t>
      </w:r>
    </w:p>
    <w:p w14:paraId="4FEDE73D" w14:textId="77777777" w:rsidR="001F77BB" w:rsidRDefault="001F77BB" w:rsidP="00996E59">
      <w:pPr>
        <w:rPr>
          <w:rFonts w:ascii="Arial" w:hAnsi="Arial" w:cs="Arial"/>
          <w:color w:val="222222"/>
          <w:sz w:val="20"/>
          <w:szCs w:val="20"/>
          <w:shd w:val="clear" w:color="auto" w:fill="FFFFFF"/>
        </w:rPr>
      </w:pPr>
      <w:r>
        <w:rPr>
          <w:rFonts w:ascii="Arial" w:hAnsi="Arial" w:cs="Arial"/>
          <w:color w:val="222222"/>
          <w:sz w:val="20"/>
          <w:szCs w:val="20"/>
          <w:shd w:val="clear" w:color="auto" w:fill="FFFFFF"/>
        </w:rPr>
        <w:t>Jefferson, T., 2012. Policing the riots: from Bristol and Brixton to Tottenham, via Toxteth, Handsworth, etc: Tony Jefferson tells the angry, ongoing story of rioting over the past 30 years. </w:t>
      </w:r>
      <w:r>
        <w:rPr>
          <w:rFonts w:ascii="Arial" w:hAnsi="Arial" w:cs="Arial"/>
          <w:i/>
          <w:iCs/>
          <w:color w:val="222222"/>
          <w:sz w:val="20"/>
          <w:szCs w:val="20"/>
          <w:shd w:val="clear" w:color="auto" w:fill="FFFFFF"/>
        </w:rPr>
        <w:t>Criminal justice matters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87</w:t>
      </w:r>
      <w:r>
        <w:rPr>
          <w:rFonts w:ascii="Arial" w:hAnsi="Arial" w:cs="Arial"/>
          <w:color w:val="222222"/>
          <w:sz w:val="20"/>
          <w:szCs w:val="20"/>
          <w:shd w:val="clear" w:color="auto" w:fill="FFFFFF"/>
        </w:rPr>
        <w:t>(1), pp.8-9.</w:t>
      </w:r>
    </w:p>
    <w:p w14:paraId="74CCEDB7"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Laycock, G. and Tilley, N., 1995. </w:t>
      </w:r>
      <w:r>
        <w:rPr>
          <w:rFonts w:ascii="Arial" w:hAnsi="Arial" w:cs="Arial"/>
          <w:i/>
          <w:iCs/>
          <w:color w:val="222222"/>
          <w:sz w:val="20"/>
          <w:szCs w:val="20"/>
          <w:shd w:val="clear" w:color="auto" w:fill="FFFFFF"/>
        </w:rPr>
        <w:t>Policing and neighbourhood watch: strategic issues</w:t>
      </w:r>
      <w:r>
        <w:rPr>
          <w:rFonts w:ascii="Arial" w:hAnsi="Arial" w:cs="Arial"/>
          <w:color w:val="222222"/>
          <w:sz w:val="20"/>
          <w:szCs w:val="20"/>
          <w:shd w:val="clear" w:color="auto" w:fill="FFFFFF"/>
        </w:rPr>
        <w:t>. London: Home Office Police Research Group.</w:t>
      </w:r>
    </w:p>
    <w:p w14:paraId="74C88E85"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Lentz, S.A. and Chaires, R.H., 2007. The invention of Peel's principles: A study of policing ‘textbook’history. </w:t>
      </w:r>
      <w:r>
        <w:rPr>
          <w:rFonts w:ascii="Arial" w:hAnsi="Arial" w:cs="Arial"/>
          <w:i/>
          <w:iCs/>
          <w:color w:val="222222"/>
          <w:sz w:val="20"/>
          <w:szCs w:val="20"/>
          <w:shd w:val="clear" w:color="auto" w:fill="FFFFFF"/>
        </w:rPr>
        <w:t>Journal of criminal justice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(1), pp.69-79.</w:t>
      </w:r>
    </w:p>
    <w:p w14:paraId="4D108D0F"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Maguire, E.R. and Johnson, D., 2010. Measuring public perceptions of the police. </w:t>
      </w:r>
      <w:r>
        <w:rPr>
          <w:rFonts w:ascii="Arial" w:hAnsi="Arial" w:cs="Arial"/>
          <w:i/>
          <w:iCs/>
          <w:color w:val="222222"/>
          <w:sz w:val="20"/>
          <w:szCs w:val="20"/>
          <w:shd w:val="clear" w:color="auto" w:fill="FFFFFF"/>
        </w:rPr>
        <w:t>Policing: an international journal of police strategies &amp;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(4), pp.703-730.</w:t>
      </w:r>
    </w:p>
    <w:p w14:paraId="0F006553"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Maple, E. and Kebbell, M., 2021. Responding to domestic and family violence: a qualitative study on the changing perceptions of frontline police officers. </w:t>
      </w:r>
      <w:r>
        <w:rPr>
          <w:rFonts w:ascii="Arial" w:hAnsi="Arial" w:cs="Arial"/>
          <w:i/>
          <w:iCs/>
          <w:color w:val="222222"/>
          <w:sz w:val="20"/>
          <w:szCs w:val="20"/>
          <w:shd w:val="clear" w:color="auto" w:fill="FFFFFF"/>
        </w:rPr>
        <w:t>Violence against women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(12-13), pp.2377-2398.</w:t>
      </w:r>
    </w:p>
    <w:p w14:paraId="1D3BD1B5"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Mazerolle, L. and Ransley, J., 2019. Third-party policing. </w:t>
      </w:r>
      <w:r>
        <w:rPr>
          <w:rFonts w:ascii="Arial" w:hAnsi="Arial" w:cs="Arial"/>
          <w:i/>
          <w:iCs/>
          <w:color w:val="222222"/>
          <w:sz w:val="20"/>
          <w:szCs w:val="20"/>
          <w:shd w:val="clear" w:color="auto" w:fill="FFFFFF"/>
        </w:rPr>
        <w:t>Police innovation: Contrasting perspectives</w:t>
      </w:r>
      <w:r>
        <w:rPr>
          <w:rFonts w:ascii="Arial" w:hAnsi="Arial" w:cs="Arial"/>
          <w:color w:val="222222"/>
          <w:sz w:val="20"/>
          <w:szCs w:val="20"/>
          <w:shd w:val="clear" w:color="auto" w:fill="FFFFFF"/>
        </w:rPr>
        <w:t>, pp.347-365.</w:t>
      </w:r>
    </w:p>
    <w:p w14:paraId="1AE8DB35" w14:textId="77777777" w:rsidR="001F77BB" w:rsidRDefault="001F77BB" w:rsidP="00C034E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McLaughlin, E., 2023. </w:t>
      </w:r>
      <w:r>
        <w:rPr>
          <w:rFonts w:ascii="Arial" w:hAnsi="Arial" w:cs="Arial"/>
          <w:i/>
          <w:iCs/>
          <w:color w:val="222222"/>
          <w:sz w:val="20"/>
          <w:szCs w:val="20"/>
          <w:shd w:val="clear" w:color="auto" w:fill="FFFFFF"/>
        </w:rPr>
        <w:t>Community, Policing and Accountability: The politics of policing in Manchester in the 1980s</w:t>
      </w:r>
      <w:r>
        <w:rPr>
          <w:rFonts w:ascii="Arial" w:hAnsi="Arial" w:cs="Arial"/>
          <w:color w:val="222222"/>
          <w:sz w:val="20"/>
          <w:szCs w:val="20"/>
          <w:shd w:val="clear" w:color="auto" w:fill="FFFFFF"/>
        </w:rPr>
        <w:t>. Taylor &amp; Francis.</w:t>
      </w:r>
    </w:p>
    <w:p w14:paraId="722E3A8C"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Meyer, S. and Mazerolle, L., 2014. Police-led partnership responses to high risk youths and their families: challenges associated with forming successful and sustainable partnerships. </w:t>
      </w:r>
      <w:r>
        <w:rPr>
          <w:rFonts w:ascii="Arial" w:hAnsi="Arial" w:cs="Arial"/>
          <w:i/>
          <w:iCs/>
          <w:color w:val="222222"/>
          <w:sz w:val="20"/>
          <w:szCs w:val="20"/>
          <w:shd w:val="clear" w:color="auto" w:fill="FFFFFF"/>
        </w:rPr>
        <w:t>Policing and society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(2), pp.242-260</w:t>
      </w:r>
    </w:p>
    <w:p w14:paraId="7288F2D6"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NELSON BRYEN, D.I.A.N.E., Carey, A. and Frantz, B., 2003. Ending the silence: Adults who use augmentative communication and their experiences as victims of crimes. </w:t>
      </w:r>
      <w:r>
        <w:rPr>
          <w:rFonts w:ascii="Arial" w:hAnsi="Arial" w:cs="Arial"/>
          <w:i/>
          <w:iCs/>
          <w:color w:val="222222"/>
          <w:sz w:val="20"/>
          <w:szCs w:val="20"/>
          <w:shd w:val="clear" w:color="auto" w:fill="FFFFFF"/>
        </w:rPr>
        <w:t>Augmentative and alternative communication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(2), pp.125-134.</w:t>
      </w:r>
    </w:p>
    <w:p w14:paraId="0AD8DDD4"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Nicholson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Crotty, S., Nicholson</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Crotty, J. and Fernandez, S., 2017. Will more black cops matter? Officer race and police</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involved homicides of black citizens. </w:t>
      </w:r>
      <w:r>
        <w:rPr>
          <w:rFonts w:ascii="Arial" w:hAnsi="Arial" w:cs="Arial"/>
          <w:i/>
          <w:iCs/>
          <w:color w:val="222222"/>
          <w:sz w:val="20"/>
          <w:szCs w:val="20"/>
          <w:shd w:val="clear" w:color="auto" w:fill="FFFFFF"/>
        </w:rPr>
        <w:t>Public Administration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77</w:t>
      </w:r>
      <w:r>
        <w:rPr>
          <w:rFonts w:ascii="Arial" w:hAnsi="Arial" w:cs="Arial"/>
          <w:color w:val="222222"/>
          <w:sz w:val="20"/>
          <w:szCs w:val="20"/>
          <w:shd w:val="clear" w:color="auto" w:fill="FFFFFF"/>
        </w:rPr>
        <w:t>(2), pp.206-216.</w:t>
      </w:r>
    </w:p>
    <w:p w14:paraId="3CC2B8A6" w14:textId="77777777" w:rsidR="001F77BB" w:rsidRDefault="001F77BB" w:rsidP="00DF683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PNLD, (2023) </w:t>
      </w:r>
      <w:r>
        <w:rPr>
          <w:rFonts w:ascii="Arial" w:hAnsi="Arial" w:cs="Arial"/>
          <w:i/>
          <w:iCs/>
          <w:color w:val="222222"/>
          <w:sz w:val="20"/>
          <w:szCs w:val="20"/>
          <w:shd w:val="clear" w:color="auto" w:fill="FFFFFF"/>
        </w:rPr>
        <w:t xml:space="preserve">The police and criminal evidence act 2003, </w:t>
      </w:r>
      <w:r>
        <w:rPr>
          <w:rFonts w:ascii="Arial" w:hAnsi="Arial" w:cs="Arial"/>
          <w:color w:val="222222"/>
          <w:sz w:val="20"/>
          <w:szCs w:val="20"/>
          <w:shd w:val="clear" w:color="auto" w:fill="FFFFFF"/>
        </w:rPr>
        <w:t xml:space="preserve">Available at: </w:t>
      </w:r>
      <w:hyperlink r:id="rId5" w:history="1">
        <w:r w:rsidRPr="00421BE7">
          <w:rPr>
            <w:rStyle w:val="Hyperlink"/>
            <w:rFonts w:ascii="Arial" w:hAnsi="Arial" w:cs="Arial"/>
            <w:sz w:val="20"/>
            <w:szCs w:val="20"/>
            <w:shd w:val="clear" w:color="auto" w:fill="FFFFFF"/>
          </w:rPr>
          <w:t>www.pnld.co.uk</w:t>
        </w:r>
      </w:hyperlink>
      <w:r>
        <w:rPr>
          <w:rFonts w:ascii="Arial" w:hAnsi="Arial" w:cs="Arial"/>
          <w:color w:val="222222"/>
          <w:sz w:val="20"/>
          <w:szCs w:val="20"/>
          <w:shd w:val="clear" w:color="auto" w:fill="FFFFFF"/>
        </w:rPr>
        <w:t xml:space="preserve"> (Accessed:</w:t>
      </w:r>
      <w:r>
        <w:rPr>
          <w:rFonts w:ascii="Arial" w:hAnsi="Arial" w:cs="Arial"/>
          <w:color w:val="222222"/>
          <w:sz w:val="20"/>
          <w:szCs w:val="20"/>
          <w:shd w:val="clear" w:color="auto" w:fill="FFFFFF"/>
        </w:rPr>
        <w:t xml:space="preserve"> 23</w:t>
      </w:r>
      <w:r w:rsidRPr="00DF6833">
        <w:rPr>
          <w:rFonts w:ascii="Arial" w:hAnsi="Arial" w:cs="Arial"/>
          <w:color w:val="222222"/>
          <w:sz w:val="20"/>
          <w:szCs w:val="20"/>
          <w:shd w:val="clear" w:color="auto" w:fill="FFFFFF"/>
          <w:vertAlign w:val="superscript"/>
        </w:rPr>
        <w:t>rd</w:t>
      </w:r>
      <w:r>
        <w:rPr>
          <w:rFonts w:ascii="Arial" w:hAnsi="Arial" w:cs="Arial"/>
          <w:color w:val="222222"/>
          <w:sz w:val="20"/>
          <w:szCs w:val="20"/>
          <w:shd w:val="clear" w:color="auto" w:fill="FFFFFF"/>
        </w:rPr>
        <w:t xml:space="preserve"> August </w:t>
      </w:r>
      <w:r>
        <w:rPr>
          <w:rFonts w:ascii="Arial" w:hAnsi="Arial" w:cs="Arial"/>
          <w:color w:val="222222"/>
          <w:sz w:val="20"/>
          <w:szCs w:val="20"/>
          <w:shd w:val="clear" w:color="auto" w:fill="FFFFFF"/>
        </w:rPr>
        <w:t>2023)</w:t>
      </w:r>
    </w:p>
    <w:p w14:paraId="15329FB5"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Reiner, R., 2010. </w:t>
      </w:r>
      <w:r>
        <w:rPr>
          <w:rFonts w:ascii="Arial" w:hAnsi="Arial" w:cs="Arial"/>
          <w:i/>
          <w:iCs/>
          <w:color w:val="222222"/>
          <w:sz w:val="20"/>
          <w:szCs w:val="20"/>
          <w:shd w:val="clear" w:color="auto" w:fill="FFFFFF"/>
        </w:rPr>
        <w:t>The politics of the police</w:t>
      </w:r>
      <w:r>
        <w:rPr>
          <w:rFonts w:ascii="Arial" w:hAnsi="Arial" w:cs="Arial"/>
          <w:color w:val="222222"/>
          <w:sz w:val="20"/>
          <w:szCs w:val="20"/>
          <w:shd w:val="clear" w:color="auto" w:fill="FFFFFF"/>
        </w:rPr>
        <w:t>. OUP Oxford</w:t>
      </w:r>
    </w:p>
    <w:p w14:paraId="5225AFB4"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Ruddell, R. and Jones, N., 2013. Social media and policing: matching the message to the audience. </w:t>
      </w:r>
      <w:r>
        <w:rPr>
          <w:rFonts w:ascii="Arial" w:hAnsi="Arial" w:cs="Arial"/>
          <w:i/>
          <w:iCs/>
          <w:color w:val="222222"/>
          <w:sz w:val="20"/>
          <w:szCs w:val="20"/>
          <w:shd w:val="clear" w:color="auto" w:fill="FFFFFF"/>
        </w:rPr>
        <w:t>Safer communities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(2), pp.64-70.</w:t>
      </w:r>
    </w:p>
    <w:p w14:paraId="0AD27B23" w14:textId="77777777" w:rsidR="001F77BB" w:rsidRDefault="001F77BB">
      <w:pPr>
        <w:rPr>
          <w:rFonts w:ascii="Arial" w:hAnsi="Arial" w:cs="Arial"/>
          <w:color w:val="222222"/>
          <w:sz w:val="20"/>
          <w:szCs w:val="20"/>
          <w:shd w:val="clear" w:color="auto" w:fill="FFFFFF"/>
        </w:rPr>
      </w:pPr>
      <w:r>
        <w:rPr>
          <w:rFonts w:ascii="Arial" w:hAnsi="Arial" w:cs="Arial"/>
          <w:color w:val="222222"/>
          <w:sz w:val="20"/>
          <w:szCs w:val="20"/>
          <w:shd w:val="clear" w:color="auto" w:fill="FFFFFF"/>
        </w:rPr>
        <w:t>Salkin, P.E. and Lavine, A., 2009. Community benefits agreements and comprehensive planning: Balancing community empowerment and the police power. </w:t>
      </w:r>
      <w:r>
        <w:rPr>
          <w:rFonts w:ascii="Arial" w:hAnsi="Arial" w:cs="Arial"/>
          <w:i/>
          <w:iCs/>
          <w:color w:val="222222"/>
          <w:sz w:val="20"/>
          <w:szCs w:val="20"/>
          <w:shd w:val="clear" w:color="auto" w:fill="FFFFFF"/>
        </w:rPr>
        <w:t>JL &amp; Pol'y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 p.157.</w:t>
      </w:r>
    </w:p>
    <w:p w14:paraId="47CAB306" w14:textId="77777777" w:rsidR="001F77BB" w:rsidRDefault="001F77BB" w:rsidP="00684E77">
      <w:pPr>
        <w:rPr>
          <w:rFonts w:ascii="Arial" w:hAnsi="Arial" w:cs="Arial"/>
          <w:color w:val="222222"/>
          <w:sz w:val="20"/>
          <w:szCs w:val="20"/>
          <w:shd w:val="clear" w:color="auto" w:fill="FFFFFF"/>
        </w:rPr>
      </w:pPr>
      <w:r>
        <w:rPr>
          <w:rFonts w:ascii="Arial" w:hAnsi="Arial" w:cs="Arial"/>
          <w:color w:val="222222"/>
          <w:sz w:val="20"/>
          <w:szCs w:val="20"/>
          <w:shd w:val="clear" w:color="auto" w:fill="FFFFFF"/>
        </w:rPr>
        <w:t>Scarman, L.G., 1982. </w:t>
      </w:r>
      <w:r>
        <w:rPr>
          <w:rFonts w:ascii="Arial" w:hAnsi="Arial" w:cs="Arial"/>
          <w:i/>
          <w:iCs/>
          <w:color w:val="222222"/>
          <w:sz w:val="20"/>
          <w:szCs w:val="20"/>
          <w:shd w:val="clear" w:color="auto" w:fill="FFFFFF"/>
        </w:rPr>
        <w:t>The Scarman Report: The Brixton Disorders, 10-12 April 1981</w:t>
      </w:r>
      <w:r>
        <w:rPr>
          <w:rFonts w:ascii="Arial" w:hAnsi="Arial" w:cs="Arial"/>
          <w:color w:val="222222"/>
          <w:sz w:val="20"/>
          <w:szCs w:val="20"/>
          <w:shd w:val="clear" w:color="auto" w:fill="FFFFFF"/>
        </w:rPr>
        <w:t> (pp. 167-8). Harmondsworth: Penguin.</w:t>
      </w:r>
    </w:p>
    <w:p w14:paraId="4642C7B1" w14:textId="77777777" w:rsidR="001F77BB" w:rsidRDefault="001F77BB" w:rsidP="00D53953">
      <w:pPr>
        <w:rPr>
          <w:rFonts w:ascii="Arial" w:hAnsi="Arial" w:cs="Arial"/>
          <w:color w:val="222222"/>
          <w:sz w:val="20"/>
          <w:szCs w:val="20"/>
          <w:shd w:val="clear" w:color="auto" w:fill="FFFFFF"/>
        </w:rPr>
      </w:pPr>
      <w:r>
        <w:rPr>
          <w:rFonts w:ascii="Arial" w:hAnsi="Arial" w:cs="Arial"/>
          <w:color w:val="222222"/>
          <w:sz w:val="20"/>
          <w:szCs w:val="20"/>
          <w:shd w:val="clear" w:color="auto" w:fill="FFFFFF"/>
        </w:rPr>
        <w:t>Thomas, G., 2016. A case for local neighbourhood policing and community intelligence in counter terrorism. </w:t>
      </w:r>
      <w:r>
        <w:rPr>
          <w:rFonts w:ascii="Arial" w:hAnsi="Arial" w:cs="Arial"/>
          <w:i/>
          <w:iCs/>
          <w:color w:val="222222"/>
          <w:sz w:val="20"/>
          <w:szCs w:val="20"/>
          <w:shd w:val="clear" w:color="auto" w:fill="FFFFFF"/>
        </w:rPr>
        <w:t>The Police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89</w:t>
      </w:r>
      <w:r>
        <w:rPr>
          <w:rFonts w:ascii="Arial" w:hAnsi="Arial" w:cs="Arial"/>
          <w:color w:val="222222"/>
          <w:sz w:val="20"/>
          <w:szCs w:val="20"/>
          <w:shd w:val="clear" w:color="auto" w:fill="FFFFFF"/>
        </w:rPr>
        <w:t>(1), pp.31-54.</w:t>
      </w:r>
    </w:p>
    <w:p w14:paraId="0AF3BB54" w14:textId="77777777" w:rsidR="001F77BB" w:rsidRDefault="001F77BB" w:rsidP="00D53953">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UK Census Data, (2021), Available at: </w:t>
      </w:r>
      <w:hyperlink r:id="rId6" w:history="1">
        <w:r w:rsidRPr="00421BE7">
          <w:rPr>
            <w:rStyle w:val="Hyperlink"/>
            <w:rFonts w:ascii="Arial" w:hAnsi="Arial" w:cs="Arial"/>
            <w:i/>
            <w:iCs/>
            <w:sz w:val="20"/>
            <w:szCs w:val="20"/>
            <w:shd w:val="clear" w:color="auto" w:fill="FFFFFF"/>
          </w:rPr>
          <w:t>www.ons.gov.uk</w:t>
        </w:r>
      </w:hyperlink>
      <w:r>
        <w:rPr>
          <w:rFonts w:ascii="Arial" w:hAnsi="Arial" w:cs="Arial"/>
          <w:i/>
          <w:iCs/>
          <w:color w:val="222222"/>
          <w:sz w:val="20"/>
          <w:szCs w:val="20"/>
          <w:shd w:val="clear" w:color="auto" w:fill="FFFFFF"/>
        </w:rPr>
        <w:t xml:space="preserve">/census/census2021dictionary/variablesbytopic/demographyvariablecensus2021/age  </w:t>
      </w:r>
      <w:r>
        <w:rPr>
          <w:rFonts w:ascii="Arial" w:hAnsi="Arial" w:cs="Arial"/>
          <w:color w:val="222222"/>
          <w:sz w:val="20"/>
          <w:szCs w:val="20"/>
          <w:shd w:val="clear" w:color="auto" w:fill="FFFFFF"/>
        </w:rPr>
        <w:t xml:space="preserve">(Accessed: </w:t>
      </w:r>
      <w:r>
        <w:rPr>
          <w:rFonts w:ascii="Arial" w:hAnsi="Arial" w:cs="Arial"/>
          <w:color w:val="222222"/>
          <w:sz w:val="20"/>
          <w:szCs w:val="20"/>
          <w:shd w:val="clear" w:color="auto" w:fill="FFFFFF"/>
        </w:rPr>
        <w:t>23</w:t>
      </w:r>
      <w:r>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August</w:t>
      </w:r>
      <w:r>
        <w:rPr>
          <w:rFonts w:ascii="Arial" w:hAnsi="Arial" w:cs="Arial"/>
          <w:color w:val="222222"/>
          <w:sz w:val="20"/>
          <w:szCs w:val="20"/>
          <w:shd w:val="clear" w:color="auto" w:fill="FFFFFF"/>
        </w:rPr>
        <w:t xml:space="preserve"> 2023)</w:t>
      </w:r>
    </w:p>
    <w:p w14:paraId="08748D78" w14:textId="77777777" w:rsidR="00684E77" w:rsidRDefault="00684E77" w:rsidP="00684E77">
      <w:pPr>
        <w:rPr>
          <w:rFonts w:ascii="Arial" w:hAnsi="Arial" w:cs="Arial"/>
          <w:color w:val="222222"/>
          <w:sz w:val="20"/>
          <w:szCs w:val="20"/>
          <w:shd w:val="clear" w:color="auto" w:fill="FFFFFF"/>
        </w:rPr>
      </w:pPr>
    </w:p>
    <w:p w14:paraId="65DEB243" w14:textId="77777777" w:rsidR="00DF6833" w:rsidRDefault="00DF6833" w:rsidP="00DF6833">
      <w:pPr>
        <w:rPr>
          <w:rFonts w:ascii="Arial" w:hAnsi="Arial" w:cs="Arial"/>
          <w:color w:val="222222"/>
          <w:sz w:val="20"/>
          <w:szCs w:val="20"/>
          <w:shd w:val="clear" w:color="auto" w:fill="FFFFFF"/>
        </w:rPr>
      </w:pPr>
    </w:p>
    <w:p w14:paraId="3F31A366" w14:textId="77777777" w:rsidR="00C034E5" w:rsidRDefault="00C034E5" w:rsidP="00C034E5">
      <w:pPr>
        <w:rPr>
          <w:rFonts w:ascii="Arial" w:hAnsi="Arial" w:cs="Arial"/>
          <w:color w:val="222222"/>
          <w:sz w:val="20"/>
          <w:szCs w:val="20"/>
          <w:shd w:val="clear" w:color="auto" w:fill="FFFFFF"/>
        </w:rPr>
      </w:pPr>
    </w:p>
    <w:p w14:paraId="5CEFF150" w14:textId="77777777" w:rsidR="00384B68" w:rsidRDefault="00384B68" w:rsidP="00384B68">
      <w:pPr>
        <w:rPr>
          <w:rFonts w:ascii="Arial" w:hAnsi="Arial" w:cs="Arial"/>
          <w:color w:val="222222"/>
          <w:sz w:val="20"/>
          <w:szCs w:val="20"/>
          <w:shd w:val="clear" w:color="auto" w:fill="FFFFFF"/>
        </w:rPr>
      </w:pPr>
    </w:p>
    <w:p w14:paraId="7CE4D00F" w14:textId="77777777" w:rsidR="00AC6C21" w:rsidRDefault="00AC6C21" w:rsidP="002803FD">
      <w:pPr>
        <w:rPr>
          <w:rFonts w:ascii="Arial" w:hAnsi="Arial" w:cs="Arial"/>
          <w:color w:val="222222"/>
          <w:sz w:val="20"/>
          <w:szCs w:val="20"/>
          <w:shd w:val="clear" w:color="auto" w:fill="FFFFFF"/>
        </w:rPr>
      </w:pPr>
    </w:p>
    <w:p w14:paraId="5D148292" w14:textId="77777777" w:rsidR="00B7790B" w:rsidRDefault="00B7790B" w:rsidP="00495D78">
      <w:pPr>
        <w:rPr>
          <w:rFonts w:ascii="Arial" w:hAnsi="Arial" w:cs="Arial"/>
          <w:color w:val="222222"/>
          <w:sz w:val="20"/>
          <w:szCs w:val="20"/>
          <w:shd w:val="clear" w:color="auto" w:fill="FFFFFF"/>
        </w:rPr>
      </w:pPr>
    </w:p>
    <w:p w14:paraId="54724151" w14:textId="77777777" w:rsidR="00495D78" w:rsidRDefault="00495D78" w:rsidP="00A97B2F">
      <w:pPr>
        <w:rPr>
          <w:rFonts w:ascii="Arial" w:hAnsi="Arial" w:cs="Arial"/>
          <w:color w:val="222222"/>
          <w:sz w:val="20"/>
          <w:szCs w:val="20"/>
          <w:shd w:val="clear" w:color="auto" w:fill="FFFFFF"/>
        </w:rPr>
      </w:pPr>
    </w:p>
    <w:p w14:paraId="688FDE4A" w14:textId="77777777" w:rsidR="00A97B2F" w:rsidRDefault="00A97B2F" w:rsidP="00D53953">
      <w:pPr>
        <w:rPr>
          <w:rFonts w:ascii="Arial" w:hAnsi="Arial" w:cs="Arial"/>
          <w:color w:val="222222"/>
          <w:sz w:val="20"/>
          <w:szCs w:val="20"/>
          <w:shd w:val="clear" w:color="auto" w:fill="FFFFFF"/>
        </w:rPr>
      </w:pPr>
    </w:p>
    <w:p w14:paraId="1FB65A64" w14:textId="3222E61F" w:rsidR="00473F34" w:rsidRDefault="00473F34" w:rsidP="00D53953">
      <w:pPr>
        <w:rPr>
          <w:rFonts w:ascii="Arial" w:hAnsi="Arial" w:cs="Arial"/>
          <w:color w:val="222222"/>
          <w:sz w:val="20"/>
          <w:szCs w:val="20"/>
          <w:shd w:val="clear" w:color="auto" w:fill="FFFFFF"/>
        </w:rPr>
      </w:pPr>
    </w:p>
    <w:p w14:paraId="0D56BEA1" w14:textId="77777777" w:rsidR="00D53953" w:rsidRDefault="00D53953">
      <w:pPr>
        <w:rPr>
          <w:rFonts w:ascii="Arial" w:hAnsi="Arial" w:cs="Arial"/>
          <w:color w:val="222222"/>
          <w:sz w:val="20"/>
          <w:szCs w:val="20"/>
          <w:shd w:val="clear" w:color="auto" w:fill="FFFFFF"/>
        </w:rPr>
      </w:pPr>
    </w:p>
    <w:sectPr w:rsidR="00D539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72F1"/>
    <w:rsid w:val="00043421"/>
    <w:rsid w:val="00046CE4"/>
    <w:rsid w:val="00082AB9"/>
    <w:rsid w:val="00087D6A"/>
    <w:rsid w:val="000A3966"/>
    <w:rsid w:val="000A56F4"/>
    <w:rsid w:val="00123BA7"/>
    <w:rsid w:val="001C24E7"/>
    <w:rsid w:val="001F77BB"/>
    <w:rsid w:val="00213B89"/>
    <w:rsid w:val="00234545"/>
    <w:rsid w:val="00260D4A"/>
    <w:rsid w:val="002803FD"/>
    <w:rsid w:val="00334A8E"/>
    <w:rsid w:val="00367DC4"/>
    <w:rsid w:val="00384B68"/>
    <w:rsid w:val="0043327A"/>
    <w:rsid w:val="00473F34"/>
    <w:rsid w:val="004803D2"/>
    <w:rsid w:val="00495D78"/>
    <w:rsid w:val="004C342B"/>
    <w:rsid w:val="004C3CF0"/>
    <w:rsid w:val="005251E0"/>
    <w:rsid w:val="005617FB"/>
    <w:rsid w:val="005624C1"/>
    <w:rsid w:val="0058612E"/>
    <w:rsid w:val="005B7410"/>
    <w:rsid w:val="00684E77"/>
    <w:rsid w:val="006950F9"/>
    <w:rsid w:val="006A1956"/>
    <w:rsid w:val="006D1D1B"/>
    <w:rsid w:val="00707FBC"/>
    <w:rsid w:val="007365EF"/>
    <w:rsid w:val="00754612"/>
    <w:rsid w:val="007B5BBE"/>
    <w:rsid w:val="007D7BF0"/>
    <w:rsid w:val="00881594"/>
    <w:rsid w:val="00882FC8"/>
    <w:rsid w:val="008A3C92"/>
    <w:rsid w:val="008B0BE7"/>
    <w:rsid w:val="008D6C78"/>
    <w:rsid w:val="0090021C"/>
    <w:rsid w:val="00970F41"/>
    <w:rsid w:val="00996E59"/>
    <w:rsid w:val="009C2AA9"/>
    <w:rsid w:val="009C2F9F"/>
    <w:rsid w:val="00A51006"/>
    <w:rsid w:val="00A61495"/>
    <w:rsid w:val="00A8236E"/>
    <w:rsid w:val="00A972F1"/>
    <w:rsid w:val="00A97B2F"/>
    <w:rsid w:val="00AA1B0B"/>
    <w:rsid w:val="00AC6C21"/>
    <w:rsid w:val="00AE7161"/>
    <w:rsid w:val="00B17B05"/>
    <w:rsid w:val="00B2178E"/>
    <w:rsid w:val="00B27226"/>
    <w:rsid w:val="00B3389C"/>
    <w:rsid w:val="00B51E3C"/>
    <w:rsid w:val="00B61FFE"/>
    <w:rsid w:val="00B63855"/>
    <w:rsid w:val="00B7475D"/>
    <w:rsid w:val="00B7790B"/>
    <w:rsid w:val="00C034E5"/>
    <w:rsid w:val="00C23657"/>
    <w:rsid w:val="00C25824"/>
    <w:rsid w:val="00C76360"/>
    <w:rsid w:val="00C8525D"/>
    <w:rsid w:val="00C97A05"/>
    <w:rsid w:val="00CB5B34"/>
    <w:rsid w:val="00CD4944"/>
    <w:rsid w:val="00CF004E"/>
    <w:rsid w:val="00CF612E"/>
    <w:rsid w:val="00D13137"/>
    <w:rsid w:val="00D53953"/>
    <w:rsid w:val="00D60159"/>
    <w:rsid w:val="00D91690"/>
    <w:rsid w:val="00DB2FCF"/>
    <w:rsid w:val="00DF6833"/>
    <w:rsid w:val="00E2006C"/>
    <w:rsid w:val="00E45FC6"/>
    <w:rsid w:val="00EA61C1"/>
    <w:rsid w:val="00EB1B91"/>
    <w:rsid w:val="00EB343F"/>
    <w:rsid w:val="00EC18F9"/>
    <w:rsid w:val="00EC3D1B"/>
    <w:rsid w:val="00EC735A"/>
    <w:rsid w:val="00EE4B17"/>
    <w:rsid w:val="00FA309A"/>
    <w:rsid w:val="00FC1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50BF5"/>
  <w15:chartTrackingRefBased/>
  <w15:docId w15:val="{1A3C093F-89D2-455E-AE56-C0835AADD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2F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A972F1"/>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D539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ns.gov.uk" TargetMode="External"/><Relationship Id="rId5" Type="http://schemas.openxmlformats.org/officeDocument/2006/relationships/hyperlink" Target="http://www.pnld.co.uk" TargetMode="External"/><Relationship Id="rId4" Type="http://schemas.openxmlformats.org/officeDocument/2006/relationships/hyperlink" Target="http://www.college.polic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9</Pages>
  <Words>4347</Words>
  <Characters>24779</Characters>
  <Application>Microsoft Office Word</Application>
  <DocSecurity>0</DocSecurity>
  <Lines>206</Lines>
  <Paragraphs>58</Paragraphs>
  <ScaleCrop>false</ScaleCrop>
  <Company>Gwent Police</Company>
  <LinksUpToDate>false</LinksUpToDate>
  <CharactersWithSpaces>29068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Morris, Gareth</dc:creator>
  <cp:keywords/>
  <dc:description/>
  <cp:lastModifiedBy>Morris, Gareth</cp:lastModifiedBy>
  <cp:revision>91</cp:revision>
  <dcterms:created xsi:type="dcterms:W3CDTF">2023-09-05T15:24:00Z</dcterms:created>
  <dcterms:modified xsi:type="dcterms:W3CDTF">2023-09-05T19:31:00Z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2023-09-05T15:26:28Z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32a647db-323c-4929-b551-18b476ea7373</vt:lpwstr>
  </property>
  <property fmtid="{D5CDD505-2E9C-101B-9397-08002B2CF9AE}" pid="8" name="MSIP_Label_f2acd28b-79a3-4a0f-b0ff-4b75658b1549_ContentBits">
    <vt:lpwstr>0</vt:lpwstr>
  </property>
</Properties>
</file>