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17399" w14:textId="23DED457" w:rsidR="002E162F" w:rsidRDefault="005C5D63">
      <w:r>
        <w:rPr>
          <w:noProof/>
        </w:rPr>
        <w:drawing>
          <wp:anchor distT="0" distB="0" distL="114300" distR="114300" simplePos="0" relativeHeight="251659264" behindDoc="0" locked="0" layoutInCell="1" allowOverlap="1" wp14:anchorId="3684DE27" wp14:editId="224B6220">
            <wp:simplePos x="0" y="0"/>
            <wp:positionH relativeFrom="column">
              <wp:posOffset>0</wp:posOffset>
            </wp:positionH>
            <wp:positionV relativeFrom="paragraph">
              <wp:posOffset>285750</wp:posOffset>
            </wp:positionV>
            <wp:extent cx="2679700" cy="2238375"/>
            <wp:effectExtent l="0" t="0" r="6350" b="9525"/>
            <wp:wrapSquare wrapText="bothSides"/>
            <wp:docPr id="9" name="Picture 8" descr="UWTSD Named UK University of the Year ...">
              <a:extLst xmlns:a="http://schemas.openxmlformats.org/drawingml/2006/main">
                <a:ext uri="{FF2B5EF4-FFF2-40B4-BE49-F238E27FC236}">
                  <a16:creationId xmlns:a16="http://schemas.microsoft.com/office/drawing/2014/main" id="{5C781555-CF4E-0AB9-BF03-9208145365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UWTSD Named UK University of the Year ...">
                      <a:extLst>
                        <a:ext uri="{FF2B5EF4-FFF2-40B4-BE49-F238E27FC236}">
                          <a16:creationId xmlns:a16="http://schemas.microsoft.com/office/drawing/2014/main" id="{5C781555-CF4E-0AB9-BF03-92081453657A}"/>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970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ACAD1F" w14:textId="77777777" w:rsidR="005C5D63" w:rsidRPr="005C5D63" w:rsidRDefault="005C5D63" w:rsidP="005C5D63"/>
    <w:p w14:paraId="25DA096E" w14:textId="77777777" w:rsidR="005C5D63" w:rsidRPr="005C5D63" w:rsidRDefault="005C5D63" w:rsidP="005C5D63"/>
    <w:p w14:paraId="36252935" w14:textId="77777777" w:rsidR="005C5D63" w:rsidRPr="005C5D63" w:rsidRDefault="005C5D63" w:rsidP="005C5D63"/>
    <w:p w14:paraId="1043C521" w14:textId="77777777" w:rsidR="005C5D63" w:rsidRPr="005C5D63" w:rsidRDefault="005C5D63" w:rsidP="005C5D63"/>
    <w:p w14:paraId="571F6B3D" w14:textId="77777777" w:rsidR="005C5D63" w:rsidRPr="005C5D63" w:rsidRDefault="005C5D63" w:rsidP="005C5D63"/>
    <w:p w14:paraId="25DAE9FE" w14:textId="77777777" w:rsidR="005C5D63" w:rsidRPr="005C5D63" w:rsidRDefault="005C5D63" w:rsidP="005C5D63"/>
    <w:p w14:paraId="3435D6A1" w14:textId="77777777" w:rsidR="005C5D63" w:rsidRPr="005C5D63" w:rsidRDefault="005C5D63" w:rsidP="005C5D63"/>
    <w:p w14:paraId="5A159523" w14:textId="77777777" w:rsidR="005C5D63" w:rsidRDefault="005C5D63" w:rsidP="005C5D63"/>
    <w:p w14:paraId="0B36B5B6" w14:textId="78770286" w:rsidR="005C5D63" w:rsidRPr="005C5D63" w:rsidRDefault="005C5D63" w:rsidP="005C5D63">
      <w:pPr>
        <w:pStyle w:val="NormalWeb"/>
        <w:spacing w:before="0" w:beforeAutospacing="0" w:after="0" w:afterAutospacing="0" w:line="360" w:lineRule="auto"/>
        <w:jc w:val="center"/>
        <w:rPr>
          <w:rFonts w:ascii="Arial" w:hAnsi="Arial" w:cs="Arial"/>
          <w:sz w:val="52"/>
          <w:szCs w:val="52"/>
        </w:rPr>
      </w:pPr>
      <w:r>
        <w:tab/>
      </w:r>
      <w:r w:rsidRPr="005C5D63">
        <w:rPr>
          <w:rFonts w:ascii="Arial" w:eastAsia="Aptos" w:hAnsi="Arial" w:cs="Arial"/>
          <w:b/>
          <w:bCs/>
          <w:color w:val="000000"/>
          <w:kern w:val="2"/>
          <w:sz w:val="52"/>
          <w:szCs w:val="52"/>
          <w:lang w:val="nl-NL"/>
        </w:rPr>
        <w:t>Module name:</w:t>
      </w:r>
      <w:r w:rsidRPr="005C5D63">
        <w:rPr>
          <w:rFonts w:ascii="Arial" w:eastAsia="MS Gothic" w:hAnsi="Arial" w:cs="Arial"/>
          <w:spacing w:val="5"/>
          <w:kern w:val="28"/>
          <w:sz w:val="52"/>
          <w:szCs w:val="52"/>
          <w:lang w:val="en-US"/>
        </w:rPr>
        <w:t xml:space="preserve"> </w:t>
      </w:r>
      <w:r w:rsidRPr="005C5D63">
        <w:rPr>
          <w:rFonts w:ascii="Arial" w:hAnsi="Arial" w:cs="Arial"/>
          <w:sz w:val="52"/>
          <w:szCs w:val="52"/>
        </w:rPr>
        <w:t>Social Epidemiology and Public Health Development</w:t>
      </w:r>
    </w:p>
    <w:p w14:paraId="2470882D" w14:textId="77777777" w:rsidR="005C5D63" w:rsidRPr="001B00CD" w:rsidRDefault="005C5D63" w:rsidP="005C5D63">
      <w:pPr>
        <w:pStyle w:val="NormalWeb"/>
        <w:spacing w:before="0" w:beforeAutospacing="0" w:after="0" w:afterAutospacing="0" w:line="360" w:lineRule="auto"/>
        <w:jc w:val="center"/>
        <w:rPr>
          <w:rFonts w:ascii="Arial" w:eastAsia="Aptos" w:hAnsi="Arial" w:cs="Arial"/>
          <w:color w:val="000000"/>
          <w:kern w:val="2"/>
          <w:sz w:val="36"/>
          <w:szCs w:val="36"/>
          <w:lang w:val="nl-NL"/>
        </w:rPr>
      </w:pPr>
    </w:p>
    <w:p w14:paraId="0C24F5ED" w14:textId="77777777" w:rsidR="005C5D63" w:rsidRPr="001B00CD" w:rsidRDefault="005C5D63" w:rsidP="005C5D63">
      <w:pPr>
        <w:pStyle w:val="NormalWeb"/>
        <w:spacing w:before="0" w:beforeAutospacing="0" w:after="0" w:afterAutospacing="0" w:line="360" w:lineRule="auto"/>
        <w:jc w:val="center"/>
        <w:rPr>
          <w:rFonts w:ascii="Arial" w:hAnsi="Arial" w:cs="Arial"/>
          <w:sz w:val="36"/>
          <w:szCs w:val="36"/>
        </w:rPr>
      </w:pPr>
      <w:r w:rsidRPr="001B00CD">
        <w:rPr>
          <w:rFonts w:ascii="Arial" w:eastAsia="Aptos" w:hAnsi="Arial" w:cs="Arial"/>
          <w:color w:val="000000"/>
          <w:kern w:val="2"/>
          <w:sz w:val="36"/>
          <w:szCs w:val="36"/>
        </w:rPr>
        <w:tab/>
      </w:r>
      <w:r w:rsidRPr="001B00CD">
        <w:rPr>
          <w:rFonts w:ascii="Arial" w:eastAsia="Aptos" w:hAnsi="Arial" w:cs="Arial"/>
          <w:b/>
          <w:bCs/>
          <w:color w:val="000000"/>
          <w:kern w:val="2"/>
          <w:sz w:val="36"/>
          <w:szCs w:val="36"/>
          <w:lang w:val="nl-NL"/>
        </w:rPr>
        <w:t>Student</w:t>
      </w:r>
      <w:r w:rsidRPr="001B00CD">
        <w:rPr>
          <w:rFonts w:ascii="Arial" w:eastAsia="Aptos" w:hAnsi="Arial" w:cs="Arial"/>
          <w:b/>
          <w:bCs/>
          <w:smallCaps/>
          <w:color w:val="000000"/>
          <w:kern w:val="2"/>
          <w:sz w:val="36"/>
          <w:szCs w:val="36"/>
          <w:lang w:val="nl-NL"/>
        </w:rPr>
        <w:t xml:space="preserve"> </w:t>
      </w:r>
      <w:r w:rsidRPr="001B00CD">
        <w:rPr>
          <w:rFonts w:ascii="Arial" w:eastAsia="Aptos" w:hAnsi="Arial" w:cs="Arial"/>
          <w:b/>
          <w:bCs/>
          <w:color w:val="000000"/>
          <w:kern w:val="2"/>
          <w:sz w:val="36"/>
          <w:szCs w:val="36"/>
          <w:lang w:val="nl-NL"/>
        </w:rPr>
        <w:t>name:</w:t>
      </w:r>
      <w:r w:rsidRPr="001B00CD">
        <w:rPr>
          <w:rFonts w:ascii="Arial" w:eastAsia="Aptos" w:hAnsi="Arial" w:cs="Arial"/>
          <w:b/>
          <w:bCs/>
          <w:smallCaps/>
          <w:color w:val="000000"/>
          <w:kern w:val="2"/>
          <w:sz w:val="36"/>
          <w:szCs w:val="36"/>
          <w:lang w:val="nl-NL"/>
        </w:rPr>
        <w:t xml:space="preserve"> </w:t>
      </w:r>
      <w:r w:rsidRPr="001B00CD">
        <w:rPr>
          <w:rFonts w:ascii="Arial" w:eastAsia="Aptos" w:hAnsi="Arial" w:cs="Arial"/>
          <w:color w:val="000000"/>
          <w:kern w:val="2"/>
          <w:sz w:val="36"/>
          <w:szCs w:val="36"/>
          <w:lang w:val="nl-NL"/>
        </w:rPr>
        <w:t>Josephine</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Osei</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Amoah</w:t>
      </w:r>
    </w:p>
    <w:p w14:paraId="00FB34D5" w14:textId="77777777" w:rsidR="005C5D63" w:rsidRPr="001B00CD" w:rsidRDefault="005C5D63" w:rsidP="005C5D63">
      <w:pPr>
        <w:pStyle w:val="NormalWeb"/>
        <w:spacing w:before="0" w:beforeAutospacing="0" w:after="0" w:afterAutospacing="0" w:line="360" w:lineRule="auto"/>
        <w:jc w:val="center"/>
        <w:rPr>
          <w:rFonts w:ascii="Arial" w:hAnsi="Arial" w:cs="Arial"/>
          <w:sz w:val="36"/>
          <w:szCs w:val="36"/>
        </w:rPr>
      </w:pPr>
      <w:r w:rsidRPr="001B00CD">
        <w:rPr>
          <w:rFonts w:ascii="Arial" w:eastAsia="Aptos" w:hAnsi="Arial" w:cs="Arial"/>
          <w:color w:val="000000"/>
          <w:kern w:val="2"/>
          <w:sz w:val="36"/>
          <w:szCs w:val="36"/>
          <w:lang w:val="nl-NL"/>
        </w:rPr>
        <w:t>Student</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ID:</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2233505</w:t>
      </w:r>
    </w:p>
    <w:p w14:paraId="4026778A" w14:textId="77777777" w:rsidR="005C5D63" w:rsidRPr="001B00CD" w:rsidRDefault="005C5D63" w:rsidP="005C5D63">
      <w:pPr>
        <w:pStyle w:val="NormalWeb"/>
        <w:shd w:val="clear" w:color="auto" w:fill="FFFFFF"/>
        <w:spacing w:before="0" w:beforeAutospacing="0"/>
        <w:jc w:val="center"/>
        <w:rPr>
          <w:rFonts w:ascii="Arial" w:hAnsi="Arial" w:cs="Arial"/>
          <w:color w:val="1D2125"/>
          <w:sz w:val="36"/>
          <w:szCs w:val="36"/>
        </w:rPr>
      </w:pPr>
      <w:r w:rsidRPr="001B00CD">
        <w:rPr>
          <w:rFonts w:ascii="Arial" w:eastAsia="Aptos" w:hAnsi="Arial" w:cs="Arial"/>
          <w:b/>
          <w:bCs/>
          <w:color w:val="000000"/>
          <w:kern w:val="2"/>
          <w:sz w:val="36"/>
          <w:szCs w:val="36"/>
          <w:lang w:val="en-US"/>
        </w:rPr>
        <w:t>Module</w:t>
      </w:r>
      <w:r w:rsidRPr="001B00CD">
        <w:rPr>
          <w:rFonts w:ascii="Arial" w:eastAsia="Aptos" w:hAnsi="Arial" w:cs="Arial"/>
          <w:b/>
          <w:bCs/>
          <w:smallCaps/>
          <w:color w:val="000000"/>
          <w:kern w:val="2"/>
          <w:sz w:val="36"/>
          <w:szCs w:val="36"/>
          <w:lang w:val="en-US"/>
        </w:rPr>
        <w:t xml:space="preserve"> </w:t>
      </w:r>
      <w:r w:rsidRPr="001B00CD">
        <w:rPr>
          <w:rFonts w:ascii="Arial" w:eastAsia="Aptos" w:hAnsi="Arial" w:cs="Arial"/>
          <w:b/>
          <w:bCs/>
          <w:color w:val="000000"/>
          <w:kern w:val="2"/>
          <w:sz w:val="36"/>
          <w:szCs w:val="36"/>
          <w:lang w:val="en-US"/>
        </w:rPr>
        <w:t>code:</w:t>
      </w:r>
      <w:r w:rsidRPr="001B00CD">
        <w:rPr>
          <w:rStyle w:val="Strong"/>
          <w:rFonts w:ascii="Arial" w:eastAsiaTheme="majorEastAsia" w:hAnsi="Arial" w:cs="Arial"/>
          <w:color w:val="1D2125"/>
          <w:sz w:val="36"/>
          <w:szCs w:val="36"/>
        </w:rPr>
        <w:t xml:space="preserve"> </w:t>
      </w:r>
      <w:r w:rsidRPr="001B00CD">
        <w:rPr>
          <w:rStyle w:val="Strong"/>
          <w:rFonts w:ascii="Arial" w:eastAsiaTheme="majorEastAsia" w:hAnsi="Arial" w:cs="Arial"/>
          <w:b w:val="0"/>
          <w:bCs w:val="0"/>
          <w:color w:val="1D2125"/>
          <w:sz w:val="36"/>
          <w:szCs w:val="36"/>
        </w:rPr>
        <w:t>(LCHS7002_LON</w:t>
      </w:r>
      <w:r w:rsidRPr="001B00CD">
        <w:rPr>
          <w:rFonts w:ascii="Arial" w:eastAsia="Aptos" w:hAnsi="Arial" w:cs="Arial"/>
          <w:color w:val="000000"/>
          <w:kern w:val="2"/>
          <w:sz w:val="36"/>
          <w:szCs w:val="36"/>
          <w:lang w:val="en-US"/>
        </w:rPr>
        <w:t>)</w:t>
      </w:r>
    </w:p>
    <w:p w14:paraId="1EC4D0C3" w14:textId="77777777" w:rsidR="005C5D63" w:rsidRDefault="005C5D63" w:rsidP="005C5D63">
      <w:pPr>
        <w:pStyle w:val="NormalWeb"/>
        <w:spacing w:before="0" w:beforeAutospacing="0" w:after="0" w:afterAutospacing="0" w:line="360" w:lineRule="auto"/>
        <w:jc w:val="center"/>
        <w:rPr>
          <w:rFonts w:ascii="Arial" w:hAnsi="Arial" w:cs="Arial"/>
          <w:color w:val="1D2125"/>
          <w:sz w:val="36"/>
          <w:szCs w:val="36"/>
          <w:shd w:val="clear" w:color="auto" w:fill="FFFFFF"/>
        </w:rPr>
      </w:pPr>
      <w:r w:rsidRPr="001B00CD">
        <w:rPr>
          <w:rFonts w:ascii="Arial" w:eastAsia="Aptos" w:hAnsi="Arial" w:cs="Arial"/>
          <w:b/>
          <w:bCs/>
          <w:color w:val="000000"/>
          <w:kern w:val="2"/>
          <w:sz w:val="36"/>
          <w:szCs w:val="36"/>
          <w:lang w:val="en-US"/>
        </w:rPr>
        <w:t>Lecturer</w:t>
      </w:r>
      <w:r w:rsidRPr="001B00CD">
        <w:rPr>
          <w:rFonts w:ascii="Arial" w:eastAsia="Aptos" w:hAnsi="Arial" w:cs="Arial"/>
          <w:b/>
          <w:bCs/>
          <w:smallCaps/>
          <w:color w:val="000000"/>
          <w:kern w:val="2"/>
          <w:sz w:val="36"/>
          <w:szCs w:val="36"/>
          <w:lang w:val="en-US"/>
        </w:rPr>
        <w:t xml:space="preserve"> </w:t>
      </w:r>
      <w:r w:rsidRPr="001B00CD">
        <w:rPr>
          <w:rFonts w:ascii="Arial" w:eastAsia="Aptos" w:hAnsi="Arial" w:cs="Arial"/>
          <w:b/>
          <w:bCs/>
          <w:color w:val="000000"/>
          <w:kern w:val="2"/>
          <w:sz w:val="36"/>
          <w:szCs w:val="36"/>
          <w:lang w:val="en-US"/>
        </w:rPr>
        <w:t xml:space="preserve">name: </w:t>
      </w:r>
      <w:r w:rsidRPr="001B00CD">
        <w:rPr>
          <w:rFonts w:ascii="Arial" w:hAnsi="Arial" w:cs="Arial"/>
          <w:color w:val="1D2125"/>
          <w:sz w:val="36"/>
          <w:szCs w:val="36"/>
          <w:shd w:val="clear" w:color="auto" w:fill="FFFFFF"/>
        </w:rPr>
        <w:t>Shaila Hussain</w:t>
      </w:r>
    </w:p>
    <w:p w14:paraId="3F1F11CF" w14:textId="77777777" w:rsidR="005C5D63" w:rsidRDefault="005C5D63" w:rsidP="005C5D63">
      <w:pPr>
        <w:pStyle w:val="NormalWeb"/>
        <w:spacing w:before="0" w:beforeAutospacing="0" w:after="0" w:afterAutospacing="0" w:line="360" w:lineRule="auto"/>
        <w:jc w:val="center"/>
        <w:rPr>
          <w:rFonts w:ascii="Arial" w:hAnsi="Arial" w:cs="Arial"/>
          <w:color w:val="1D2125"/>
          <w:sz w:val="36"/>
          <w:szCs w:val="36"/>
          <w:shd w:val="clear" w:color="auto" w:fill="FFFFFF"/>
        </w:rPr>
      </w:pPr>
    </w:p>
    <w:p w14:paraId="1E87788E" w14:textId="3B06D0D1" w:rsidR="009B56D6" w:rsidRPr="009B56D6" w:rsidRDefault="005C5D63" w:rsidP="00143AEA">
      <w:pPr>
        <w:spacing w:before="100" w:beforeAutospacing="1" w:after="100" w:afterAutospacing="1" w:line="240" w:lineRule="auto"/>
        <w:outlineLvl w:val="1"/>
        <w:rPr>
          <w:rFonts w:ascii="Arial" w:eastAsia="Times New Roman" w:hAnsi="Arial" w:cs="Arial"/>
          <w:kern w:val="0"/>
          <w:sz w:val="44"/>
          <w:szCs w:val="44"/>
          <w:lang w:eastAsia="en-GB"/>
          <w14:ligatures w14:val="none"/>
        </w:rPr>
      </w:pPr>
      <w:r w:rsidRPr="00143AEA">
        <w:rPr>
          <w:rFonts w:ascii="Arial" w:eastAsia="Aptos" w:hAnsi="Arial" w:cs="Arial"/>
          <w:b/>
          <w:bCs/>
          <w:color w:val="000000"/>
          <w:sz w:val="44"/>
          <w:szCs w:val="44"/>
          <w:lang w:val="en-US"/>
        </w:rPr>
        <w:t>Subject:</w:t>
      </w:r>
      <w:r w:rsidRPr="00143AEA">
        <w:rPr>
          <w:rFonts w:ascii="Arial" w:hAnsi="Arial" w:cs="Arial"/>
          <w:sz w:val="44"/>
          <w:szCs w:val="44"/>
        </w:rPr>
        <w:t xml:space="preserve"> Analytical Report</w:t>
      </w:r>
      <w:r w:rsidR="009B56D6" w:rsidRPr="00143AEA">
        <w:rPr>
          <w:rFonts w:ascii="Arial" w:eastAsia="Times New Roman" w:hAnsi="Arial" w:cs="Arial"/>
          <w:b/>
          <w:bCs/>
          <w:kern w:val="0"/>
          <w:sz w:val="44"/>
          <w:szCs w:val="44"/>
          <w:lang w:eastAsia="en-GB"/>
          <w14:ligatures w14:val="none"/>
        </w:rPr>
        <w:t xml:space="preserve"> </w:t>
      </w:r>
      <w:r w:rsidR="009B56D6" w:rsidRPr="00143AEA">
        <w:rPr>
          <w:rFonts w:ascii="Arial" w:eastAsia="Times New Roman" w:hAnsi="Arial" w:cs="Arial"/>
          <w:kern w:val="0"/>
          <w:sz w:val="44"/>
          <w:szCs w:val="44"/>
          <w:lang w:eastAsia="en-GB"/>
          <w14:ligatures w14:val="none"/>
        </w:rPr>
        <w:t>on</w:t>
      </w:r>
      <w:r w:rsidR="009B56D6" w:rsidRPr="00143AEA">
        <w:rPr>
          <w:rFonts w:ascii="Arial" w:eastAsia="Times New Roman" w:hAnsi="Arial" w:cs="Arial"/>
          <w:b/>
          <w:bCs/>
          <w:kern w:val="0"/>
          <w:sz w:val="44"/>
          <w:szCs w:val="44"/>
          <w:lang w:eastAsia="en-GB"/>
          <w14:ligatures w14:val="none"/>
        </w:rPr>
        <w:t xml:space="preserve"> </w:t>
      </w:r>
      <w:r w:rsidR="009B56D6" w:rsidRPr="009B56D6">
        <w:rPr>
          <w:rFonts w:ascii="Arial" w:eastAsia="Times New Roman" w:hAnsi="Arial" w:cs="Arial"/>
          <w:kern w:val="0"/>
          <w:sz w:val="44"/>
          <w:szCs w:val="44"/>
          <w:lang w:eastAsia="en-GB"/>
          <w14:ligatures w14:val="none"/>
        </w:rPr>
        <w:t>Age and Health Inequalities in the UK</w:t>
      </w:r>
    </w:p>
    <w:p w14:paraId="26F68FD3" w14:textId="4E2894DC" w:rsidR="005C5D63" w:rsidRPr="005C5D63" w:rsidRDefault="005C5D63" w:rsidP="00143AEA">
      <w:pPr>
        <w:pStyle w:val="Title"/>
        <w:rPr>
          <w:rFonts w:ascii="Calibri" w:eastAsia="MS Gothic" w:hAnsi="Calibri" w:cs="Times New Roman"/>
          <w:color w:val="17365D"/>
          <w:spacing w:val="5"/>
          <w:sz w:val="48"/>
          <w:szCs w:val="48"/>
          <w:lang w:val="en-US"/>
          <w14:ligatures w14:val="none"/>
        </w:rPr>
      </w:pPr>
    </w:p>
    <w:p w14:paraId="5B5E5F79" w14:textId="5BF8693E" w:rsidR="005C5D63" w:rsidRPr="005C5D63" w:rsidRDefault="005C5D63" w:rsidP="005C5D63">
      <w:pPr>
        <w:pStyle w:val="NormalWeb"/>
        <w:spacing w:before="0" w:beforeAutospacing="0" w:after="0" w:afterAutospacing="0" w:line="360" w:lineRule="auto"/>
        <w:rPr>
          <w:rFonts w:ascii="Arial" w:hAnsi="Arial" w:cs="Arial"/>
          <w:sz w:val="36"/>
          <w:szCs w:val="36"/>
        </w:rPr>
      </w:pPr>
    </w:p>
    <w:p w14:paraId="1AC05555" w14:textId="77777777" w:rsidR="008477A5" w:rsidRDefault="008477A5" w:rsidP="005C5D63">
      <w:pPr>
        <w:keepNext/>
        <w:keepLines/>
        <w:spacing w:before="480" w:after="0" w:line="276" w:lineRule="auto"/>
        <w:outlineLvl w:val="0"/>
        <w:rPr>
          <w:rFonts w:ascii="Arial" w:eastAsia="MS Gothic" w:hAnsi="Arial" w:cs="Arial"/>
          <w:b/>
          <w:bCs/>
          <w:kern w:val="0"/>
          <w:sz w:val="36"/>
          <w:szCs w:val="36"/>
          <w:lang w:val="en-US"/>
          <w14:ligatures w14:val="none"/>
        </w:rPr>
      </w:pPr>
    </w:p>
    <w:p w14:paraId="6DB583CD" w14:textId="77777777" w:rsidR="008C22C6" w:rsidRDefault="008C22C6" w:rsidP="005C5D63">
      <w:pPr>
        <w:keepNext/>
        <w:keepLines/>
        <w:spacing w:before="480" w:after="0" w:line="276" w:lineRule="auto"/>
        <w:outlineLvl w:val="0"/>
        <w:rPr>
          <w:rFonts w:ascii="Arial" w:eastAsia="MS Gothic" w:hAnsi="Arial" w:cs="Arial"/>
          <w:b/>
          <w:bCs/>
          <w:kern w:val="0"/>
          <w:sz w:val="36"/>
          <w:szCs w:val="36"/>
          <w:lang w:val="en-US"/>
          <w14:ligatures w14:val="none"/>
        </w:rPr>
      </w:pPr>
    </w:p>
    <w:p w14:paraId="205F61EF" w14:textId="375C5F01" w:rsidR="005C5D63" w:rsidRDefault="005C5D63" w:rsidP="005C5D63">
      <w:pPr>
        <w:keepNext/>
        <w:keepLines/>
        <w:spacing w:before="480" w:after="0" w:line="276" w:lineRule="auto"/>
        <w:outlineLvl w:val="0"/>
        <w:rPr>
          <w:rFonts w:ascii="Arial" w:eastAsia="MS Gothic" w:hAnsi="Arial" w:cs="Arial"/>
          <w:b/>
          <w:bCs/>
          <w:kern w:val="0"/>
          <w:sz w:val="28"/>
          <w:szCs w:val="28"/>
          <w:lang w:val="en-US"/>
          <w14:ligatures w14:val="none"/>
        </w:rPr>
      </w:pPr>
      <w:r w:rsidRPr="005C5D63">
        <w:rPr>
          <w:rFonts w:ascii="Arial" w:eastAsia="MS Gothic" w:hAnsi="Arial" w:cs="Arial"/>
          <w:b/>
          <w:bCs/>
          <w:kern w:val="0"/>
          <w:sz w:val="28"/>
          <w:szCs w:val="28"/>
          <w:lang w:val="en-US"/>
          <w14:ligatures w14:val="none"/>
        </w:rPr>
        <w:t>Contents</w:t>
      </w:r>
      <w:r w:rsidR="008C22C6" w:rsidRPr="008C22C6">
        <w:rPr>
          <w:rFonts w:ascii="Arial" w:eastAsia="MS Gothic" w:hAnsi="Arial" w:cs="Arial"/>
          <w:b/>
          <w:bCs/>
          <w:kern w:val="0"/>
          <w:sz w:val="28"/>
          <w:szCs w:val="28"/>
          <w:lang w:val="en-US"/>
          <w14:ligatures w14:val="none"/>
        </w:rPr>
        <w:t xml:space="preserve"> Page</w:t>
      </w:r>
    </w:p>
    <w:p w14:paraId="2224521E" w14:textId="24C15B64" w:rsidR="008C22C6" w:rsidRPr="008C22C6" w:rsidRDefault="008C22C6" w:rsidP="008C22C6">
      <w:p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Task 1: Social Epidemiological Analysis </w:t>
      </w:r>
    </w:p>
    <w:p w14:paraId="666F1A32" w14:textId="77777777"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Introduction .................................................................... 1 </w:t>
      </w:r>
    </w:p>
    <w:p w14:paraId="4F4CCD13" w14:textId="24CE6D17"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Higher Rates of Mental Illness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2 </w:t>
      </w:r>
    </w:p>
    <w:p w14:paraId="506434BB" w14:textId="04CACBA4"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Chronic Illness and Multimorbidity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3 </w:t>
      </w:r>
    </w:p>
    <w:p w14:paraId="2F47DA2D" w14:textId="70EE50BD"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Higher Mortality Rates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4 </w:t>
      </w:r>
    </w:p>
    <w:p w14:paraId="7289CDEE" w14:textId="73E2EAE0"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Social Isolation and Loneliness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5 </w:t>
      </w:r>
    </w:p>
    <w:p w14:paraId="2BAE1EA5" w14:textId="7BCAA5C0"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Poverty .......................................................................... 6 </w:t>
      </w:r>
    </w:p>
    <w:p w14:paraId="51DA6B18" w14:textId="16EA108F"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Housing Issues .............................................................. 7 </w:t>
      </w:r>
    </w:p>
    <w:p w14:paraId="434B58AD" w14:textId="3ED6D25C"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Table </w:t>
      </w:r>
      <w:r w:rsidR="000C6D53">
        <w:rPr>
          <w:rFonts w:ascii="Arial" w:eastAsia="Times New Roman" w:hAnsi="Arial" w:cs="Arial"/>
          <w:kern w:val="0"/>
          <w:sz w:val="24"/>
          <w:szCs w:val="24"/>
          <w:lang w:eastAsia="en-GB"/>
          <w14:ligatures w14:val="none"/>
        </w:rPr>
        <w:t xml:space="preserve">of </w:t>
      </w:r>
      <w:r w:rsidRPr="008C22C6">
        <w:rPr>
          <w:rFonts w:ascii="Arial" w:eastAsia="Times New Roman" w:hAnsi="Arial" w:cs="Arial"/>
          <w:kern w:val="0"/>
          <w:sz w:val="24"/>
          <w:szCs w:val="24"/>
          <w:lang w:eastAsia="en-GB"/>
          <w14:ligatures w14:val="none"/>
        </w:rPr>
        <w:t>Health Inequalities in Older Adults (UK)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8 </w:t>
      </w:r>
    </w:p>
    <w:p w14:paraId="3C95C056" w14:textId="01302DDB"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National Response ........................................................ 9 </w:t>
      </w:r>
    </w:p>
    <w:p w14:paraId="580074C3" w14:textId="305BDF3C" w:rsidR="008C22C6" w:rsidRPr="008C22C6"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Organisation: Age UK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10 </w:t>
      </w:r>
    </w:p>
    <w:p w14:paraId="2C266BFB" w14:textId="77777777" w:rsidR="000C6D53" w:rsidRDefault="008C22C6" w:rsidP="000C6D53">
      <w:pPr>
        <w:numPr>
          <w:ilvl w:val="0"/>
          <w:numId w:val="70"/>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Conclusion (Task 1)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11 </w:t>
      </w:r>
    </w:p>
    <w:p w14:paraId="16204E82" w14:textId="2485B535" w:rsidR="008C22C6" w:rsidRPr="008C22C6" w:rsidRDefault="008C22C6" w:rsidP="000C6D53">
      <w:p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Task 2: Epidemiological Analysis of Type 2 Diabetes in Tower Hamlets </w:t>
      </w:r>
    </w:p>
    <w:p w14:paraId="70707DE2" w14:textId="505CC76C"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Introduction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12 </w:t>
      </w:r>
    </w:p>
    <w:p w14:paraId="269A2AD5" w14:textId="125B5A12"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Public Health Measures (3 P’s)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13 </w:t>
      </w:r>
    </w:p>
    <w:p w14:paraId="0369FE3B" w14:textId="559B243A"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Risk Factors .................................................................. 14 </w:t>
      </w:r>
    </w:p>
    <w:p w14:paraId="144AD08A" w14:textId="7F7FD140"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Epidemiological Studies &amp; Health Needs Assessment</w:t>
      </w:r>
      <w:r w:rsidR="008F200E" w:rsidRPr="008C22C6">
        <w:rPr>
          <w:rFonts w:ascii="Arial" w:eastAsia="Times New Roman" w:hAnsi="Arial" w:cs="Arial"/>
          <w:kern w:val="0"/>
          <w:sz w:val="24"/>
          <w:szCs w:val="24"/>
          <w:lang w:eastAsia="en-GB"/>
          <w14:ligatures w14:val="none"/>
        </w:rPr>
        <w:t xml:space="preserve"> ...</w:t>
      </w:r>
      <w:r w:rsidRPr="008C22C6">
        <w:rPr>
          <w:rFonts w:ascii="Arial" w:eastAsia="Times New Roman" w:hAnsi="Arial" w:cs="Arial"/>
          <w:kern w:val="0"/>
          <w:sz w:val="24"/>
          <w:szCs w:val="24"/>
          <w:lang w:eastAsia="en-GB"/>
          <w14:ligatures w14:val="none"/>
        </w:rPr>
        <w:t xml:space="preserve">15 </w:t>
      </w:r>
    </w:p>
    <w:p w14:paraId="152EECF7" w14:textId="0585A71D"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Monitoring and Surveillance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16 </w:t>
      </w:r>
    </w:p>
    <w:p w14:paraId="4445875D" w14:textId="7368BA74"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Public Health Impact .................................................... 17 </w:t>
      </w:r>
    </w:p>
    <w:p w14:paraId="3A66C723" w14:textId="2D0D7C34"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Figure 1: Diabetes Prevalence by Ethnicity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18 </w:t>
      </w:r>
    </w:p>
    <w:p w14:paraId="13F26714" w14:textId="79628FFC"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Intervention Programme .............................................. 19 </w:t>
      </w:r>
    </w:p>
    <w:p w14:paraId="55692A2E" w14:textId="451D9C8E"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Strengths and Weaknesses ......................................... 20 </w:t>
      </w:r>
    </w:p>
    <w:p w14:paraId="3E83FE3A" w14:textId="1C0BBE84" w:rsidR="008C22C6" w:rsidRPr="008C22C6" w:rsidRDefault="008C22C6" w:rsidP="000C6D53">
      <w:pPr>
        <w:numPr>
          <w:ilvl w:val="0"/>
          <w:numId w:val="71"/>
        </w:numPr>
        <w:spacing w:before="100" w:beforeAutospacing="1" w:after="100" w:afterAutospacing="1" w:line="360" w:lineRule="auto"/>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 xml:space="preserve">Conclusion (Task 2) ..................................................... 21 </w:t>
      </w:r>
    </w:p>
    <w:p w14:paraId="2F8D41F9" w14:textId="4425D4F8" w:rsidR="008C22C6" w:rsidRPr="008C22C6" w:rsidRDefault="008C22C6" w:rsidP="008C22C6">
      <w:p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8C22C6">
        <w:rPr>
          <w:rFonts w:ascii="Arial" w:eastAsia="Times New Roman" w:hAnsi="Arial" w:cs="Arial"/>
          <w:kern w:val="0"/>
          <w:sz w:val="24"/>
          <w:szCs w:val="24"/>
          <w:lang w:eastAsia="en-GB"/>
          <w14:ligatures w14:val="none"/>
        </w:rPr>
        <w:t>References ..................................................................</w:t>
      </w:r>
      <w:r w:rsidR="000C6D53">
        <w:rPr>
          <w:rFonts w:ascii="Arial" w:eastAsia="Times New Roman" w:hAnsi="Arial" w:cs="Arial"/>
          <w:kern w:val="0"/>
          <w:sz w:val="24"/>
          <w:szCs w:val="24"/>
          <w:lang w:eastAsia="en-GB"/>
          <w14:ligatures w14:val="none"/>
        </w:rPr>
        <w:t>...........</w:t>
      </w:r>
      <w:r w:rsidRPr="008C22C6">
        <w:rPr>
          <w:rFonts w:ascii="Arial" w:eastAsia="Times New Roman" w:hAnsi="Arial" w:cs="Arial"/>
          <w:kern w:val="0"/>
          <w:sz w:val="24"/>
          <w:szCs w:val="24"/>
          <w:lang w:eastAsia="en-GB"/>
          <w14:ligatures w14:val="none"/>
        </w:rPr>
        <w:t xml:space="preserve"> 22</w:t>
      </w:r>
    </w:p>
    <w:p w14:paraId="553543FA" w14:textId="77777777" w:rsidR="008C22C6" w:rsidRPr="008C22C6" w:rsidRDefault="008C22C6" w:rsidP="005C5D63">
      <w:pPr>
        <w:keepNext/>
        <w:keepLines/>
        <w:spacing w:before="480" w:after="0" w:line="276" w:lineRule="auto"/>
        <w:outlineLvl w:val="0"/>
        <w:rPr>
          <w:rFonts w:ascii="Arial" w:eastAsia="MS Gothic" w:hAnsi="Arial" w:cs="Arial"/>
          <w:kern w:val="0"/>
          <w:sz w:val="24"/>
          <w:szCs w:val="24"/>
          <w:lang w:val="en-US"/>
          <w14:ligatures w14:val="none"/>
        </w:rPr>
      </w:pPr>
    </w:p>
    <w:p w14:paraId="150ACF98" w14:textId="77777777" w:rsidR="008C22C6" w:rsidRPr="008C22C6" w:rsidRDefault="008C22C6" w:rsidP="005C5D63">
      <w:pPr>
        <w:keepNext/>
        <w:keepLines/>
        <w:spacing w:before="480" w:after="0" w:line="276" w:lineRule="auto"/>
        <w:outlineLvl w:val="0"/>
        <w:rPr>
          <w:rFonts w:ascii="Arial" w:eastAsia="MS Gothic" w:hAnsi="Arial" w:cs="Arial"/>
          <w:kern w:val="0"/>
          <w:sz w:val="24"/>
          <w:szCs w:val="24"/>
          <w:lang w:val="en-US"/>
          <w14:ligatures w14:val="none"/>
        </w:rPr>
      </w:pPr>
    </w:p>
    <w:p w14:paraId="7B161EED" w14:textId="77777777" w:rsidR="008477A5" w:rsidRPr="008C22C6" w:rsidRDefault="008477A5" w:rsidP="00562B66">
      <w:pPr>
        <w:pStyle w:val="NoSpacing"/>
        <w:spacing w:line="360" w:lineRule="auto"/>
        <w:jc w:val="both"/>
        <w:rPr>
          <w:rFonts w:ascii="Arial" w:hAnsi="Arial" w:cs="Arial"/>
          <w:sz w:val="24"/>
          <w:szCs w:val="24"/>
          <w:lang w:eastAsia="en-GB"/>
        </w:rPr>
      </w:pPr>
    </w:p>
    <w:p w14:paraId="4679FB7F" w14:textId="77777777" w:rsidR="008477A5" w:rsidRDefault="008477A5" w:rsidP="00562B66">
      <w:pPr>
        <w:pStyle w:val="NoSpacing"/>
        <w:spacing w:line="360" w:lineRule="auto"/>
        <w:jc w:val="both"/>
        <w:rPr>
          <w:rFonts w:ascii="Arial" w:hAnsi="Arial" w:cs="Arial"/>
          <w:b/>
          <w:bCs/>
          <w:sz w:val="28"/>
          <w:szCs w:val="28"/>
          <w:lang w:eastAsia="en-GB"/>
        </w:rPr>
      </w:pPr>
    </w:p>
    <w:p w14:paraId="1EE1C53C" w14:textId="53999871" w:rsidR="009B56D6" w:rsidRPr="00754665" w:rsidRDefault="009B56D6" w:rsidP="00562B66">
      <w:pPr>
        <w:pStyle w:val="NoSpacing"/>
        <w:spacing w:line="360" w:lineRule="auto"/>
        <w:jc w:val="both"/>
        <w:rPr>
          <w:rFonts w:ascii="Arial" w:hAnsi="Arial" w:cs="Arial"/>
          <w:b/>
          <w:bCs/>
          <w:sz w:val="28"/>
          <w:szCs w:val="28"/>
          <w:lang w:eastAsia="en-GB"/>
        </w:rPr>
      </w:pPr>
      <w:r w:rsidRPr="00754665">
        <w:rPr>
          <w:rFonts w:ascii="Arial" w:hAnsi="Arial" w:cs="Arial"/>
          <w:b/>
          <w:bCs/>
          <w:sz w:val="28"/>
          <w:szCs w:val="28"/>
          <w:lang w:eastAsia="en-GB"/>
        </w:rPr>
        <w:t>Introduction</w:t>
      </w:r>
    </w:p>
    <w:p w14:paraId="0D436CB7" w14:textId="614940F7"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Health disparities among older individuals (aged 65 and above) pose a significant public health issue in the U</w:t>
      </w:r>
      <w:r w:rsidR="008559ED">
        <w:rPr>
          <w:rFonts w:ascii="Arial" w:hAnsi="Arial" w:cs="Arial"/>
          <w:sz w:val="24"/>
          <w:szCs w:val="24"/>
          <w:lang w:eastAsia="en-GB"/>
        </w:rPr>
        <w:t xml:space="preserve">nited </w:t>
      </w:r>
      <w:r w:rsidRPr="00562B66">
        <w:rPr>
          <w:rFonts w:ascii="Arial" w:hAnsi="Arial" w:cs="Arial"/>
          <w:sz w:val="24"/>
          <w:szCs w:val="24"/>
          <w:lang w:eastAsia="en-GB"/>
        </w:rPr>
        <w:t>K</w:t>
      </w:r>
      <w:r w:rsidR="008559ED">
        <w:rPr>
          <w:rFonts w:ascii="Arial" w:hAnsi="Arial" w:cs="Arial"/>
          <w:sz w:val="24"/>
          <w:szCs w:val="24"/>
          <w:lang w:eastAsia="en-GB"/>
        </w:rPr>
        <w:t>ingdom</w:t>
      </w:r>
      <w:r w:rsidRPr="00562B66">
        <w:rPr>
          <w:rFonts w:ascii="Arial" w:hAnsi="Arial" w:cs="Arial"/>
          <w:sz w:val="24"/>
          <w:szCs w:val="24"/>
          <w:lang w:eastAsia="en-GB"/>
        </w:rPr>
        <w:t>. These health disparities are characterized as systematic, preventable, and inequitable variations in health outcomes among different population groups (Public Health England, 2019). Older individuals are especially at risk due to biological aging, cumulative exposure to disadvantage, and systemic obstacles to accessing healthcare.</w:t>
      </w:r>
    </w:p>
    <w:p w14:paraId="1B513224" w14:textId="09AEAFF4" w:rsidR="009B56D6"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Research indicates that 46% of adults in England are affected by at least one long-term health condition, with the prevalence notably increasing with age. This underscores the intersection of aging with social determinants such as deprivation, housing, and income, which further </w:t>
      </w:r>
      <w:r w:rsidR="00754665">
        <w:rPr>
          <w:rFonts w:ascii="Arial" w:hAnsi="Arial" w:cs="Arial"/>
          <w:sz w:val="24"/>
          <w:szCs w:val="24"/>
          <w:lang w:eastAsia="en-GB"/>
        </w:rPr>
        <w:t>entrench</w:t>
      </w:r>
      <w:r w:rsidRPr="00562B66">
        <w:rPr>
          <w:rFonts w:ascii="Arial" w:hAnsi="Arial" w:cs="Arial"/>
          <w:sz w:val="24"/>
          <w:szCs w:val="24"/>
          <w:lang w:eastAsia="en-GB"/>
        </w:rPr>
        <w:t xml:space="preserve"> inequalities.</w:t>
      </w:r>
      <w:r w:rsidR="00837A78">
        <w:rPr>
          <w:rFonts w:ascii="Arial" w:hAnsi="Arial" w:cs="Arial"/>
          <w:sz w:val="24"/>
          <w:szCs w:val="24"/>
          <w:lang w:eastAsia="en-GB"/>
        </w:rPr>
        <w:t xml:space="preserve"> </w:t>
      </w:r>
      <w:r w:rsidR="00837A78" w:rsidRPr="00837A78">
        <w:rPr>
          <w:rFonts w:ascii="Arial" w:hAnsi="Arial" w:cs="Arial"/>
          <w:sz w:val="24"/>
          <w:szCs w:val="24"/>
          <w:lang w:eastAsia="en-GB"/>
        </w:rPr>
        <w:t>In my role as a clinical support worker in a dementia ward, I have observed and experienced many of these health disparities, particularly among the aging population that comes to the ward.</w:t>
      </w:r>
      <w:r w:rsidR="00837A78">
        <w:rPr>
          <w:rFonts w:ascii="Arial" w:hAnsi="Arial" w:cs="Arial"/>
          <w:sz w:val="24"/>
          <w:szCs w:val="24"/>
          <w:lang w:eastAsia="en-GB"/>
        </w:rPr>
        <w:t xml:space="preserve"> </w:t>
      </w:r>
      <w:r w:rsidRPr="00562B66">
        <w:rPr>
          <w:rFonts w:ascii="Arial" w:hAnsi="Arial" w:cs="Arial"/>
          <w:sz w:val="24"/>
          <w:szCs w:val="24"/>
          <w:lang w:eastAsia="en-GB"/>
        </w:rPr>
        <w:t>Importantly, aging should not be viewed solely as a biological phenomenon but rather as a socially constructed experience influenced by inequality throughout the life course (Marmot, 2020).</w:t>
      </w:r>
    </w:p>
    <w:p w14:paraId="4F6C9713" w14:textId="77777777" w:rsidR="00BF319E" w:rsidRPr="00562B66" w:rsidRDefault="00BF319E" w:rsidP="00562B66">
      <w:pPr>
        <w:pStyle w:val="NoSpacing"/>
        <w:spacing w:line="360" w:lineRule="auto"/>
        <w:jc w:val="both"/>
        <w:rPr>
          <w:rFonts w:ascii="Arial" w:hAnsi="Arial" w:cs="Arial"/>
          <w:kern w:val="36"/>
          <w:sz w:val="24"/>
          <w:szCs w:val="24"/>
          <w:lang w:eastAsia="en-GB"/>
        </w:rPr>
      </w:pPr>
    </w:p>
    <w:p w14:paraId="02FAC4F7" w14:textId="77777777" w:rsidR="00BF319E" w:rsidRPr="00452DD9" w:rsidRDefault="00BF319E" w:rsidP="00754665">
      <w:pPr>
        <w:pStyle w:val="NoSpacing"/>
        <w:spacing w:line="360" w:lineRule="auto"/>
        <w:jc w:val="center"/>
        <w:rPr>
          <w:rFonts w:ascii="Arial" w:hAnsi="Arial" w:cs="Arial"/>
          <w:b/>
          <w:bCs/>
          <w:kern w:val="36"/>
          <w:sz w:val="24"/>
          <w:szCs w:val="24"/>
          <w:lang w:eastAsia="en-GB"/>
        </w:rPr>
      </w:pPr>
      <w:r w:rsidRPr="00452DD9">
        <w:rPr>
          <w:rFonts w:ascii="Arial" w:hAnsi="Arial" w:cs="Arial"/>
          <w:b/>
          <w:bCs/>
          <w:kern w:val="36"/>
          <w:sz w:val="24"/>
          <w:szCs w:val="24"/>
          <w:lang w:eastAsia="en-GB"/>
        </w:rPr>
        <w:t>Contextual Background and Underlying Factors</w:t>
      </w:r>
    </w:p>
    <w:p w14:paraId="210C39EC" w14:textId="77777777" w:rsidR="00754665" w:rsidRDefault="00754665" w:rsidP="00562B66">
      <w:pPr>
        <w:pStyle w:val="NoSpacing"/>
        <w:spacing w:line="360" w:lineRule="auto"/>
        <w:jc w:val="both"/>
        <w:rPr>
          <w:rFonts w:ascii="Arial" w:hAnsi="Arial" w:cs="Arial"/>
          <w:b/>
          <w:bCs/>
          <w:kern w:val="36"/>
          <w:sz w:val="24"/>
          <w:szCs w:val="24"/>
          <w:lang w:eastAsia="en-GB"/>
        </w:rPr>
      </w:pPr>
    </w:p>
    <w:p w14:paraId="139B39C9" w14:textId="4ADD261E" w:rsidR="00BF319E" w:rsidRPr="00452DD9" w:rsidRDefault="00BF319E" w:rsidP="00562B66">
      <w:pPr>
        <w:pStyle w:val="NoSpacing"/>
        <w:spacing w:line="360" w:lineRule="auto"/>
        <w:jc w:val="both"/>
        <w:rPr>
          <w:rFonts w:ascii="Arial" w:hAnsi="Arial" w:cs="Arial"/>
          <w:b/>
          <w:bCs/>
          <w:kern w:val="36"/>
          <w:sz w:val="24"/>
          <w:szCs w:val="24"/>
          <w:lang w:eastAsia="en-GB"/>
        </w:rPr>
      </w:pPr>
      <w:r w:rsidRPr="00452DD9">
        <w:rPr>
          <w:rFonts w:ascii="Arial" w:hAnsi="Arial" w:cs="Arial"/>
          <w:b/>
          <w:bCs/>
          <w:kern w:val="36"/>
          <w:sz w:val="24"/>
          <w:szCs w:val="24"/>
          <w:lang w:eastAsia="en-GB"/>
        </w:rPr>
        <w:t>Elevated Incidence of Mental Health Disorders</w:t>
      </w:r>
    </w:p>
    <w:p w14:paraId="4504809A" w14:textId="77777777" w:rsidR="00BF319E" w:rsidRPr="00562B66" w:rsidRDefault="00BF319E" w:rsidP="00562B66">
      <w:pPr>
        <w:pStyle w:val="NoSpacing"/>
        <w:spacing w:line="360" w:lineRule="auto"/>
        <w:jc w:val="both"/>
        <w:rPr>
          <w:rFonts w:ascii="Arial" w:hAnsi="Arial" w:cs="Arial"/>
          <w:kern w:val="36"/>
          <w:sz w:val="24"/>
          <w:szCs w:val="24"/>
          <w:lang w:eastAsia="en-GB"/>
        </w:rPr>
      </w:pPr>
      <w:r w:rsidRPr="00562B66">
        <w:rPr>
          <w:rFonts w:ascii="Arial" w:hAnsi="Arial" w:cs="Arial"/>
          <w:kern w:val="36"/>
          <w:sz w:val="24"/>
          <w:szCs w:val="24"/>
          <w:lang w:eastAsia="en-GB"/>
        </w:rPr>
        <w:t>Older individuals face disproportionately elevated rates of mental health issues, particularly depression and anxiety, which are frequently linked to bereavement, deteriorating physical health, and heightened social isolation. Research indicates that loneliness poses a significant public health challenge among older demographics, with findings showing that chronic loneliness can elevate mortality risk to a degree comparable to well-established risk factors such as smoking and obesity (Holt-Lunstad et al., 2015). In the United Kingdom, older adults are especially at risk due to diminished social networks following retirement, the loss of partners, and reduced mobility, which limits their engagement in community activities (Age UK, 2022).</w:t>
      </w:r>
    </w:p>
    <w:p w14:paraId="3C21BD04" w14:textId="4FDEA4A6" w:rsidR="00BF319E" w:rsidRPr="00562B66" w:rsidRDefault="00BF319E" w:rsidP="00562B66">
      <w:pPr>
        <w:pStyle w:val="NoSpacing"/>
        <w:spacing w:line="360" w:lineRule="auto"/>
        <w:jc w:val="both"/>
        <w:rPr>
          <w:rFonts w:ascii="Arial" w:hAnsi="Arial" w:cs="Arial"/>
          <w:kern w:val="36"/>
          <w:sz w:val="24"/>
          <w:szCs w:val="24"/>
          <w:lang w:eastAsia="en-GB"/>
        </w:rPr>
      </w:pPr>
      <w:r w:rsidRPr="00562B66">
        <w:rPr>
          <w:rFonts w:ascii="Arial" w:hAnsi="Arial" w:cs="Arial"/>
          <w:kern w:val="36"/>
          <w:sz w:val="24"/>
          <w:szCs w:val="24"/>
          <w:lang w:eastAsia="en-GB"/>
        </w:rPr>
        <w:t>This disparity continues to exist due to both structural and cultural obstacles. Mental health issues in older adults are often underdiagnosed, as symptoms are frequently perceived as a normal aspect of the ageing process by both individuals and healthcare providers. Furthermore, generational stigma associated with mental health discourages individuals from seeking help, thereby worsening the situation (McMunn et al., 2019).</w:t>
      </w:r>
    </w:p>
    <w:p w14:paraId="77FD618D" w14:textId="77777777" w:rsidR="00BF319E" w:rsidRPr="00562B66" w:rsidRDefault="00BF319E" w:rsidP="00562B66">
      <w:pPr>
        <w:pStyle w:val="NoSpacing"/>
        <w:spacing w:line="360" w:lineRule="auto"/>
        <w:jc w:val="both"/>
        <w:rPr>
          <w:rFonts w:ascii="Arial" w:hAnsi="Arial" w:cs="Arial"/>
          <w:kern w:val="36"/>
          <w:sz w:val="24"/>
          <w:szCs w:val="24"/>
          <w:lang w:eastAsia="en-GB"/>
        </w:rPr>
      </w:pPr>
    </w:p>
    <w:p w14:paraId="643E0997" w14:textId="77777777" w:rsidR="00BF319E" w:rsidRPr="00452DD9" w:rsidRDefault="00BF319E"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Critical evaluation:</w:t>
      </w:r>
    </w:p>
    <w:p w14:paraId="4F8A5924" w14:textId="3356F40C" w:rsidR="005D4BEF"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This indicates a systemic disregard within healthcare systems that have traditionally emphasized physical health over mental wellness, especially in older demographics. The absence of customized mental health services for senior citizens underscores a wider institutional prejudice, where aging </w:t>
      </w:r>
      <w:r w:rsidRPr="00562B66">
        <w:rPr>
          <w:rFonts w:ascii="Arial" w:hAnsi="Arial" w:cs="Arial"/>
          <w:sz w:val="24"/>
          <w:szCs w:val="24"/>
          <w:lang w:eastAsia="en-GB"/>
        </w:rPr>
        <w:lastRenderedPageBreak/>
        <w:t xml:space="preserve">populations are frequently neglected in </w:t>
      </w:r>
      <w:r w:rsidR="008F200E" w:rsidRPr="00562B66">
        <w:rPr>
          <w:rFonts w:ascii="Arial" w:hAnsi="Arial" w:cs="Arial"/>
          <w:sz w:val="24"/>
          <w:szCs w:val="24"/>
          <w:lang w:eastAsia="en-GB"/>
        </w:rPr>
        <w:t>policymaking</w:t>
      </w:r>
      <w:r w:rsidRPr="00562B66">
        <w:rPr>
          <w:rFonts w:ascii="Arial" w:hAnsi="Arial" w:cs="Arial"/>
          <w:sz w:val="24"/>
          <w:szCs w:val="24"/>
          <w:lang w:eastAsia="en-GB"/>
        </w:rPr>
        <w:t xml:space="preserve"> and service development. Tackling this disparity necessitates not only enhanced service delivery but also a cultural transformation in acknowledging mental health as equally significant in the later stages of life.</w:t>
      </w:r>
    </w:p>
    <w:p w14:paraId="0708CBEB" w14:textId="36DCC65B" w:rsidR="005D4BEF" w:rsidRPr="00562B66" w:rsidRDefault="005D4BEF" w:rsidP="00562B66">
      <w:pPr>
        <w:pStyle w:val="NoSpacing"/>
        <w:spacing w:line="360" w:lineRule="auto"/>
        <w:jc w:val="both"/>
        <w:rPr>
          <w:rFonts w:ascii="Arial" w:hAnsi="Arial" w:cs="Arial"/>
          <w:sz w:val="24"/>
          <w:szCs w:val="24"/>
          <w:lang w:eastAsia="en-GB"/>
        </w:rPr>
      </w:pPr>
    </w:p>
    <w:p w14:paraId="405F6340" w14:textId="77777777" w:rsidR="00BF319E" w:rsidRPr="00452DD9" w:rsidRDefault="00BF319E"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Chronic Illness and Multimorbidity</w:t>
      </w:r>
    </w:p>
    <w:p w14:paraId="266F54AF" w14:textId="77777777"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Multimorbidity, which is characterized by the coexistence of two or more long-term health conditions, is a prominent feature of aging populations. Older individuals are considerably more prone to suffer from chronic diseases such as cardiovascular ailments, diabetes, and arthritis, often concurrently (Barnett et al., 2015). This situation results in intricate healthcare requirements that pose challenges to conventional care models, which are generally structured around single-disease paradigms.</w:t>
      </w:r>
    </w:p>
    <w:p w14:paraId="18108D87" w14:textId="77777777"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 incidence of multimorbidity escalates significantly with advancing age, and those residing in socioeconomically disadvantaged regions frequently encounter earlier onset and heightened severity of health conditions. This trend is indicative of prolonged exposure to negative social determinants, including poor nutrition, substandard housing, and restricted access to healthcare services (Kingston et al., 2018).</w:t>
      </w:r>
    </w:p>
    <w:p w14:paraId="1DD7B394" w14:textId="77777777" w:rsidR="008559ED" w:rsidRDefault="008559ED" w:rsidP="00562B66">
      <w:pPr>
        <w:pStyle w:val="NoSpacing"/>
        <w:spacing w:line="360" w:lineRule="auto"/>
        <w:jc w:val="both"/>
        <w:rPr>
          <w:rFonts w:ascii="Arial" w:hAnsi="Arial" w:cs="Arial"/>
          <w:b/>
          <w:bCs/>
          <w:sz w:val="24"/>
          <w:szCs w:val="24"/>
          <w:lang w:eastAsia="en-GB"/>
        </w:rPr>
      </w:pPr>
    </w:p>
    <w:p w14:paraId="4E122040" w14:textId="40C3426A" w:rsidR="00BF319E" w:rsidRPr="00452DD9" w:rsidRDefault="00BF319E"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Critical insight:</w:t>
      </w:r>
    </w:p>
    <w:p w14:paraId="58F83B06" w14:textId="5BB56342"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Multimorbidity should not be viewed solely as a result of biological aging; rather, it is profoundly affected by the accumulation of disadvantages throughout an individual's life. Those who endure poverty, </w:t>
      </w:r>
      <w:r w:rsidR="00452DD9" w:rsidRPr="00562B66">
        <w:rPr>
          <w:rFonts w:ascii="Arial" w:hAnsi="Arial" w:cs="Arial"/>
          <w:sz w:val="24"/>
          <w:szCs w:val="24"/>
          <w:lang w:eastAsia="en-GB"/>
        </w:rPr>
        <w:t>unfavourable</w:t>
      </w:r>
      <w:r w:rsidRPr="00562B66">
        <w:rPr>
          <w:rFonts w:ascii="Arial" w:hAnsi="Arial" w:cs="Arial"/>
          <w:sz w:val="24"/>
          <w:szCs w:val="24"/>
          <w:lang w:eastAsia="en-GB"/>
        </w:rPr>
        <w:t xml:space="preserve"> working environments, and limited educational opportunities are more likely to develop chronic illnesses at an earlier age and face poorer health outcomes. This underscores the necessity of implementing a life-course perspective in public health, acknowledging that disparities in later life are deeply rooted in prior social and economic conditions.</w:t>
      </w:r>
    </w:p>
    <w:p w14:paraId="459BE68C" w14:textId="4EB2510C" w:rsidR="005D4BEF" w:rsidRPr="00562B66" w:rsidRDefault="005D4BEF" w:rsidP="00562B66">
      <w:pPr>
        <w:pStyle w:val="NoSpacing"/>
        <w:spacing w:line="360" w:lineRule="auto"/>
        <w:jc w:val="both"/>
        <w:rPr>
          <w:rFonts w:ascii="Arial" w:hAnsi="Arial" w:cs="Arial"/>
          <w:sz w:val="24"/>
          <w:szCs w:val="24"/>
          <w:lang w:eastAsia="en-GB"/>
        </w:rPr>
      </w:pPr>
    </w:p>
    <w:p w14:paraId="4416CAC5" w14:textId="072A65A1" w:rsidR="00BF319E" w:rsidRPr="00452DD9" w:rsidRDefault="00BF319E"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Elevated Mortality Rates</w:t>
      </w:r>
    </w:p>
    <w:p w14:paraId="43289E60" w14:textId="77777777"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There exists a distinct and ongoing disparity in mortality rates among elderly individuals in the UK, especially when contrasting various socioeconomic groups. Information from the Office for National Statistics reveals that the difference in life expectancy between the most affluent and the most disadvantaged regions surpasses 10 years for men and is comparably significant for women (Office for National Statistics, 2021).</w:t>
      </w:r>
    </w:p>
    <w:p w14:paraId="1825FC2A" w14:textId="77777777"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These inequalities are also evident in healthy life expectancy, as people residing in deprived areas tend to spend a larger portion of their later years in ill health. This not only diminishes quality of life but also escalates the demand for healthcare services, thereby exerting additional pressure on the NHS.</w:t>
      </w:r>
    </w:p>
    <w:p w14:paraId="044796F3" w14:textId="77777777" w:rsidR="00BF319E" w:rsidRPr="00562B66" w:rsidRDefault="00BF319E" w:rsidP="00562B66">
      <w:pPr>
        <w:pStyle w:val="NoSpacing"/>
        <w:spacing w:line="360" w:lineRule="auto"/>
        <w:jc w:val="both"/>
        <w:rPr>
          <w:rFonts w:ascii="Arial" w:hAnsi="Arial" w:cs="Arial"/>
          <w:sz w:val="24"/>
          <w:szCs w:val="24"/>
          <w:lang w:eastAsia="en-GB"/>
        </w:rPr>
      </w:pPr>
    </w:p>
    <w:p w14:paraId="7140AAD9" w14:textId="77777777" w:rsidR="00837A78" w:rsidRDefault="00837A78" w:rsidP="00562B66">
      <w:pPr>
        <w:pStyle w:val="NoSpacing"/>
        <w:spacing w:line="360" w:lineRule="auto"/>
        <w:jc w:val="both"/>
        <w:rPr>
          <w:rFonts w:ascii="Arial" w:hAnsi="Arial" w:cs="Arial"/>
          <w:b/>
          <w:bCs/>
          <w:sz w:val="24"/>
          <w:szCs w:val="24"/>
          <w:lang w:eastAsia="en-GB"/>
        </w:rPr>
      </w:pPr>
    </w:p>
    <w:p w14:paraId="3A8622A3" w14:textId="77777777" w:rsidR="00837A78" w:rsidRDefault="00837A78" w:rsidP="00562B66">
      <w:pPr>
        <w:pStyle w:val="NoSpacing"/>
        <w:spacing w:line="360" w:lineRule="auto"/>
        <w:jc w:val="both"/>
        <w:rPr>
          <w:rFonts w:ascii="Arial" w:hAnsi="Arial" w:cs="Arial"/>
          <w:b/>
          <w:bCs/>
          <w:sz w:val="24"/>
          <w:szCs w:val="24"/>
          <w:lang w:eastAsia="en-GB"/>
        </w:rPr>
      </w:pPr>
    </w:p>
    <w:p w14:paraId="4976AAE3" w14:textId="58E73FC4" w:rsidR="00BF319E" w:rsidRPr="00452DD9" w:rsidRDefault="00BF319E"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lastRenderedPageBreak/>
        <w:t>Critical evaluation:</w:t>
      </w:r>
    </w:p>
    <w:p w14:paraId="71A3FE72" w14:textId="1280E253" w:rsidR="00BF319E" w:rsidRPr="00562B66" w:rsidRDefault="00BF319E"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These trends illustrate structural inequality, where deprivation directly leads to premature mortality. Although the NHS is designed to be universal, access to healthcare is not genuinely equitable, as social determinants such as income, education, and environment continue to influence health outcomes. This challenges the belief that healthcare provision alone can eradicate inequalities, underscoring the necessity for more extensive social and economic reforms.</w:t>
      </w:r>
    </w:p>
    <w:p w14:paraId="38ACA2D7" w14:textId="77777777" w:rsidR="00BF319E" w:rsidRPr="00562B66" w:rsidRDefault="00BF319E" w:rsidP="00562B66">
      <w:pPr>
        <w:pStyle w:val="NoSpacing"/>
        <w:spacing w:line="360" w:lineRule="auto"/>
        <w:jc w:val="both"/>
        <w:rPr>
          <w:rFonts w:ascii="Arial" w:hAnsi="Arial" w:cs="Arial"/>
          <w:sz w:val="24"/>
          <w:szCs w:val="24"/>
          <w:lang w:eastAsia="en-GB"/>
        </w:rPr>
      </w:pPr>
    </w:p>
    <w:p w14:paraId="0602D134" w14:textId="2FB6BB4C" w:rsidR="00735FD2" w:rsidRPr="00452DD9" w:rsidRDefault="00735FD2"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Social Isolation and Loneliness</w:t>
      </w:r>
    </w:p>
    <w:p w14:paraId="35205903" w14:textId="7777777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Social isolation and loneliness represent significant challenges for older adults, with more than one million individuals in the UK experiencing chronic loneliness (Age UK, 2022). This feeling of loneliness has been associated with various adverse health effects, such as an elevated risk of dementia, cardiovascular diseases, and depression.</w:t>
      </w:r>
    </w:p>
    <w:p w14:paraId="35038682" w14:textId="7777777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 factors contributing to social isolation are complex and varied, encompassing bereavement, retirement, diminished mobility, and physical distance from family members. Additionally, technological obstacles may hinder older adults from sustaining social connections in an increasingly digital world.</w:t>
      </w:r>
    </w:p>
    <w:p w14:paraId="5F0C1FCC" w14:textId="77777777" w:rsidR="008559ED" w:rsidRDefault="008559ED" w:rsidP="00562B66">
      <w:pPr>
        <w:pStyle w:val="NoSpacing"/>
        <w:spacing w:line="360" w:lineRule="auto"/>
        <w:jc w:val="both"/>
        <w:rPr>
          <w:rFonts w:ascii="Arial" w:hAnsi="Arial" w:cs="Arial"/>
          <w:b/>
          <w:bCs/>
          <w:sz w:val="24"/>
          <w:szCs w:val="24"/>
          <w:lang w:eastAsia="en-GB"/>
        </w:rPr>
      </w:pPr>
    </w:p>
    <w:p w14:paraId="634BE877" w14:textId="7710EAC9" w:rsidR="00735FD2" w:rsidRPr="00452DD9" w:rsidRDefault="00735FD2" w:rsidP="00562B66">
      <w:pPr>
        <w:pStyle w:val="NoSpacing"/>
        <w:spacing w:line="360" w:lineRule="auto"/>
        <w:jc w:val="both"/>
        <w:rPr>
          <w:rFonts w:ascii="Arial" w:hAnsi="Arial" w:cs="Arial"/>
          <w:b/>
          <w:bCs/>
          <w:sz w:val="24"/>
          <w:szCs w:val="24"/>
          <w:lang w:eastAsia="en-GB"/>
        </w:rPr>
      </w:pPr>
      <w:r w:rsidRPr="00452DD9">
        <w:rPr>
          <w:rFonts w:ascii="Arial" w:hAnsi="Arial" w:cs="Arial"/>
          <w:b/>
          <w:bCs/>
          <w:sz w:val="24"/>
          <w:szCs w:val="24"/>
          <w:lang w:eastAsia="en-GB"/>
        </w:rPr>
        <w:t>Critical insight:</w:t>
      </w:r>
    </w:p>
    <w:p w14:paraId="2770BBB0" w14:textId="722202C1"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Loneliness ought to be regarded not merely as an individual issue but as a societal shortcoming. The decline of community frameworks, the reduction of social services, and the absence of age-friendly environments all play a role in the marginalization of older adults. Consequently, tackling loneliness necessitates systemic measures, including investments in community infrastructure and the implementation of policies that foster social inclusion.</w:t>
      </w:r>
    </w:p>
    <w:p w14:paraId="693E5B19" w14:textId="77777777" w:rsidR="00735FD2" w:rsidRPr="00562B66" w:rsidRDefault="00735FD2" w:rsidP="00562B66">
      <w:pPr>
        <w:pStyle w:val="NoSpacing"/>
        <w:spacing w:line="360" w:lineRule="auto"/>
        <w:jc w:val="both"/>
        <w:rPr>
          <w:rFonts w:ascii="Arial" w:hAnsi="Arial" w:cs="Arial"/>
          <w:sz w:val="24"/>
          <w:szCs w:val="24"/>
          <w:lang w:eastAsia="en-GB"/>
        </w:rPr>
      </w:pPr>
    </w:p>
    <w:p w14:paraId="540A4CE4" w14:textId="77777777" w:rsidR="00735FD2" w:rsidRPr="00562B66" w:rsidRDefault="00735FD2" w:rsidP="00562B66">
      <w:pPr>
        <w:pStyle w:val="NoSpacing"/>
        <w:spacing w:line="360" w:lineRule="auto"/>
        <w:jc w:val="both"/>
        <w:rPr>
          <w:rFonts w:ascii="Arial" w:hAnsi="Arial" w:cs="Arial"/>
          <w:b/>
          <w:bCs/>
          <w:sz w:val="24"/>
          <w:szCs w:val="24"/>
          <w:lang w:eastAsia="en-GB"/>
        </w:rPr>
      </w:pPr>
      <w:r w:rsidRPr="00562B66">
        <w:rPr>
          <w:rFonts w:ascii="Arial" w:hAnsi="Arial" w:cs="Arial"/>
          <w:b/>
          <w:bCs/>
          <w:sz w:val="24"/>
          <w:szCs w:val="24"/>
          <w:lang w:eastAsia="en-GB"/>
        </w:rPr>
        <w:t>Poverty</w:t>
      </w:r>
    </w:p>
    <w:p w14:paraId="0613AEDE" w14:textId="77777777" w:rsidR="00076D3F" w:rsidRPr="00076D3F" w:rsidRDefault="00076D3F" w:rsidP="00076D3F">
      <w:pPr>
        <w:pStyle w:val="NoSpacing"/>
        <w:spacing w:line="360" w:lineRule="auto"/>
        <w:jc w:val="both"/>
        <w:rPr>
          <w:rFonts w:ascii="Arial" w:hAnsi="Arial" w:cs="Arial"/>
          <w:sz w:val="24"/>
          <w:szCs w:val="24"/>
          <w:lang w:eastAsia="en-GB"/>
        </w:rPr>
      </w:pPr>
      <w:r w:rsidRPr="00076D3F">
        <w:rPr>
          <w:rFonts w:ascii="Arial" w:hAnsi="Arial" w:cs="Arial"/>
          <w:sz w:val="24"/>
          <w:szCs w:val="24"/>
          <w:lang w:eastAsia="en-GB"/>
        </w:rPr>
        <w:t>Poverty remains a significant contributor to health disparities among the elderly, with approximately one in five individuals experiencing relative poverty in the UK (Department for Work and Pensions, 2023). Financial constraints impede access to essential resources such as nutritious food, adequate heating, and healthcare services, all of which are crucial for maintaining health in later life.</w:t>
      </w:r>
    </w:p>
    <w:p w14:paraId="00FBBB17" w14:textId="77777777" w:rsidR="008F200E" w:rsidRDefault="00076D3F" w:rsidP="00076D3F">
      <w:pPr>
        <w:pStyle w:val="NoSpacing"/>
        <w:spacing w:line="360" w:lineRule="auto"/>
        <w:jc w:val="both"/>
        <w:rPr>
          <w:rFonts w:ascii="Arial" w:hAnsi="Arial" w:cs="Arial"/>
          <w:sz w:val="24"/>
          <w:szCs w:val="24"/>
          <w:lang w:eastAsia="en-GB"/>
        </w:rPr>
      </w:pPr>
      <w:r w:rsidRPr="00076D3F">
        <w:rPr>
          <w:rFonts w:ascii="Arial" w:hAnsi="Arial" w:cs="Arial"/>
          <w:sz w:val="24"/>
          <w:szCs w:val="24"/>
          <w:lang w:eastAsia="en-GB"/>
        </w:rPr>
        <w:t>Impoverished older adults are also more susceptible to experiencing poor mental health, social isolation, and a reduced life expectancy. The rising cost of living, particularly energy costs, has exacerbated these challenges in recent times.</w:t>
      </w:r>
    </w:p>
    <w:p w14:paraId="573E16E3" w14:textId="77777777" w:rsidR="00837A78" w:rsidRDefault="00837A78" w:rsidP="008F200E">
      <w:pPr>
        <w:pStyle w:val="NoSpacing"/>
        <w:spacing w:line="360" w:lineRule="auto"/>
        <w:jc w:val="center"/>
        <w:rPr>
          <w:rFonts w:ascii="Arial" w:hAnsi="Arial" w:cs="Arial"/>
          <w:b/>
          <w:bCs/>
          <w:sz w:val="24"/>
          <w:szCs w:val="24"/>
          <w:lang w:eastAsia="en-GB"/>
        </w:rPr>
      </w:pPr>
    </w:p>
    <w:p w14:paraId="3343A927" w14:textId="77777777" w:rsidR="00837A78" w:rsidRDefault="00837A78" w:rsidP="008F200E">
      <w:pPr>
        <w:pStyle w:val="NoSpacing"/>
        <w:spacing w:line="360" w:lineRule="auto"/>
        <w:jc w:val="center"/>
        <w:rPr>
          <w:rFonts w:ascii="Arial" w:hAnsi="Arial" w:cs="Arial"/>
          <w:b/>
          <w:bCs/>
          <w:sz w:val="24"/>
          <w:szCs w:val="24"/>
          <w:lang w:eastAsia="en-GB"/>
        </w:rPr>
      </w:pPr>
    </w:p>
    <w:p w14:paraId="7E8DC2E9" w14:textId="77777777" w:rsidR="00837A78" w:rsidRDefault="00837A78" w:rsidP="008F200E">
      <w:pPr>
        <w:pStyle w:val="NoSpacing"/>
        <w:spacing w:line="360" w:lineRule="auto"/>
        <w:jc w:val="center"/>
        <w:rPr>
          <w:rFonts w:ascii="Arial" w:hAnsi="Arial" w:cs="Arial"/>
          <w:b/>
          <w:bCs/>
          <w:sz w:val="24"/>
          <w:szCs w:val="24"/>
          <w:lang w:eastAsia="en-GB"/>
        </w:rPr>
      </w:pPr>
    </w:p>
    <w:p w14:paraId="58CDAD8D" w14:textId="77777777" w:rsidR="00837A78" w:rsidRDefault="00837A78" w:rsidP="008F200E">
      <w:pPr>
        <w:pStyle w:val="NoSpacing"/>
        <w:spacing w:line="360" w:lineRule="auto"/>
        <w:jc w:val="center"/>
        <w:rPr>
          <w:rFonts w:ascii="Arial" w:hAnsi="Arial" w:cs="Arial"/>
          <w:b/>
          <w:bCs/>
          <w:sz w:val="24"/>
          <w:szCs w:val="24"/>
          <w:lang w:eastAsia="en-GB"/>
        </w:rPr>
      </w:pPr>
    </w:p>
    <w:p w14:paraId="2771D4E4" w14:textId="77777777" w:rsidR="00837A78" w:rsidRDefault="00837A78" w:rsidP="008F200E">
      <w:pPr>
        <w:pStyle w:val="NoSpacing"/>
        <w:spacing w:line="360" w:lineRule="auto"/>
        <w:jc w:val="center"/>
        <w:rPr>
          <w:rFonts w:ascii="Arial" w:hAnsi="Arial" w:cs="Arial"/>
          <w:b/>
          <w:bCs/>
          <w:sz w:val="24"/>
          <w:szCs w:val="24"/>
          <w:lang w:eastAsia="en-GB"/>
        </w:rPr>
      </w:pPr>
    </w:p>
    <w:p w14:paraId="55F09BFE" w14:textId="6587D7E2" w:rsidR="008F200E" w:rsidRPr="008F200E" w:rsidRDefault="008F200E" w:rsidP="008F200E">
      <w:pPr>
        <w:pStyle w:val="NoSpacing"/>
        <w:spacing w:line="360" w:lineRule="auto"/>
        <w:jc w:val="center"/>
        <w:rPr>
          <w:rFonts w:ascii="Arial" w:hAnsi="Arial" w:cs="Arial"/>
          <w:b/>
          <w:bCs/>
          <w:sz w:val="24"/>
          <w:szCs w:val="24"/>
          <w:lang w:eastAsia="en-GB"/>
        </w:rPr>
      </w:pPr>
      <w:r w:rsidRPr="008F200E">
        <w:rPr>
          <w:rFonts w:ascii="Arial" w:hAnsi="Arial" w:cs="Arial"/>
          <w:b/>
          <w:bCs/>
          <w:sz w:val="24"/>
          <w:szCs w:val="24"/>
          <w:lang w:eastAsia="en-GB"/>
        </w:rPr>
        <w:lastRenderedPageBreak/>
        <w:t xml:space="preserve">The image shows an older adult in </w:t>
      </w:r>
      <w:r>
        <w:rPr>
          <w:rFonts w:ascii="Arial" w:hAnsi="Arial" w:cs="Arial"/>
          <w:b/>
          <w:bCs/>
          <w:sz w:val="24"/>
          <w:szCs w:val="24"/>
          <w:lang w:eastAsia="en-GB"/>
        </w:rPr>
        <w:t xml:space="preserve">the </w:t>
      </w:r>
      <w:r w:rsidRPr="008F200E">
        <w:rPr>
          <w:rFonts w:ascii="Arial" w:hAnsi="Arial" w:cs="Arial"/>
          <w:b/>
          <w:bCs/>
          <w:sz w:val="24"/>
          <w:szCs w:val="24"/>
          <w:lang w:eastAsia="en-GB"/>
        </w:rPr>
        <w:t>UK</w:t>
      </w:r>
    </w:p>
    <w:p w14:paraId="6BD1DB0E" w14:textId="0A9D33F2" w:rsidR="00076D3F" w:rsidRPr="00076D3F" w:rsidRDefault="008F200E" w:rsidP="008F200E">
      <w:pPr>
        <w:pStyle w:val="NoSpacing"/>
        <w:spacing w:line="360" w:lineRule="auto"/>
        <w:jc w:val="center"/>
        <w:rPr>
          <w:rFonts w:ascii="Arial" w:hAnsi="Arial" w:cs="Arial"/>
          <w:sz w:val="24"/>
          <w:szCs w:val="24"/>
          <w:lang w:eastAsia="en-GB"/>
        </w:rPr>
      </w:pPr>
      <w:r>
        <w:rPr>
          <w:noProof/>
        </w:rPr>
        <w:drawing>
          <wp:inline distT="0" distB="0" distL="0" distR="0" wp14:anchorId="4F16788A" wp14:editId="4D1F18E0">
            <wp:extent cx="4514850" cy="2124075"/>
            <wp:effectExtent l="0" t="0" r="0" b="9525"/>
            <wp:docPr id="1" name="Picture 1" descr="Elderly people and poverty: Current levels and changes since the crisis |  Epthinktank | European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derly people and poverty: Current levels and changes since the crisis |  Epthinktank | European Parlia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2011" cy="2136853"/>
                    </a:xfrm>
                    <a:prstGeom prst="rect">
                      <a:avLst/>
                    </a:prstGeom>
                    <a:noFill/>
                    <a:ln>
                      <a:noFill/>
                    </a:ln>
                  </pic:spPr>
                </pic:pic>
              </a:graphicData>
            </a:graphic>
          </wp:inline>
        </w:drawing>
      </w:r>
    </w:p>
    <w:p w14:paraId="6CCD928E" w14:textId="089DB999" w:rsidR="00076D3F" w:rsidRPr="008559ED" w:rsidRDefault="008559ED" w:rsidP="008559ED">
      <w:pPr>
        <w:pStyle w:val="NoSpacing"/>
        <w:spacing w:line="360" w:lineRule="auto"/>
        <w:jc w:val="right"/>
        <w:rPr>
          <w:rFonts w:ascii="Arial" w:hAnsi="Arial" w:cs="Arial"/>
          <w:sz w:val="24"/>
          <w:szCs w:val="24"/>
          <w:lang w:eastAsia="en-GB"/>
        </w:rPr>
      </w:pPr>
      <w:r w:rsidRPr="008559ED">
        <w:rPr>
          <w:rFonts w:ascii="Arial" w:hAnsi="Arial" w:cs="Arial"/>
          <w:sz w:val="24"/>
          <w:szCs w:val="24"/>
        </w:rPr>
        <w:t>(European Parliamentary Research Service, 2016).</w:t>
      </w:r>
    </w:p>
    <w:p w14:paraId="20E4DA42" w14:textId="77777777" w:rsidR="00837A78" w:rsidRDefault="00837A78" w:rsidP="00076D3F">
      <w:pPr>
        <w:pStyle w:val="NoSpacing"/>
        <w:spacing w:line="360" w:lineRule="auto"/>
        <w:jc w:val="both"/>
        <w:rPr>
          <w:rFonts w:ascii="Arial" w:hAnsi="Arial" w:cs="Arial"/>
          <w:b/>
          <w:bCs/>
          <w:sz w:val="24"/>
          <w:szCs w:val="24"/>
          <w:lang w:eastAsia="en-GB"/>
        </w:rPr>
      </w:pPr>
    </w:p>
    <w:p w14:paraId="257C5623" w14:textId="5500F5DC" w:rsidR="00076D3F" w:rsidRPr="00DD5F45" w:rsidRDefault="00076D3F" w:rsidP="00076D3F">
      <w:pPr>
        <w:pStyle w:val="NoSpacing"/>
        <w:spacing w:line="360" w:lineRule="auto"/>
        <w:jc w:val="both"/>
        <w:rPr>
          <w:rFonts w:ascii="Arial" w:hAnsi="Arial" w:cs="Arial"/>
          <w:b/>
          <w:bCs/>
          <w:sz w:val="24"/>
          <w:szCs w:val="24"/>
          <w:lang w:eastAsia="en-GB"/>
        </w:rPr>
      </w:pPr>
      <w:r w:rsidRPr="00DD5F45">
        <w:rPr>
          <w:rFonts w:ascii="Arial" w:hAnsi="Arial" w:cs="Arial"/>
          <w:b/>
          <w:bCs/>
          <w:sz w:val="24"/>
          <w:szCs w:val="24"/>
          <w:lang w:eastAsia="en-GB"/>
        </w:rPr>
        <w:t>Critical analysis:</w:t>
      </w:r>
    </w:p>
    <w:p w14:paraId="2E013CA1" w14:textId="77777777" w:rsidR="00076D3F" w:rsidRPr="00076D3F" w:rsidRDefault="00076D3F" w:rsidP="00076D3F">
      <w:pPr>
        <w:pStyle w:val="NoSpacing"/>
        <w:spacing w:line="360" w:lineRule="auto"/>
        <w:jc w:val="both"/>
        <w:rPr>
          <w:rFonts w:ascii="Arial" w:hAnsi="Arial" w:cs="Arial"/>
          <w:sz w:val="24"/>
          <w:szCs w:val="24"/>
          <w:lang w:eastAsia="en-GB"/>
        </w:rPr>
      </w:pPr>
      <w:r w:rsidRPr="00076D3F">
        <w:rPr>
          <w:rFonts w:ascii="Arial" w:hAnsi="Arial" w:cs="Arial"/>
          <w:sz w:val="24"/>
          <w:szCs w:val="24"/>
          <w:lang w:eastAsia="en-GB"/>
        </w:rPr>
        <w:t>The persistent issue of poverty among older adults reflects broader socioeconomic disparities and policy decisions that disproportionately affect retirees. Inadequate pensions and rising living expenses highlight systemic weaknesses in social protection systems. Addressing these issues requires comprehensive policy reform aimed at reducing income inequality and ensuring financial security in later years.</w:t>
      </w:r>
    </w:p>
    <w:p w14:paraId="007FC402" w14:textId="77777777" w:rsidR="00076D3F" w:rsidRPr="00076D3F" w:rsidRDefault="00076D3F" w:rsidP="00076D3F">
      <w:pPr>
        <w:pStyle w:val="NoSpacing"/>
        <w:spacing w:line="360" w:lineRule="auto"/>
        <w:jc w:val="both"/>
        <w:rPr>
          <w:rFonts w:ascii="Arial" w:hAnsi="Arial" w:cs="Arial"/>
          <w:sz w:val="24"/>
          <w:szCs w:val="24"/>
          <w:lang w:eastAsia="en-GB"/>
        </w:rPr>
      </w:pPr>
    </w:p>
    <w:p w14:paraId="408F3A32" w14:textId="77777777" w:rsidR="00076D3F" w:rsidRPr="00DD5F45" w:rsidRDefault="00076D3F" w:rsidP="00076D3F">
      <w:pPr>
        <w:pStyle w:val="NoSpacing"/>
        <w:spacing w:line="360" w:lineRule="auto"/>
        <w:jc w:val="both"/>
        <w:rPr>
          <w:rFonts w:ascii="Arial" w:hAnsi="Arial" w:cs="Arial"/>
          <w:b/>
          <w:bCs/>
          <w:sz w:val="24"/>
          <w:szCs w:val="24"/>
          <w:lang w:eastAsia="en-GB"/>
        </w:rPr>
      </w:pPr>
      <w:r w:rsidRPr="00DD5F45">
        <w:rPr>
          <w:rFonts w:ascii="Arial" w:hAnsi="Arial" w:cs="Arial"/>
          <w:b/>
          <w:bCs/>
          <w:sz w:val="24"/>
          <w:szCs w:val="24"/>
          <w:lang w:eastAsia="en-GB"/>
        </w:rPr>
        <w:t>Housing Concerns</w:t>
      </w:r>
    </w:p>
    <w:p w14:paraId="2C9C106C" w14:textId="77777777" w:rsidR="00076D3F" w:rsidRPr="00076D3F" w:rsidRDefault="00076D3F" w:rsidP="00076D3F">
      <w:pPr>
        <w:pStyle w:val="NoSpacing"/>
        <w:spacing w:line="360" w:lineRule="auto"/>
        <w:jc w:val="both"/>
        <w:rPr>
          <w:rFonts w:ascii="Arial" w:hAnsi="Arial" w:cs="Arial"/>
          <w:sz w:val="24"/>
          <w:szCs w:val="24"/>
          <w:lang w:eastAsia="en-GB"/>
        </w:rPr>
      </w:pPr>
      <w:r w:rsidRPr="00076D3F">
        <w:rPr>
          <w:rFonts w:ascii="Arial" w:hAnsi="Arial" w:cs="Arial"/>
          <w:sz w:val="24"/>
          <w:szCs w:val="24"/>
          <w:lang w:eastAsia="en-GB"/>
        </w:rPr>
        <w:t>Housing conditions are a crucial factor affecting health, particularly for older adults who typically spend more time at home. Poor housing, marked by issues such as dampness, inadequate heating, and lack of accessibility, can significantly increase the risk of respiratory illnesses, falls, and other health complications.</w:t>
      </w:r>
    </w:p>
    <w:p w14:paraId="27432911" w14:textId="6E176FF1" w:rsidR="00076D3F" w:rsidRDefault="00076D3F" w:rsidP="00076D3F">
      <w:pPr>
        <w:pStyle w:val="NoSpacing"/>
        <w:spacing w:line="360" w:lineRule="auto"/>
        <w:jc w:val="both"/>
        <w:rPr>
          <w:rFonts w:ascii="Arial" w:hAnsi="Arial" w:cs="Arial"/>
          <w:sz w:val="24"/>
          <w:szCs w:val="24"/>
          <w:lang w:eastAsia="en-GB"/>
        </w:rPr>
      </w:pPr>
      <w:r w:rsidRPr="00076D3F">
        <w:rPr>
          <w:rFonts w:ascii="Arial" w:hAnsi="Arial" w:cs="Arial"/>
          <w:sz w:val="24"/>
          <w:szCs w:val="24"/>
          <w:lang w:eastAsia="en-GB"/>
        </w:rPr>
        <w:t>Older adults often reside in older properties that may not meet current housing standards, and financial constraints frequently limit their ability to make necessary improvements.</w:t>
      </w:r>
    </w:p>
    <w:p w14:paraId="79E65B9B" w14:textId="77777777" w:rsidR="008559ED" w:rsidRDefault="008559ED" w:rsidP="00562B66">
      <w:pPr>
        <w:pStyle w:val="NoSpacing"/>
        <w:spacing w:line="360" w:lineRule="auto"/>
        <w:jc w:val="both"/>
        <w:rPr>
          <w:rFonts w:ascii="Arial" w:hAnsi="Arial" w:cs="Arial"/>
          <w:b/>
          <w:bCs/>
          <w:sz w:val="24"/>
          <w:szCs w:val="24"/>
          <w:lang w:eastAsia="en-GB"/>
        </w:rPr>
      </w:pPr>
    </w:p>
    <w:p w14:paraId="37BE2871" w14:textId="7CC3AD90" w:rsidR="00735FD2" w:rsidRPr="00DD5F45" w:rsidRDefault="00735FD2" w:rsidP="00562B66">
      <w:pPr>
        <w:pStyle w:val="NoSpacing"/>
        <w:spacing w:line="360" w:lineRule="auto"/>
        <w:jc w:val="both"/>
        <w:rPr>
          <w:rFonts w:ascii="Arial" w:hAnsi="Arial" w:cs="Arial"/>
          <w:b/>
          <w:bCs/>
          <w:sz w:val="24"/>
          <w:szCs w:val="24"/>
          <w:lang w:eastAsia="en-GB"/>
        </w:rPr>
      </w:pPr>
      <w:r w:rsidRPr="00DD5F45">
        <w:rPr>
          <w:rFonts w:ascii="Arial" w:hAnsi="Arial" w:cs="Arial"/>
          <w:b/>
          <w:bCs/>
          <w:sz w:val="24"/>
          <w:szCs w:val="24"/>
          <w:lang w:eastAsia="en-GB"/>
        </w:rPr>
        <w:t>Essential observation:</w:t>
      </w:r>
    </w:p>
    <w:p w14:paraId="2D401EBF" w14:textId="1522393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Housing inequality exemplifies how non-medical elements significantly impact health outcomes. The connection between housing and health underscores the necessity for integrated approaches to public health, merging housing policy with health and social care initiatives.</w:t>
      </w:r>
    </w:p>
    <w:p w14:paraId="5E5B1F9B" w14:textId="77777777" w:rsidR="00735FD2" w:rsidRPr="00562B66" w:rsidRDefault="00735FD2" w:rsidP="00562B66">
      <w:pPr>
        <w:pStyle w:val="NoSpacing"/>
        <w:spacing w:line="360" w:lineRule="auto"/>
        <w:jc w:val="both"/>
        <w:rPr>
          <w:rFonts w:ascii="Arial" w:hAnsi="Arial" w:cs="Arial"/>
          <w:sz w:val="24"/>
          <w:szCs w:val="24"/>
          <w:lang w:eastAsia="en-GB"/>
        </w:rPr>
      </w:pPr>
    </w:p>
    <w:p w14:paraId="76030BEE" w14:textId="048F61E5" w:rsidR="00735FD2" w:rsidRPr="00DD5F45" w:rsidRDefault="00DD5F45" w:rsidP="00DD5F45">
      <w:pPr>
        <w:pStyle w:val="NoSpacing"/>
        <w:spacing w:line="360" w:lineRule="auto"/>
        <w:jc w:val="center"/>
        <w:rPr>
          <w:rFonts w:ascii="Arial" w:hAnsi="Arial" w:cs="Arial"/>
          <w:b/>
          <w:bCs/>
          <w:sz w:val="24"/>
          <w:szCs w:val="24"/>
          <w:lang w:eastAsia="en-GB"/>
        </w:rPr>
      </w:pPr>
      <w:r>
        <w:rPr>
          <w:rFonts w:ascii="Arial" w:hAnsi="Arial" w:cs="Arial"/>
          <w:b/>
          <w:bCs/>
          <w:sz w:val="24"/>
          <w:szCs w:val="24"/>
          <w:lang w:eastAsia="en-GB"/>
        </w:rPr>
        <w:t xml:space="preserve">The Table below shows </w:t>
      </w:r>
      <w:r w:rsidR="00735FD2" w:rsidRPr="00DD5F45">
        <w:rPr>
          <w:rFonts w:ascii="Arial" w:hAnsi="Arial" w:cs="Arial"/>
          <w:b/>
          <w:bCs/>
          <w:sz w:val="24"/>
          <w:szCs w:val="24"/>
          <w:lang w:eastAsia="en-GB"/>
        </w:rPr>
        <w:t>Health Disparities Among Older Adults (UK)</w:t>
      </w:r>
    </w:p>
    <w:tbl>
      <w:tblPr>
        <w:tblStyle w:val="TableGrid"/>
        <w:tblW w:w="0" w:type="auto"/>
        <w:tblLook w:val="04A0" w:firstRow="1" w:lastRow="0" w:firstColumn="1" w:lastColumn="0" w:noHBand="0" w:noVBand="1"/>
      </w:tblPr>
      <w:tblGrid>
        <w:gridCol w:w="3114"/>
        <w:gridCol w:w="2551"/>
        <w:gridCol w:w="2552"/>
        <w:gridCol w:w="2126"/>
      </w:tblGrid>
      <w:tr w:rsidR="00586942" w14:paraId="71CA1BBF" w14:textId="77777777" w:rsidTr="00837A78">
        <w:trPr>
          <w:trHeight w:val="600"/>
        </w:trPr>
        <w:tc>
          <w:tcPr>
            <w:tcW w:w="3114" w:type="dxa"/>
          </w:tcPr>
          <w:p w14:paraId="2C3341AA" w14:textId="37F5F6D4" w:rsidR="00586942" w:rsidRPr="00586942" w:rsidRDefault="0058694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Indicator</w:t>
            </w:r>
          </w:p>
        </w:tc>
        <w:tc>
          <w:tcPr>
            <w:tcW w:w="2551" w:type="dxa"/>
          </w:tcPr>
          <w:p w14:paraId="456ACF07" w14:textId="103FBC8C" w:rsidR="00586942" w:rsidRPr="00586942" w:rsidRDefault="0058694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Least Deprived</w:t>
            </w:r>
          </w:p>
        </w:tc>
        <w:tc>
          <w:tcPr>
            <w:tcW w:w="2552" w:type="dxa"/>
          </w:tcPr>
          <w:p w14:paraId="2D952931" w14:textId="6AFC0EC9" w:rsidR="00586942" w:rsidRPr="00586942" w:rsidRDefault="0058694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Most Deprived</w:t>
            </w:r>
          </w:p>
        </w:tc>
        <w:tc>
          <w:tcPr>
            <w:tcW w:w="2126" w:type="dxa"/>
          </w:tcPr>
          <w:p w14:paraId="2C3C71CF" w14:textId="77777777" w:rsidR="00586942" w:rsidRPr="00586942" w:rsidRDefault="00586942" w:rsidP="00586942">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Gap</w:t>
            </w:r>
          </w:p>
          <w:p w14:paraId="4E5A1AFC" w14:textId="77777777" w:rsidR="00586942" w:rsidRDefault="00586942" w:rsidP="00562B66">
            <w:pPr>
              <w:pStyle w:val="NoSpacing"/>
              <w:spacing w:line="360" w:lineRule="auto"/>
              <w:jc w:val="both"/>
              <w:rPr>
                <w:rFonts w:ascii="Arial" w:hAnsi="Arial" w:cs="Arial"/>
                <w:sz w:val="24"/>
                <w:szCs w:val="24"/>
                <w:lang w:eastAsia="en-GB"/>
              </w:rPr>
            </w:pPr>
          </w:p>
        </w:tc>
      </w:tr>
      <w:tr w:rsidR="00586942" w14:paraId="4C7EC150" w14:textId="77777777" w:rsidTr="00837A78">
        <w:tc>
          <w:tcPr>
            <w:tcW w:w="3114" w:type="dxa"/>
          </w:tcPr>
          <w:p w14:paraId="7197654C" w14:textId="1C998404" w:rsidR="00586942" w:rsidRPr="00586942" w:rsidRDefault="0058694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Life expectancy</w:t>
            </w:r>
          </w:p>
        </w:tc>
        <w:tc>
          <w:tcPr>
            <w:tcW w:w="2551" w:type="dxa"/>
          </w:tcPr>
          <w:p w14:paraId="5815F8A3" w14:textId="75A96A2A"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83+ years</w:t>
            </w:r>
          </w:p>
        </w:tc>
        <w:tc>
          <w:tcPr>
            <w:tcW w:w="2552" w:type="dxa"/>
          </w:tcPr>
          <w:p w14:paraId="5DF071EF" w14:textId="389B3761"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72–73 years</w:t>
            </w:r>
          </w:p>
        </w:tc>
        <w:tc>
          <w:tcPr>
            <w:tcW w:w="2126" w:type="dxa"/>
          </w:tcPr>
          <w:p w14:paraId="6C4FCD2A" w14:textId="4F20BC5D"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10 years</w:t>
            </w:r>
          </w:p>
        </w:tc>
      </w:tr>
      <w:tr w:rsidR="00586942" w14:paraId="6B0C5B8B" w14:textId="77777777" w:rsidTr="00837A78">
        <w:tc>
          <w:tcPr>
            <w:tcW w:w="3114" w:type="dxa"/>
          </w:tcPr>
          <w:p w14:paraId="35CAFA0C" w14:textId="0F29195B" w:rsidR="00586942" w:rsidRPr="00586942" w:rsidRDefault="00586942" w:rsidP="00586942">
            <w:pPr>
              <w:pStyle w:val="NoSpacing"/>
              <w:rPr>
                <w:rFonts w:ascii="Arial" w:hAnsi="Arial" w:cs="Arial"/>
                <w:b/>
                <w:bCs/>
                <w:sz w:val="24"/>
                <w:szCs w:val="24"/>
              </w:rPr>
            </w:pPr>
            <w:r w:rsidRPr="00586942">
              <w:rPr>
                <w:rFonts w:ascii="Arial" w:hAnsi="Arial" w:cs="Arial"/>
                <w:b/>
                <w:bCs/>
                <w:sz w:val="24"/>
                <w:szCs w:val="24"/>
              </w:rPr>
              <w:t>Healthy</w:t>
            </w:r>
            <w:r w:rsidRPr="00586942">
              <w:rPr>
                <w:rFonts w:ascii="Arial" w:hAnsi="Arial" w:cs="Arial"/>
                <w:b/>
                <w:bCs/>
                <w:sz w:val="24"/>
                <w:szCs w:val="24"/>
              </w:rPr>
              <w:t xml:space="preserve"> </w:t>
            </w:r>
            <w:r w:rsidRPr="00586942">
              <w:rPr>
                <w:rFonts w:ascii="Arial" w:hAnsi="Arial" w:cs="Arial"/>
                <w:b/>
                <w:bCs/>
                <w:sz w:val="24"/>
                <w:szCs w:val="24"/>
              </w:rPr>
              <w:t>life expectancy</w:t>
            </w:r>
          </w:p>
        </w:tc>
        <w:tc>
          <w:tcPr>
            <w:tcW w:w="2551" w:type="dxa"/>
          </w:tcPr>
          <w:p w14:paraId="46E76BFC" w14:textId="3A9B1F96"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13 years</w:t>
            </w:r>
          </w:p>
        </w:tc>
        <w:tc>
          <w:tcPr>
            <w:tcW w:w="2552" w:type="dxa"/>
          </w:tcPr>
          <w:p w14:paraId="37268348" w14:textId="21F0DD16"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6 years</w:t>
            </w:r>
          </w:p>
        </w:tc>
        <w:tc>
          <w:tcPr>
            <w:tcW w:w="2126" w:type="dxa"/>
          </w:tcPr>
          <w:p w14:paraId="5B8727BD" w14:textId="3D0A319A" w:rsidR="00586942" w:rsidRDefault="0058694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7 years</w:t>
            </w:r>
          </w:p>
        </w:tc>
      </w:tr>
    </w:tbl>
    <w:p w14:paraId="4DC43C45" w14:textId="7F0B2C21" w:rsidR="00586942" w:rsidRPr="00562B66" w:rsidRDefault="00586942" w:rsidP="00586942">
      <w:pPr>
        <w:pStyle w:val="NoSpacing"/>
        <w:spacing w:line="360" w:lineRule="auto"/>
        <w:jc w:val="both"/>
        <w:rPr>
          <w:rFonts w:ascii="Arial" w:hAnsi="Arial" w:cs="Arial"/>
          <w:sz w:val="24"/>
          <w:szCs w:val="24"/>
          <w:lang w:eastAsia="en-GB"/>
        </w:rPr>
      </w:pPr>
    </w:p>
    <w:p w14:paraId="652DD147" w14:textId="266D6845" w:rsidR="005D4BEF"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This table illustrates the significant disparity in life expectancy and healthy life expectancy across different socioeconomic groups, highlighting the influence of deprivation on health </w:t>
      </w:r>
      <w:r w:rsidR="00B7623D">
        <w:rPr>
          <w:rFonts w:ascii="Arial" w:hAnsi="Arial" w:cs="Arial"/>
          <w:sz w:val="24"/>
          <w:szCs w:val="24"/>
          <w:lang w:eastAsia="en-GB"/>
        </w:rPr>
        <w:t>outcomes</w:t>
      </w:r>
      <w:r w:rsidRPr="00562B66">
        <w:rPr>
          <w:rFonts w:ascii="Arial" w:hAnsi="Arial" w:cs="Arial"/>
          <w:sz w:val="24"/>
          <w:szCs w:val="24"/>
          <w:lang w:eastAsia="en-GB"/>
        </w:rPr>
        <w:t xml:space="preserve"> (Marmot, 2020).</w:t>
      </w:r>
    </w:p>
    <w:p w14:paraId="399C3AC6" w14:textId="3B908915" w:rsidR="005D4BEF" w:rsidRPr="00562B66" w:rsidRDefault="005D4BEF" w:rsidP="00562B66">
      <w:pPr>
        <w:pStyle w:val="NoSpacing"/>
        <w:spacing w:line="360" w:lineRule="auto"/>
        <w:jc w:val="both"/>
        <w:rPr>
          <w:rFonts w:ascii="Arial" w:hAnsi="Arial" w:cs="Arial"/>
          <w:sz w:val="24"/>
          <w:szCs w:val="24"/>
          <w:lang w:eastAsia="en-GB"/>
        </w:rPr>
      </w:pPr>
    </w:p>
    <w:p w14:paraId="64F2EE69" w14:textId="77777777" w:rsidR="00735FD2" w:rsidRPr="00586942" w:rsidRDefault="00735FD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National Response</w:t>
      </w:r>
    </w:p>
    <w:p w14:paraId="56B12097" w14:textId="76698F8B"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 N</w:t>
      </w:r>
      <w:r w:rsidR="00B7623D">
        <w:rPr>
          <w:rFonts w:ascii="Arial" w:hAnsi="Arial" w:cs="Arial"/>
          <w:sz w:val="24"/>
          <w:szCs w:val="24"/>
          <w:lang w:eastAsia="en-GB"/>
        </w:rPr>
        <w:t xml:space="preserve">ational </w:t>
      </w:r>
      <w:r w:rsidRPr="00562B66">
        <w:rPr>
          <w:rFonts w:ascii="Arial" w:hAnsi="Arial" w:cs="Arial"/>
          <w:sz w:val="24"/>
          <w:szCs w:val="24"/>
          <w:lang w:eastAsia="en-GB"/>
        </w:rPr>
        <w:t>H</w:t>
      </w:r>
      <w:r w:rsidR="00B7623D">
        <w:rPr>
          <w:rFonts w:ascii="Arial" w:hAnsi="Arial" w:cs="Arial"/>
          <w:sz w:val="24"/>
          <w:szCs w:val="24"/>
          <w:lang w:eastAsia="en-GB"/>
        </w:rPr>
        <w:t xml:space="preserve">ealth </w:t>
      </w:r>
      <w:r w:rsidR="00B7623D" w:rsidRPr="00562B66">
        <w:rPr>
          <w:rFonts w:ascii="Arial" w:hAnsi="Arial" w:cs="Arial"/>
          <w:sz w:val="24"/>
          <w:szCs w:val="24"/>
          <w:lang w:eastAsia="en-GB"/>
        </w:rPr>
        <w:t>S</w:t>
      </w:r>
      <w:r w:rsidR="00B7623D">
        <w:rPr>
          <w:rFonts w:ascii="Arial" w:hAnsi="Arial" w:cs="Arial"/>
          <w:sz w:val="24"/>
          <w:szCs w:val="24"/>
          <w:lang w:eastAsia="en-GB"/>
        </w:rPr>
        <w:t>ervice (NHS)</w:t>
      </w:r>
      <w:r w:rsidRPr="00562B66">
        <w:rPr>
          <w:rFonts w:ascii="Arial" w:hAnsi="Arial" w:cs="Arial"/>
          <w:sz w:val="24"/>
          <w:szCs w:val="24"/>
          <w:lang w:eastAsia="en-GB"/>
        </w:rPr>
        <w:t xml:space="preserve"> Long Term Plan (2019) highlights the importance of prevention, early intervention, and integrated care systems as essential strategies for mitigating health inequalities. National initiatives like Every Mind Matters seek to enhance mental health awareness and promote early help-seeking behaviours.</w:t>
      </w:r>
    </w:p>
    <w:p w14:paraId="643C27A8" w14:textId="7777777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Critical evaluation:</w:t>
      </w:r>
    </w:p>
    <w:p w14:paraId="5CAA23F8" w14:textId="72CA39F6"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Although these initiatives signify significant progress, they predominantly concentrate on interventions at the individual level and do not sufficiently tackle the structural factors contributing to health inequalities, including poverty, housing, and social exclusion. This limitation diminishes their overall effectiveness in addressing disparities.</w:t>
      </w:r>
    </w:p>
    <w:p w14:paraId="6733C6B6" w14:textId="77777777" w:rsidR="00735FD2" w:rsidRPr="00562B66" w:rsidRDefault="00735FD2" w:rsidP="00562B66">
      <w:pPr>
        <w:pStyle w:val="NoSpacing"/>
        <w:spacing w:line="360" w:lineRule="auto"/>
        <w:jc w:val="both"/>
        <w:rPr>
          <w:rFonts w:ascii="Arial" w:hAnsi="Arial" w:cs="Arial"/>
          <w:sz w:val="24"/>
          <w:szCs w:val="24"/>
          <w:lang w:eastAsia="en-GB"/>
        </w:rPr>
      </w:pPr>
    </w:p>
    <w:p w14:paraId="02D048B4" w14:textId="6AA8FA54" w:rsidR="00735FD2" w:rsidRPr="00586942" w:rsidRDefault="00735FD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Organisation: Age UK</w:t>
      </w:r>
    </w:p>
    <w:p w14:paraId="0CC4F1DD" w14:textId="4072A081"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Age UK plays a vital role in assisting older adults through advocacy, research, and the provision of services. The organisation offers practical support, which includes befriending services, financial guidance, and health information, while also advocating for policy reforms aimed at enhancing the lives of older individuals.</w:t>
      </w:r>
    </w:p>
    <w:p w14:paraId="7A7F6411" w14:textId="77777777" w:rsidR="00735FD2" w:rsidRPr="00562B66" w:rsidRDefault="00735FD2" w:rsidP="00562B66">
      <w:pPr>
        <w:pStyle w:val="NoSpacing"/>
        <w:spacing w:line="360" w:lineRule="auto"/>
        <w:jc w:val="both"/>
        <w:rPr>
          <w:rFonts w:ascii="Arial" w:hAnsi="Arial" w:cs="Arial"/>
          <w:sz w:val="24"/>
          <w:szCs w:val="24"/>
          <w:lang w:eastAsia="en-GB"/>
        </w:rPr>
      </w:pPr>
    </w:p>
    <w:p w14:paraId="042EEB5A" w14:textId="3457A514" w:rsidR="00735FD2" w:rsidRPr="00586942" w:rsidRDefault="00735FD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Critical evaluation:</w:t>
      </w:r>
    </w:p>
    <w:p w14:paraId="152C7DC4" w14:textId="7777777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While Age UK delivers crucial services, the dependence on charitable organisations underscores deficiencies in state provision. This situation prompts significant inquiries regarding the sustainability of support systems and the government's obligation to tackle health disparities.</w:t>
      </w:r>
    </w:p>
    <w:p w14:paraId="66E18E69" w14:textId="77777777" w:rsidR="00735FD2" w:rsidRPr="00562B66" w:rsidRDefault="00735FD2" w:rsidP="00562B66">
      <w:pPr>
        <w:pStyle w:val="NoSpacing"/>
        <w:spacing w:line="360" w:lineRule="auto"/>
        <w:jc w:val="both"/>
        <w:rPr>
          <w:rFonts w:ascii="Arial" w:hAnsi="Arial" w:cs="Arial"/>
          <w:sz w:val="24"/>
          <w:szCs w:val="24"/>
          <w:lang w:eastAsia="en-GB"/>
        </w:rPr>
      </w:pPr>
    </w:p>
    <w:p w14:paraId="7621338C" w14:textId="77777777" w:rsidR="00735FD2" w:rsidRPr="00586942" w:rsidRDefault="00735FD2"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Conclusion</w:t>
      </w:r>
    </w:p>
    <w:p w14:paraId="5224E8C4" w14:textId="77777777" w:rsidR="00735FD2"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Health inequalities among older adults in the UK are intricate and deeply entrenched in structural and social determinants. Factors such as mental health issues, multimorbidity, mortality, loneliness, poverty, and housing are interrelated and mutually reinforcing. Although national policies and organisations offer some assistance, they frequently do not address the root causes of inequality.</w:t>
      </w:r>
    </w:p>
    <w:p w14:paraId="5FABA4D2" w14:textId="1359DD77" w:rsidR="005E2D24" w:rsidRPr="00562B66" w:rsidRDefault="00735FD2"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 holistic approach is necessary, integrating healthcare, social policy, and economic reform to diminish disparities and enhance outcomes for older adults. If these systemic challenges are not addressed, health inequalities are likely to endure, jeopardising efforts to foster healthy ageing and social justice.</w:t>
      </w:r>
    </w:p>
    <w:p w14:paraId="6BDBCAC4" w14:textId="77777777" w:rsidR="00735FD2" w:rsidRPr="00562B66" w:rsidRDefault="00735FD2" w:rsidP="00562B66">
      <w:pPr>
        <w:pStyle w:val="NoSpacing"/>
        <w:spacing w:line="360" w:lineRule="auto"/>
        <w:jc w:val="both"/>
        <w:rPr>
          <w:rFonts w:ascii="Arial" w:hAnsi="Arial" w:cs="Arial"/>
          <w:kern w:val="36"/>
          <w:sz w:val="24"/>
          <w:szCs w:val="24"/>
          <w:lang w:eastAsia="en-GB"/>
        </w:rPr>
      </w:pPr>
    </w:p>
    <w:p w14:paraId="6B601AC5" w14:textId="3C8ACB48" w:rsidR="00735FD2" w:rsidRPr="00586942" w:rsidRDefault="00735FD2" w:rsidP="00586942">
      <w:pPr>
        <w:pStyle w:val="NoSpacing"/>
        <w:spacing w:line="360" w:lineRule="auto"/>
        <w:jc w:val="center"/>
        <w:rPr>
          <w:rFonts w:ascii="Arial" w:hAnsi="Arial" w:cs="Arial"/>
          <w:b/>
          <w:bCs/>
          <w:kern w:val="36"/>
          <w:sz w:val="28"/>
          <w:szCs w:val="28"/>
          <w:lang w:eastAsia="en-GB"/>
        </w:rPr>
      </w:pPr>
      <w:r w:rsidRPr="00586942">
        <w:rPr>
          <w:rFonts w:ascii="Arial" w:hAnsi="Arial" w:cs="Arial"/>
          <w:b/>
          <w:bCs/>
          <w:kern w:val="36"/>
          <w:sz w:val="28"/>
          <w:szCs w:val="28"/>
          <w:lang w:eastAsia="en-GB"/>
        </w:rPr>
        <w:lastRenderedPageBreak/>
        <w:t>TASK 2</w:t>
      </w:r>
    </w:p>
    <w:p w14:paraId="209ED195" w14:textId="77777777" w:rsidR="008002E5" w:rsidRPr="00586942" w:rsidRDefault="008002E5" w:rsidP="00562B66">
      <w:pPr>
        <w:pStyle w:val="NoSpacing"/>
        <w:spacing w:line="360" w:lineRule="auto"/>
        <w:jc w:val="both"/>
        <w:rPr>
          <w:rFonts w:ascii="Arial" w:hAnsi="Arial" w:cs="Arial"/>
          <w:b/>
          <w:bCs/>
          <w:sz w:val="28"/>
          <w:szCs w:val="28"/>
          <w:lang w:eastAsia="en-GB"/>
        </w:rPr>
      </w:pPr>
      <w:r w:rsidRPr="00586942">
        <w:rPr>
          <w:rFonts w:ascii="Arial" w:hAnsi="Arial" w:cs="Arial"/>
          <w:b/>
          <w:bCs/>
          <w:sz w:val="28"/>
          <w:szCs w:val="28"/>
          <w:lang w:eastAsia="en-GB"/>
        </w:rPr>
        <w:t>Epidemiological Study of Type 2 Diabetes in Tower Hamlets</w:t>
      </w:r>
    </w:p>
    <w:p w14:paraId="07DB07A4" w14:textId="77777777" w:rsidR="008002E5" w:rsidRPr="00586942" w:rsidRDefault="008002E5" w:rsidP="00586942">
      <w:pPr>
        <w:pStyle w:val="NoSpacing"/>
        <w:spacing w:line="360" w:lineRule="auto"/>
        <w:jc w:val="center"/>
        <w:rPr>
          <w:rFonts w:ascii="Arial" w:hAnsi="Arial" w:cs="Arial"/>
          <w:b/>
          <w:bCs/>
          <w:sz w:val="28"/>
          <w:szCs w:val="28"/>
          <w:lang w:eastAsia="en-GB"/>
        </w:rPr>
      </w:pPr>
      <w:r w:rsidRPr="00586942">
        <w:rPr>
          <w:rFonts w:ascii="Arial" w:hAnsi="Arial" w:cs="Arial"/>
          <w:b/>
          <w:bCs/>
          <w:sz w:val="28"/>
          <w:szCs w:val="28"/>
          <w:lang w:eastAsia="en-GB"/>
        </w:rPr>
        <w:t>Introduction</w:t>
      </w:r>
    </w:p>
    <w:p w14:paraId="02FED92D" w14:textId="77777777" w:rsidR="00B7623D" w:rsidRDefault="00DD5F45" w:rsidP="00562B66">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 xml:space="preserve">The accumulation of risk factors in Tower Hamlets underscores the interplay between biological vulnerability and broader social determinants of health, suggesting that Type 2 diabetes mellitus (T2DM) cannot be comprehensively understood without taking its socioeconomic context into account. Elevated levels of deprivation in the borough lead to restricted access to nutritious food, diminished opportunities for physical activity, and lower health literacy, all of which heighten the risk of diabetes and exacerbate disease outcomes. The varied ethnic makeup, especially the significant South Asian demographic, further increases risk due to genetic factors and culturally influenced eating habits (Mathur et al., 2020). </w:t>
      </w:r>
    </w:p>
    <w:p w14:paraId="38CA3A1B" w14:textId="5A04BE21" w:rsidR="005E2D24" w:rsidRPr="00562B66" w:rsidRDefault="00DD5F45" w:rsidP="00562B66">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These elements interact with systemic inequalities, such as obstacles to healthcare access and delayed diagnoses, which can result in poorer long-term management and elevated complication rates. Moreover, disadvantaged groups are more prone to experience multimorbidity, intensifying the burden of T2DM and escalating the demand on healthcare services. Consequently, tackling T2DM in Tower Hamlets necessitates a comprehensive approach that merges medical treatment with focused public health initiatives. Strategies should prioritize prevention, early detection, and culturally sensitive education, in addition to broader policies aimed at diminishing health disparities and enhancing living conditions (Public Health England, 2018).</w:t>
      </w:r>
    </w:p>
    <w:p w14:paraId="2E31D188" w14:textId="77777777" w:rsidR="00586942" w:rsidRDefault="00586942" w:rsidP="00562B66">
      <w:pPr>
        <w:pStyle w:val="NoSpacing"/>
        <w:spacing w:line="360" w:lineRule="auto"/>
        <w:jc w:val="both"/>
        <w:rPr>
          <w:rFonts w:ascii="Arial" w:hAnsi="Arial" w:cs="Arial"/>
          <w:b/>
          <w:bCs/>
          <w:sz w:val="28"/>
          <w:szCs w:val="28"/>
          <w:lang w:eastAsia="en-GB"/>
        </w:rPr>
      </w:pPr>
    </w:p>
    <w:p w14:paraId="2BA85783" w14:textId="61525272" w:rsidR="008002E5" w:rsidRPr="00076D3F" w:rsidRDefault="008002E5" w:rsidP="00562B66">
      <w:pPr>
        <w:pStyle w:val="NoSpacing"/>
        <w:spacing w:line="360" w:lineRule="auto"/>
        <w:jc w:val="both"/>
        <w:rPr>
          <w:rFonts w:ascii="Arial" w:hAnsi="Arial" w:cs="Arial"/>
          <w:b/>
          <w:bCs/>
          <w:sz w:val="28"/>
          <w:szCs w:val="28"/>
          <w:lang w:eastAsia="en-GB"/>
        </w:rPr>
      </w:pPr>
      <w:r w:rsidRPr="00076D3F">
        <w:rPr>
          <w:rFonts w:ascii="Arial" w:hAnsi="Arial" w:cs="Arial"/>
          <w:b/>
          <w:bCs/>
          <w:sz w:val="28"/>
          <w:szCs w:val="28"/>
          <w:lang w:eastAsia="en-GB"/>
        </w:rPr>
        <w:t>Public Health Measures (3 P’s: Prevention, Protection, Promotion)</w:t>
      </w:r>
    </w:p>
    <w:p w14:paraId="74320318"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Public health initiatives aimed at addressing T2DM are typically organized around the core principles of prevention, protection, and promotion.</w:t>
      </w:r>
    </w:p>
    <w:p w14:paraId="3DADAD00" w14:textId="77777777" w:rsidR="008002E5" w:rsidRPr="00586942" w:rsidRDefault="008002E5"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Prevention:</w:t>
      </w:r>
    </w:p>
    <w:p w14:paraId="4AD2A773" w14:textId="0AF001EA"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Preventive measures concentrate on decreasing the occurrence of T2DM through lifestyle modifications, including enhanced dietary habits, increased physical activity, and effective weight management. The NHS Diabetes Prevention Programme specifically targets individuals deemed to be at high risk, with the goal of delaying or preventing the onset of the disease through </w:t>
      </w:r>
      <w:r w:rsidR="00754665" w:rsidRPr="00562B66">
        <w:rPr>
          <w:rFonts w:ascii="Arial" w:hAnsi="Arial" w:cs="Arial"/>
          <w:sz w:val="24"/>
          <w:szCs w:val="24"/>
          <w:lang w:eastAsia="en-GB"/>
        </w:rPr>
        <w:t>behavioural</w:t>
      </w:r>
      <w:r w:rsidRPr="00562B66">
        <w:rPr>
          <w:rFonts w:ascii="Arial" w:hAnsi="Arial" w:cs="Arial"/>
          <w:sz w:val="24"/>
          <w:szCs w:val="24"/>
          <w:lang w:eastAsia="en-GB"/>
        </w:rPr>
        <w:t xml:space="preserve"> changes (Valabhji et al., 2021).</w:t>
      </w:r>
    </w:p>
    <w:p w14:paraId="0E6EC770" w14:textId="77777777" w:rsidR="008002E5" w:rsidRPr="00586942" w:rsidRDefault="008002E5" w:rsidP="00562B66">
      <w:pPr>
        <w:pStyle w:val="NoSpacing"/>
        <w:spacing w:line="360" w:lineRule="auto"/>
        <w:jc w:val="both"/>
        <w:rPr>
          <w:rFonts w:ascii="Arial" w:hAnsi="Arial" w:cs="Arial"/>
          <w:b/>
          <w:bCs/>
          <w:sz w:val="24"/>
          <w:szCs w:val="24"/>
          <w:lang w:eastAsia="en-GB"/>
        </w:rPr>
      </w:pPr>
      <w:r w:rsidRPr="00586942">
        <w:rPr>
          <w:rFonts w:ascii="Arial" w:hAnsi="Arial" w:cs="Arial"/>
          <w:b/>
          <w:bCs/>
          <w:sz w:val="24"/>
          <w:szCs w:val="24"/>
          <w:lang w:eastAsia="en-GB"/>
        </w:rPr>
        <w:t>Protection:</w:t>
      </w:r>
    </w:p>
    <w:p w14:paraId="4AE5D34D"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Protective strategies encompass screening programs and early diagnosis facilitated by primary care services. Consistent monitoring of blood glucose levels and conducting risk assessments allow for early intervention, thereby diminishing the chances of complications.</w:t>
      </w:r>
    </w:p>
    <w:p w14:paraId="6DE812FA" w14:textId="77777777" w:rsidR="008002E5" w:rsidRPr="00076D3F" w:rsidRDefault="008002E5" w:rsidP="00562B66">
      <w:pPr>
        <w:pStyle w:val="NoSpacing"/>
        <w:spacing w:line="360" w:lineRule="auto"/>
        <w:jc w:val="both"/>
        <w:rPr>
          <w:rFonts w:ascii="Arial" w:hAnsi="Arial" w:cs="Arial"/>
          <w:b/>
          <w:bCs/>
          <w:sz w:val="24"/>
          <w:szCs w:val="24"/>
          <w:lang w:eastAsia="en-GB"/>
        </w:rPr>
      </w:pPr>
      <w:r w:rsidRPr="00076D3F">
        <w:rPr>
          <w:rFonts w:ascii="Arial" w:hAnsi="Arial" w:cs="Arial"/>
          <w:b/>
          <w:bCs/>
          <w:sz w:val="24"/>
          <w:szCs w:val="24"/>
          <w:lang w:eastAsia="en-GB"/>
        </w:rPr>
        <w:t>Promotion:</w:t>
      </w:r>
    </w:p>
    <w:p w14:paraId="246F8456" w14:textId="77777777" w:rsidR="00DD5F45" w:rsidRPr="00DD5F45" w:rsidRDefault="00DD5F45" w:rsidP="00DD5F45">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lastRenderedPageBreak/>
        <w:t>Health promotion involves public education efforts designed to enhance awareness of diabetes risk factors and encourage healthier lifestyle choices. These efforts often focus on diet, physical activity, and weight management.</w:t>
      </w:r>
    </w:p>
    <w:p w14:paraId="6534A624" w14:textId="77777777" w:rsidR="00DD5F45" w:rsidRPr="00DD5F45" w:rsidRDefault="00DD5F45" w:rsidP="00DD5F45">
      <w:pPr>
        <w:pStyle w:val="NoSpacing"/>
        <w:spacing w:line="360" w:lineRule="auto"/>
        <w:jc w:val="both"/>
        <w:rPr>
          <w:rFonts w:ascii="Arial" w:hAnsi="Arial" w:cs="Arial"/>
          <w:sz w:val="24"/>
          <w:szCs w:val="24"/>
          <w:lang w:eastAsia="en-GB"/>
        </w:rPr>
      </w:pPr>
    </w:p>
    <w:p w14:paraId="2FD6972F" w14:textId="266280B8" w:rsidR="00DD5F45" w:rsidRPr="00586942" w:rsidRDefault="00452DD9" w:rsidP="00DD5F45">
      <w:pPr>
        <w:pStyle w:val="NoSpacing"/>
        <w:spacing w:line="360" w:lineRule="auto"/>
        <w:jc w:val="both"/>
        <w:rPr>
          <w:rFonts w:ascii="Arial" w:hAnsi="Arial" w:cs="Arial"/>
          <w:b/>
          <w:bCs/>
          <w:sz w:val="24"/>
          <w:szCs w:val="24"/>
          <w:lang w:eastAsia="en-GB"/>
        </w:rPr>
      </w:pPr>
      <w:r>
        <w:rPr>
          <w:rFonts w:ascii="Arial" w:hAnsi="Arial" w:cs="Arial"/>
          <w:b/>
          <w:bCs/>
          <w:sz w:val="24"/>
          <w:szCs w:val="24"/>
          <w:lang w:eastAsia="en-GB"/>
        </w:rPr>
        <w:t xml:space="preserve"> </w:t>
      </w:r>
      <w:r w:rsidR="00DD5F45" w:rsidRPr="00586942">
        <w:rPr>
          <w:rFonts w:ascii="Arial" w:hAnsi="Arial" w:cs="Arial"/>
          <w:b/>
          <w:bCs/>
          <w:sz w:val="24"/>
          <w:szCs w:val="24"/>
          <w:lang w:eastAsia="en-GB"/>
        </w:rPr>
        <w:t>Critical evaluation:</w:t>
      </w:r>
    </w:p>
    <w:p w14:paraId="5672B353" w14:textId="73CF9680" w:rsidR="00DD5F45" w:rsidRPr="00DD5F45" w:rsidRDefault="00DD5F45" w:rsidP="00DD5F45">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 xml:space="preserve">While these strategies are essential, they frequently emphasize individual </w:t>
      </w:r>
      <w:r w:rsidR="00452DD9" w:rsidRPr="00DD5F45">
        <w:rPr>
          <w:rFonts w:ascii="Arial" w:hAnsi="Arial" w:cs="Arial"/>
          <w:sz w:val="24"/>
          <w:szCs w:val="24"/>
          <w:lang w:eastAsia="en-GB"/>
        </w:rPr>
        <w:t>behaviour</w:t>
      </w:r>
      <w:r w:rsidRPr="00DD5F45">
        <w:rPr>
          <w:rFonts w:ascii="Arial" w:hAnsi="Arial" w:cs="Arial"/>
          <w:sz w:val="24"/>
          <w:szCs w:val="24"/>
          <w:lang w:eastAsia="en-GB"/>
        </w:rPr>
        <w:t xml:space="preserve"> change. This focus reflects a biomedical view of health that overlooks structural factors such as poverty, food access, and housing conditions. As a result, interventions may have limited success in areas like Tower Hamlets, where individuals face systemic barriers to adopting healthier lifestyles (Stringhini et al., 2017).</w:t>
      </w:r>
    </w:p>
    <w:p w14:paraId="09565B69" w14:textId="77777777" w:rsidR="00DD5F45" w:rsidRPr="00DD5F45" w:rsidRDefault="00DD5F45" w:rsidP="00DD5F45">
      <w:pPr>
        <w:pStyle w:val="NoSpacing"/>
        <w:spacing w:line="360" w:lineRule="auto"/>
        <w:jc w:val="both"/>
        <w:rPr>
          <w:rFonts w:ascii="Arial" w:hAnsi="Arial" w:cs="Arial"/>
          <w:sz w:val="24"/>
          <w:szCs w:val="24"/>
          <w:lang w:eastAsia="en-GB"/>
        </w:rPr>
      </w:pPr>
    </w:p>
    <w:p w14:paraId="36A1EB11" w14:textId="77777777" w:rsidR="008559ED" w:rsidRDefault="008559ED" w:rsidP="00DD5F45">
      <w:pPr>
        <w:pStyle w:val="NoSpacing"/>
        <w:spacing w:line="360" w:lineRule="auto"/>
        <w:jc w:val="both"/>
        <w:rPr>
          <w:rFonts w:ascii="Arial" w:hAnsi="Arial" w:cs="Arial"/>
          <w:b/>
          <w:bCs/>
          <w:sz w:val="24"/>
          <w:szCs w:val="24"/>
          <w:lang w:eastAsia="en-GB"/>
        </w:rPr>
      </w:pPr>
    </w:p>
    <w:p w14:paraId="50FD7FF8" w14:textId="02169013" w:rsidR="00DD5F45" w:rsidRPr="00754665" w:rsidRDefault="00DD5F45" w:rsidP="00DD5F45">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Key Determinants and Risk Factors</w:t>
      </w:r>
      <w:r w:rsidR="00754665">
        <w:rPr>
          <w:rFonts w:ascii="Arial" w:hAnsi="Arial" w:cs="Arial"/>
          <w:b/>
          <w:bCs/>
          <w:sz w:val="24"/>
          <w:szCs w:val="24"/>
          <w:lang w:eastAsia="en-GB"/>
        </w:rPr>
        <w:t>:</w:t>
      </w:r>
    </w:p>
    <w:p w14:paraId="2823291C" w14:textId="5A483340" w:rsidR="00DD5F45" w:rsidRPr="00DD5F45" w:rsidRDefault="00DD5F45" w:rsidP="00DD5F45">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 xml:space="preserve">The development of T2DM is influenced by a combination of biological, </w:t>
      </w:r>
      <w:r w:rsidR="00754665" w:rsidRPr="00DD5F45">
        <w:rPr>
          <w:rFonts w:ascii="Arial" w:hAnsi="Arial" w:cs="Arial"/>
          <w:sz w:val="24"/>
          <w:szCs w:val="24"/>
          <w:lang w:eastAsia="en-GB"/>
        </w:rPr>
        <w:t>behavioural</w:t>
      </w:r>
      <w:r w:rsidRPr="00DD5F45">
        <w:rPr>
          <w:rFonts w:ascii="Arial" w:hAnsi="Arial" w:cs="Arial"/>
          <w:sz w:val="24"/>
          <w:szCs w:val="24"/>
          <w:lang w:eastAsia="en-GB"/>
        </w:rPr>
        <w:t>, and social factors.</w:t>
      </w:r>
    </w:p>
    <w:p w14:paraId="67ECCCBE" w14:textId="21161EBE" w:rsidR="00DD5F45" w:rsidRPr="00DD5F45" w:rsidRDefault="00DD5F45" w:rsidP="00754665">
      <w:pPr>
        <w:pStyle w:val="NoSpacing"/>
        <w:numPr>
          <w:ilvl w:val="0"/>
          <w:numId w:val="48"/>
        </w:numPr>
        <w:spacing w:line="360" w:lineRule="auto"/>
        <w:jc w:val="both"/>
        <w:rPr>
          <w:rFonts w:ascii="Arial" w:hAnsi="Arial" w:cs="Arial"/>
          <w:sz w:val="24"/>
          <w:szCs w:val="24"/>
          <w:lang w:eastAsia="en-GB"/>
        </w:rPr>
      </w:pPr>
      <w:r w:rsidRPr="00DD5F45">
        <w:rPr>
          <w:rFonts w:ascii="Arial" w:hAnsi="Arial" w:cs="Arial"/>
          <w:sz w:val="24"/>
          <w:szCs w:val="24"/>
          <w:lang w:eastAsia="en-GB"/>
        </w:rPr>
        <w:t>Obesity: About 66% of adults in England are considered overweight or obese, which is a major risk factor for insulin resistance (NHS Digital, 2026).</w:t>
      </w:r>
    </w:p>
    <w:p w14:paraId="0277905C" w14:textId="2FEC4B0B" w:rsidR="00DD5F45" w:rsidRPr="00DD5F45" w:rsidRDefault="00DD5F45" w:rsidP="00754665">
      <w:pPr>
        <w:pStyle w:val="NoSpacing"/>
        <w:numPr>
          <w:ilvl w:val="0"/>
          <w:numId w:val="48"/>
        </w:numPr>
        <w:spacing w:line="360" w:lineRule="auto"/>
        <w:jc w:val="both"/>
        <w:rPr>
          <w:rFonts w:ascii="Arial" w:hAnsi="Arial" w:cs="Arial"/>
          <w:sz w:val="24"/>
          <w:szCs w:val="24"/>
          <w:lang w:eastAsia="en-GB"/>
        </w:rPr>
      </w:pPr>
      <w:r w:rsidRPr="00DD5F45">
        <w:rPr>
          <w:rFonts w:ascii="Arial" w:hAnsi="Arial" w:cs="Arial"/>
          <w:sz w:val="24"/>
          <w:szCs w:val="24"/>
          <w:lang w:eastAsia="en-GB"/>
        </w:rPr>
        <w:t>Physical inactivity: Lifestyles lacking physical activity contribute to metabolic dysfunction and an increased risk of diabetes.</w:t>
      </w:r>
    </w:p>
    <w:p w14:paraId="3FE9CC26" w14:textId="1707A297" w:rsidR="00DD5F45" w:rsidRPr="00DD5F45" w:rsidRDefault="00DD5F45" w:rsidP="00754665">
      <w:pPr>
        <w:pStyle w:val="NoSpacing"/>
        <w:numPr>
          <w:ilvl w:val="0"/>
          <w:numId w:val="48"/>
        </w:numPr>
        <w:spacing w:line="360" w:lineRule="auto"/>
        <w:jc w:val="both"/>
        <w:rPr>
          <w:rFonts w:ascii="Arial" w:hAnsi="Arial" w:cs="Arial"/>
          <w:sz w:val="24"/>
          <w:szCs w:val="24"/>
          <w:lang w:eastAsia="en-GB"/>
        </w:rPr>
      </w:pPr>
      <w:r w:rsidRPr="00DD5F45">
        <w:rPr>
          <w:rFonts w:ascii="Arial" w:hAnsi="Arial" w:cs="Arial"/>
          <w:sz w:val="24"/>
          <w:szCs w:val="24"/>
          <w:lang w:eastAsia="en-GB"/>
        </w:rPr>
        <w:t>Ethnicity: Individuals of South Asian heritage are up to six times more likely to develop T2DM compared to White populations (Mathur et al., 2020).</w:t>
      </w:r>
    </w:p>
    <w:p w14:paraId="0749A687" w14:textId="1AF53A2C" w:rsidR="00DD5F45" w:rsidRPr="00DD5F45" w:rsidRDefault="00DD5F45" w:rsidP="00754665">
      <w:pPr>
        <w:pStyle w:val="NoSpacing"/>
        <w:numPr>
          <w:ilvl w:val="0"/>
          <w:numId w:val="48"/>
        </w:numPr>
        <w:spacing w:line="360" w:lineRule="auto"/>
        <w:jc w:val="both"/>
        <w:rPr>
          <w:rFonts w:ascii="Arial" w:hAnsi="Arial" w:cs="Arial"/>
          <w:sz w:val="24"/>
          <w:szCs w:val="24"/>
          <w:lang w:eastAsia="en-GB"/>
        </w:rPr>
      </w:pPr>
      <w:r w:rsidRPr="00DD5F45">
        <w:rPr>
          <w:rFonts w:ascii="Arial" w:hAnsi="Arial" w:cs="Arial"/>
          <w:sz w:val="24"/>
          <w:szCs w:val="24"/>
          <w:lang w:eastAsia="en-GB"/>
        </w:rPr>
        <w:t>Socioeconomic deprivation: Factors like low income, limited access to healthy food, and poor living conditions heighten disease risk.</w:t>
      </w:r>
    </w:p>
    <w:p w14:paraId="2F862F8F" w14:textId="77777777" w:rsidR="00DD5F45" w:rsidRPr="00DD5F45" w:rsidRDefault="00DD5F45" w:rsidP="00DD5F45">
      <w:pPr>
        <w:pStyle w:val="NoSpacing"/>
        <w:spacing w:line="360" w:lineRule="auto"/>
        <w:jc w:val="both"/>
        <w:rPr>
          <w:rFonts w:ascii="Arial" w:hAnsi="Arial" w:cs="Arial"/>
          <w:sz w:val="24"/>
          <w:szCs w:val="24"/>
          <w:lang w:eastAsia="en-GB"/>
        </w:rPr>
      </w:pPr>
    </w:p>
    <w:p w14:paraId="49DB425D" w14:textId="77777777" w:rsidR="00DD5F45" w:rsidRPr="00754665" w:rsidRDefault="00DD5F45" w:rsidP="00DD5F45">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Critical insight:</w:t>
      </w:r>
    </w:p>
    <w:p w14:paraId="7B8DB336" w14:textId="77777777" w:rsidR="00DD5F45" w:rsidRPr="00DD5F45" w:rsidRDefault="00DD5F45" w:rsidP="00DD5F45">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These risk factors are not evenly distributed across populations; instead, they are shaped by social determinants. Residents of underprivileged areas, such as Tower Hamlets, are more likely to face multiple overlapping risk factors, illustrating how health disparities are formed and sustained by social structures rather than merely by individual decisions (Arcaya et al., 2015).</w:t>
      </w:r>
    </w:p>
    <w:p w14:paraId="06211F20" w14:textId="77777777" w:rsidR="00DD5F45" w:rsidRPr="00DD5F45" w:rsidRDefault="00DD5F45" w:rsidP="00DD5F45">
      <w:pPr>
        <w:pStyle w:val="NoSpacing"/>
        <w:spacing w:line="360" w:lineRule="auto"/>
        <w:jc w:val="both"/>
        <w:rPr>
          <w:rFonts w:ascii="Arial" w:hAnsi="Arial" w:cs="Arial"/>
          <w:sz w:val="24"/>
          <w:szCs w:val="24"/>
          <w:lang w:eastAsia="en-GB"/>
        </w:rPr>
      </w:pPr>
    </w:p>
    <w:p w14:paraId="3FB3AF85" w14:textId="77777777" w:rsidR="00DD5F45" w:rsidRPr="00754665" w:rsidRDefault="00DD5F45" w:rsidP="00B7623D">
      <w:pPr>
        <w:pStyle w:val="NoSpacing"/>
        <w:spacing w:line="360" w:lineRule="auto"/>
        <w:jc w:val="center"/>
        <w:rPr>
          <w:rFonts w:ascii="Arial" w:hAnsi="Arial" w:cs="Arial"/>
          <w:b/>
          <w:bCs/>
          <w:sz w:val="24"/>
          <w:szCs w:val="24"/>
          <w:lang w:eastAsia="en-GB"/>
        </w:rPr>
      </w:pPr>
      <w:r w:rsidRPr="00754665">
        <w:rPr>
          <w:rFonts w:ascii="Arial" w:hAnsi="Arial" w:cs="Arial"/>
          <w:b/>
          <w:bCs/>
          <w:sz w:val="24"/>
          <w:szCs w:val="24"/>
          <w:lang w:eastAsia="en-GB"/>
        </w:rPr>
        <w:t>Epidemiological Studies and Health Needs Assessment</w:t>
      </w:r>
    </w:p>
    <w:p w14:paraId="2BC5D745" w14:textId="6B615130" w:rsidR="00DD5F45" w:rsidRDefault="00DD5F45" w:rsidP="00DD5F45">
      <w:pPr>
        <w:pStyle w:val="NoSpacing"/>
        <w:spacing w:line="360" w:lineRule="auto"/>
        <w:jc w:val="both"/>
        <w:rPr>
          <w:rFonts w:ascii="Arial" w:hAnsi="Arial" w:cs="Arial"/>
          <w:sz w:val="24"/>
          <w:szCs w:val="24"/>
          <w:lang w:eastAsia="en-GB"/>
        </w:rPr>
      </w:pPr>
      <w:r w:rsidRPr="00DD5F45">
        <w:rPr>
          <w:rFonts w:ascii="Arial" w:hAnsi="Arial" w:cs="Arial"/>
          <w:sz w:val="24"/>
          <w:szCs w:val="24"/>
          <w:lang w:eastAsia="en-GB"/>
        </w:rPr>
        <w:t>Epidemiological studies provide important insights into the distribution and detection of health needs.</w:t>
      </w:r>
    </w:p>
    <w:p w14:paraId="4BB402E6" w14:textId="5FE04DDA"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 health needs assessment conducted for Tower Hamlets reveals considerable inequalities in health outcomes. The borough faces life expectancy disparities exceeding 11 years between the most and least deprived regions, in addition to elevated rates of obesity and diabetes-related complications (Office for National Statistics, 2021).</w:t>
      </w:r>
    </w:p>
    <w:p w14:paraId="53E012D0" w14:textId="77777777"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lastRenderedPageBreak/>
        <w:t>Critical analysis:</w:t>
      </w:r>
    </w:p>
    <w:p w14:paraId="27365EAD" w14:textId="563E868F"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These results underscore the significance of localized epidemiological data in comprehending health inequalities. National averages may mask critical disparities at the local level, resulting in ineffective policy measures. Consequently, targeted interventions informed by local needs assessments are vital for mitigating inequalities.</w:t>
      </w:r>
    </w:p>
    <w:p w14:paraId="462DD7B2" w14:textId="77777777" w:rsidR="008559ED" w:rsidRDefault="008559ED" w:rsidP="00562B66">
      <w:pPr>
        <w:pStyle w:val="NoSpacing"/>
        <w:spacing w:line="360" w:lineRule="auto"/>
        <w:jc w:val="both"/>
        <w:rPr>
          <w:rFonts w:ascii="Arial" w:hAnsi="Arial" w:cs="Arial"/>
          <w:sz w:val="24"/>
          <w:szCs w:val="24"/>
          <w:lang w:eastAsia="en-GB"/>
        </w:rPr>
      </w:pPr>
    </w:p>
    <w:p w14:paraId="3F1311B0" w14:textId="4B3B8A1A"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Monitoring and Surveillance Systems</w:t>
      </w:r>
      <w:r w:rsidR="00754665">
        <w:rPr>
          <w:rFonts w:ascii="Arial" w:hAnsi="Arial" w:cs="Arial"/>
          <w:b/>
          <w:bCs/>
          <w:sz w:val="24"/>
          <w:szCs w:val="24"/>
          <w:lang w:eastAsia="en-GB"/>
        </w:rPr>
        <w:t>:</w:t>
      </w:r>
    </w:p>
    <w:p w14:paraId="599A6CD8"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Monitoring the occurrence and frequency of T2DM depends on various surveillance systems.</w:t>
      </w:r>
    </w:p>
    <w:p w14:paraId="144E877E" w14:textId="19E65C95" w:rsidR="008002E5" w:rsidRPr="00562B66" w:rsidRDefault="008002E5" w:rsidP="00754665">
      <w:pPr>
        <w:pStyle w:val="NoSpacing"/>
        <w:numPr>
          <w:ilvl w:val="0"/>
          <w:numId w:val="50"/>
        </w:numPr>
        <w:spacing w:line="360" w:lineRule="auto"/>
        <w:jc w:val="both"/>
        <w:rPr>
          <w:rFonts w:ascii="Arial" w:hAnsi="Arial" w:cs="Arial"/>
          <w:sz w:val="24"/>
          <w:szCs w:val="24"/>
          <w:lang w:eastAsia="en-GB"/>
        </w:rPr>
      </w:pPr>
      <w:r w:rsidRPr="00562B66">
        <w:rPr>
          <w:rFonts w:ascii="Arial" w:hAnsi="Arial" w:cs="Arial"/>
          <w:sz w:val="24"/>
          <w:szCs w:val="24"/>
          <w:lang w:eastAsia="en-GB"/>
        </w:rPr>
        <w:t>National Diabetes Audit (NDA): Delivers extensive information on diabetes management and outcomes throughout England.</w:t>
      </w:r>
    </w:p>
    <w:p w14:paraId="23B0AB44" w14:textId="72E9601B" w:rsidR="008002E5" w:rsidRPr="00562B66" w:rsidRDefault="008002E5" w:rsidP="00754665">
      <w:pPr>
        <w:pStyle w:val="NoSpacing"/>
        <w:numPr>
          <w:ilvl w:val="0"/>
          <w:numId w:val="50"/>
        </w:numPr>
        <w:spacing w:line="360" w:lineRule="auto"/>
        <w:jc w:val="both"/>
        <w:rPr>
          <w:rFonts w:ascii="Arial" w:hAnsi="Arial" w:cs="Arial"/>
          <w:sz w:val="24"/>
          <w:szCs w:val="24"/>
          <w:lang w:eastAsia="en-GB"/>
        </w:rPr>
      </w:pPr>
      <w:r w:rsidRPr="00562B66">
        <w:rPr>
          <w:rFonts w:ascii="Arial" w:hAnsi="Arial" w:cs="Arial"/>
          <w:sz w:val="24"/>
          <w:szCs w:val="24"/>
          <w:lang w:eastAsia="en-GB"/>
        </w:rPr>
        <w:t>NHS Digital datasets: Provide population-level insights into prevalence, risk factors, and healthcare usage.</w:t>
      </w:r>
    </w:p>
    <w:p w14:paraId="4BA715E9" w14:textId="7E18D2D5" w:rsidR="008002E5" w:rsidRPr="00562B66" w:rsidRDefault="008002E5" w:rsidP="00754665">
      <w:pPr>
        <w:pStyle w:val="NoSpacing"/>
        <w:numPr>
          <w:ilvl w:val="0"/>
          <w:numId w:val="50"/>
        </w:numPr>
        <w:spacing w:line="360" w:lineRule="auto"/>
        <w:jc w:val="both"/>
        <w:rPr>
          <w:rFonts w:ascii="Arial" w:hAnsi="Arial" w:cs="Arial"/>
          <w:sz w:val="24"/>
          <w:szCs w:val="24"/>
          <w:lang w:eastAsia="en-GB"/>
        </w:rPr>
      </w:pPr>
      <w:r w:rsidRPr="00562B66">
        <w:rPr>
          <w:rFonts w:ascii="Arial" w:hAnsi="Arial" w:cs="Arial"/>
          <w:sz w:val="24"/>
          <w:szCs w:val="24"/>
          <w:lang w:eastAsia="en-GB"/>
        </w:rPr>
        <w:t>General Practice (GP) records: Facilitate ongoing observation of patient health and disease development.</w:t>
      </w:r>
    </w:p>
    <w:p w14:paraId="2E6F6230" w14:textId="77777777" w:rsidR="008559ED" w:rsidRDefault="008559ED" w:rsidP="00562B66">
      <w:pPr>
        <w:pStyle w:val="NoSpacing"/>
        <w:spacing w:line="360" w:lineRule="auto"/>
        <w:jc w:val="both"/>
        <w:rPr>
          <w:rFonts w:ascii="Arial" w:hAnsi="Arial" w:cs="Arial"/>
          <w:b/>
          <w:bCs/>
          <w:sz w:val="24"/>
          <w:szCs w:val="24"/>
          <w:lang w:eastAsia="en-GB"/>
        </w:rPr>
      </w:pPr>
    </w:p>
    <w:p w14:paraId="64006D0D" w14:textId="67B88FBE"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Critical evaluation:</w:t>
      </w:r>
    </w:p>
    <w:p w14:paraId="7F646AA7"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Although these systems yield important data, they are not without their drawbacks. Data collection can be incomplete or inconsistent, especially among marginalized groups who may have less access to healthcare services. Furthermore, an overreliance on quantitative data may neglect qualitative dimensions of health, including personal experiences and cultural influences (Pearce, 2016).</w:t>
      </w:r>
    </w:p>
    <w:p w14:paraId="52E7DA5B" w14:textId="2C9E5F0D"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This indicates a necessity for </w:t>
      </w:r>
      <w:r w:rsidR="008F200E">
        <w:rPr>
          <w:rFonts w:ascii="Arial" w:hAnsi="Arial" w:cs="Arial"/>
          <w:sz w:val="24"/>
          <w:szCs w:val="24"/>
          <w:lang w:eastAsia="en-GB"/>
        </w:rPr>
        <w:t>mixed method</w:t>
      </w:r>
      <w:r w:rsidRPr="00562B66">
        <w:rPr>
          <w:rFonts w:ascii="Arial" w:hAnsi="Arial" w:cs="Arial"/>
          <w:sz w:val="24"/>
          <w:szCs w:val="24"/>
          <w:lang w:eastAsia="en-GB"/>
        </w:rPr>
        <w:t xml:space="preserve"> approaches that integrate quantitative surveillance with qualitative research to achieve a more thorough understanding of health disparities.</w:t>
      </w:r>
    </w:p>
    <w:p w14:paraId="2678F6EA" w14:textId="77777777" w:rsidR="00754665" w:rsidRDefault="00754665" w:rsidP="00562B66">
      <w:pPr>
        <w:pStyle w:val="NoSpacing"/>
        <w:spacing w:line="360" w:lineRule="auto"/>
        <w:jc w:val="both"/>
        <w:rPr>
          <w:rFonts w:ascii="Arial" w:hAnsi="Arial" w:cs="Arial"/>
          <w:b/>
          <w:bCs/>
          <w:sz w:val="24"/>
          <w:szCs w:val="24"/>
          <w:lang w:eastAsia="en-GB"/>
        </w:rPr>
      </w:pPr>
    </w:p>
    <w:p w14:paraId="3DF6A663" w14:textId="195D2C4B"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Public Health Impact and Consequences</w:t>
      </w:r>
    </w:p>
    <w:p w14:paraId="3A59E9B9"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T2DM exerts considerable short-term and long-term effects on both individuals and healthcare systems.</w:t>
      </w:r>
    </w:p>
    <w:p w14:paraId="26683C2B"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Short-term effects:</w:t>
      </w:r>
    </w:p>
    <w:p w14:paraId="07D90EEC" w14:textId="0C6058E3" w:rsidR="008002E5" w:rsidRPr="00562B66" w:rsidRDefault="008002E5" w:rsidP="00754665">
      <w:pPr>
        <w:pStyle w:val="NoSpacing"/>
        <w:numPr>
          <w:ilvl w:val="0"/>
          <w:numId w:val="52"/>
        </w:numPr>
        <w:spacing w:line="360" w:lineRule="auto"/>
        <w:jc w:val="both"/>
        <w:rPr>
          <w:rFonts w:ascii="Arial" w:hAnsi="Arial" w:cs="Arial"/>
          <w:sz w:val="24"/>
          <w:szCs w:val="24"/>
          <w:lang w:eastAsia="en-GB"/>
        </w:rPr>
      </w:pPr>
      <w:r w:rsidRPr="00562B66">
        <w:rPr>
          <w:rFonts w:ascii="Arial" w:hAnsi="Arial" w:cs="Arial"/>
          <w:sz w:val="24"/>
          <w:szCs w:val="24"/>
          <w:lang w:eastAsia="en-GB"/>
        </w:rPr>
        <w:t>Fatigue and diminished physical capabilities</w:t>
      </w:r>
    </w:p>
    <w:p w14:paraId="2D1E2A49" w14:textId="1B5B1C23" w:rsidR="008002E5" w:rsidRPr="00562B66" w:rsidRDefault="008002E5" w:rsidP="00754665">
      <w:pPr>
        <w:pStyle w:val="NoSpacing"/>
        <w:numPr>
          <w:ilvl w:val="0"/>
          <w:numId w:val="52"/>
        </w:numPr>
        <w:spacing w:line="360" w:lineRule="auto"/>
        <w:jc w:val="both"/>
        <w:rPr>
          <w:rFonts w:ascii="Arial" w:hAnsi="Arial" w:cs="Arial"/>
          <w:sz w:val="24"/>
          <w:szCs w:val="24"/>
          <w:lang w:eastAsia="en-GB"/>
        </w:rPr>
      </w:pPr>
      <w:r w:rsidRPr="00562B66">
        <w:rPr>
          <w:rFonts w:ascii="Arial" w:hAnsi="Arial" w:cs="Arial"/>
          <w:sz w:val="24"/>
          <w:szCs w:val="24"/>
          <w:lang w:eastAsia="en-GB"/>
        </w:rPr>
        <w:t>Lower productivity and a decline in quality of life</w:t>
      </w:r>
    </w:p>
    <w:p w14:paraId="7948EEFC"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Long-term effects:</w:t>
      </w:r>
    </w:p>
    <w:p w14:paraId="7E0529C9" w14:textId="10DEA4EB" w:rsidR="008002E5" w:rsidRPr="00562B66" w:rsidRDefault="008002E5" w:rsidP="00754665">
      <w:pPr>
        <w:pStyle w:val="NoSpacing"/>
        <w:numPr>
          <w:ilvl w:val="0"/>
          <w:numId w:val="54"/>
        </w:numPr>
        <w:spacing w:line="360" w:lineRule="auto"/>
        <w:jc w:val="both"/>
        <w:rPr>
          <w:rFonts w:ascii="Arial" w:hAnsi="Arial" w:cs="Arial"/>
          <w:sz w:val="24"/>
          <w:szCs w:val="24"/>
          <w:lang w:eastAsia="en-GB"/>
        </w:rPr>
      </w:pPr>
      <w:r w:rsidRPr="00562B66">
        <w:rPr>
          <w:rFonts w:ascii="Arial" w:hAnsi="Arial" w:cs="Arial"/>
          <w:sz w:val="24"/>
          <w:szCs w:val="24"/>
          <w:lang w:eastAsia="en-GB"/>
        </w:rPr>
        <w:t>Cardiovascular diseases</w:t>
      </w:r>
    </w:p>
    <w:p w14:paraId="2721081F" w14:textId="54B0A2E4" w:rsidR="008002E5" w:rsidRPr="00562B66" w:rsidRDefault="008002E5" w:rsidP="00754665">
      <w:pPr>
        <w:pStyle w:val="NoSpacing"/>
        <w:numPr>
          <w:ilvl w:val="0"/>
          <w:numId w:val="54"/>
        </w:numPr>
        <w:spacing w:line="360" w:lineRule="auto"/>
        <w:jc w:val="both"/>
        <w:rPr>
          <w:rFonts w:ascii="Arial" w:hAnsi="Arial" w:cs="Arial"/>
          <w:sz w:val="24"/>
          <w:szCs w:val="24"/>
          <w:lang w:eastAsia="en-GB"/>
        </w:rPr>
      </w:pPr>
      <w:r w:rsidRPr="00562B66">
        <w:rPr>
          <w:rFonts w:ascii="Arial" w:hAnsi="Arial" w:cs="Arial"/>
          <w:sz w:val="24"/>
          <w:szCs w:val="24"/>
          <w:lang w:eastAsia="en-GB"/>
        </w:rPr>
        <w:t>Kidney failure</w:t>
      </w:r>
    </w:p>
    <w:p w14:paraId="394149BB" w14:textId="1765DAB3" w:rsidR="008002E5" w:rsidRPr="00562B66" w:rsidRDefault="008002E5" w:rsidP="00754665">
      <w:pPr>
        <w:pStyle w:val="NoSpacing"/>
        <w:numPr>
          <w:ilvl w:val="0"/>
          <w:numId w:val="54"/>
        </w:numPr>
        <w:spacing w:line="360" w:lineRule="auto"/>
        <w:jc w:val="both"/>
        <w:rPr>
          <w:rFonts w:ascii="Arial" w:hAnsi="Arial" w:cs="Arial"/>
          <w:sz w:val="24"/>
          <w:szCs w:val="24"/>
          <w:lang w:eastAsia="en-GB"/>
        </w:rPr>
      </w:pPr>
      <w:r w:rsidRPr="00562B66">
        <w:rPr>
          <w:rFonts w:ascii="Arial" w:hAnsi="Arial" w:cs="Arial"/>
          <w:sz w:val="24"/>
          <w:szCs w:val="24"/>
          <w:lang w:eastAsia="en-GB"/>
        </w:rPr>
        <w:t>Amputations</w:t>
      </w:r>
    </w:p>
    <w:p w14:paraId="18B654D1" w14:textId="3983BEA6" w:rsidR="008002E5" w:rsidRPr="00562B66" w:rsidRDefault="008002E5" w:rsidP="00754665">
      <w:pPr>
        <w:pStyle w:val="NoSpacing"/>
        <w:numPr>
          <w:ilvl w:val="0"/>
          <w:numId w:val="54"/>
        </w:numPr>
        <w:spacing w:line="360" w:lineRule="auto"/>
        <w:jc w:val="both"/>
        <w:rPr>
          <w:rFonts w:ascii="Arial" w:hAnsi="Arial" w:cs="Arial"/>
          <w:sz w:val="24"/>
          <w:szCs w:val="24"/>
          <w:lang w:eastAsia="en-GB"/>
        </w:rPr>
      </w:pPr>
      <w:r w:rsidRPr="00562B66">
        <w:rPr>
          <w:rFonts w:ascii="Arial" w:hAnsi="Arial" w:cs="Arial"/>
          <w:sz w:val="24"/>
          <w:szCs w:val="24"/>
          <w:lang w:eastAsia="en-GB"/>
        </w:rPr>
        <w:t>Premature mortality (Rawshani et al., 2018)</w:t>
      </w:r>
    </w:p>
    <w:p w14:paraId="25E08D26" w14:textId="7777777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 financial strain of diabetes on the NHS is immense, with billions allocated each year for treatment and management.</w:t>
      </w:r>
    </w:p>
    <w:p w14:paraId="3D449232" w14:textId="77777777" w:rsidR="00754665" w:rsidRDefault="00754665" w:rsidP="00562B66">
      <w:pPr>
        <w:pStyle w:val="NoSpacing"/>
        <w:spacing w:line="360" w:lineRule="auto"/>
        <w:jc w:val="both"/>
        <w:rPr>
          <w:rFonts w:ascii="Arial" w:hAnsi="Arial" w:cs="Arial"/>
          <w:b/>
          <w:bCs/>
          <w:sz w:val="24"/>
          <w:szCs w:val="24"/>
          <w:lang w:eastAsia="en-GB"/>
        </w:rPr>
      </w:pPr>
    </w:p>
    <w:p w14:paraId="1C3ED346" w14:textId="77777777" w:rsidR="00754665" w:rsidRDefault="00754665" w:rsidP="00562B66">
      <w:pPr>
        <w:pStyle w:val="NoSpacing"/>
        <w:spacing w:line="360" w:lineRule="auto"/>
        <w:jc w:val="both"/>
        <w:rPr>
          <w:rFonts w:ascii="Arial" w:hAnsi="Arial" w:cs="Arial"/>
          <w:b/>
          <w:bCs/>
          <w:sz w:val="24"/>
          <w:szCs w:val="24"/>
          <w:lang w:eastAsia="en-GB"/>
        </w:rPr>
      </w:pPr>
    </w:p>
    <w:p w14:paraId="3293BFA0" w14:textId="0AA94EC0" w:rsidR="008002E5" w:rsidRPr="00562B66" w:rsidRDefault="008002E5" w:rsidP="00562B66">
      <w:pPr>
        <w:pStyle w:val="NoSpacing"/>
        <w:spacing w:line="360" w:lineRule="auto"/>
        <w:jc w:val="both"/>
        <w:rPr>
          <w:rFonts w:ascii="Arial" w:hAnsi="Arial" w:cs="Arial"/>
          <w:b/>
          <w:bCs/>
          <w:sz w:val="24"/>
          <w:szCs w:val="24"/>
          <w:lang w:eastAsia="en-GB"/>
        </w:rPr>
      </w:pPr>
      <w:r w:rsidRPr="00562B66">
        <w:rPr>
          <w:rFonts w:ascii="Arial" w:hAnsi="Arial" w:cs="Arial"/>
          <w:b/>
          <w:bCs/>
          <w:sz w:val="24"/>
          <w:szCs w:val="24"/>
          <w:lang w:eastAsia="en-GB"/>
        </w:rPr>
        <w:t>Critical insight:</w:t>
      </w:r>
    </w:p>
    <w:p w14:paraId="78DEF03A" w14:textId="692B2847"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The burden of T2DM is disproportionately shouldered by marginalized populations, perpetuating cycles of inequality. Individuals residing in underprivileged areas are more susceptible to developing complications due to delayed diagnoses and restricted access to healthcare, which further intensifies disparities.</w:t>
      </w:r>
    </w:p>
    <w:p w14:paraId="16F9DA53" w14:textId="77777777" w:rsidR="008002E5" w:rsidRPr="00562B66" w:rsidRDefault="008002E5" w:rsidP="00562B66">
      <w:pPr>
        <w:pStyle w:val="NoSpacing"/>
        <w:spacing w:line="360" w:lineRule="auto"/>
        <w:jc w:val="both"/>
        <w:rPr>
          <w:rFonts w:ascii="Arial" w:hAnsi="Arial" w:cs="Arial"/>
          <w:b/>
          <w:bCs/>
          <w:sz w:val="24"/>
          <w:szCs w:val="24"/>
          <w:lang w:eastAsia="en-GB"/>
        </w:rPr>
      </w:pPr>
      <w:r w:rsidRPr="00562B66">
        <w:rPr>
          <w:rFonts w:ascii="Arial" w:hAnsi="Arial" w:cs="Arial"/>
          <w:b/>
          <w:bCs/>
          <w:sz w:val="24"/>
          <w:szCs w:val="24"/>
          <w:lang w:eastAsia="en-GB"/>
        </w:rPr>
        <w:t>Diabetes Prevalence by Ethnicity (Tower Hamlets)</w:t>
      </w:r>
    </w:p>
    <w:p w14:paraId="0A396DE9" w14:textId="47439AD6" w:rsidR="008002E5" w:rsidRPr="00562B66" w:rsidRDefault="008002E5" w:rsidP="00754665">
      <w:pPr>
        <w:pStyle w:val="NoSpacing"/>
        <w:numPr>
          <w:ilvl w:val="1"/>
          <w:numId w:val="57"/>
        </w:numPr>
        <w:spacing w:line="360" w:lineRule="auto"/>
        <w:jc w:val="both"/>
        <w:rPr>
          <w:rFonts w:ascii="Arial" w:hAnsi="Arial" w:cs="Arial"/>
          <w:sz w:val="24"/>
          <w:szCs w:val="24"/>
          <w:lang w:eastAsia="en-GB"/>
        </w:rPr>
      </w:pPr>
      <w:r w:rsidRPr="00562B66">
        <w:rPr>
          <w:rFonts w:ascii="Arial" w:hAnsi="Arial" w:cs="Arial"/>
          <w:sz w:val="24"/>
          <w:szCs w:val="24"/>
          <w:lang w:eastAsia="en-GB"/>
        </w:rPr>
        <w:t>White: 3.2%</w:t>
      </w:r>
    </w:p>
    <w:p w14:paraId="583A2942" w14:textId="7EBAB6B7" w:rsidR="008002E5" w:rsidRPr="00562B66" w:rsidRDefault="008002E5" w:rsidP="00754665">
      <w:pPr>
        <w:pStyle w:val="NoSpacing"/>
        <w:numPr>
          <w:ilvl w:val="1"/>
          <w:numId w:val="57"/>
        </w:numPr>
        <w:spacing w:line="360" w:lineRule="auto"/>
        <w:jc w:val="both"/>
        <w:rPr>
          <w:rFonts w:ascii="Arial" w:hAnsi="Arial" w:cs="Arial"/>
          <w:sz w:val="24"/>
          <w:szCs w:val="24"/>
          <w:lang w:eastAsia="en-GB"/>
        </w:rPr>
      </w:pPr>
      <w:r w:rsidRPr="00562B66">
        <w:rPr>
          <w:rFonts w:ascii="Arial" w:hAnsi="Arial" w:cs="Arial"/>
          <w:sz w:val="24"/>
          <w:szCs w:val="24"/>
          <w:lang w:eastAsia="en-GB"/>
        </w:rPr>
        <w:t>Black: 7.6%</w:t>
      </w:r>
    </w:p>
    <w:p w14:paraId="4A4DA9DC" w14:textId="5C008357" w:rsidR="008002E5" w:rsidRPr="00562B66" w:rsidRDefault="008002E5" w:rsidP="00754665">
      <w:pPr>
        <w:pStyle w:val="NoSpacing"/>
        <w:numPr>
          <w:ilvl w:val="1"/>
          <w:numId w:val="57"/>
        </w:numPr>
        <w:spacing w:line="360" w:lineRule="auto"/>
        <w:jc w:val="both"/>
        <w:rPr>
          <w:rFonts w:ascii="Arial" w:hAnsi="Arial" w:cs="Arial"/>
          <w:sz w:val="24"/>
          <w:szCs w:val="24"/>
          <w:lang w:eastAsia="en-GB"/>
        </w:rPr>
      </w:pPr>
      <w:r w:rsidRPr="00562B66">
        <w:rPr>
          <w:rFonts w:ascii="Arial" w:hAnsi="Arial" w:cs="Arial"/>
          <w:sz w:val="24"/>
          <w:szCs w:val="24"/>
          <w:lang w:eastAsia="en-GB"/>
        </w:rPr>
        <w:t>South Asian: Highest prevalence</w:t>
      </w:r>
    </w:p>
    <w:p w14:paraId="207A3171" w14:textId="77777777"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Interpretation:</w:t>
      </w:r>
    </w:p>
    <w:p w14:paraId="645C96FE" w14:textId="0AC791B3" w:rsidR="005E2D24"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This information reveals considerable ethnic differences in the prevalence of diabetes, which can be attributed to genetic, cultural, and socioeconomic influences. It underscores the necessity for culturally appropriate interventions to tackle these disparities.</w:t>
      </w:r>
    </w:p>
    <w:p w14:paraId="4965DD75" w14:textId="77777777"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Intervention Programme Design and Evaluation</w:t>
      </w:r>
    </w:p>
    <w:p w14:paraId="02B8CCF5" w14:textId="5E0E4A7F"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Effective intervention programmes must tackle both individual </w:t>
      </w:r>
      <w:r w:rsidR="00754665" w:rsidRPr="00562B66">
        <w:rPr>
          <w:rFonts w:ascii="Arial" w:hAnsi="Arial" w:cs="Arial"/>
          <w:sz w:val="24"/>
          <w:szCs w:val="24"/>
          <w:lang w:eastAsia="en-GB"/>
        </w:rPr>
        <w:t>behaviours</w:t>
      </w:r>
      <w:r w:rsidRPr="00562B66">
        <w:rPr>
          <w:rFonts w:ascii="Arial" w:hAnsi="Arial" w:cs="Arial"/>
          <w:sz w:val="24"/>
          <w:szCs w:val="24"/>
          <w:lang w:eastAsia="en-GB"/>
        </w:rPr>
        <w:t xml:space="preserve"> and structural determinants.</w:t>
      </w:r>
    </w:p>
    <w:p w14:paraId="069B8F7A" w14:textId="77777777" w:rsidR="008002E5" w:rsidRPr="00562B66" w:rsidRDefault="008002E5" w:rsidP="00562B66">
      <w:pPr>
        <w:pStyle w:val="NoSpacing"/>
        <w:spacing w:line="360" w:lineRule="auto"/>
        <w:jc w:val="both"/>
        <w:rPr>
          <w:rFonts w:ascii="Arial" w:hAnsi="Arial" w:cs="Arial"/>
          <w:sz w:val="24"/>
          <w:szCs w:val="24"/>
          <w:lang w:eastAsia="en-GB"/>
        </w:rPr>
      </w:pPr>
      <w:r w:rsidRPr="00754665">
        <w:rPr>
          <w:rFonts w:ascii="Arial" w:hAnsi="Arial" w:cs="Arial"/>
          <w:b/>
          <w:bCs/>
          <w:sz w:val="24"/>
          <w:szCs w:val="24"/>
          <w:lang w:eastAsia="en-GB"/>
        </w:rPr>
        <w:t>Proposed interventions</w:t>
      </w:r>
      <w:r w:rsidRPr="00562B66">
        <w:rPr>
          <w:rFonts w:ascii="Arial" w:hAnsi="Arial" w:cs="Arial"/>
          <w:sz w:val="24"/>
          <w:szCs w:val="24"/>
          <w:lang w:eastAsia="en-GB"/>
        </w:rPr>
        <w:t>:</w:t>
      </w:r>
    </w:p>
    <w:p w14:paraId="18DBDED7" w14:textId="0EDBD627" w:rsidR="008002E5" w:rsidRPr="00562B66" w:rsidRDefault="008002E5" w:rsidP="00754665">
      <w:pPr>
        <w:pStyle w:val="NoSpacing"/>
        <w:numPr>
          <w:ilvl w:val="1"/>
          <w:numId w:val="59"/>
        </w:numPr>
        <w:spacing w:line="360" w:lineRule="auto"/>
        <w:jc w:val="both"/>
        <w:rPr>
          <w:rFonts w:ascii="Arial" w:hAnsi="Arial" w:cs="Arial"/>
          <w:sz w:val="24"/>
          <w:szCs w:val="24"/>
          <w:lang w:eastAsia="en-GB"/>
        </w:rPr>
      </w:pPr>
      <w:r w:rsidRPr="00562B66">
        <w:rPr>
          <w:rFonts w:ascii="Arial" w:hAnsi="Arial" w:cs="Arial"/>
          <w:sz w:val="24"/>
          <w:szCs w:val="24"/>
          <w:lang w:eastAsia="en-GB"/>
        </w:rPr>
        <w:t>Community-based lifestyle programmes aimed at diet and physical activity</w:t>
      </w:r>
    </w:p>
    <w:p w14:paraId="4600AC52" w14:textId="22B35EC7" w:rsidR="008002E5" w:rsidRPr="00562B66" w:rsidRDefault="008002E5" w:rsidP="00754665">
      <w:pPr>
        <w:pStyle w:val="NoSpacing"/>
        <w:numPr>
          <w:ilvl w:val="1"/>
          <w:numId w:val="59"/>
        </w:numPr>
        <w:spacing w:line="360" w:lineRule="auto"/>
        <w:jc w:val="both"/>
        <w:rPr>
          <w:rFonts w:ascii="Arial" w:hAnsi="Arial" w:cs="Arial"/>
          <w:sz w:val="24"/>
          <w:szCs w:val="24"/>
          <w:lang w:eastAsia="en-GB"/>
        </w:rPr>
      </w:pPr>
      <w:r w:rsidRPr="00562B66">
        <w:rPr>
          <w:rFonts w:ascii="Arial" w:hAnsi="Arial" w:cs="Arial"/>
          <w:sz w:val="24"/>
          <w:szCs w:val="24"/>
          <w:lang w:eastAsia="en-GB"/>
        </w:rPr>
        <w:t>Culturally tailored health education for ethnic minority groups</w:t>
      </w:r>
    </w:p>
    <w:p w14:paraId="22DFA8A9" w14:textId="5647AC24" w:rsidR="008002E5" w:rsidRPr="00562B66" w:rsidRDefault="008002E5" w:rsidP="00754665">
      <w:pPr>
        <w:pStyle w:val="NoSpacing"/>
        <w:numPr>
          <w:ilvl w:val="1"/>
          <w:numId w:val="59"/>
        </w:numPr>
        <w:spacing w:line="360" w:lineRule="auto"/>
        <w:jc w:val="both"/>
        <w:rPr>
          <w:rFonts w:ascii="Arial" w:hAnsi="Arial" w:cs="Arial"/>
          <w:sz w:val="24"/>
          <w:szCs w:val="24"/>
          <w:lang w:eastAsia="en-GB"/>
        </w:rPr>
      </w:pPr>
      <w:r w:rsidRPr="00562B66">
        <w:rPr>
          <w:rFonts w:ascii="Arial" w:hAnsi="Arial" w:cs="Arial"/>
          <w:sz w:val="24"/>
          <w:szCs w:val="24"/>
          <w:lang w:eastAsia="en-GB"/>
        </w:rPr>
        <w:t>Enhanced access to healthcare services in underprivileged areas</w:t>
      </w:r>
    </w:p>
    <w:p w14:paraId="79561589" w14:textId="16A3D598" w:rsidR="008002E5" w:rsidRPr="00562B66" w:rsidRDefault="008002E5" w:rsidP="00754665">
      <w:pPr>
        <w:pStyle w:val="NoSpacing"/>
        <w:numPr>
          <w:ilvl w:val="1"/>
          <w:numId w:val="59"/>
        </w:numPr>
        <w:spacing w:line="360" w:lineRule="auto"/>
        <w:jc w:val="both"/>
        <w:rPr>
          <w:rFonts w:ascii="Arial" w:hAnsi="Arial" w:cs="Arial"/>
          <w:sz w:val="24"/>
          <w:szCs w:val="24"/>
          <w:lang w:eastAsia="en-GB"/>
        </w:rPr>
      </w:pPr>
      <w:r w:rsidRPr="00562B66">
        <w:rPr>
          <w:rFonts w:ascii="Arial" w:hAnsi="Arial" w:cs="Arial"/>
          <w:sz w:val="24"/>
          <w:szCs w:val="24"/>
          <w:lang w:eastAsia="en-GB"/>
        </w:rPr>
        <w:t>Utilization of digital health tools for self-management</w:t>
      </w:r>
    </w:p>
    <w:p w14:paraId="6D3CAD4E" w14:textId="77777777"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Evaluation of impact:</w:t>
      </w:r>
    </w:p>
    <w:p w14:paraId="4BD17FF2" w14:textId="2E191B36" w:rsidR="008002E5" w:rsidRPr="00562B66" w:rsidRDefault="008002E5" w:rsidP="00754665">
      <w:pPr>
        <w:pStyle w:val="NoSpacing"/>
        <w:numPr>
          <w:ilvl w:val="0"/>
          <w:numId w:val="66"/>
        </w:numPr>
        <w:spacing w:line="360" w:lineRule="auto"/>
        <w:jc w:val="both"/>
        <w:rPr>
          <w:rFonts w:ascii="Arial" w:hAnsi="Arial" w:cs="Arial"/>
          <w:sz w:val="24"/>
          <w:szCs w:val="24"/>
          <w:lang w:eastAsia="en-GB"/>
        </w:rPr>
      </w:pPr>
      <w:r w:rsidRPr="00562B66">
        <w:rPr>
          <w:rFonts w:ascii="Arial" w:hAnsi="Arial" w:cs="Arial"/>
          <w:sz w:val="24"/>
          <w:szCs w:val="24"/>
          <w:lang w:eastAsia="en-GB"/>
        </w:rPr>
        <w:t>Decrease in incidence and prevalence rates</w:t>
      </w:r>
      <w:r w:rsidR="00754665">
        <w:rPr>
          <w:rFonts w:ascii="Arial" w:hAnsi="Arial" w:cs="Arial"/>
          <w:sz w:val="24"/>
          <w:szCs w:val="24"/>
          <w:lang w:eastAsia="en-GB"/>
        </w:rPr>
        <w:t>.</w:t>
      </w:r>
    </w:p>
    <w:p w14:paraId="3F26556F" w14:textId="1435BC90" w:rsidR="008002E5" w:rsidRPr="00562B66" w:rsidRDefault="008002E5" w:rsidP="00754665">
      <w:pPr>
        <w:pStyle w:val="NoSpacing"/>
        <w:numPr>
          <w:ilvl w:val="0"/>
          <w:numId w:val="66"/>
        </w:numPr>
        <w:spacing w:line="360" w:lineRule="auto"/>
        <w:jc w:val="both"/>
        <w:rPr>
          <w:rFonts w:ascii="Arial" w:hAnsi="Arial" w:cs="Arial"/>
          <w:sz w:val="24"/>
          <w:szCs w:val="24"/>
          <w:lang w:eastAsia="en-GB"/>
        </w:rPr>
      </w:pPr>
      <w:r w:rsidRPr="00562B66">
        <w:rPr>
          <w:rFonts w:ascii="Arial" w:hAnsi="Arial" w:cs="Arial"/>
          <w:sz w:val="24"/>
          <w:szCs w:val="24"/>
          <w:lang w:eastAsia="en-GB"/>
        </w:rPr>
        <w:t>Enhanced glycaemic control among patients</w:t>
      </w:r>
      <w:r w:rsidR="00754665">
        <w:rPr>
          <w:rFonts w:ascii="Arial" w:hAnsi="Arial" w:cs="Arial"/>
          <w:sz w:val="24"/>
          <w:szCs w:val="24"/>
          <w:lang w:eastAsia="en-GB"/>
        </w:rPr>
        <w:t>.</w:t>
      </w:r>
    </w:p>
    <w:p w14:paraId="3CA85A17" w14:textId="0A1FF430" w:rsidR="008002E5" w:rsidRPr="00562B66" w:rsidRDefault="008002E5" w:rsidP="00754665">
      <w:pPr>
        <w:pStyle w:val="NoSpacing"/>
        <w:numPr>
          <w:ilvl w:val="0"/>
          <w:numId w:val="66"/>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Increased awareness and </w:t>
      </w:r>
      <w:r w:rsidR="00754665" w:rsidRPr="00562B66">
        <w:rPr>
          <w:rFonts w:ascii="Arial" w:hAnsi="Arial" w:cs="Arial"/>
          <w:sz w:val="24"/>
          <w:szCs w:val="24"/>
          <w:lang w:eastAsia="en-GB"/>
        </w:rPr>
        <w:t>behavioural</w:t>
      </w:r>
      <w:r w:rsidRPr="00562B66">
        <w:rPr>
          <w:rFonts w:ascii="Arial" w:hAnsi="Arial" w:cs="Arial"/>
          <w:sz w:val="24"/>
          <w:szCs w:val="24"/>
          <w:lang w:eastAsia="en-GB"/>
        </w:rPr>
        <w:t xml:space="preserve"> change</w:t>
      </w:r>
      <w:r w:rsidR="00754665">
        <w:rPr>
          <w:rFonts w:ascii="Arial" w:hAnsi="Arial" w:cs="Arial"/>
          <w:sz w:val="24"/>
          <w:szCs w:val="24"/>
          <w:lang w:eastAsia="en-GB"/>
        </w:rPr>
        <w:t>.</w:t>
      </w:r>
    </w:p>
    <w:p w14:paraId="21950B3C" w14:textId="77777777" w:rsidR="008002E5" w:rsidRPr="00562B66" w:rsidRDefault="008002E5" w:rsidP="00562B66">
      <w:pPr>
        <w:pStyle w:val="NoSpacing"/>
        <w:spacing w:line="360" w:lineRule="auto"/>
        <w:jc w:val="both"/>
        <w:rPr>
          <w:rFonts w:ascii="Arial" w:hAnsi="Arial" w:cs="Arial"/>
          <w:sz w:val="24"/>
          <w:szCs w:val="24"/>
          <w:lang w:eastAsia="en-GB"/>
        </w:rPr>
      </w:pPr>
    </w:p>
    <w:p w14:paraId="6DDCBF55" w14:textId="77777777" w:rsidR="008002E5" w:rsidRPr="00754665" w:rsidRDefault="008002E5" w:rsidP="00562B66">
      <w:pPr>
        <w:pStyle w:val="NoSpacing"/>
        <w:spacing w:line="360" w:lineRule="auto"/>
        <w:jc w:val="both"/>
        <w:rPr>
          <w:rFonts w:ascii="Arial" w:hAnsi="Arial" w:cs="Arial"/>
          <w:b/>
          <w:bCs/>
          <w:sz w:val="24"/>
          <w:szCs w:val="24"/>
          <w:lang w:eastAsia="en-GB"/>
        </w:rPr>
      </w:pPr>
      <w:r w:rsidRPr="00754665">
        <w:rPr>
          <w:rFonts w:ascii="Arial" w:hAnsi="Arial" w:cs="Arial"/>
          <w:b/>
          <w:bCs/>
          <w:sz w:val="24"/>
          <w:szCs w:val="24"/>
          <w:lang w:eastAsia="en-GB"/>
        </w:rPr>
        <w:t>Critical analysis:</w:t>
      </w:r>
    </w:p>
    <w:p w14:paraId="47B35CAA" w14:textId="6437CB16" w:rsidR="008002E5" w:rsidRPr="00562B66" w:rsidRDefault="008002E5"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Interventions that concentrate solely on individual </w:t>
      </w:r>
      <w:r w:rsidR="00754665" w:rsidRPr="00562B66">
        <w:rPr>
          <w:rFonts w:ascii="Arial" w:hAnsi="Arial" w:cs="Arial"/>
          <w:sz w:val="24"/>
          <w:szCs w:val="24"/>
          <w:lang w:eastAsia="en-GB"/>
        </w:rPr>
        <w:t>behaviour</w:t>
      </w:r>
      <w:r w:rsidRPr="00562B66">
        <w:rPr>
          <w:rFonts w:ascii="Arial" w:hAnsi="Arial" w:cs="Arial"/>
          <w:sz w:val="24"/>
          <w:szCs w:val="24"/>
          <w:lang w:eastAsia="en-GB"/>
        </w:rPr>
        <w:t xml:space="preserve"> are unlikely to be effective without addressing wider social determinants. For instance, advocating for healthy eating is futile if individuals do not have access to affordable, nutritious food. Consequently, a multi-level approach that integrates healthcare, policy, and community engagement is crucial.</w:t>
      </w:r>
    </w:p>
    <w:p w14:paraId="45424308" w14:textId="77777777" w:rsidR="00562B66" w:rsidRPr="00562B66" w:rsidRDefault="00562B66"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Strengths and Weaknesses of Epidemiological Approaches</w:t>
      </w:r>
    </w:p>
    <w:p w14:paraId="1A126E8A" w14:textId="77777777" w:rsidR="00562B66" w:rsidRPr="00330974" w:rsidRDefault="00562B66" w:rsidP="00562B66">
      <w:pPr>
        <w:pStyle w:val="NoSpacing"/>
        <w:spacing w:line="360" w:lineRule="auto"/>
        <w:jc w:val="both"/>
        <w:rPr>
          <w:rFonts w:ascii="Arial" w:hAnsi="Arial" w:cs="Arial"/>
          <w:b/>
          <w:bCs/>
          <w:sz w:val="24"/>
          <w:szCs w:val="24"/>
          <w:lang w:eastAsia="en-GB"/>
        </w:rPr>
      </w:pPr>
      <w:r w:rsidRPr="00330974">
        <w:rPr>
          <w:rFonts w:ascii="Arial" w:hAnsi="Arial" w:cs="Arial"/>
          <w:b/>
          <w:bCs/>
          <w:sz w:val="24"/>
          <w:szCs w:val="24"/>
          <w:lang w:eastAsia="en-GB"/>
        </w:rPr>
        <w:t>Strengths:</w:t>
      </w:r>
    </w:p>
    <w:p w14:paraId="5027556F" w14:textId="3E6E5F10" w:rsidR="00562B66" w:rsidRPr="00562B66" w:rsidRDefault="00562B66" w:rsidP="00330974">
      <w:pPr>
        <w:pStyle w:val="NoSpacing"/>
        <w:numPr>
          <w:ilvl w:val="0"/>
          <w:numId w:val="68"/>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Offers evidence-based insights into disease trends </w:t>
      </w:r>
    </w:p>
    <w:p w14:paraId="10057119" w14:textId="2B41B9BD" w:rsidR="00562B66" w:rsidRPr="00562B66" w:rsidRDefault="00562B66" w:rsidP="00330974">
      <w:pPr>
        <w:pStyle w:val="NoSpacing"/>
        <w:numPr>
          <w:ilvl w:val="0"/>
          <w:numId w:val="68"/>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Identifies populations at high risk </w:t>
      </w:r>
    </w:p>
    <w:p w14:paraId="3BD08388" w14:textId="137F41BC" w:rsidR="00562B66" w:rsidRPr="00562B66" w:rsidRDefault="00562B66" w:rsidP="00330974">
      <w:pPr>
        <w:pStyle w:val="NoSpacing"/>
        <w:numPr>
          <w:ilvl w:val="0"/>
          <w:numId w:val="68"/>
        </w:numPr>
        <w:spacing w:line="360" w:lineRule="auto"/>
        <w:jc w:val="both"/>
        <w:rPr>
          <w:rFonts w:ascii="Arial" w:hAnsi="Arial" w:cs="Arial"/>
          <w:sz w:val="24"/>
          <w:szCs w:val="24"/>
          <w:lang w:eastAsia="en-GB"/>
        </w:rPr>
      </w:pPr>
      <w:r w:rsidRPr="00562B66">
        <w:rPr>
          <w:rFonts w:ascii="Arial" w:hAnsi="Arial" w:cs="Arial"/>
          <w:sz w:val="24"/>
          <w:szCs w:val="24"/>
          <w:lang w:eastAsia="en-GB"/>
        </w:rPr>
        <w:lastRenderedPageBreak/>
        <w:t xml:space="preserve">Guides public health policy and the design of interventions </w:t>
      </w:r>
    </w:p>
    <w:p w14:paraId="4952BBC4" w14:textId="77777777" w:rsidR="00562B66" w:rsidRPr="00330974" w:rsidRDefault="00562B66" w:rsidP="00330974">
      <w:pPr>
        <w:pStyle w:val="NoSpacing"/>
        <w:spacing w:line="360" w:lineRule="auto"/>
        <w:jc w:val="both"/>
        <w:rPr>
          <w:rFonts w:ascii="Arial" w:hAnsi="Arial" w:cs="Arial"/>
          <w:b/>
          <w:bCs/>
          <w:sz w:val="24"/>
          <w:szCs w:val="24"/>
          <w:lang w:eastAsia="en-GB"/>
        </w:rPr>
      </w:pPr>
      <w:r w:rsidRPr="00330974">
        <w:rPr>
          <w:rFonts w:ascii="Arial" w:hAnsi="Arial" w:cs="Arial"/>
          <w:b/>
          <w:bCs/>
          <w:sz w:val="24"/>
          <w:szCs w:val="24"/>
          <w:lang w:eastAsia="en-GB"/>
        </w:rPr>
        <w:t>Weaknesses:</w:t>
      </w:r>
    </w:p>
    <w:p w14:paraId="05FA335C" w14:textId="14097402" w:rsidR="00562B66" w:rsidRPr="00562B66" w:rsidRDefault="00562B66" w:rsidP="00330974">
      <w:pPr>
        <w:pStyle w:val="NoSpacing"/>
        <w:numPr>
          <w:ilvl w:val="0"/>
          <w:numId w:val="69"/>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Limitations in data and potential for underreporting </w:t>
      </w:r>
    </w:p>
    <w:p w14:paraId="6A910C23" w14:textId="49B438BB" w:rsidR="00562B66" w:rsidRPr="00562B66" w:rsidRDefault="00562B66" w:rsidP="00330974">
      <w:pPr>
        <w:pStyle w:val="NoSpacing"/>
        <w:numPr>
          <w:ilvl w:val="0"/>
          <w:numId w:val="69"/>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Challenges in establishing causation within observational studies </w:t>
      </w:r>
    </w:p>
    <w:p w14:paraId="598B9200" w14:textId="21F14D21" w:rsidR="00562B66" w:rsidRPr="00562B66" w:rsidRDefault="00562B66" w:rsidP="00330974">
      <w:pPr>
        <w:pStyle w:val="NoSpacing"/>
        <w:numPr>
          <w:ilvl w:val="0"/>
          <w:numId w:val="69"/>
        </w:numPr>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Risk of ecological fallacy when generalizing population data to individuals (Pearce, 2016) </w:t>
      </w:r>
    </w:p>
    <w:p w14:paraId="5A6CEA6E" w14:textId="77777777" w:rsidR="00562B66" w:rsidRPr="00330974" w:rsidRDefault="00562B66" w:rsidP="00562B66">
      <w:pPr>
        <w:pStyle w:val="NoSpacing"/>
        <w:spacing w:line="360" w:lineRule="auto"/>
        <w:jc w:val="both"/>
        <w:rPr>
          <w:rFonts w:ascii="Arial" w:hAnsi="Arial" w:cs="Arial"/>
          <w:b/>
          <w:bCs/>
          <w:sz w:val="24"/>
          <w:szCs w:val="24"/>
          <w:lang w:eastAsia="en-GB"/>
        </w:rPr>
      </w:pPr>
      <w:r w:rsidRPr="00330974">
        <w:rPr>
          <w:rFonts w:ascii="Arial" w:hAnsi="Arial" w:cs="Arial"/>
          <w:b/>
          <w:bCs/>
          <w:sz w:val="24"/>
          <w:szCs w:val="24"/>
          <w:lang w:eastAsia="en-GB"/>
        </w:rPr>
        <w:t>Critical evaluation:</w:t>
      </w:r>
    </w:p>
    <w:p w14:paraId="1F6A7566" w14:textId="77777777" w:rsidR="00562B66" w:rsidRPr="00562B66" w:rsidRDefault="00562B66"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Although epidemiology serves as a robust tool for comprehending disease distribution, it necessitates careful application. An excessive dependence on quantitative data may obscure the intricacies of health disparities, especially in varied populations like Tower Hamlets.</w:t>
      </w:r>
    </w:p>
    <w:p w14:paraId="4F42D539" w14:textId="77777777" w:rsidR="00330974" w:rsidRDefault="00330974" w:rsidP="00562B66">
      <w:pPr>
        <w:pStyle w:val="NoSpacing"/>
        <w:spacing w:line="360" w:lineRule="auto"/>
        <w:jc w:val="both"/>
        <w:rPr>
          <w:rFonts w:ascii="Arial" w:hAnsi="Arial" w:cs="Arial"/>
          <w:b/>
          <w:bCs/>
          <w:sz w:val="24"/>
          <w:szCs w:val="24"/>
          <w:lang w:eastAsia="en-GB"/>
        </w:rPr>
      </w:pPr>
    </w:p>
    <w:p w14:paraId="2CBE38A5" w14:textId="5F0B4AD6" w:rsidR="00562B66" w:rsidRPr="00330974" w:rsidRDefault="00562B66" w:rsidP="00562B66">
      <w:pPr>
        <w:pStyle w:val="NoSpacing"/>
        <w:spacing w:line="360" w:lineRule="auto"/>
        <w:jc w:val="both"/>
        <w:rPr>
          <w:rFonts w:ascii="Arial" w:hAnsi="Arial" w:cs="Arial"/>
          <w:b/>
          <w:bCs/>
          <w:sz w:val="24"/>
          <w:szCs w:val="24"/>
          <w:lang w:eastAsia="en-GB"/>
        </w:rPr>
      </w:pPr>
      <w:r w:rsidRPr="00330974">
        <w:rPr>
          <w:rFonts w:ascii="Arial" w:hAnsi="Arial" w:cs="Arial"/>
          <w:b/>
          <w:bCs/>
          <w:sz w:val="24"/>
          <w:szCs w:val="24"/>
          <w:lang w:eastAsia="en-GB"/>
        </w:rPr>
        <w:t>Conclusion</w:t>
      </w:r>
    </w:p>
    <w:p w14:paraId="188FDAB3" w14:textId="1E07BF9C" w:rsidR="00562B66" w:rsidRPr="00562B66" w:rsidRDefault="00562B66"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 xml:space="preserve">Type 2 diabetes poses a considerable public health issue in Tower Hamlets, mirroring wider trends of health inequality. The disease's distribution is influenced by a complex interaction of biological, </w:t>
      </w:r>
      <w:r w:rsidR="00B7623D" w:rsidRPr="00562B66">
        <w:rPr>
          <w:rFonts w:ascii="Arial" w:hAnsi="Arial" w:cs="Arial"/>
          <w:sz w:val="24"/>
          <w:szCs w:val="24"/>
          <w:lang w:eastAsia="en-GB"/>
        </w:rPr>
        <w:t>behavioural</w:t>
      </w:r>
      <w:r w:rsidRPr="00562B66">
        <w:rPr>
          <w:rFonts w:ascii="Arial" w:hAnsi="Arial" w:cs="Arial"/>
          <w:sz w:val="24"/>
          <w:szCs w:val="24"/>
          <w:lang w:eastAsia="en-GB"/>
        </w:rPr>
        <w:t>, and social factors, with deprivation and ethnicity being significant contributors.</w:t>
      </w:r>
    </w:p>
    <w:p w14:paraId="61C5C6D0" w14:textId="77777777" w:rsidR="00562B66" w:rsidRPr="00562B66" w:rsidRDefault="00562B66"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Epidemiological methods yield important insights into disease patterns and help shape intervention strategies. Nevertheless, their efficacy is constrained by methodological limitations and a tendency to emphasize individual-level factors over structural determinants.</w:t>
      </w:r>
    </w:p>
    <w:p w14:paraId="010A7A50" w14:textId="7B6905D5" w:rsidR="008002E5" w:rsidRPr="00562B66" w:rsidRDefault="00562B66" w:rsidP="00562B66">
      <w:pPr>
        <w:pStyle w:val="NoSpacing"/>
        <w:spacing w:line="360" w:lineRule="auto"/>
        <w:jc w:val="both"/>
        <w:rPr>
          <w:rFonts w:ascii="Arial" w:hAnsi="Arial" w:cs="Arial"/>
          <w:sz w:val="24"/>
          <w:szCs w:val="24"/>
          <w:lang w:eastAsia="en-GB"/>
        </w:rPr>
      </w:pPr>
      <w:r w:rsidRPr="00562B66">
        <w:rPr>
          <w:rFonts w:ascii="Arial" w:hAnsi="Arial" w:cs="Arial"/>
          <w:sz w:val="24"/>
          <w:szCs w:val="24"/>
          <w:lang w:eastAsia="en-GB"/>
        </w:rPr>
        <w:t>To alleviate the burden of T2DM and tackle health inequalities, a holistic approach is essential. This approach must merge epidemiological findings with social policy, addressing fundamental determinants such as poverty, housing, and resource accessibility. In the absence of such measures, health disparities are likely to endure, hindering efforts to enhance population health and attain health equity.</w:t>
      </w:r>
    </w:p>
    <w:p w14:paraId="42EF91FA" w14:textId="77777777" w:rsidR="005E2D24" w:rsidRDefault="005E2D24" w:rsidP="00562B66">
      <w:pPr>
        <w:pStyle w:val="NoSpacing"/>
        <w:spacing w:line="360" w:lineRule="auto"/>
        <w:jc w:val="both"/>
        <w:rPr>
          <w:rFonts w:ascii="Arial" w:hAnsi="Arial" w:cs="Arial"/>
          <w:sz w:val="24"/>
          <w:szCs w:val="24"/>
          <w:lang w:eastAsia="en-GB"/>
        </w:rPr>
      </w:pPr>
    </w:p>
    <w:p w14:paraId="1EC38D31" w14:textId="77777777" w:rsidR="008F200E" w:rsidRDefault="008F200E" w:rsidP="00562B66">
      <w:pPr>
        <w:pStyle w:val="NoSpacing"/>
        <w:spacing w:line="360" w:lineRule="auto"/>
        <w:jc w:val="both"/>
        <w:rPr>
          <w:rFonts w:ascii="Arial" w:hAnsi="Arial" w:cs="Arial"/>
          <w:sz w:val="24"/>
          <w:szCs w:val="24"/>
          <w:lang w:eastAsia="en-GB"/>
        </w:rPr>
      </w:pPr>
    </w:p>
    <w:p w14:paraId="25A6DDD4" w14:textId="77777777" w:rsidR="008F200E" w:rsidRDefault="008F200E" w:rsidP="00562B66">
      <w:pPr>
        <w:pStyle w:val="NoSpacing"/>
        <w:spacing w:line="360" w:lineRule="auto"/>
        <w:jc w:val="both"/>
        <w:rPr>
          <w:rFonts w:ascii="Arial" w:hAnsi="Arial" w:cs="Arial"/>
          <w:sz w:val="24"/>
          <w:szCs w:val="24"/>
          <w:lang w:eastAsia="en-GB"/>
        </w:rPr>
      </w:pPr>
    </w:p>
    <w:p w14:paraId="4DA7DDE4" w14:textId="77777777" w:rsidR="008F200E" w:rsidRDefault="008F200E" w:rsidP="008F200E">
      <w:pPr>
        <w:pStyle w:val="NormalWeb"/>
        <w:rPr>
          <w:rFonts w:ascii="Arial" w:hAnsi="Arial" w:cs="Arial"/>
        </w:rPr>
      </w:pPr>
    </w:p>
    <w:p w14:paraId="329BEB95" w14:textId="77777777" w:rsidR="00596540" w:rsidRDefault="00596540" w:rsidP="008F200E">
      <w:pPr>
        <w:pStyle w:val="NormalWeb"/>
        <w:rPr>
          <w:rFonts w:ascii="Arial" w:hAnsi="Arial" w:cs="Arial"/>
        </w:rPr>
      </w:pPr>
    </w:p>
    <w:p w14:paraId="5CB481B9" w14:textId="77777777" w:rsidR="00596540" w:rsidRDefault="00596540" w:rsidP="008F200E">
      <w:pPr>
        <w:pStyle w:val="NormalWeb"/>
        <w:rPr>
          <w:rFonts w:ascii="Arial" w:hAnsi="Arial" w:cs="Arial"/>
        </w:rPr>
      </w:pPr>
    </w:p>
    <w:p w14:paraId="4C129CD5" w14:textId="77777777" w:rsidR="00596540" w:rsidRDefault="00596540" w:rsidP="008F200E">
      <w:pPr>
        <w:pStyle w:val="NormalWeb"/>
        <w:rPr>
          <w:rFonts w:ascii="Arial" w:hAnsi="Arial" w:cs="Arial"/>
        </w:rPr>
      </w:pPr>
    </w:p>
    <w:p w14:paraId="79A776CD" w14:textId="77777777" w:rsidR="00596540" w:rsidRDefault="00596540" w:rsidP="008F200E">
      <w:pPr>
        <w:pStyle w:val="NormalWeb"/>
        <w:rPr>
          <w:rFonts w:ascii="Arial" w:hAnsi="Arial" w:cs="Arial"/>
        </w:rPr>
      </w:pPr>
    </w:p>
    <w:p w14:paraId="24A24E36" w14:textId="77777777" w:rsidR="00596540" w:rsidRDefault="00596540" w:rsidP="008F200E">
      <w:pPr>
        <w:pStyle w:val="NormalWeb"/>
        <w:rPr>
          <w:rFonts w:ascii="Arial" w:hAnsi="Arial" w:cs="Arial"/>
        </w:rPr>
      </w:pPr>
    </w:p>
    <w:p w14:paraId="54829C53" w14:textId="77777777" w:rsidR="00596540" w:rsidRDefault="00596540" w:rsidP="008F200E">
      <w:pPr>
        <w:pStyle w:val="NormalWeb"/>
        <w:rPr>
          <w:rFonts w:ascii="Arial" w:hAnsi="Arial" w:cs="Arial"/>
        </w:rPr>
      </w:pPr>
    </w:p>
    <w:p w14:paraId="6130000D" w14:textId="77777777" w:rsidR="00596540" w:rsidRDefault="00596540" w:rsidP="008F200E">
      <w:pPr>
        <w:pStyle w:val="NormalWeb"/>
        <w:rPr>
          <w:rFonts w:ascii="Arial" w:hAnsi="Arial" w:cs="Arial"/>
        </w:rPr>
      </w:pPr>
    </w:p>
    <w:p w14:paraId="65658956" w14:textId="77777777" w:rsidR="00596540" w:rsidRDefault="00596540" w:rsidP="008F200E">
      <w:pPr>
        <w:pStyle w:val="NormalWeb"/>
        <w:rPr>
          <w:rFonts w:ascii="Arial" w:hAnsi="Arial" w:cs="Arial"/>
        </w:rPr>
      </w:pPr>
    </w:p>
    <w:p w14:paraId="4229CF60" w14:textId="6C058EB2" w:rsidR="008F200E" w:rsidRPr="008F200E" w:rsidRDefault="008F200E" w:rsidP="008F200E">
      <w:pPr>
        <w:pStyle w:val="NormalWeb"/>
        <w:rPr>
          <w:rFonts w:ascii="Arial" w:hAnsi="Arial" w:cs="Arial"/>
          <w:b/>
          <w:bCs/>
        </w:rPr>
      </w:pPr>
      <w:r w:rsidRPr="008F200E">
        <w:rPr>
          <w:rFonts w:ascii="Arial" w:hAnsi="Arial" w:cs="Arial"/>
          <w:b/>
          <w:bCs/>
        </w:rPr>
        <w:lastRenderedPageBreak/>
        <w:t>REFERENCES</w:t>
      </w:r>
    </w:p>
    <w:p w14:paraId="41D7C2ED" w14:textId="77777777" w:rsidR="008F200E" w:rsidRDefault="008F200E" w:rsidP="008F200E">
      <w:pPr>
        <w:pStyle w:val="NormalWeb"/>
        <w:rPr>
          <w:rFonts w:ascii="Arial" w:hAnsi="Arial" w:cs="Arial"/>
        </w:rPr>
      </w:pPr>
    </w:p>
    <w:p w14:paraId="40BF47DE" w14:textId="590577F4" w:rsidR="008F200E" w:rsidRPr="005D4BEF" w:rsidRDefault="008F200E" w:rsidP="008F200E">
      <w:pPr>
        <w:pStyle w:val="NormalWeb"/>
        <w:rPr>
          <w:rFonts w:ascii="Arial" w:hAnsi="Arial" w:cs="Arial"/>
        </w:rPr>
      </w:pPr>
      <w:r w:rsidRPr="005D4BEF">
        <w:rPr>
          <w:rFonts w:ascii="Arial" w:hAnsi="Arial" w:cs="Arial"/>
        </w:rPr>
        <w:t xml:space="preserve">Arcaya, M.C., Arcaya, A.L. and Subramanian, S.V. (2015) ‘Inequalities in health: definitions, concepts, and theories’, </w:t>
      </w:r>
      <w:r w:rsidRPr="005D4BEF">
        <w:rPr>
          <w:rStyle w:val="Emphasis"/>
          <w:rFonts w:ascii="Arial" w:eastAsiaTheme="majorEastAsia" w:hAnsi="Arial" w:cs="Arial"/>
        </w:rPr>
        <w:t>Global Health Action</w:t>
      </w:r>
      <w:r w:rsidRPr="005D4BEF">
        <w:rPr>
          <w:rFonts w:ascii="Arial" w:hAnsi="Arial" w:cs="Arial"/>
        </w:rPr>
        <w:t>, 8(1), pp. 1–12.</w:t>
      </w:r>
    </w:p>
    <w:p w14:paraId="0534EB71" w14:textId="77777777" w:rsidR="008F200E" w:rsidRPr="005D4BEF" w:rsidRDefault="008F200E" w:rsidP="008F200E">
      <w:pPr>
        <w:pStyle w:val="NormalWeb"/>
        <w:rPr>
          <w:rFonts w:ascii="Arial" w:hAnsi="Arial" w:cs="Arial"/>
        </w:rPr>
      </w:pPr>
      <w:r w:rsidRPr="005D4BEF">
        <w:rPr>
          <w:rFonts w:ascii="Arial" w:hAnsi="Arial" w:cs="Arial"/>
        </w:rPr>
        <w:t xml:space="preserve">Barnett, K., Mercer, S.W., Norbury, M., Watt, G., Wyke, S. and Guthrie, B. (2015) ‘Epidemiology of multimorbidity and implications for health care’, </w:t>
      </w:r>
      <w:r w:rsidRPr="005D4BEF">
        <w:rPr>
          <w:rStyle w:val="Emphasis"/>
          <w:rFonts w:ascii="Arial" w:eastAsiaTheme="majorEastAsia" w:hAnsi="Arial" w:cs="Arial"/>
        </w:rPr>
        <w:t>The Lancet</w:t>
      </w:r>
      <w:r w:rsidRPr="005D4BEF">
        <w:rPr>
          <w:rFonts w:ascii="Arial" w:hAnsi="Arial" w:cs="Arial"/>
        </w:rPr>
        <w:t>, 380(9836), pp. 37–43.</w:t>
      </w:r>
    </w:p>
    <w:p w14:paraId="5A38EEB8" w14:textId="77777777" w:rsidR="008F200E" w:rsidRPr="005D4BEF" w:rsidRDefault="008F200E" w:rsidP="008F200E">
      <w:pPr>
        <w:pStyle w:val="NormalWeb"/>
        <w:rPr>
          <w:rFonts w:ascii="Arial" w:hAnsi="Arial" w:cs="Arial"/>
        </w:rPr>
      </w:pPr>
      <w:r w:rsidRPr="005D4BEF">
        <w:rPr>
          <w:rFonts w:ascii="Arial" w:hAnsi="Arial" w:cs="Arial"/>
        </w:rPr>
        <w:t xml:space="preserve">Bécares, L., Nazroo, J. and Stafford, M. (2015) ‘The buffering effects of ethnic density on experienced racism and health’, </w:t>
      </w:r>
      <w:r w:rsidRPr="005D4BEF">
        <w:rPr>
          <w:rStyle w:val="Emphasis"/>
          <w:rFonts w:ascii="Arial" w:eastAsiaTheme="majorEastAsia" w:hAnsi="Arial" w:cs="Arial"/>
        </w:rPr>
        <w:t>Journal of Epidemiology &amp; Community Health</w:t>
      </w:r>
      <w:r w:rsidRPr="005D4BEF">
        <w:rPr>
          <w:rFonts w:ascii="Arial" w:hAnsi="Arial" w:cs="Arial"/>
        </w:rPr>
        <w:t>, 69(4), pp. 333–338.</w:t>
      </w:r>
    </w:p>
    <w:p w14:paraId="552AEA2D" w14:textId="77777777" w:rsidR="008F200E" w:rsidRPr="005D4BEF" w:rsidRDefault="008F200E" w:rsidP="008F200E">
      <w:pPr>
        <w:pStyle w:val="NormalWeb"/>
        <w:rPr>
          <w:rFonts w:ascii="Arial" w:hAnsi="Arial" w:cs="Arial"/>
        </w:rPr>
      </w:pPr>
      <w:r w:rsidRPr="005D4BEF">
        <w:rPr>
          <w:rFonts w:ascii="Arial" w:hAnsi="Arial" w:cs="Arial"/>
        </w:rPr>
        <w:t xml:space="preserve">Chandola, T., Kumari, M., Booker, C.L. and Benzeval, M. (2020) ‘The mental health impact of COVID-19 and lockdown-related stressors’, </w:t>
      </w:r>
      <w:r w:rsidRPr="005D4BEF">
        <w:rPr>
          <w:rStyle w:val="Emphasis"/>
          <w:rFonts w:ascii="Arial" w:eastAsiaTheme="majorEastAsia" w:hAnsi="Arial" w:cs="Arial"/>
        </w:rPr>
        <w:t>The Lancet Public Health</w:t>
      </w:r>
      <w:r w:rsidRPr="005D4BEF">
        <w:rPr>
          <w:rFonts w:ascii="Arial" w:hAnsi="Arial" w:cs="Arial"/>
        </w:rPr>
        <w:t>, 5(5), pp. e250–e251.</w:t>
      </w:r>
    </w:p>
    <w:p w14:paraId="6A669850" w14:textId="77777777" w:rsidR="008F200E" w:rsidRPr="005D4BEF" w:rsidRDefault="008F200E" w:rsidP="008F200E">
      <w:pPr>
        <w:pStyle w:val="NormalWeb"/>
        <w:rPr>
          <w:rFonts w:ascii="Arial" w:hAnsi="Arial" w:cs="Arial"/>
        </w:rPr>
      </w:pPr>
      <w:r w:rsidRPr="005D4BEF">
        <w:rPr>
          <w:rFonts w:ascii="Arial" w:hAnsi="Arial" w:cs="Arial"/>
        </w:rPr>
        <w:t xml:space="preserve">Chowdhury, T.A., Hitman, G.A. and Simmons, D. (2016) ‘Diabetes care in Tower Hamlets: improving outcomes in a deprived multiethnic population’, </w:t>
      </w:r>
      <w:r w:rsidRPr="005D4BEF">
        <w:rPr>
          <w:rStyle w:val="Emphasis"/>
          <w:rFonts w:ascii="Arial" w:eastAsiaTheme="majorEastAsia" w:hAnsi="Arial" w:cs="Arial"/>
        </w:rPr>
        <w:t>British Journal of Diabetes</w:t>
      </w:r>
      <w:r w:rsidRPr="005D4BEF">
        <w:rPr>
          <w:rFonts w:ascii="Arial" w:hAnsi="Arial" w:cs="Arial"/>
        </w:rPr>
        <w:t>, 16(2), pp. 73–78.</w:t>
      </w:r>
    </w:p>
    <w:p w14:paraId="7CEE1857" w14:textId="77777777" w:rsidR="008F200E" w:rsidRPr="005D4BEF" w:rsidRDefault="008F200E" w:rsidP="008F200E">
      <w:pPr>
        <w:pStyle w:val="NormalWeb"/>
        <w:rPr>
          <w:rFonts w:ascii="Arial" w:hAnsi="Arial" w:cs="Arial"/>
        </w:rPr>
      </w:pPr>
      <w:r w:rsidRPr="005D4BEF">
        <w:rPr>
          <w:rFonts w:ascii="Arial" w:hAnsi="Arial" w:cs="Arial"/>
        </w:rPr>
        <w:t xml:space="preserve">Dhalwani, N.N., O’Donovan, G., Zaccardi, F., Hamer, M. and Yates, T. (2017) ‘Long terms trends of multimorbidity and association with physical activity’, </w:t>
      </w:r>
      <w:r w:rsidRPr="005D4BEF">
        <w:rPr>
          <w:rStyle w:val="Emphasis"/>
          <w:rFonts w:ascii="Arial" w:eastAsiaTheme="majorEastAsia" w:hAnsi="Arial" w:cs="Arial"/>
        </w:rPr>
        <w:t>BMJ Open</w:t>
      </w:r>
      <w:r w:rsidRPr="005D4BEF">
        <w:rPr>
          <w:rFonts w:ascii="Arial" w:hAnsi="Arial" w:cs="Arial"/>
        </w:rPr>
        <w:t>, 7(3), pp. 1–8.</w:t>
      </w:r>
    </w:p>
    <w:p w14:paraId="5528B54B" w14:textId="77777777" w:rsidR="008F200E" w:rsidRPr="005D4BEF" w:rsidRDefault="008F200E" w:rsidP="008F200E">
      <w:pPr>
        <w:pStyle w:val="NormalWeb"/>
        <w:rPr>
          <w:rFonts w:ascii="Arial" w:hAnsi="Arial" w:cs="Arial"/>
        </w:rPr>
      </w:pPr>
      <w:r w:rsidRPr="005D4BEF">
        <w:rPr>
          <w:rFonts w:ascii="Arial" w:hAnsi="Arial" w:cs="Arial"/>
        </w:rPr>
        <w:t xml:space="preserve">Di Cesare, M., Khang, Y.H., Asaria, P., Blakely, T., Cowan, M.J. and Farzadfar, F. (2016) ‘Inequalities in non-communicable diseases and effective responses’, </w:t>
      </w:r>
      <w:r w:rsidRPr="005D4BEF">
        <w:rPr>
          <w:rStyle w:val="Emphasis"/>
          <w:rFonts w:ascii="Arial" w:eastAsiaTheme="majorEastAsia" w:hAnsi="Arial" w:cs="Arial"/>
        </w:rPr>
        <w:t>The Lancet</w:t>
      </w:r>
      <w:r w:rsidRPr="005D4BEF">
        <w:rPr>
          <w:rFonts w:ascii="Arial" w:hAnsi="Arial" w:cs="Arial"/>
        </w:rPr>
        <w:t>, 388(10056), pp. 585–597.</w:t>
      </w:r>
    </w:p>
    <w:p w14:paraId="15BFE979" w14:textId="77777777" w:rsidR="008F200E" w:rsidRPr="005D4BEF" w:rsidRDefault="008F200E" w:rsidP="008F200E">
      <w:pPr>
        <w:pStyle w:val="NormalWeb"/>
        <w:rPr>
          <w:rFonts w:ascii="Arial" w:hAnsi="Arial" w:cs="Arial"/>
        </w:rPr>
      </w:pPr>
      <w:r w:rsidRPr="005D4BEF">
        <w:rPr>
          <w:rFonts w:ascii="Arial" w:hAnsi="Arial" w:cs="Arial"/>
        </w:rPr>
        <w:t xml:space="preserve">Forouhi, N.G. and Wareham, N.J. (2019) ‘Epidemiology of diabetes’, </w:t>
      </w:r>
      <w:r w:rsidRPr="005D4BEF">
        <w:rPr>
          <w:rStyle w:val="Emphasis"/>
          <w:rFonts w:ascii="Arial" w:eastAsiaTheme="majorEastAsia" w:hAnsi="Arial" w:cs="Arial"/>
        </w:rPr>
        <w:t>Medicine</w:t>
      </w:r>
      <w:r w:rsidRPr="005D4BEF">
        <w:rPr>
          <w:rFonts w:ascii="Arial" w:hAnsi="Arial" w:cs="Arial"/>
        </w:rPr>
        <w:t>, 47(1), pp. 22–27.</w:t>
      </w:r>
    </w:p>
    <w:p w14:paraId="6EF2B619" w14:textId="77777777" w:rsidR="008559ED" w:rsidRDefault="008559ED" w:rsidP="008F200E">
      <w:pPr>
        <w:pStyle w:val="NormalWeb"/>
        <w:rPr>
          <w:rFonts w:ascii="Arial" w:hAnsi="Arial" w:cs="Arial"/>
        </w:rPr>
      </w:pPr>
    </w:p>
    <w:p w14:paraId="1FFB0934" w14:textId="729EA562" w:rsidR="008559ED" w:rsidRDefault="008559ED" w:rsidP="008559ED">
      <w:pPr>
        <w:pStyle w:val="NormalWeb"/>
        <w:jc w:val="both"/>
        <w:rPr>
          <w:rFonts w:ascii="Arial" w:hAnsi="Arial" w:cs="Arial"/>
        </w:rPr>
      </w:pPr>
      <w:r w:rsidRPr="008559ED">
        <w:rPr>
          <w:rFonts w:ascii="Arial" w:hAnsi="Arial" w:cs="Arial"/>
        </w:rPr>
        <w:t xml:space="preserve">European Parliamentary Research Service (2016) </w:t>
      </w:r>
      <w:r w:rsidRPr="008559ED">
        <w:rPr>
          <w:rStyle w:val="Emphasis"/>
          <w:rFonts w:ascii="Arial" w:eastAsiaTheme="majorEastAsia" w:hAnsi="Arial" w:cs="Arial"/>
        </w:rPr>
        <w:t>Elderly people and poverty: current levels and changes since the crisis</w:t>
      </w:r>
      <w:r w:rsidRPr="008559ED">
        <w:rPr>
          <w:rFonts w:ascii="Arial" w:hAnsi="Arial" w:cs="Arial"/>
        </w:rPr>
        <w:t xml:space="preserve">. European Parliament Think Tank. Available at: </w:t>
      </w:r>
      <w:hyperlink r:id="rId8" w:tgtFrame="_new" w:history="1">
        <w:r w:rsidRPr="008559ED">
          <w:rPr>
            <w:rStyle w:val="Hyperlink"/>
            <w:rFonts w:ascii="Arial" w:eastAsiaTheme="majorEastAsia" w:hAnsi="Arial" w:cs="Arial"/>
          </w:rPr>
          <w:t>https://epthinktank.eu/2016/07/07/elderly-people-and-poverty-current-levels-and-changes-since-the-crisis/</w:t>
        </w:r>
      </w:hyperlink>
      <w:r w:rsidRPr="008559ED">
        <w:rPr>
          <w:rFonts w:ascii="Arial" w:hAnsi="Arial" w:cs="Arial"/>
        </w:rPr>
        <w:t xml:space="preserve"> (Accessed: </w:t>
      </w:r>
      <w:r>
        <w:rPr>
          <w:rFonts w:ascii="Arial" w:hAnsi="Arial" w:cs="Arial"/>
        </w:rPr>
        <w:t>17</w:t>
      </w:r>
      <w:r w:rsidRPr="008559ED">
        <w:rPr>
          <w:rFonts w:ascii="Arial" w:hAnsi="Arial" w:cs="Arial"/>
        </w:rPr>
        <w:t xml:space="preserve"> April 2026).</w:t>
      </w:r>
    </w:p>
    <w:p w14:paraId="7E6C77A8" w14:textId="6A823368" w:rsidR="008F200E" w:rsidRPr="005D4BEF" w:rsidRDefault="008F200E" w:rsidP="008F200E">
      <w:pPr>
        <w:pStyle w:val="NormalWeb"/>
        <w:rPr>
          <w:rFonts w:ascii="Arial" w:hAnsi="Arial" w:cs="Arial"/>
        </w:rPr>
      </w:pPr>
      <w:r w:rsidRPr="005D4BEF">
        <w:rPr>
          <w:rFonts w:ascii="Arial" w:hAnsi="Arial" w:cs="Arial"/>
        </w:rPr>
        <w:t xml:space="preserve">Franks, P., Winters, P., Tancredi, D. and Fiscella, K. (2018) ‘Do changes in traditional coronary heart disease risk factors over time explain the association between socio-economic status and coronary heart disease?’, </w:t>
      </w:r>
      <w:r w:rsidRPr="005D4BEF">
        <w:rPr>
          <w:rStyle w:val="Emphasis"/>
          <w:rFonts w:ascii="Arial" w:eastAsiaTheme="majorEastAsia" w:hAnsi="Arial" w:cs="Arial"/>
        </w:rPr>
        <w:t>Annual Review of Public Health</w:t>
      </w:r>
      <w:r w:rsidRPr="005D4BEF">
        <w:rPr>
          <w:rFonts w:ascii="Arial" w:hAnsi="Arial" w:cs="Arial"/>
        </w:rPr>
        <w:t>, 39, pp. 227–244.</w:t>
      </w:r>
    </w:p>
    <w:p w14:paraId="22376AC9" w14:textId="77777777" w:rsidR="008F200E" w:rsidRPr="005D4BEF" w:rsidRDefault="008F200E" w:rsidP="008F200E">
      <w:pPr>
        <w:pStyle w:val="NormalWeb"/>
        <w:rPr>
          <w:rFonts w:ascii="Arial" w:hAnsi="Arial" w:cs="Arial"/>
        </w:rPr>
      </w:pPr>
      <w:r w:rsidRPr="005D4BEF">
        <w:rPr>
          <w:rFonts w:ascii="Arial" w:hAnsi="Arial" w:cs="Arial"/>
        </w:rPr>
        <w:t xml:space="preserve">GBD Collaborative Network (2020) ‘Global burden of 369 diseases and injuries’, </w:t>
      </w:r>
      <w:r w:rsidRPr="005D4BEF">
        <w:rPr>
          <w:rStyle w:val="Emphasis"/>
          <w:rFonts w:ascii="Arial" w:eastAsiaTheme="majorEastAsia" w:hAnsi="Arial" w:cs="Arial"/>
        </w:rPr>
        <w:t>The Lancet</w:t>
      </w:r>
      <w:r w:rsidRPr="005D4BEF">
        <w:rPr>
          <w:rFonts w:ascii="Arial" w:hAnsi="Arial" w:cs="Arial"/>
        </w:rPr>
        <w:t>, 396(10258), pp. 1204–1222.</w:t>
      </w:r>
    </w:p>
    <w:p w14:paraId="43085326" w14:textId="77777777" w:rsidR="008F200E" w:rsidRPr="005D4BEF" w:rsidRDefault="008F200E" w:rsidP="008F200E">
      <w:pPr>
        <w:pStyle w:val="NormalWeb"/>
        <w:rPr>
          <w:rFonts w:ascii="Arial" w:hAnsi="Arial" w:cs="Arial"/>
        </w:rPr>
      </w:pPr>
      <w:r w:rsidRPr="005D4BEF">
        <w:rPr>
          <w:rFonts w:ascii="Arial" w:hAnsi="Arial" w:cs="Arial"/>
        </w:rPr>
        <w:t xml:space="preserve">Hawkesworth, S., Silverwood, R.J., Armstrong, B. and Pliakas, T. (2017) ‘Investigating associations between the built environment and physical activity’, </w:t>
      </w:r>
      <w:r w:rsidRPr="005D4BEF">
        <w:rPr>
          <w:rStyle w:val="Emphasis"/>
          <w:rFonts w:ascii="Arial" w:eastAsiaTheme="majorEastAsia" w:hAnsi="Arial" w:cs="Arial"/>
        </w:rPr>
        <w:t>International Journal of Epidemiology</w:t>
      </w:r>
      <w:r w:rsidRPr="005D4BEF">
        <w:rPr>
          <w:rFonts w:ascii="Arial" w:hAnsi="Arial" w:cs="Arial"/>
        </w:rPr>
        <w:t>, 46(3), pp. 873–883.</w:t>
      </w:r>
    </w:p>
    <w:p w14:paraId="316AA023" w14:textId="77777777" w:rsidR="008F200E" w:rsidRPr="005D4BEF" w:rsidRDefault="008F200E" w:rsidP="008F200E">
      <w:pPr>
        <w:pStyle w:val="NormalWeb"/>
        <w:rPr>
          <w:rFonts w:ascii="Arial" w:hAnsi="Arial" w:cs="Arial"/>
        </w:rPr>
      </w:pPr>
      <w:r w:rsidRPr="005D4BEF">
        <w:rPr>
          <w:rFonts w:ascii="Arial" w:hAnsi="Arial" w:cs="Arial"/>
        </w:rPr>
        <w:t xml:space="preserve">Holt-Lunstad, J., Smith, T.B., Baker, M., Harris, T. and Stephenson, D. (2015) ‘Loneliness and social isolation as risk factors for mortality’, </w:t>
      </w:r>
      <w:r w:rsidRPr="005D4BEF">
        <w:rPr>
          <w:rStyle w:val="Emphasis"/>
          <w:rFonts w:ascii="Arial" w:eastAsiaTheme="majorEastAsia" w:hAnsi="Arial" w:cs="Arial"/>
        </w:rPr>
        <w:t>Perspectives on Psychological Science</w:t>
      </w:r>
      <w:r w:rsidRPr="005D4BEF">
        <w:rPr>
          <w:rFonts w:ascii="Arial" w:hAnsi="Arial" w:cs="Arial"/>
        </w:rPr>
        <w:t>, 10(2), pp. 227–237.</w:t>
      </w:r>
    </w:p>
    <w:p w14:paraId="628E358E" w14:textId="77777777" w:rsidR="008F200E" w:rsidRPr="005D4BEF" w:rsidRDefault="008F200E" w:rsidP="008F200E">
      <w:pPr>
        <w:pStyle w:val="NormalWeb"/>
        <w:rPr>
          <w:rFonts w:ascii="Arial" w:hAnsi="Arial" w:cs="Arial"/>
        </w:rPr>
      </w:pPr>
      <w:r w:rsidRPr="005D4BEF">
        <w:rPr>
          <w:rFonts w:ascii="Arial" w:hAnsi="Arial" w:cs="Arial"/>
        </w:rPr>
        <w:t xml:space="preserve">Jivraj, S., Nazroo, J. and Barnes, M. (2020) ‘Ethnic inequalities in later life health’, </w:t>
      </w:r>
      <w:r w:rsidRPr="005D4BEF">
        <w:rPr>
          <w:rStyle w:val="Emphasis"/>
          <w:rFonts w:ascii="Arial" w:eastAsiaTheme="majorEastAsia" w:hAnsi="Arial" w:cs="Arial"/>
        </w:rPr>
        <w:t>Ageing &amp; Society</w:t>
      </w:r>
      <w:r w:rsidRPr="005D4BEF">
        <w:rPr>
          <w:rFonts w:ascii="Arial" w:hAnsi="Arial" w:cs="Arial"/>
        </w:rPr>
        <w:t>, 40(4), pp. 879–900.</w:t>
      </w:r>
    </w:p>
    <w:p w14:paraId="04A9766F" w14:textId="77777777" w:rsidR="008F200E" w:rsidRPr="005D4BEF" w:rsidRDefault="008F200E" w:rsidP="008F200E">
      <w:pPr>
        <w:pStyle w:val="NormalWeb"/>
        <w:rPr>
          <w:rFonts w:ascii="Arial" w:hAnsi="Arial" w:cs="Arial"/>
        </w:rPr>
      </w:pPr>
      <w:r w:rsidRPr="005D4BEF">
        <w:rPr>
          <w:rFonts w:ascii="Arial" w:hAnsi="Arial" w:cs="Arial"/>
        </w:rPr>
        <w:lastRenderedPageBreak/>
        <w:t xml:space="preserve">Kingston, A., Robinson, L., Booth, H., Knapp, M. and Jagger, C. (2018) ‘Projections of multi-morbidity in the older population’, </w:t>
      </w:r>
      <w:r w:rsidRPr="005D4BEF">
        <w:rPr>
          <w:rStyle w:val="Emphasis"/>
          <w:rFonts w:ascii="Arial" w:eastAsiaTheme="majorEastAsia" w:hAnsi="Arial" w:cs="Arial"/>
        </w:rPr>
        <w:t>The Lancet Public Health</w:t>
      </w:r>
      <w:r w:rsidRPr="005D4BEF">
        <w:rPr>
          <w:rFonts w:ascii="Arial" w:hAnsi="Arial" w:cs="Arial"/>
        </w:rPr>
        <w:t>, 3(9), pp. e447–e455.</w:t>
      </w:r>
    </w:p>
    <w:p w14:paraId="74313EBD" w14:textId="77777777" w:rsidR="008F200E" w:rsidRPr="005D4BEF" w:rsidRDefault="008F200E" w:rsidP="008F200E">
      <w:pPr>
        <w:pStyle w:val="NormalWeb"/>
        <w:rPr>
          <w:rFonts w:ascii="Arial" w:hAnsi="Arial" w:cs="Arial"/>
        </w:rPr>
      </w:pPr>
      <w:r w:rsidRPr="005D4BEF">
        <w:rPr>
          <w:rFonts w:ascii="Arial" w:hAnsi="Arial" w:cs="Arial"/>
        </w:rPr>
        <w:t xml:space="preserve">Marmot, M. (2020) </w:t>
      </w:r>
      <w:r w:rsidRPr="005D4BEF">
        <w:rPr>
          <w:rStyle w:val="Emphasis"/>
          <w:rFonts w:ascii="Arial" w:eastAsiaTheme="majorEastAsia" w:hAnsi="Arial" w:cs="Arial"/>
        </w:rPr>
        <w:t>Health Equity in England: The Marmot Review 10 Years On</w:t>
      </w:r>
      <w:r w:rsidRPr="005D4BEF">
        <w:rPr>
          <w:rFonts w:ascii="Arial" w:hAnsi="Arial" w:cs="Arial"/>
        </w:rPr>
        <w:t>. London: Institute of Health Equity.</w:t>
      </w:r>
    </w:p>
    <w:p w14:paraId="2040BE44" w14:textId="77777777" w:rsidR="008F200E" w:rsidRPr="005D4BEF" w:rsidRDefault="008F200E" w:rsidP="008F200E">
      <w:pPr>
        <w:pStyle w:val="NormalWeb"/>
        <w:rPr>
          <w:rFonts w:ascii="Arial" w:hAnsi="Arial" w:cs="Arial"/>
        </w:rPr>
      </w:pPr>
      <w:r w:rsidRPr="005D4BEF">
        <w:rPr>
          <w:rFonts w:ascii="Arial" w:hAnsi="Arial" w:cs="Arial"/>
        </w:rPr>
        <w:t xml:space="preserve">Mathur, R., Rentsch, C.T., Morton, C.E. and Hulme, W.J. (2020) ‘Ethnic differences in SARS-CoV-2 infection and COVID-19 outcomes’, </w:t>
      </w:r>
      <w:r w:rsidRPr="005D4BEF">
        <w:rPr>
          <w:rStyle w:val="Emphasis"/>
          <w:rFonts w:ascii="Arial" w:eastAsiaTheme="majorEastAsia" w:hAnsi="Arial" w:cs="Arial"/>
        </w:rPr>
        <w:t>BMJ Open</w:t>
      </w:r>
      <w:r w:rsidRPr="005D4BEF">
        <w:rPr>
          <w:rFonts w:ascii="Arial" w:hAnsi="Arial" w:cs="Arial"/>
        </w:rPr>
        <w:t>, 10(9), pp. 1–10.</w:t>
      </w:r>
    </w:p>
    <w:p w14:paraId="6ECFF5DD" w14:textId="77777777" w:rsidR="008F200E" w:rsidRPr="005D4BEF" w:rsidRDefault="008F200E" w:rsidP="008F200E">
      <w:pPr>
        <w:pStyle w:val="NormalWeb"/>
        <w:rPr>
          <w:rFonts w:ascii="Arial" w:hAnsi="Arial" w:cs="Arial"/>
        </w:rPr>
      </w:pPr>
      <w:r w:rsidRPr="005D4BEF">
        <w:rPr>
          <w:rFonts w:ascii="Arial" w:hAnsi="Arial" w:cs="Arial"/>
        </w:rPr>
        <w:t xml:space="preserve">McMunn, A., Lacey, R. and Worts, D. (2019) ‘Deprivation and healthy ageing’, </w:t>
      </w:r>
      <w:r w:rsidRPr="005D4BEF">
        <w:rPr>
          <w:rStyle w:val="Emphasis"/>
          <w:rFonts w:ascii="Arial" w:eastAsiaTheme="majorEastAsia" w:hAnsi="Arial" w:cs="Arial"/>
        </w:rPr>
        <w:t>Journal of Gerontology</w:t>
      </w:r>
      <w:r w:rsidRPr="005D4BEF">
        <w:rPr>
          <w:rFonts w:ascii="Arial" w:hAnsi="Arial" w:cs="Arial"/>
        </w:rPr>
        <w:t>, 74(8), pp. 1321–1327.</w:t>
      </w:r>
    </w:p>
    <w:p w14:paraId="3B182435" w14:textId="77777777" w:rsidR="008F200E" w:rsidRPr="005D4BEF" w:rsidRDefault="008F200E" w:rsidP="008F200E">
      <w:pPr>
        <w:pStyle w:val="NormalWeb"/>
        <w:rPr>
          <w:rFonts w:ascii="Arial" w:hAnsi="Arial" w:cs="Arial"/>
        </w:rPr>
      </w:pPr>
      <w:r w:rsidRPr="005D4BEF">
        <w:rPr>
          <w:rFonts w:ascii="Arial" w:hAnsi="Arial" w:cs="Arial"/>
        </w:rPr>
        <w:t xml:space="preserve">Nazroo, J.Y. (2017) ‘Addressing inequalities in health’, </w:t>
      </w:r>
      <w:r w:rsidRPr="005D4BEF">
        <w:rPr>
          <w:rStyle w:val="Emphasis"/>
          <w:rFonts w:ascii="Arial" w:eastAsiaTheme="majorEastAsia" w:hAnsi="Arial" w:cs="Arial"/>
        </w:rPr>
        <w:t>Ethnicity &amp; Health</w:t>
      </w:r>
      <w:r w:rsidRPr="005D4BEF">
        <w:rPr>
          <w:rFonts w:ascii="Arial" w:hAnsi="Arial" w:cs="Arial"/>
        </w:rPr>
        <w:t>, 22(2), pp. 105–112.</w:t>
      </w:r>
    </w:p>
    <w:p w14:paraId="2831E816" w14:textId="6F62D4ED" w:rsidR="008F200E" w:rsidRPr="005D4BEF" w:rsidRDefault="008F200E" w:rsidP="008F200E">
      <w:pPr>
        <w:pStyle w:val="NormalWeb"/>
        <w:rPr>
          <w:rFonts w:ascii="Arial" w:hAnsi="Arial" w:cs="Arial"/>
        </w:rPr>
      </w:pPr>
      <w:r w:rsidRPr="005D4BEF">
        <w:rPr>
          <w:rFonts w:ascii="Arial" w:hAnsi="Arial" w:cs="Arial"/>
        </w:rPr>
        <w:t xml:space="preserve">Office for National Statistics (2021) </w:t>
      </w:r>
      <w:r w:rsidRPr="005D4BEF">
        <w:rPr>
          <w:rStyle w:val="Emphasis"/>
          <w:rFonts w:ascii="Arial" w:eastAsiaTheme="majorEastAsia" w:hAnsi="Arial" w:cs="Arial"/>
        </w:rPr>
        <w:t>Health state life expectancies, UK</w:t>
      </w:r>
      <w:r w:rsidRPr="005D4BEF">
        <w:rPr>
          <w:rFonts w:ascii="Arial" w:hAnsi="Arial" w:cs="Arial"/>
        </w:rPr>
        <w:t xml:space="preserve">. Available at: </w:t>
      </w:r>
      <w:hyperlink r:id="rId9" w:tgtFrame="_new" w:history="1">
        <w:r w:rsidRPr="005D4BEF">
          <w:rPr>
            <w:rStyle w:val="Hyperlink"/>
            <w:rFonts w:ascii="Arial" w:eastAsiaTheme="majorEastAsia" w:hAnsi="Arial" w:cs="Arial"/>
          </w:rPr>
          <w:t>https://www.ons.gov.uk</w:t>
        </w:r>
      </w:hyperlink>
      <w:r w:rsidRPr="005D4BEF">
        <w:rPr>
          <w:rFonts w:ascii="Arial" w:hAnsi="Arial" w:cs="Arial"/>
        </w:rPr>
        <w:t xml:space="preserve"> (Accessed: </w:t>
      </w:r>
      <w:r>
        <w:rPr>
          <w:rFonts w:ascii="Arial" w:hAnsi="Arial" w:cs="Arial"/>
        </w:rPr>
        <w:t>1</w:t>
      </w:r>
      <w:r w:rsidRPr="005D4BEF">
        <w:rPr>
          <w:rFonts w:ascii="Arial" w:hAnsi="Arial" w:cs="Arial"/>
        </w:rPr>
        <w:t>0 April 2026).</w:t>
      </w:r>
    </w:p>
    <w:p w14:paraId="1DA15DE0" w14:textId="77777777" w:rsidR="008F200E" w:rsidRPr="005D4BEF" w:rsidRDefault="008F200E" w:rsidP="008F200E">
      <w:pPr>
        <w:pStyle w:val="NormalWeb"/>
        <w:rPr>
          <w:rFonts w:ascii="Arial" w:hAnsi="Arial" w:cs="Arial"/>
        </w:rPr>
      </w:pPr>
      <w:r w:rsidRPr="005D4BEF">
        <w:rPr>
          <w:rFonts w:ascii="Arial" w:hAnsi="Arial" w:cs="Arial"/>
        </w:rPr>
        <w:t xml:space="preserve">Pearce, N. (2016) ‘The rise and rise of epidemiology’, </w:t>
      </w:r>
      <w:r w:rsidRPr="005D4BEF">
        <w:rPr>
          <w:rStyle w:val="Emphasis"/>
          <w:rFonts w:ascii="Arial" w:eastAsiaTheme="majorEastAsia" w:hAnsi="Arial" w:cs="Arial"/>
        </w:rPr>
        <w:t>International Journal of Epidemiology</w:t>
      </w:r>
      <w:r w:rsidRPr="005D4BEF">
        <w:rPr>
          <w:rFonts w:ascii="Arial" w:hAnsi="Arial" w:cs="Arial"/>
        </w:rPr>
        <w:t>, 45(4), pp. 1137–1139.</w:t>
      </w:r>
    </w:p>
    <w:p w14:paraId="529B1199" w14:textId="77777777" w:rsidR="008F200E" w:rsidRPr="005D4BEF" w:rsidRDefault="008F200E" w:rsidP="008F200E">
      <w:pPr>
        <w:pStyle w:val="NormalWeb"/>
        <w:rPr>
          <w:rFonts w:ascii="Arial" w:hAnsi="Arial" w:cs="Arial"/>
        </w:rPr>
      </w:pPr>
      <w:r w:rsidRPr="005D4BEF">
        <w:rPr>
          <w:rFonts w:ascii="Arial" w:hAnsi="Arial" w:cs="Arial"/>
        </w:rPr>
        <w:t xml:space="preserve">Public Health England (2018) </w:t>
      </w:r>
      <w:r w:rsidRPr="005D4BEF">
        <w:rPr>
          <w:rStyle w:val="Emphasis"/>
          <w:rFonts w:ascii="Arial" w:eastAsiaTheme="majorEastAsia" w:hAnsi="Arial" w:cs="Arial"/>
        </w:rPr>
        <w:t>Health Profile for England</w:t>
      </w:r>
      <w:r w:rsidRPr="005D4BEF">
        <w:rPr>
          <w:rFonts w:ascii="Arial" w:hAnsi="Arial" w:cs="Arial"/>
        </w:rPr>
        <w:t>. London: PHE.</w:t>
      </w:r>
    </w:p>
    <w:p w14:paraId="21FEEF67" w14:textId="77777777" w:rsidR="008F200E" w:rsidRPr="005D4BEF" w:rsidRDefault="008F200E" w:rsidP="008F200E">
      <w:pPr>
        <w:pStyle w:val="NormalWeb"/>
        <w:rPr>
          <w:rFonts w:ascii="Arial" w:hAnsi="Arial" w:cs="Arial"/>
        </w:rPr>
      </w:pPr>
      <w:r w:rsidRPr="005D4BEF">
        <w:rPr>
          <w:rFonts w:ascii="Arial" w:hAnsi="Arial" w:cs="Arial"/>
        </w:rPr>
        <w:t xml:space="preserve">Public Health England (2019) </w:t>
      </w:r>
      <w:r w:rsidRPr="005D4BEF">
        <w:rPr>
          <w:rStyle w:val="Emphasis"/>
          <w:rFonts w:ascii="Arial" w:eastAsiaTheme="majorEastAsia" w:hAnsi="Arial" w:cs="Arial"/>
        </w:rPr>
        <w:t>Health inequalities: place-based approaches</w:t>
      </w:r>
      <w:r w:rsidRPr="005D4BEF">
        <w:rPr>
          <w:rFonts w:ascii="Arial" w:hAnsi="Arial" w:cs="Arial"/>
        </w:rPr>
        <w:t>. London: PHE.</w:t>
      </w:r>
    </w:p>
    <w:p w14:paraId="4C330D92" w14:textId="77777777" w:rsidR="008F200E" w:rsidRPr="005D4BEF" w:rsidRDefault="008F200E" w:rsidP="008F200E">
      <w:pPr>
        <w:pStyle w:val="NormalWeb"/>
        <w:rPr>
          <w:rFonts w:ascii="Arial" w:hAnsi="Arial" w:cs="Arial"/>
        </w:rPr>
      </w:pPr>
      <w:r w:rsidRPr="005D4BEF">
        <w:rPr>
          <w:rFonts w:ascii="Arial" w:hAnsi="Arial" w:cs="Arial"/>
        </w:rPr>
        <w:t xml:space="preserve">Public Health England (2020) </w:t>
      </w:r>
      <w:r w:rsidRPr="005D4BEF">
        <w:rPr>
          <w:rStyle w:val="Emphasis"/>
          <w:rFonts w:ascii="Arial" w:eastAsiaTheme="majorEastAsia" w:hAnsi="Arial" w:cs="Arial"/>
        </w:rPr>
        <w:t>Every Mind Matters</w:t>
      </w:r>
      <w:r w:rsidRPr="005D4BEF">
        <w:rPr>
          <w:rFonts w:ascii="Arial" w:hAnsi="Arial" w:cs="Arial"/>
        </w:rPr>
        <w:t>. London: PHE.</w:t>
      </w:r>
    </w:p>
    <w:p w14:paraId="5D9C7AFF" w14:textId="77777777" w:rsidR="008F200E" w:rsidRPr="005D4BEF" w:rsidRDefault="008F200E" w:rsidP="008F200E">
      <w:pPr>
        <w:pStyle w:val="NormalWeb"/>
        <w:rPr>
          <w:rFonts w:ascii="Arial" w:hAnsi="Arial" w:cs="Arial"/>
        </w:rPr>
      </w:pPr>
      <w:r w:rsidRPr="005D4BEF">
        <w:rPr>
          <w:rFonts w:ascii="Arial" w:hAnsi="Arial" w:cs="Arial"/>
        </w:rPr>
        <w:t xml:space="preserve">Raleigh, V. and Holmes, J. (2021) </w:t>
      </w:r>
      <w:r w:rsidRPr="005D4BEF">
        <w:rPr>
          <w:rStyle w:val="Emphasis"/>
          <w:rFonts w:ascii="Arial" w:eastAsiaTheme="majorEastAsia" w:hAnsi="Arial" w:cs="Arial"/>
        </w:rPr>
        <w:t>The health of people from ethnic minority groups in England</w:t>
      </w:r>
      <w:r w:rsidRPr="005D4BEF">
        <w:rPr>
          <w:rFonts w:ascii="Arial" w:hAnsi="Arial" w:cs="Arial"/>
        </w:rPr>
        <w:t>. London: The King’s Fund.</w:t>
      </w:r>
    </w:p>
    <w:p w14:paraId="57276420" w14:textId="77777777" w:rsidR="008F200E" w:rsidRPr="005D4BEF" w:rsidRDefault="008F200E" w:rsidP="008F200E">
      <w:pPr>
        <w:pStyle w:val="NormalWeb"/>
        <w:rPr>
          <w:rFonts w:ascii="Arial" w:hAnsi="Arial" w:cs="Arial"/>
        </w:rPr>
      </w:pPr>
      <w:r w:rsidRPr="005D4BEF">
        <w:rPr>
          <w:rFonts w:ascii="Arial" w:hAnsi="Arial" w:cs="Arial"/>
        </w:rPr>
        <w:t xml:space="preserve">Rawshani, A., Rawshani, A., Franzén, S., Sattar, N. and Eliasson, B. (2018) ‘Mortality and cardiovascular disease in type 2 diabetes’, </w:t>
      </w:r>
      <w:r w:rsidRPr="005D4BEF">
        <w:rPr>
          <w:rStyle w:val="Emphasis"/>
          <w:rFonts w:ascii="Arial" w:eastAsiaTheme="majorEastAsia" w:hAnsi="Arial" w:cs="Arial"/>
        </w:rPr>
        <w:t>New England Journal of Medicine</w:t>
      </w:r>
      <w:r w:rsidRPr="005D4BEF">
        <w:rPr>
          <w:rFonts w:ascii="Arial" w:hAnsi="Arial" w:cs="Arial"/>
        </w:rPr>
        <w:t>, 379(7), pp. 633–644.</w:t>
      </w:r>
    </w:p>
    <w:p w14:paraId="1D38F126" w14:textId="77777777" w:rsidR="008F200E" w:rsidRPr="005D4BEF" w:rsidRDefault="008F200E" w:rsidP="008F200E">
      <w:pPr>
        <w:pStyle w:val="NormalWeb"/>
        <w:rPr>
          <w:rFonts w:ascii="Arial" w:hAnsi="Arial" w:cs="Arial"/>
        </w:rPr>
      </w:pPr>
      <w:r w:rsidRPr="005D4BEF">
        <w:rPr>
          <w:rFonts w:ascii="Arial" w:hAnsi="Arial" w:cs="Arial"/>
        </w:rPr>
        <w:t xml:space="preserve">Smith, G.D. (2016) ‘Epidemiology, epigenetics and the “Gloomy Prospect”’, </w:t>
      </w:r>
      <w:r w:rsidRPr="005D4BEF">
        <w:rPr>
          <w:rStyle w:val="Emphasis"/>
          <w:rFonts w:ascii="Arial" w:eastAsiaTheme="majorEastAsia" w:hAnsi="Arial" w:cs="Arial"/>
        </w:rPr>
        <w:t>International Journal of Epidemiology</w:t>
      </w:r>
      <w:r w:rsidRPr="005D4BEF">
        <w:rPr>
          <w:rFonts w:ascii="Arial" w:hAnsi="Arial" w:cs="Arial"/>
        </w:rPr>
        <w:t>, 45(1), pp. 17–23.</w:t>
      </w:r>
    </w:p>
    <w:p w14:paraId="2C880A42" w14:textId="77777777" w:rsidR="008F200E" w:rsidRPr="005D4BEF" w:rsidRDefault="008F200E" w:rsidP="008F200E">
      <w:pPr>
        <w:pStyle w:val="NormalWeb"/>
        <w:rPr>
          <w:rFonts w:ascii="Arial" w:hAnsi="Arial" w:cs="Arial"/>
        </w:rPr>
      </w:pPr>
      <w:r w:rsidRPr="005D4BEF">
        <w:rPr>
          <w:rFonts w:ascii="Arial" w:hAnsi="Arial" w:cs="Arial"/>
        </w:rPr>
        <w:t xml:space="preserve">Stringhini, S., Carmeli, C., Jokela, M., Avendaño, M. and McCrory, C. (2017) ‘Socioeconomic status and the 25 × 25 risk factors’, </w:t>
      </w:r>
      <w:r w:rsidRPr="005D4BEF">
        <w:rPr>
          <w:rStyle w:val="Emphasis"/>
          <w:rFonts w:ascii="Arial" w:eastAsiaTheme="majorEastAsia" w:hAnsi="Arial" w:cs="Arial"/>
        </w:rPr>
        <w:t>The Lancet</w:t>
      </w:r>
      <w:r w:rsidRPr="005D4BEF">
        <w:rPr>
          <w:rFonts w:ascii="Arial" w:hAnsi="Arial" w:cs="Arial"/>
        </w:rPr>
        <w:t>, 389(10075), pp. 1229–1237.</w:t>
      </w:r>
    </w:p>
    <w:p w14:paraId="79FE5C71" w14:textId="77777777" w:rsidR="008F200E" w:rsidRPr="005D4BEF" w:rsidRDefault="008F200E" w:rsidP="008F200E">
      <w:pPr>
        <w:pStyle w:val="NormalWeb"/>
        <w:rPr>
          <w:rFonts w:ascii="Arial" w:hAnsi="Arial" w:cs="Arial"/>
        </w:rPr>
      </w:pPr>
      <w:r w:rsidRPr="005D4BEF">
        <w:rPr>
          <w:rFonts w:ascii="Arial" w:hAnsi="Arial" w:cs="Arial"/>
        </w:rPr>
        <w:t xml:space="preserve">Valabhji, J., Barron, E., Bradley, D. and Bakhai, C. (2021) ‘Early outcomes from the NHS Diabetes Prevention Programme’, </w:t>
      </w:r>
      <w:r w:rsidRPr="005D4BEF">
        <w:rPr>
          <w:rStyle w:val="Emphasis"/>
          <w:rFonts w:ascii="Arial" w:eastAsiaTheme="majorEastAsia" w:hAnsi="Arial" w:cs="Arial"/>
        </w:rPr>
        <w:t>Diabetic Medicine</w:t>
      </w:r>
      <w:r w:rsidRPr="005D4BEF">
        <w:rPr>
          <w:rFonts w:ascii="Arial" w:hAnsi="Arial" w:cs="Arial"/>
        </w:rPr>
        <w:t>, 38(1), pp. 1–8.</w:t>
      </w:r>
    </w:p>
    <w:p w14:paraId="2E2D4C6B" w14:textId="77777777" w:rsidR="008F200E" w:rsidRPr="005D4BEF" w:rsidRDefault="008F200E" w:rsidP="008F200E">
      <w:pPr>
        <w:pStyle w:val="NormalWeb"/>
        <w:rPr>
          <w:rFonts w:ascii="Arial" w:hAnsi="Arial" w:cs="Arial"/>
        </w:rPr>
      </w:pPr>
      <w:r w:rsidRPr="005D4BEF">
        <w:rPr>
          <w:rFonts w:ascii="Arial" w:hAnsi="Arial" w:cs="Arial"/>
        </w:rPr>
        <w:t xml:space="preserve">Williams, D.R., Lawrence, J.A. and Davis, B.A. (2019) ‘Racism and health’, </w:t>
      </w:r>
      <w:r w:rsidRPr="005D4BEF">
        <w:rPr>
          <w:rStyle w:val="Emphasis"/>
          <w:rFonts w:ascii="Arial" w:eastAsiaTheme="majorEastAsia" w:hAnsi="Arial" w:cs="Arial"/>
        </w:rPr>
        <w:t>Annual Review of Public Health</w:t>
      </w:r>
      <w:r w:rsidRPr="005D4BEF">
        <w:rPr>
          <w:rFonts w:ascii="Arial" w:hAnsi="Arial" w:cs="Arial"/>
        </w:rPr>
        <w:t>, 40, pp. 105–125.</w:t>
      </w:r>
    </w:p>
    <w:p w14:paraId="1AD977F8" w14:textId="77777777" w:rsidR="008F200E" w:rsidRPr="005D4BEF" w:rsidRDefault="008F200E" w:rsidP="008F200E">
      <w:pPr>
        <w:pStyle w:val="NormalWeb"/>
        <w:rPr>
          <w:rFonts w:ascii="Arial" w:hAnsi="Arial" w:cs="Arial"/>
        </w:rPr>
      </w:pPr>
      <w:r w:rsidRPr="005D4BEF">
        <w:rPr>
          <w:rFonts w:ascii="Arial" w:hAnsi="Arial" w:cs="Arial"/>
        </w:rPr>
        <w:t xml:space="preserve">World Health Organization (2021) </w:t>
      </w:r>
      <w:r w:rsidRPr="005D4BEF">
        <w:rPr>
          <w:rStyle w:val="Emphasis"/>
          <w:rFonts w:ascii="Arial" w:eastAsiaTheme="majorEastAsia" w:hAnsi="Arial" w:cs="Arial"/>
        </w:rPr>
        <w:t>Global report on diabetes</w:t>
      </w:r>
      <w:r w:rsidRPr="005D4BEF">
        <w:rPr>
          <w:rFonts w:ascii="Arial" w:hAnsi="Arial" w:cs="Arial"/>
        </w:rPr>
        <w:t>. Geneva: WHO.</w:t>
      </w:r>
    </w:p>
    <w:p w14:paraId="23DC296E" w14:textId="77777777" w:rsidR="008F200E" w:rsidRPr="005D4BEF" w:rsidRDefault="008F200E" w:rsidP="008F200E">
      <w:pPr>
        <w:pStyle w:val="NormalWeb"/>
        <w:rPr>
          <w:rFonts w:ascii="Arial" w:hAnsi="Arial" w:cs="Arial"/>
        </w:rPr>
      </w:pPr>
      <w:r w:rsidRPr="005D4BEF">
        <w:rPr>
          <w:rFonts w:ascii="Arial" w:hAnsi="Arial" w:cs="Arial"/>
        </w:rPr>
        <w:t xml:space="preserve">Zaninotto, P., Batty, G.D., Allerhand, M. and Deary, I.J. (2020) ‘Cognitive function trajectories and health inequalities’, </w:t>
      </w:r>
      <w:r w:rsidRPr="005D4BEF">
        <w:rPr>
          <w:rStyle w:val="Emphasis"/>
          <w:rFonts w:ascii="Arial" w:eastAsiaTheme="majorEastAsia" w:hAnsi="Arial" w:cs="Arial"/>
        </w:rPr>
        <w:t>The Lancet Public Health</w:t>
      </w:r>
      <w:r w:rsidRPr="005D4BEF">
        <w:rPr>
          <w:rFonts w:ascii="Arial" w:hAnsi="Arial" w:cs="Arial"/>
        </w:rPr>
        <w:t>, 5(2), pp. e100–e108.</w:t>
      </w:r>
    </w:p>
    <w:p w14:paraId="502E2D9D" w14:textId="27EEAE0A" w:rsidR="008F200E" w:rsidRPr="005D4BEF" w:rsidRDefault="008F200E" w:rsidP="008F200E">
      <w:pPr>
        <w:pStyle w:val="NormalWeb"/>
        <w:rPr>
          <w:rFonts w:ascii="Arial" w:hAnsi="Arial" w:cs="Arial"/>
        </w:rPr>
      </w:pPr>
      <w:r w:rsidRPr="005D4BEF">
        <w:rPr>
          <w:rFonts w:ascii="Arial" w:hAnsi="Arial" w:cs="Arial"/>
        </w:rPr>
        <w:t xml:space="preserve">NHS Digital (2026) </w:t>
      </w:r>
      <w:r w:rsidRPr="005D4BEF">
        <w:rPr>
          <w:rStyle w:val="Emphasis"/>
          <w:rFonts w:ascii="Arial" w:eastAsiaTheme="majorEastAsia" w:hAnsi="Arial" w:cs="Arial"/>
        </w:rPr>
        <w:t>Health Survey for England 2024</w:t>
      </w:r>
      <w:r w:rsidRPr="005D4BEF">
        <w:rPr>
          <w:rFonts w:ascii="Arial" w:hAnsi="Arial" w:cs="Arial"/>
        </w:rPr>
        <w:t xml:space="preserve">. Available at: </w:t>
      </w:r>
      <w:hyperlink r:id="rId10" w:tgtFrame="_new" w:history="1">
        <w:r w:rsidRPr="005D4BEF">
          <w:rPr>
            <w:rStyle w:val="Hyperlink"/>
            <w:rFonts w:ascii="Arial" w:eastAsiaTheme="majorEastAsia" w:hAnsi="Arial" w:cs="Arial"/>
          </w:rPr>
          <w:t>https://digital.nhs.uk</w:t>
        </w:r>
      </w:hyperlink>
      <w:r w:rsidRPr="005D4BEF">
        <w:rPr>
          <w:rFonts w:ascii="Arial" w:hAnsi="Arial" w:cs="Arial"/>
        </w:rPr>
        <w:t xml:space="preserve"> (Accessed: </w:t>
      </w:r>
      <w:r>
        <w:rPr>
          <w:rFonts w:ascii="Arial" w:hAnsi="Arial" w:cs="Arial"/>
        </w:rPr>
        <w:t>20</w:t>
      </w:r>
      <w:r w:rsidRPr="005D4BEF">
        <w:rPr>
          <w:rFonts w:ascii="Arial" w:hAnsi="Arial" w:cs="Arial"/>
        </w:rPr>
        <w:t xml:space="preserve"> </w:t>
      </w:r>
      <w:r>
        <w:rPr>
          <w:rFonts w:ascii="Arial" w:hAnsi="Arial" w:cs="Arial"/>
        </w:rPr>
        <w:t>March</w:t>
      </w:r>
      <w:r w:rsidRPr="005D4BEF">
        <w:rPr>
          <w:rFonts w:ascii="Arial" w:hAnsi="Arial" w:cs="Arial"/>
        </w:rPr>
        <w:t xml:space="preserve"> 2026).</w:t>
      </w:r>
    </w:p>
    <w:p w14:paraId="1698B2E9" w14:textId="77777777" w:rsidR="008F200E" w:rsidRPr="005D4BEF" w:rsidRDefault="008F200E" w:rsidP="008F200E">
      <w:pPr>
        <w:tabs>
          <w:tab w:val="left" w:pos="2010"/>
        </w:tabs>
        <w:rPr>
          <w:rFonts w:ascii="Arial" w:hAnsi="Arial" w:cs="Arial"/>
          <w:sz w:val="24"/>
          <w:szCs w:val="24"/>
        </w:rPr>
      </w:pPr>
    </w:p>
    <w:p w14:paraId="7B144412" w14:textId="77777777" w:rsidR="008F200E" w:rsidRDefault="008F200E" w:rsidP="008F200E"/>
    <w:p w14:paraId="3A1B3B3D" w14:textId="77777777" w:rsidR="008F200E" w:rsidRPr="00562B66" w:rsidRDefault="008F200E" w:rsidP="00562B66">
      <w:pPr>
        <w:pStyle w:val="NoSpacing"/>
        <w:spacing w:line="360" w:lineRule="auto"/>
        <w:jc w:val="both"/>
        <w:rPr>
          <w:rFonts w:ascii="Arial" w:hAnsi="Arial" w:cs="Arial"/>
          <w:sz w:val="24"/>
          <w:szCs w:val="24"/>
          <w:lang w:eastAsia="en-GB"/>
        </w:rPr>
      </w:pPr>
    </w:p>
    <w:sectPr w:rsidR="008F200E" w:rsidRPr="00562B66" w:rsidSect="008477A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BA4"/>
    <w:multiLevelType w:val="multilevel"/>
    <w:tmpl w:val="D4B00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33881"/>
    <w:multiLevelType w:val="multilevel"/>
    <w:tmpl w:val="EE66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D7429A"/>
    <w:multiLevelType w:val="hybridMultilevel"/>
    <w:tmpl w:val="BC4421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9C3E92"/>
    <w:multiLevelType w:val="hybridMultilevel"/>
    <w:tmpl w:val="694028C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C37E2"/>
    <w:multiLevelType w:val="multilevel"/>
    <w:tmpl w:val="0DA6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2722B3"/>
    <w:multiLevelType w:val="multilevel"/>
    <w:tmpl w:val="D9D6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81656A"/>
    <w:multiLevelType w:val="multilevel"/>
    <w:tmpl w:val="C8F87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106EE7"/>
    <w:multiLevelType w:val="multilevel"/>
    <w:tmpl w:val="D96A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5203E95"/>
    <w:multiLevelType w:val="multilevel"/>
    <w:tmpl w:val="5580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1F42AD"/>
    <w:multiLevelType w:val="multilevel"/>
    <w:tmpl w:val="54D02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6250AC"/>
    <w:multiLevelType w:val="hybridMultilevel"/>
    <w:tmpl w:val="437EBF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687F27"/>
    <w:multiLevelType w:val="hybridMultilevel"/>
    <w:tmpl w:val="968E52D4"/>
    <w:lvl w:ilvl="0" w:tplc="2CF07B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A0D4D7D"/>
    <w:multiLevelType w:val="hybridMultilevel"/>
    <w:tmpl w:val="12C46AE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B307293"/>
    <w:multiLevelType w:val="multilevel"/>
    <w:tmpl w:val="5FEC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A3731D"/>
    <w:multiLevelType w:val="hybridMultilevel"/>
    <w:tmpl w:val="0322A1C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E3C348B"/>
    <w:multiLevelType w:val="multilevel"/>
    <w:tmpl w:val="EBCA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CE4908"/>
    <w:multiLevelType w:val="multilevel"/>
    <w:tmpl w:val="F1E4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1D0599"/>
    <w:multiLevelType w:val="multilevel"/>
    <w:tmpl w:val="B756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773DFB"/>
    <w:multiLevelType w:val="multilevel"/>
    <w:tmpl w:val="2EDE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7F5067"/>
    <w:multiLevelType w:val="hybridMultilevel"/>
    <w:tmpl w:val="2A7C37C6"/>
    <w:lvl w:ilvl="0" w:tplc="0809000B">
      <w:start w:val="1"/>
      <w:numFmt w:val="bullet"/>
      <w:lvlText w:val=""/>
      <w:lvlJc w:val="left"/>
      <w:pPr>
        <w:ind w:left="720" w:hanging="360"/>
      </w:pPr>
      <w:rPr>
        <w:rFonts w:ascii="Wingdings" w:hAnsi="Wingdings" w:hint="default"/>
      </w:rPr>
    </w:lvl>
    <w:lvl w:ilvl="1" w:tplc="32EE294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DF3221"/>
    <w:multiLevelType w:val="multilevel"/>
    <w:tmpl w:val="BB14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5642DE"/>
    <w:multiLevelType w:val="multilevel"/>
    <w:tmpl w:val="E5F80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6469E1"/>
    <w:multiLevelType w:val="hybridMultilevel"/>
    <w:tmpl w:val="448E66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5E74B68"/>
    <w:multiLevelType w:val="multilevel"/>
    <w:tmpl w:val="183E7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60633D"/>
    <w:multiLevelType w:val="hybridMultilevel"/>
    <w:tmpl w:val="CE54E964"/>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27F63519"/>
    <w:multiLevelType w:val="multilevel"/>
    <w:tmpl w:val="69EC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9B95149"/>
    <w:multiLevelType w:val="multilevel"/>
    <w:tmpl w:val="36E2F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5E2503"/>
    <w:multiLevelType w:val="hybridMultilevel"/>
    <w:tmpl w:val="B40CDFE0"/>
    <w:lvl w:ilvl="0" w:tplc="E0D85AA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B0D4664"/>
    <w:multiLevelType w:val="multilevel"/>
    <w:tmpl w:val="4DB0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D521AE"/>
    <w:multiLevelType w:val="hybridMultilevel"/>
    <w:tmpl w:val="A8BA77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DF25181"/>
    <w:multiLevelType w:val="multilevel"/>
    <w:tmpl w:val="F5BE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5543C4"/>
    <w:multiLevelType w:val="multilevel"/>
    <w:tmpl w:val="DDF4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A34C78"/>
    <w:multiLevelType w:val="multilevel"/>
    <w:tmpl w:val="C6428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4BF30F5"/>
    <w:multiLevelType w:val="multilevel"/>
    <w:tmpl w:val="CB30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2355AA"/>
    <w:multiLevelType w:val="multilevel"/>
    <w:tmpl w:val="20CEC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4D1FBA"/>
    <w:multiLevelType w:val="multilevel"/>
    <w:tmpl w:val="C4B84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3309D6"/>
    <w:multiLevelType w:val="multilevel"/>
    <w:tmpl w:val="1A2A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630032"/>
    <w:multiLevelType w:val="multilevel"/>
    <w:tmpl w:val="6874A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CCF11D6"/>
    <w:multiLevelType w:val="multilevel"/>
    <w:tmpl w:val="E0A6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4D75CB"/>
    <w:multiLevelType w:val="multilevel"/>
    <w:tmpl w:val="9A2043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4A079D6"/>
    <w:multiLevelType w:val="multilevel"/>
    <w:tmpl w:val="A9F6D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841427"/>
    <w:multiLevelType w:val="multilevel"/>
    <w:tmpl w:val="C6BA4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8122435"/>
    <w:multiLevelType w:val="multilevel"/>
    <w:tmpl w:val="8C86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9B388F"/>
    <w:multiLevelType w:val="hybridMultilevel"/>
    <w:tmpl w:val="D8CED2B8"/>
    <w:lvl w:ilvl="0" w:tplc="D286F2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9E173AC"/>
    <w:multiLevelType w:val="multilevel"/>
    <w:tmpl w:val="B700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A432610"/>
    <w:multiLevelType w:val="multilevel"/>
    <w:tmpl w:val="DF70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B2926D3"/>
    <w:multiLevelType w:val="hybridMultilevel"/>
    <w:tmpl w:val="43441E7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EFF61FB"/>
    <w:multiLevelType w:val="hybridMultilevel"/>
    <w:tmpl w:val="423E9FD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F97171D"/>
    <w:multiLevelType w:val="multilevel"/>
    <w:tmpl w:val="C6A07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0D8399F"/>
    <w:multiLevelType w:val="hybridMultilevel"/>
    <w:tmpl w:val="9050B8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21E7E26"/>
    <w:multiLevelType w:val="multilevel"/>
    <w:tmpl w:val="8496F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3A9512B"/>
    <w:multiLevelType w:val="hybridMultilevel"/>
    <w:tmpl w:val="353A592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3D6133D"/>
    <w:multiLevelType w:val="multilevel"/>
    <w:tmpl w:val="97FA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5E62306"/>
    <w:multiLevelType w:val="multilevel"/>
    <w:tmpl w:val="919A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C1969A3"/>
    <w:multiLevelType w:val="hybridMultilevel"/>
    <w:tmpl w:val="C58E65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E871CF6"/>
    <w:multiLevelType w:val="hybridMultilevel"/>
    <w:tmpl w:val="D4C655D2"/>
    <w:lvl w:ilvl="0" w:tplc="B848495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ED14170"/>
    <w:multiLevelType w:val="hybridMultilevel"/>
    <w:tmpl w:val="FD9005E2"/>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7" w15:restartNumberingAfterBreak="0">
    <w:nsid w:val="623B342A"/>
    <w:multiLevelType w:val="hybridMultilevel"/>
    <w:tmpl w:val="EE1063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7544E3F"/>
    <w:multiLevelType w:val="multilevel"/>
    <w:tmpl w:val="33DA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7DE0C44"/>
    <w:multiLevelType w:val="multilevel"/>
    <w:tmpl w:val="D9CE5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A592697"/>
    <w:multiLevelType w:val="multilevel"/>
    <w:tmpl w:val="63D6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7D1B16"/>
    <w:multiLevelType w:val="multilevel"/>
    <w:tmpl w:val="B738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C4E4503"/>
    <w:multiLevelType w:val="multilevel"/>
    <w:tmpl w:val="7EC2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C84416C"/>
    <w:multiLevelType w:val="multilevel"/>
    <w:tmpl w:val="3D984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3560503"/>
    <w:multiLevelType w:val="hybridMultilevel"/>
    <w:tmpl w:val="CE80BC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4843C28"/>
    <w:multiLevelType w:val="multilevel"/>
    <w:tmpl w:val="0A2C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BAD5E78"/>
    <w:multiLevelType w:val="multilevel"/>
    <w:tmpl w:val="C48A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EC5436"/>
    <w:multiLevelType w:val="hybridMultilevel"/>
    <w:tmpl w:val="C8C4BEA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8" w15:restartNumberingAfterBreak="0">
    <w:nsid w:val="7E6D6A6F"/>
    <w:multiLevelType w:val="multilevel"/>
    <w:tmpl w:val="EF006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EF140A8"/>
    <w:multiLevelType w:val="multilevel"/>
    <w:tmpl w:val="7B1E9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FAA7792"/>
    <w:multiLevelType w:val="multilevel"/>
    <w:tmpl w:val="C0644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038581">
    <w:abstractNumId w:val="59"/>
  </w:num>
  <w:num w:numId="2" w16cid:durableId="237591180">
    <w:abstractNumId w:val="5"/>
  </w:num>
  <w:num w:numId="3" w16cid:durableId="2060350105">
    <w:abstractNumId w:val="6"/>
  </w:num>
  <w:num w:numId="4" w16cid:durableId="1384938427">
    <w:abstractNumId w:val="31"/>
  </w:num>
  <w:num w:numId="5" w16cid:durableId="754322141">
    <w:abstractNumId w:val="15"/>
  </w:num>
  <w:num w:numId="6" w16cid:durableId="1946570799">
    <w:abstractNumId w:val="61"/>
  </w:num>
  <w:num w:numId="7" w16cid:durableId="1791585850">
    <w:abstractNumId w:val="48"/>
  </w:num>
  <w:num w:numId="8" w16cid:durableId="261306082">
    <w:abstractNumId w:val="69"/>
  </w:num>
  <w:num w:numId="9" w16cid:durableId="1550074038">
    <w:abstractNumId w:val="34"/>
  </w:num>
  <w:num w:numId="10" w16cid:durableId="1776558952">
    <w:abstractNumId w:val="50"/>
  </w:num>
  <w:num w:numId="11" w16cid:durableId="282926156">
    <w:abstractNumId w:val="70"/>
  </w:num>
  <w:num w:numId="12" w16cid:durableId="1754164743">
    <w:abstractNumId w:val="44"/>
  </w:num>
  <w:num w:numId="13" w16cid:durableId="445346661">
    <w:abstractNumId w:val="39"/>
  </w:num>
  <w:num w:numId="14" w16cid:durableId="309292832">
    <w:abstractNumId w:val="26"/>
  </w:num>
  <w:num w:numId="15" w16cid:durableId="1784491484">
    <w:abstractNumId w:val="62"/>
  </w:num>
  <w:num w:numId="16" w16cid:durableId="1225684243">
    <w:abstractNumId w:val="13"/>
  </w:num>
  <w:num w:numId="17" w16cid:durableId="1003166566">
    <w:abstractNumId w:val="21"/>
  </w:num>
  <w:num w:numId="18" w16cid:durableId="1127433053">
    <w:abstractNumId w:val="40"/>
  </w:num>
  <w:num w:numId="19" w16cid:durableId="14616511">
    <w:abstractNumId w:val="16"/>
  </w:num>
  <w:num w:numId="20" w16cid:durableId="166755102">
    <w:abstractNumId w:val="42"/>
  </w:num>
  <w:num w:numId="21" w16cid:durableId="805976162">
    <w:abstractNumId w:val="65"/>
  </w:num>
  <w:num w:numId="22" w16cid:durableId="960266026">
    <w:abstractNumId w:val="36"/>
  </w:num>
  <w:num w:numId="23" w16cid:durableId="1636373701">
    <w:abstractNumId w:val="41"/>
  </w:num>
  <w:num w:numId="24" w16cid:durableId="935871687">
    <w:abstractNumId w:val="4"/>
  </w:num>
  <w:num w:numId="25" w16cid:durableId="1335962255">
    <w:abstractNumId w:val="37"/>
  </w:num>
  <w:num w:numId="26" w16cid:durableId="1677146524">
    <w:abstractNumId w:val="58"/>
  </w:num>
  <w:num w:numId="27" w16cid:durableId="2083983885">
    <w:abstractNumId w:val="53"/>
  </w:num>
  <w:num w:numId="28" w16cid:durableId="1909071243">
    <w:abstractNumId w:val="32"/>
  </w:num>
  <w:num w:numId="29" w16cid:durableId="406851235">
    <w:abstractNumId w:val="0"/>
  </w:num>
  <w:num w:numId="30" w16cid:durableId="637339828">
    <w:abstractNumId w:val="33"/>
  </w:num>
  <w:num w:numId="31" w16cid:durableId="1271474627">
    <w:abstractNumId w:val="17"/>
  </w:num>
  <w:num w:numId="32" w16cid:durableId="1404907051">
    <w:abstractNumId w:val="45"/>
  </w:num>
  <w:num w:numId="33" w16cid:durableId="1642615910">
    <w:abstractNumId w:val="52"/>
  </w:num>
  <w:num w:numId="34" w16cid:durableId="1011373114">
    <w:abstractNumId w:val="23"/>
  </w:num>
  <w:num w:numId="35" w16cid:durableId="932708978">
    <w:abstractNumId w:val="8"/>
  </w:num>
  <w:num w:numId="36" w16cid:durableId="85275960">
    <w:abstractNumId w:val="1"/>
  </w:num>
  <w:num w:numId="37" w16cid:durableId="1498034358">
    <w:abstractNumId w:val="63"/>
  </w:num>
  <w:num w:numId="38" w16cid:durableId="358245673">
    <w:abstractNumId w:val="60"/>
  </w:num>
  <w:num w:numId="39" w16cid:durableId="651298970">
    <w:abstractNumId w:val="28"/>
  </w:num>
  <w:num w:numId="40" w16cid:durableId="174926784">
    <w:abstractNumId w:val="20"/>
  </w:num>
  <w:num w:numId="41" w16cid:durableId="1276449413">
    <w:abstractNumId w:val="30"/>
  </w:num>
  <w:num w:numId="42" w16cid:durableId="1952514425">
    <w:abstractNumId w:val="38"/>
  </w:num>
  <w:num w:numId="43" w16cid:durableId="1374311282">
    <w:abstractNumId w:val="35"/>
  </w:num>
  <w:num w:numId="44" w16cid:durableId="1504124179">
    <w:abstractNumId w:val="66"/>
  </w:num>
  <w:num w:numId="45" w16cid:durableId="672029081">
    <w:abstractNumId w:val="9"/>
  </w:num>
  <w:num w:numId="46" w16cid:durableId="1934437902">
    <w:abstractNumId w:val="7"/>
  </w:num>
  <w:num w:numId="47" w16cid:durableId="1505702205">
    <w:abstractNumId w:val="68"/>
  </w:num>
  <w:num w:numId="48" w16cid:durableId="961226787">
    <w:abstractNumId w:val="2"/>
  </w:num>
  <w:num w:numId="49" w16cid:durableId="1320428491">
    <w:abstractNumId w:val="43"/>
  </w:num>
  <w:num w:numId="50" w16cid:durableId="886450190">
    <w:abstractNumId w:val="49"/>
  </w:num>
  <w:num w:numId="51" w16cid:durableId="772633871">
    <w:abstractNumId w:val="11"/>
  </w:num>
  <w:num w:numId="52" w16cid:durableId="147719732">
    <w:abstractNumId w:val="19"/>
  </w:num>
  <w:num w:numId="53" w16cid:durableId="1954701811">
    <w:abstractNumId w:val="27"/>
  </w:num>
  <w:num w:numId="54" w16cid:durableId="2053184279">
    <w:abstractNumId w:val="10"/>
  </w:num>
  <w:num w:numId="55" w16cid:durableId="2134056903">
    <w:abstractNumId w:val="55"/>
  </w:num>
  <w:num w:numId="56" w16cid:durableId="1073240990">
    <w:abstractNumId w:val="3"/>
  </w:num>
  <w:num w:numId="57" w16cid:durableId="550387105">
    <w:abstractNumId w:val="56"/>
  </w:num>
  <w:num w:numId="58" w16cid:durableId="834809715">
    <w:abstractNumId w:val="14"/>
  </w:num>
  <w:num w:numId="59" w16cid:durableId="1654481521">
    <w:abstractNumId w:val="24"/>
  </w:num>
  <w:num w:numId="60" w16cid:durableId="583339090">
    <w:abstractNumId w:val="54"/>
  </w:num>
  <w:num w:numId="61" w16cid:durableId="1063141848">
    <w:abstractNumId w:val="29"/>
  </w:num>
  <w:num w:numId="62" w16cid:durableId="412316064">
    <w:abstractNumId w:val="46"/>
  </w:num>
  <w:num w:numId="63" w16cid:durableId="263922575">
    <w:abstractNumId w:val="47"/>
  </w:num>
  <w:num w:numId="64" w16cid:durableId="1117993025">
    <w:abstractNumId w:val="51"/>
  </w:num>
  <w:num w:numId="65" w16cid:durableId="224144316">
    <w:abstractNumId w:val="67"/>
  </w:num>
  <w:num w:numId="66" w16cid:durableId="1388333806">
    <w:abstractNumId w:val="57"/>
  </w:num>
  <w:num w:numId="67" w16cid:durableId="971323875">
    <w:abstractNumId w:val="12"/>
  </w:num>
  <w:num w:numId="68" w16cid:durableId="1082026330">
    <w:abstractNumId w:val="64"/>
  </w:num>
  <w:num w:numId="69" w16cid:durableId="261111909">
    <w:abstractNumId w:val="22"/>
  </w:num>
  <w:num w:numId="70" w16cid:durableId="1391920949">
    <w:abstractNumId w:val="18"/>
  </w:num>
  <w:num w:numId="71" w16cid:durableId="41775399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6EA"/>
    <w:rsid w:val="00076D3F"/>
    <w:rsid w:val="000C6D53"/>
    <w:rsid w:val="00143AEA"/>
    <w:rsid w:val="001A2424"/>
    <w:rsid w:val="002E162F"/>
    <w:rsid w:val="00330974"/>
    <w:rsid w:val="00452DD9"/>
    <w:rsid w:val="00562B66"/>
    <w:rsid w:val="00586942"/>
    <w:rsid w:val="00596540"/>
    <w:rsid w:val="005C5D63"/>
    <w:rsid w:val="005D4BEF"/>
    <w:rsid w:val="005E2D24"/>
    <w:rsid w:val="005E7A75"/>
    <w:rsid w:val="00735FD2"/>
    <w:rsid w:val="00754665"/>
    <w:rsid w:val="008002E5"/>
    <w:rsid w:val="00837A78"/>
    <w:rsid w:val="008477A5"/>
    <w:rsid w:val="008559ED"/>
    <w:rsid w:val="008C22C6"/>
    <w:rsid w:val="008F200E"/>
    <w:rsid w:val="009256EA"/>
    <w:rsid w:val="009B56D6"/>
    <w:rsid w:val="00B7623D"/>
    <w:rsid w:val="00BF319E"/>
    <w:rsid w:val="00C40C28"/>
    <w:rsid w:val="00C44B7A"/>
    <w:rsid w:val="00CE35D5"/>
    <w:rsid w:val="00DD5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9BF9E"/>
  <w15:chartTrackingRefBased/>
  <w15:docId w15:val="{8F6FE75A-6CA0-489D-B642-78DC445AB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6EA"/>
    <w:rPr>
      <w:rFonts w:eastAsiaTheme="majorEastAsia" w:cstheme="majorBidi"/>
      <w:color w:val="272727" w:themeColor="text1" w:themeTint="D8"/>
    </w:rPr>
  </w:style>
  <w:style w:type="paragraph" w:styleId="Title">
    <w:name w:val="Title"/>
    <w:basedOn w:val="Normal"/>
    <w:next w:val="Normal"/>
    <w:link w:val="TitleChar"/>
    <w:uiPriority w:val="10"/>
    <w:qFormat/>
    <w:rsid w:val="00925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6EA"/>
    <w:pPr>
      <w:spacing w:before="160"/>
      <w:jc w:val="center"/>
    </w:pPr>
    <w:rPr>
      <w:i/>
      <w:iCs/>
      <w:color w:val="404040" w:themeColor="text1" w:themeTint="BF"/>
    </w:rPr>
  </w:style>
  <w:style w:type="character" w:customStyle="1" w:styleId="QuoteChar">
    <w:name w:val="Quote Char"/>
    <w:basedOn w:val="DefaultParagraphFont"/>
    <w:link w:val="Quote"/>
    <w:uiPriority w:val="29"/>
    <w:rsid w:val="009256EA"/>
    <w:rPr>
      <w:i/>
      <w:iCs/>
      <w:color w:val="404040" w:themeColor="text1" w:themeTint="BF"/>
    </w:rPr>
  </w:style>
  <w:style w:type="paragraph" w:styleId="ListParagraph">
    <w:name w:val="List Paragraph"/>
    <w:basedOn w:val="Normal"/>
    <w:uiPriority w:val="34"/>
    <w:qFormat/>
    <w:rsid w:val="009256EA"/>
    <w:pPr>
      <w:ind w:left="720"/>
      <w:contextualSpacing/>
    </w:pPr>
  </w:style>
  <w:style w:type="character" w:styleId="IntenseEmphasis">
    <w:name w:val="Intense Emphasis"/>
    <w:basedOn w:val="DefaultParagraphFont"/>
    <w:uiPriority w:val="21"/>
    <w:qFormat/>
    <w:rsid w:val="009256EA"/>
    <w:rPr>
      <w:i/>
      <w:iCs/>
      <w:color w:val="0F4761" w:themeColor="accent1" w:themeShade="BF"/>
    </w:rPr>
  </w:style>
  <w:style w:type="paragraph" w:styleId="IntenseQuote">
    <w:name w:val="Intense Quote"/>
    <w:basedOn w:val="Normal"/>
    <w:next w:val="Normal"/>
    <w:link w:val="IntenseQuoteChar"/>
    <w:uiPriority w:val="30"/>
    <w:qFormat/>
    <w:rsid w:val="00925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6EA"/>
    <w:rPr>
      <w:i/>
      <w:iCs/>
      <w:color w:val="0F4761" w:themeColor="accent1" w:themeShade="BF"/>
    </w:rPr>
  </w:style>
  <w:style w:type="character" w:styleId="IntenseReference">
    <w:name w:val="Intense Reference"/>
    <w:basedOn w:val="DefaultParagraphFont"/>
    <w:uiPriority w:val="32"/>
    <w:qFormat/>
    <w:rsid w:val="009256EA"/>
    <w:rPr>
      <w:b/>
      <w:bCs/>
      <w:smallCaps/>
      <w:color w:val="0F4761" w:themeColor="accent1" w:themeShade="BF"/>
      <w:spacing w:val="5"/>
    </w:rPr>
  </w:style>
  <w:style w:type="paragraph" w:styleId="NormalWeb">
    <w:name w:val="Normal (Web)"/>
    <w:basedOn w:val="Normal"/>
    <w:uiPriority w:val="99"/>
    <w:unhideWhenUsed/>
    <w:rsid w:val="005C5D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C5D63"/>
    <w:rPr>
      <w:b/>
      <w:bCs/>
    </w:rPr>
  </w:style>
  <w:style w:type="paragraph" w:styleId="NoSpacing">
    <w:name w:val="No Spacing"/>
    <w:uiPriority w:val="1"/>
    <w:qFormat/>
    <w:rsid w:val="00143AEA"/>
    <w:pPr>
      <w:spacing w:after="0" w:line="240" w:lineRule="auto"/>
    </w:pPr>
  </w:style>
  <w:style w:type="character" w:styleId="Emphasis">
    <w:name w:val="Emphasis"/>
    <w:basedOn w:val="DefaultParagraphFont"/>
    <w:uiPriority w:val="20"/>
    <w:qFormat/>
    <w:rsid w:val="005D4BEF"/>
    <w:rPr>
      <w:i/>
      <w:iCs/>
    </w:rPr>
  </w:style>
  <w:style w:type="character" w:styleId="Hyperlink">
    <w:name w:val="Hyperlink"/>
    <w:basedOn w:val="DefaultParagraphFont"/>
    <w:uiPriority w:val="99"/>
    <w:semiHidden/>
    <w:unhideWhenUsed/>
    <w:rsid w:val="005D4BEF"/>
    <w:rPr>
      <w:color w:val="0000FF"/>
      <w:u w:val="single"/>
    </w:rPr>
  </w:style>
  <w:style w:type="table" w:styleId="TableGrid">
    <w:name w:val="Table Grid"/>
    <w:basedOn w:val="TableNormal"/>
    <w:uiPriority w:val="39"/>
    <w:rsid w:val="005869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thinktank.eu/2016/07/07/elderly-people-and-poverty-current-levels-and-changes-since-the-crisis/?utm_source=chatgpt.co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70F7F-DD6F-4C04-99CD-11293B0B3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4300</Words>
  <Characters>24511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2</cp:revision>
  <dcterms:created xsi:type="dcterms:W3CDTF">2026-04-30T12:08:00Z</dcterms:created>
  <dcterms:modified xsi:type="dcterms:W3CDTF">2026-04-30T12:08:00Z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7d2671a4-19b9-42f9-b75c-f0174217a0e6</vt:lpwstr>
  </property>
</Properties>
</file>