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302CF" w14:textId="77777777" w:rsidR="00B578BE" w:rsidRPr="001E6A09" w:rsidRDefault="00B578BE" w:rsidP="00B578BE">
      <w:pPr>
        <w:spacing w:after="0" w:line="240" w:lineRule="auto"/>
        <w:jc w:val="center"/>
        <w:rPr>
          <w:rFonts w:ascii="Times New Roman" w:hAnsi="Times New Roman" w:cs="Times New Roman"/>
          <w:b/>
          <w:sz w:val="24"/>
          <w:szCs w:val="24"/>
        </w:rPr>
      </w:pPr>
      <w:r w:rsidRPr="001E6A09">
        <w:rPr>
          <w:rFonts w:ascii="Times New Roman" w:hAnsi="Times New Roman" w:cs="Times New Roman"/>
          <w:b/>
          <w:sz w:val="24"/>
          <w:szCs w:val="24"/>
        </w:rPr>
        <w:t>ECGE4001Q Assessment 1:</w:t>
      </w:r>
    </w:p>
    <w:p w14:paraId="468F8C86" w14:textId="77777777" w:rsidR="00B578BE" w:rsidRPr="001E6A09" w:rsidRDefault="00B578BE" w:rsidP="00B578BE">
      <w:pPr>
        <w:spacing w:after="0" w:line="240" w:lineRule="auto"/>
        <w:jc w:val="center"/>
        <w:rPr>
          <w:rFonts w:ascii="Times New Roman" w:hAnsi="Times New Roman" w:cs="Times New Roman"/>
          <w:i/>
          <w:sz w:val="24"/>
          <w:szCs w:val="24"/>
        </w:rPr>
      </w:pPr>
      <w:r w:rsidRPr="001E6A09">
        <w:rPr>
          <w:rFonts w:ascii="Times New Roman" w:hAnsi="Times New Roman" w:cs="Times New Roman"/>
          <w:i/>
          <w:sz w:val="24"/>
          <w:szCs w:val="24"/>
        </w:rPr>
        <w:t>Part 1- Re-write a passage of text in appropriate academic language. Correct</w:t>
      </w:r>
    </w:p>
    <w:p w14:paraId="5B00B6EF" w14:textId="5A09BC3C" w:rsidR="00DA4806" w:rsidRPr="001E6A09" w:rsidRDefault="00B578BE" w:rsidP="005C0F1F">
      <w:pPr>
        <w:spacing w:after="0" w:line="240" w:lineRule="auto"/>
        <w:jc w:val="center"/>
        <w:rPr>
          <w:rFonts w:ascii="Times New Roman" w:hAnsi="Times New Roman" w:cs="Times New Roman"/>
          <w:i/>
          <w:sz w:val="24"/>
          <w:szCs w:val="24"/>
        </w:rPr>
      </w:pPr>
      <w:r w:rsidRPr="001E6A09">
        <w:rPr>
          <w:rFonts w:ascii="Times New Roman" w:hAnsi="Times New Roman" w:cs="Times New Roman"/>
          <w:i/>
          <w:sz w:val="24"/>
          <w:szCs w:val="24"/>
        </w:rPr>
        <w:t>the referencing errors in both the body of the text and the reference list</w:t>
      </w:r>
    </w:p>
    <w:p w14:paraId="78C655E2" w14:textId="75991CE8" w:rsidR="00404BC9" w:rsidRPr="001E6A09" w:rsidRDefault="00404BC9" w:rsidP="00E569C2">
      <w:pPr>
        <w:spacing w:after="0" w:line="360" w:lineRule="auto"/>
        <w:jc w:val="both"/>
        <w:rPr>
          <w:rFonts w:ascii="Times New Roman" w:hAnsi="Times New Roman" w:cs="Times New Roman"/>
          <w:sz w:val="24"/>
          <w:szCs w:val="24"/>
        </w:rPr>
      </w:pPr>
    </w:p>
    <w:p w14:paraId="70FDF723" w14:textId="77777777" w:rsidR="001E6A09" w:rsidRPr="001E6A09" w:rsidRDefault="001E6A09" w:rsidP="001E6A09">
      <w:pPr>
        <w:spacing w:after="0" w:line="360" w:lineRule="auto"/>
        <w:jc w:val="both"/>
        <w:rPr>
          <w:rFonts w:ascii="Times New Roman" w:hAnsi="Times New Roman" w:cs="Times New Roman"/>
          <w:sz w:val="24"/>
          <w:szCs w:val="24"/>
        </w:rPr>
      </w:pPr>
    </w:p>
    <w:p w14:paraId="5535524B" w14:textId="77777777"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 xml:space="preserve">‘Poverty’ can be defined in many different ways according to policy makers, legislation and members of society, and is often referred to as being a socially constructed concept. Members of society are considered to be living in either relative, absolute or subjective poverty. This assignment will consider the different viewpoints on the definition on poverty in society and ways in which is can be measured. </w:t>
      </w:r>
    </w:p>
    <w:p w14:paraId="3946AC41" w14:textId="58917F6C"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Lister, (2004, p4) explains that there is a significant difference between the way poverty is defined and the way in which it is experienced by members in society stating that the concept is, ‘in essence… about the meanings of poverty—both to those who experience it and to different groups in society’  The first attempt at an evidence based estimate of poverty in the UK was conducted by  Booth (1897) who highlighted the extent of poverty throughout the UK by establishing the principle of the ‘poverty line,’, he referred to relative and absolute poverty during this time by stating;</w:t>
      </w:r>
    </w:p>
    <w:p w14:paraId="674B121A" w14:textId="77777777" w:rsidR="001E6A09" w:rsidRPr="001E6A09" w:rsidRDefault="001E6A09" w:rsidP="001E6A09">
      <w:pPr>
        <w:spacing w:after="0" w:line="240" w:lineRule="auto"/>
        <w:ind w:left="567" w:right="567"/>
        <w:jc w:val="both"/>
        <w:rPr>
          <w:rFonts w:ascii="Times New Roman" w:hAnsi="Times New Roman" w:cs="Times New Roman"/>
          <w:sz w:val="24"/>
          <w:szCs w:val="24"/>
        </w:rPr>
      </w:pPr>
      <w:r w:rsidRPr="001E6A09">
        <w:rPr>
          <w:rFonts w:ascii="Times New Roman" w:hAnsi="Times New Roman" w:cs="Times New Roman"/>
          <w:sz w:val="24"/>
          <w:szCs w:val="24"/>
        </w:rPr>
        <w:t xml:space="preserve">“By the word poor I mean to describe those who have a fairly regular though bare income, such as 18 shillings to 2 shillings per week for a moderate family, and by ‘very poor’ those who fall below this standard, whether from chronic irregularity of work, sickness or a large number of young children” (Booth talking to the Royal Statistical Society in 1887; quoted by </w:t>
      </w:r>
      <w:proofErr w:type="spellStart"/>
      <w:r w:rsidRPr="001E6A09">
        <w:rPr>
          <w:rFonts w:ascii="Times New Roman" w:hAnsi="Times New Roman" w:cs="Times New Roman"/>
          <w:sz w:val="24"/>
          <w:szCs w:val="24"/>
        </w:rPr>
        <w:t>Glennerster</w:t>
      </w:r>
      <w:proofErr w:type="spellEnd"/>
      <w:r w:rsidRPr="001E6A09">
        <w:rPr>
          <w:rFonts w:ascii="Times New Roman" w:hAnsi="Times New Roman" w:cs="Times New Roman"/>
          <w:sz w:val="24"/>
          <w:szCs w:val="24"/>
        </w:rPr>
        <w:t xml:space="preserve"> 2004). </w:t>
      </w:r>
    </w:p>
    <w:p w14:paraId="46025D24" w14:textId="77777777" w:rsidR="001E6A09" w:rsidRPr="001E6A09" w:rsidRDefault="001E6A09" w:rsidP="001E6A09">
      <w:pPr>
        <w:spacing w:after="0" w:line="360" w:lineRule="auto"/>
        <w:jc w:val="both"/>
        <w:rPr>
          <w:rFonts w:ascii="Times New Roman" w:hAnsi="Times New Roman" w:cs="Times New Roman"/>
          <w:sz w:val="24"/>
          <w:szCs w:val="24"/>
        </w:rPr>
      </w:pPr>
    </w:p>
    <w:p w14:paraId="63BC04EB" w14:textId="77777777"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 xml:space="preserve">In contrast to Booths (1897, pp.147-148) definition of poverty which was primarily linked to the income of a household with ‘drink and </w:t>
      </w:r>
      <w:proofErr w:type="spellStart"/>
      <w:r w:rsidRPr="001E6A09">
        <w:rPr>
          <w:rFonts w:ascii="Times New Roman" w:hAnsi="Times New Roman" w:cs="Times New Roman"/>
          <w:sz w:val="24"/>
          <w:szCs w:val="24"/>
        </w:rPr>
        <w:t>thriftlessness’</w:t>
      </w:r>
      <w:proofErr w:type="spellEnd"/>
      <w:r w:rsidRPr="001E6A09">
        <w:rPr>
          <w:rFonts w:ascii="Times New Roman" w:hAnsi="Times New Roman" w:cs="Times New Roman"/>
          <w:sz w:val="24"/>
          <w:szCs w:val="24"/>
        </w:rPr>
        <w:t xml:space="preserve"> considered as a main contributing factor, Gillie (1996, pp. 715–730) developed this definition further by exploring poverty in terms of health, the reasons behind substandard living and career opportunities.</w:t>
      </w:r>
    </w:p>
    <w:p w14:paraId="3F159937" w14:textId="6681D46C"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A ‘Visual Identification,’ approach conducted in an 1899 study of York by Seebohm Rowntree (1901) aimed to establish whether families were living in ‘obvious want and squalor,’ with household income not being the primary focus (</w:t>
      </w:r>
      <w:proofErr w:type="spellStart"/>
      <w:r w:rsidRPr="001E6A09">
        <w:rPr>
          <w:rFonts w:ascii="Times New Roman" w:hAnsi="Times New Roman" w:cs="Times New Roman"/>
          <w:sz w:val="24"/>
          <w:szCs w:val="24"/>
        </w:rPr>
        <w:t>Veit</w:t>
      </w:r>
      <w:proofErr w:type="spellEnd"/>
      <w:r w:rsidRPr="001E6A09">
        <w:rPr>
          <w:rFonts w:ascii="Times New Roman" w:hAnsi="Times New Roman" w:cs="Times New Roman"/>
          <w:sz w:val="24"/>
          <w:szCs w:val="24"/>
        </w:rPr>
        <w:t xml:space="preserve">-Wilson, 1986, p.92). In similar fashion to Booth, Rowntree’s income-based poverty line was established after the survey, and used as a dominant method of distinguishing between those who were living in primary and secondary poverty. Differentiating between those who could afford necessities for their home and families and those who could not. The main focus being on the considered concept of primary poor, and the inability to afford that which would enable and maintain physical efficiency. This ‘subsistence standard’ definition and approach became widely used throughout society, first by </w:t>
      </w:r>
      <w:r w:rsidRPr="001E6A09">
        <w:rPr>
          <w:rFonts w:ascii="Times New Roman" w:hAnsi="Times New Roman" w:cs="Times New Roman"/>
          <w:sz w:val="24"/>
          <w:szCs w:val="24"/>
        </w:rPr>
        <w:lastRenderedPageBreak/>
        <w:t xml:space="preserve">social scientists and then by government (Abel-Smith </w:t>
      </w:r>
      <w:r w:rsidRPr="001E6A09">
        <w:rPr>
          <w:rFonts w:ascii="Times New Roman" w:hAnsi="Times New Roman" w:cs="Times New Roman"/>
          <w:i/>
          <w:sz w:val="24"/>
          <w:szCs w:val="24"/>
        </w:rPr>
        <w:t>et al</w:t>
      </w:r>
      <w:r w:rsidRPr="001E6A09">
        <w:rPr>
          <w:rFonts w:ascii="Times New Roman" w:hAnsi="Times New Roman" w:cs="Times New Roman"/>
          <w:sz w:val="24"/>
          <w:szCs w:val="24"/>
        </w:rPr>
        <w:t>, 1965). Rowntree’s (1941) secondary survey, in 1936, widened the understanding of necessities to include other needs, including more material affects, but the underlying concept of poverty as insufficient material resources to meet a persons or family’s needs, regardless of definition remained unchanged.</w:t>
      </w:r>
    </w:p>
    <w:p w14:paraId="3AA3B7C2" w14:textId="77777777" w:rsidR="001E6A09" w:rsidRPr="001E6A09" w:rsidRDefault="001E6A09" w:rsidP="001E6A09">
      <w:pPr>
        <w:spacing w:after="0" w:line="360" w:lineRule="auto"/>
        <w:jc w:val="both"/>
        <w:rPr>
          <w:rFonts w:ascii="Times New Roman" w:hAnsi="Times New Roman" w:cs="Times New Roman"/>
          <w:sz w:val="24"/>
          <w:szCs w:val="24"/>
        </w:rPr>
      </w:pPr>
    </w:p>
    <w:p w14:paraId="04FF694F" w14:textId="7E718A19"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 xml:space="preserve">After the contribution of Booth and Rowntree, the concept of poverty became widely accepted throughout society, although it is evident that even though the issue of poverty has been discussed in depth, there is no clear definition or means of understanding the concept. Abel-Smith and Townsend (1965) both raised the discussion that data surrounding income and expenditure provides a more accurate measure of the standards of living, but neglects that poverty is associated with inadequate material resources. In contrast to this view Hills (2004) and Alcock (2006) extended the discussion on poverty to ascertain alternative methods of understanding the definition and measurement of poverty, which include the concept of a lack in material resources. An extended critique of the official approach to measuring poverty and relative income was offered by </w:t>
      </w:r>
      <w:proofErr w:type="spellStart"/>
      <w:r w:rsidRPr="001E6A09">
        <w:rPr>
          <w:rFonts w:ascii="Times New Roman" w:hAnsi="Times New Roman" w:cs="Times New Roman"/>
          <w:sz w:val="24"/>
          <w:szCs w:val="24"/>
        </w:rPr>
        <w:t>Niemitz</w:t>
      </w:r>
      <w:proofErr w:type="spellEnd"/>
      <w:r w:rsidRPr="001E6A09">
        <w:rPr>
          <w:rFonts w:ascii="Times New Roman" w:hAnsi="Times New Roman" w:cs="Times New Roman"/>
          <w:sz w:val="24"/>
          <w:szCs w:val="24"/>
        </w:rPr>
        <w:t xml:space="preserve"> (2011) but even this critique does not question the opinion that poverty can be experienced though a lack of material resource, it could be argued therefore that the concept of poverty remains undefined.</w:t>
      </w:r>
      <w:r w:rsidR="00754A5C">
        <w:rPr>
          <w:rFonts w:ascii="Times New Roman" w:hAnsi="Times New Roman" w:cs="Times New Roman"/>
          <w:sz w:val="24"/>
          <w:szCs w:val="24"/>
        </w:rPr>
        <w:t xml:space="preserve"> </w:t>
      </w:r>
      <w:r w:rsidRPr="001E6A09">
        <w:rPr>
          <w:rFonts w:ascii="Times New Roman" w:hAnsi="Times New Roman" w:cs="Times New Roman"/>
          <w:sz w:val="24"/>
          <w:szCs w:val="24"/>
        </w:rPr>
        <w:t>Townsend (1979) provided an influential contribution by adopting an explicitly relative approach to thinking about needs, and also called for a wider concept of ‘resources’ to replace ‘income’, (Townsend 1979 p.57</w:t>
      </w:r>
      <w:proofErr w:type="gramStart"/>
      <w:r w:rsidRPr="001E6A09">
        <w:rPr>
          <w:rFonts w:ascii="Times New Roman" w:hAnsi="Times New Roman" w:cs="Times New Roman"/>
          <w:sz w:val="24"/>
          <w:szCs w:val="24"/>
        </w:rPr>
        <w:t>)  defining</w:t>
      </w:r>
      <w:proofErr w:type="gramEnd"/>
      <w:r w:rsidRPr="001E6A09">
        <w:rPr>
          <w:rFonts w:ascii="Times New Roman" w:hAnsi="Times New Roman" w:cs="Times New Roman"/>
          <w:sz w:val="24"/>
          <w:szCs w:val="24"/>
        </w:rPr>
        <w:t xml:space="preserve"> individuals and groups as living in poverty, </w:t>
      </w:r>
    </w:p>
    <w:p w14:paraId="5577B804" w14:textId="77777777" w:rsidR="001E6A09" w:rsidRPr="001E6A09" w:rsidRDefault="001E6A09" w:rsidP="001E6A09">
      <w:pPr>
        <w:spacing w:after="0" w:line="240" w:lineRule="auto"/>
        <w:ind w:left="567" w:right="567"/>
        <w:jc w:val="both"/>
        <w:rPr>
          <w:rFonts w:ascii="Times New Roman" w:hAnsi="Times New Roman" w:cs="Times New Roman"/>
          <w:sz w:val="24"/>
          <w:szCs w:val="24"/>
        </w:rPr>
      </w:pPr>
      <w:r w:rsidRPr="001E6A09">
        <w:rPr>
          <w:rFonts w:ascii="Times New Roman" w:hAnsi="Times New Roman" w:cs="Times New Roman"/>
          <w:sz w:val="24"/>
          <w:szCs w:val="24"/>
        </w:rPr>
        <w:t xml:space="preserve">‘when they lack the resources to obtain the types of diet, participate in the activities and have the living conditions and amenities which are customary… in the societies to which they belong’ (Townsend, 1979, p.31). </w:t>
      </w:r>
    </w:p>
    <w:p w14:paraId="6CDB53C2" w14:textId="77777777" w:rsidR="001E6A09" w:rsidRPr="001E6A09" w:rsidRDefault="001E6A09" w:rsidP="001E6A09">
      <w:pPr>
        <w:spacing w:after="0" w:line="360" w:lineRule="auto"/>
        <w:jc w:val="both"/>
        <w:rPr>
          <w:rFonts w:ascii="Times New Roman" w:hAnsi="Times New Roman" w:cs="Times New Roman"/>
          <w:sz w:val="24"/>
          <w:szCs w:val="24"/>
        </w:rPr>
      </w:pPr>
    </w:p>
    <w:p w14:paraId="35291F4E" w14:textId="7C71C08E"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 xml:space="preserve">Yet mostly what is considered under the heading of ‘resources’ are that of </w:t>
      </w:r>
      <w:r w:rsidR="00754A5C" w:rsidRPr="001E6A09">
        <w:rPr>
          <w:rFonts w:ascii="Times New Roman" w:hAnsi="Times New Roman" w:cs="Times New Roman"/>
          <w:sz w:val="24"/>
          <w:szCs w:val="24"/>
        </w:rPr>
        <w:t>a material</w:t>
      </w:r>
      <w:r w:rsidRPr="001E6A09">
        <w:rPr>
          <w:rFonts w:ascii="Times New Roman" w:hAnsi="Times New Roman" w:cs="Times New Roman"/>
          <w:sz w:val="24"/>
          <w:szCs w:val="24"/>
        </w:rPr>
        <w:t xml:space="preserve"> nature, including income, assets and home production. It is also considered by Townsend (1949) ‘the value of public social services’ (health and education), referencing that at a multidimensional approach is required, but at the time of publishing more research was required on this concept. In later work he distinguishes clearly between concepts of poverty and the wider idea of deprivation, including social deprivation (isolation, discrimination, lack of opportunities for education or employment), arguing that poverty (a lack of resources) is one of the factors that can lead to deprivation: “[Deprivation] turns on the level of conditions or activities experienced, [poverty] on the incomes and other resources directly available” (Townsend 1987, pp. 139–140).</w:t>
      </w:r>
    </w:p>
    <w:p w14:paraId="27489171" w14:textId="64E3E4B2"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lastRenderedPageBreak/>
        <w:t>In conclusion, from a sociological standpoint</w:t>
      </w:r>
      <w:r>
        <w:rPr>
          <w:rFonts w:ascii="Times New Roman" w:hAnsi="Times New Roman" w:cs="Times New Roman"/>
          <w:sz w:val="24"/>
          <w:szCs w:val="24"/>
        </w:rPr>
        <w:t>,</w:t>
      </w:r>
      <w:r w:rsidR="00C16D43">
        <w:rPr>
          <w:rFonts w:ascii="Times New Roman" w:hAnsi="Times New Roman" w:cs="Times New Roman"/>
          <w:sz w:val="24"/>
          <w:szCs w:val="24"/>
        </w:rPr>
        <w:t xml:space="preserve"> it is evident that poverty within society is still difficult to define. However, when consideration is given to the different categories and levels of poverty, the concept becomes more understandable.</w:t>
      </w:r>
      <w:r w:rsidRPr="001E6A09">
        <w:rPr>
          <w:rFonts w:ascii="Times New Roman" w:hAnsi="Times New Roman" w:cs="Times New Roman"/>
          <w:sz w:val="24"/>
          <w:szCs w:val="24"/>
        </w:rPr>
        <w:t xml:space="preserve"> Browne (2016) explains that absolute poverty refers to the basic minimum requirements needed to maintain a healthy survival; such as food and shelter, whereas relative poverty refers to the societal standard of living at that time and social exclusion, whereas subjective poverty takes into consideration the thoughts and feeling of an individual feeling that they living in poverty. </w:t>
      </w:r>
    </w:p>
    <w:p w14:paraId="021D885D" w14:textId="2AFEA851" w:rsidR="00DA4806" w:rsidRPr="001E6A09" w:rsidRDefault="00DA4806" w:rsidP="006C05E0">
      <w:pPr>
        <w:spacing w:after="0" w:line="360" w:lineRule="auto"/>
        <w:rPr>
          <w:rFonts w:ascii="Times New Roman" w:hAnsi="Times New Roman" w:cs="Times New Roman"/>
          <w:b/>
          <w:sz w:val="24"/>
          <w:szCs w:val="24"/>
        </w:rPr>
      </w:pPr>
    </w:p>
    <w:p w14:paraId="45AC1343" w14:textId="77777777" w:rsidR="001E6A09" w:rsidRDefault="001E6A09" w:rsidP="001E6A09">
      <w:pPr>
        <w:spacing w:after="0" w:line="360" w:lineRule="auto"/>
        <w:rPr>
          <w:rFonts w:ascii="Times New Roman" w:hAnsi="Times New Roman" w:cs="Times New Roman"/>
          <w:b/>
          <w:sz w:val="24"/>
          <w:szCs w:val="24"/>
          <w:u w:val="single"/>
        </w:rPr>
      </w:pPr>
      <w:r w:rsidRPr="001E6A09">
        <w:rPr>
          <w:rFonts w:ascii="Times New Roman" w:hAnsi="Times New Roman" w:cs="Times New Roman"/>
          <w:b/>
          <w:sz w:val="24"/>
          <w:szCs w:val="24"/>
          <w:u w:val="single"/>
        </w:rPr>
        <w:t>Reference List</w:t>
      </w:r>
    </w:p>
    <w:p w14:paraId="756BC448"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E35FB0">
        <w:rPr>
          <w:rFonts w:ascii="Times New Roman" w:hAnsi="Times New Roman" w:cs="Times New Roman"/>
          <w:sz w:val="24"/>
          <w:szCs w:val="24"/>
        </w:rPr>
        <w:t>Abel-Smith, B &amp; Townsend, P (1965</w:t>
      </w:r>
      <w:r w:rsidRPr="00A11822">
        <w:rPr>
          <w:rFonts w:ascii="Times New Roman" w:hAnsi="Times New Roman" w:cs="Times New Roman"/>
          <w:sz w:val="24"/>
          <w:szCs w:val="24"/>
        </w:rPr>
        <w:t xml:space="preserve">). </w:t>
      </w:r>
      <w:r w:rsidRPr="00105117">
        <w:rPr>
          <w:rFonts w:ascii="Times New Roman" w:hAnsi="Times New Roman" w:cs="Times New Roman"/>
          <w:i/>
          <w:iCs/>
          <w:sz w:val="24"/>
          <w:szCs w:val="24"/>
        </w:rPr>
        <w:t>The Poor and the Poorest</w:t>
      </w:r>
      <w:r w:rsidRPr="00A11822">
        <w:rPr>
          <w:rFonts w:ascii="Times New Roman" w:hAnsi="Times New Roman" w:cs="Times New Roman"/>
          <w:i/>
          <w:sz w:val="24"/>
          <w:szCs w:val="24"/>
        </w:rPr>
        <w:t>.</w:t>
      </w:r>
      <w:r w:rsidRPr="00E35FB0">
        <w:rPr>
          <w:rFonts w:ascii="Times New Roman" w:hAnsi="Times New Roman" w:cs="Times New Roman"/>
          <w:sz w:val="24"/>
          <w:szCs w:val="24"/>
        </w:rPr>
        <w:t xml:space="preserve"> London: G Bell and Sons Ltd.</w:t>
      </w:r>
    </w:p>
    <w:p w14:paraId="42560148"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Alcock, P. (2006). </w:t>
      </w:r>
      <w:r w:rsidRPr="00E35FB0">
        <w:rPr>
          <w:rFonts w:ascii="Times New Roman" w:hAnsi="Times New Roman" w:cs="Times New Roman"/>
          <w:i/>
          <w:sz w:val="24"/>
          <w:szCs w:val="24"/>
        </w:rPr>
        <w:t xml:space="preserve">Understanding </w:t>
      </w:r>
      <w:r>
        <w:rPr>
          <w:rFonts w:ascii="Times New Roman" w:hAnsi="Times New Roman" w:cs="Times New Roman"/>
          <w:i/>
          <w:sz w:val="24"/>
          <w:szCs w:val="24"/>
        </w:rPr>
        <w:t>P</w:t>
      </w:r>
      <w:r w:rsidRPr="00E35FB0">
        <w:rPr>
          <w:rFonts w:ascii="Times New Roman" w:hAnsi="Times New Roman" w:cs="Times New Roman"/>
          <w:i/>
          <w:sz w:val="24"/>
          <w:szCs w:val="24"/>
        </w:rPr>
        <w:t>overty</w:t>
      </w:r>
      <w:r w:rsidRPr="0084480B">
        <w:rPr>
          <w:rFonts w:ascii="Times New Roman" w:hAnsi="Times New Roman" w:cs="Times New Roman"/>
          <w:sz w:val="24"/>
          <w:szCs w:val="24"/>
        </w:rPr>
        <w:t>. Basingstoke: Palgrave Macmillan.</w:t>
      </w:r>
    </w:p>
    <w:p w14:paraId="787BFC32" w14:textId="77777777" w:rsidR="001E6A09"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Booth, C. (1897). </w:t>
      </w:r>
      <w:r w:rsidRPr="00E35FB0">
        <w:rPr>
          <w:rFonts w:ascii="Times New Roman" w:hAnsi="Times New Roman" w:cs="Times New Roman"/>
          <w:i/>
          <w:sz w:val="24"/>
          <w:szCs w:val="24"/>
        </w:rPr>
        <w:t>Life and Labour of the People in London, Ix: Comparisons, Survey and Conclusions</w:t>
      </w:r>
      <w:r w:rsidRPr="0084480B">
        <w:rPr>
          <w:rFonts w:ascii="Times New Roman" w:hAnsi="Times New Roman" w:cs="Times New Roman"/>
          <w:sz w:val="24"/>
          <w:szCs w:val="24"/>
        </w:rPr>
        <w:t>. Macmillan and Company</w:t>
      </w:r>
      <w:r>
        <w:rPr>
          <w:rFonts w:ascii="Times New Roman" w:hAnsi="Times New Roman" w:cs="Times New Roman"/>
          <w:sz w:val="24"/>
          <w:szCs w:val="24"/>
        </w:rPr>
        <w:t>.</w:t>
      </w:r>
      <w:r w:rsidRPr="00A20FCA">
        <w:rPr>
          <w:rFonts w:ascii="Times New Roman" w:hAnsi="Times New Roman" w:cs="Times New Roman"/>
          <w:sz w:val="24"/>
          <w:szCs w:val="24"/>
        </w:rPr>
        <w:t xml:space="preserve"> </w:t>
      </w:r>
      <w:r>
        <w:rPr>
          <w:rFonts w:ascii="Times New Roman" w:hAnsi="Times New Roman" w:cs="Times New Roman"/>
          <w:sz w:val="24"/>
          <w:szCs w:val="24"/>
        </w:rPr>
        <w:t>London.</w:t>
      </w:r>
    </w:p>
    <w:p w14:paraId="47871096" w14:textId="77777777" w:rsidR="001E6A09" w:rsidRDefault="001E6A09" w:rsidP="001E6A09">
      <w:pPr>
        <w:spacing w:after="30"/>
        <w:rPr>
          <w:rFonts w:ascii="Times New Roman" w:hAnsi="Times New Roman" w:cs="Times New Roman"/>
          <w:sz w:val="24"/>
          <w:szCs w:val="24"/>
          <w:lang w:val="en-US"/>
        </w:rPr>
      </w:pPr>
      <w:r w:rsidRPr="00885A0C">
        <w:rPr>
          <w:rFonts w:ascii="Times New Roman" w:hAnsi="Times New Roman" w:cs="Times New Roman"/>
          <w:sz w:val="24"/>
          <w:szCs w:val="24"/>
          <w:lang w:val="en-US"/>
        </w:rPr>
        <w:t>Browne, K. (201</w:t>
      </w:r>
      <w:r>
        <w:rPr>
          <w:rFonts w:ascii="Times New Roman" w:hAnsi="Times New Roman" w:cs="Times New Roman"/>
          <w:sz w:val="24"/>
          <w:szCs w:val="24"/>
          <w:lang w:val="en-US"/>
        </w:rPr>
        <w:t>6</w:t>
      </w:r>
      <w:r w:rsidRPr="00885A0C">
        <w:rPr>
          <w:rFonts w:ascii="Times New Roman" w:hAnsi="Times New Roman" w:cs="Times New Roman"/>
          <w:sz w:val="24"/>
          <w:szCs w:val="24"/>
          <w:lang w:val="en-US"/>
        </w:rPr>
        <w:t>)</w:t>
      </w:r>
      <w:r w:rsidRPr="00885A0C">
        <w:rPr>
          <w:rFonts w:ascii="Times New Roman" w:hAnsi="Times New Roman" w:cs="Times New Roman"/>
          <w:i/>
          <w:iCs/>
          <w:sz w:val="24"/>
          <w:szCs w:val="24"/>
          <w:lang w:val="en-US"/>
        </w:rPr>
        <w:t>. Sociology for AQA Volume 1, AS and 1</w:t>
      </w:r>
      <w:r w:rsidRPr="00885A0C">
        <w:rPr>
          <w:rFonts w:ascii="Times New Roman" w:hAnsi="Times New Roman" w:cs="Times New Roman"/>
          <w:i/>
          <w:iCs/>
          <w:sz w:val="24"/>
          <w:szCs w:val="24"/>
          <w:vertAlign w:val="superscript"/>
          <w:lang w:val="en-US"/>
        </w:rPr>
        <w:t>st</w:t>
      </w:r>
      <w:r w:rsidRPr="00885A0C">
        <w:rPr>
          <w:rFonts w:ascii="Times New Roman" w:hAnsi="Times New Roman" w:cs="Times New Roman"/>
          <w:i/>
          <w:iCs/>
          <w:sz w:val="24"/>
          <w:szCs w:val="24"/>
          <w:lang w:val="en-US"/>
        </w:rPr>
        <w:t xml:space="preserve"> Year A level. </w:t>
      </w:r>
      <w:r w:rsidRPr="00885A0C">
        <w:rPr>
          <w:rFonts w:ascii="Times New Roman" w:hAnsi="Times New Roman" w:cs="Times New Roman"/>
          <w:sz w:val="24"/>
          <w:szCs w:val="24"/>
          <w:lang w:val="en-US"/>
        </w:rPr>
        <w:t>Cambridge; Polity Press</w:t>
      </w:r>
    </w:p>
    <w:p w14:paraId="23941F3D" w14:textId="77777777" w:rsidR="001E6A09" w:rsidRPr="0084480B" w:rsidRDefault="001E6A09" w:rsidP="001E6A09">
      <w:pPr>
        <w:spacing w:after="0" w:line="360" w:lineRule="auto"/>
        <w:ind w:left="720" w:hanging="720"/>
        <w:rPr>
          <w:rFonts w:ascii="Times New Roman" w:hAnsi="Times New Roman" w:cs="Times New Roman"/>
          <w:sz w:val="24"/>
          <w:szCs w:val="24"/>
        </w:rPr>
      </w:pPr>
    </w:p>
    <w:p w14:paraId="047F2B59" w14:textId="77777777" w:rsidR="001E6A09" w:rsidRPr="00E35FB0"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Gillie, A. (1996). </w:t>
      </w:r>
      <w:r w:rsidRPr="00105117">
        <w:rPr>
          <w:rFonts w:ascii="Times New Roman" w:hAnsi="Times New Roman" w:cs="Times New Roman"/>
          <w:i/>
          <w:iCs/>
          <w:sz w:val="24"/>
          <w:szCs w:val="24"/>
        </w:rPr>
        <w:t>‘The Origin of the Poverty Line’, The Economic History Review</w:t>
      </w:r>
      <w:r w:rsidRPr="0084480B">
        <w:rPr>
          <w:rFonts w:ascii="Times New Roman" w:hAnsi="Times New Roman" w:cs="Times New Roman"/>
          <w:sz w:val="24"/>
          <w:szCs w:val="24"/>
        </w:rPr>
        <w:t xml:space="preserve">, 49(4), </w:t>
      </w:r>
      <w:r>
        <w:rPr>
          <w:rFonts w:ascii="Times New Roman" w:hAnsi="Times New Roman" w:cs="Times New Roman"/>
          <w:sz w:val="24"/>
          <w:szCs w:val="24"/>
        </w:rPr>
        <w:t xml:space="preserve">pp. </w:t>
      </w:r>
      <w:r w:rsidRPr="00E35FB0">
        <w:rPr>
          <w:rFonts w:ascii="Times New Roman" w:hAnsi="Times New Roman" w:cs="Times New Roman"/>
          <w:sz w:val="24"/>
          <w:szCs w:val="24"/>
        </w:rPr>
        <w:t>715–730.</w:t>
      </w:r>
    </w:p>
    <w:p w14:paraId="1DAEB40D" w14:textId="77777777" w:rsidR="001E6A09" w:rsidRPr="0084480B" w:rsidRDefault="001E6A09" w:rsidP="001E6A09">
      <w:pPr>
        <w:spacing w:after="0" w:line="360" w:lineRule="auto"/>
        <w:ind w:left="720" w:hanging="720"/>
        <w:rPr>
          <w:rFonts w:ascii="Times New Roman" w:hAnsi="Times New Roman" w:cs="Times New Roman"/>
          <w:sz w:val="24"/>
          <w:szCs w:val="24"/>
        </w:rPr>
      </w:pPr>
      <w:proofErr w:type="spellStart"/>
      <w:r w:rsidRPr="00E35FB0">
        <w:rPr>
          <w:rFonts w:ascii="Times New Roman" w:hAnsi="Times New Roman" w:cs="Times New Roman"/>
          <w:sz w:val="24"/>
          <w:szCs w:val="24"/>
        </w:rPr>
        <w:t>Glennerster</w:t>
      </w:r>
      <w:proofErr w:type="spellEnd"/>
      <w:r w:rsidRPr="00E35FB0">
        <w:rPr>
          <w:rFonts w:ascii="Times New Roman" w:hAnsi="Times New Roman" w:cs="Times New Roman"/>
          <w:sz w:val="24"/>
          <w:szCs w:val="24"/>
        </w:rPr>
        <w:t>, H. (2004). ‘</w:t>
      </w:r>
      <w:r w:rsidRPr="001E6A09">
        <w:rPr>
          <w:rFonts w:ascii="Times New Roman" w:hAnsi="Times New Roman" w:cs="Times New Roman"/>
          <w:i/>
          <w:iCs/>
          <w:sz w:val="24"/>
          <w:szCs w:val="24"/>
        </w:rPr>
        <w:t>The Context for Rowntree’s Contribution’</w:t>
      </w:r>
      <w:r w:rsidRPr="00E35FB0">
        <w:rPr>
          <w:rFonts w:ascii="Times New Roman" w:hAnsi="Times New Roman" w:cs="Times New Roman"/>
          <w:sz w:val="24"/>
          <w:szCs w:val="24"/>
        </w:rPr>
        <w:t xml:space="preserve">. In H. </w:t>
      </w:r>
      <w:proofErr w:type="spellStart"/>
      <w:r w:rsidRPr="00E35FB0">
        <w:rPr>
          <w:rFonts w:ascii="Times New Roman" w:hAnsi="Times New Roman" w:cs="Times New Roman"/>
          <w:sz w:val="24"/>
          <w:szCs w:val="24"/>
        </w:rPr>
        <w:t>Glennerster</w:t>
      </w:r>
      <w:proofErr w:type="spellEnd"/>
      <w:r w:rsidRPr="00E35FB0">
        <w:rPr>
          <w:rFonts w:ascii="Times New Roman" w:hAnsi="Times New Roman" w:cs="Times New Roman"/>
          <w:sz w:val="24"/>
          <w:szCs w:val="24"/>
        </w:rPr>
        <w:t xml:space="preserve">, J. Hills, D. </w:t>
      </w:r>
      <w:proofErr w:type="spellStart"/>
      <w:r w:rsidRPr="00E35FB0">
        <w:rPr>
          <w:rFonts w:ascii="Times New Roman" w:hAnsi="Times New Roman" w:cs="Times New Roman"/>
          <w:sz w:val="24"/>
          <w:szCs w:val="24"/>
        </w:rPr>
        <w:t>Piachaud</w:t>
      </w:r>
      <w:proofErr w:type="spellEnd"/>
      <w:r w:rsidRPr="00E35FB0">
        <w:rPr>
          <w:rFonts w:ascii="Times New Roman" w:hAnsi="Times New Roman" w:cs="Times New Roman"/>
          <w:sz w:val="24"/>
          <w:szCs w:val="24"/>
        </w:rPr>
        <w:t>, &amp; J. Webb (Eds.),</w:t>
      </w:r>
      <w:r>
        <w:rPr>
          <w:rFonts w:ascii="Times New Roman" w:hAnsi="Times New Roman" w:cs="Times New Roman"/>
          <w:sz w:val="24"/>
          <w:szCs w:val="24"/>
        </w:rPr>
        <w:t xml:space="preserve"> (2004)</w:t>
      </w:r>
      <w:r w:rsidRPr="00E35FB0">
        <w:rPr>
          <w:rFonts w:ascii="Times New Roman" w:hAnsi="Times New Roman" w:cs="Times New Roman"/>
          <w:sz w:val="24"/>
          <w:szCs w:val="24"/>
        </w:rPr>
        <w:t xml:space="preserve"> </w:t>
      </w:r>
      <w:r w:rsidRPr="00E35FB0">
        <w:rPr>
          <w:rFonts w:ascii="Times New Roman" w:hAnsi="Times New Roman" w:cs="Times New Roman"/>
          <w:i/>
          <w:sz w:val="24"/>
          <w:szCs w:val="24"/>
        </w:rPr>
        <w:t>One Hundred Years of Poverty and Policy</w:t>
      </w:r>
      <w:r w:rsidRPr="00E35FB0">
        <w:rPr>
          <w:rFonts w:ascii="Times New Roman" w:hAnsi="Times New Roman" w:cs="Times New Roman"/>
          <w:sz w:val="24"/>
          <w:szCs w:val="24"/>
        </w:rPr>
        <w:t>. York: Joseph Rowntree Foundation.</w:t>
      </w:r>
    </w:p>
    <w:p w14:paraId="523E0B79"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Hills, J. (2004). </w:t>
      </w:r>
      <w:r w:rsidRPr="00E35FB0">
        <w:rPr>
          <w:rFonts w:ascii="Times New Roman" w:hAnsi="Times New Roman" w:cs="Times New Roman"/>
          <w:i/>
          <w:sz w:val="24"/>
          <w:szCs w:val="24"/>
        </w:rPr>
        <w:t>Inequality and the State</w:t>
      </w:r>
      <w:r>
        <w:rPr>
          <w:rFonts w:ascii="Times New Roman" w:hAnsi="Times New Roman" w:cs="Times New Roman"/>
          <w:sz w:val="24"/>
          <w:szCs w:val="24"/>
        </w:rPr>
        <w:t>;</w:t>
      </w:r>
      <w:r w:rsidRPr="0084480B">
        <w:rPr>
          <w:rFonts w:ascii="Times New Roman" w:hAnsi="Times New Roman" w:cs="Times New Roman"/>
          <w:sz w:val="24"/>
          <w:szCs w:val="24"/>
        </w:rPr>
        <w:t xml:space="preserve"> Oxford University Press</w:t>
      </w:r>
      <w:r>
        <w:rPr>
          <w:rFonts w:ascii="Times New Roman" w:hAnsi="Times New Roman" w:cs="Times New Roman"/>
          <w:sz w:val="24"/>
          <w:szCs w:val="24"/>
        </w:rPr>
        <w:t>.</w:t>
      </w:r>
      <w:r w:rsidRPr="00A20FCA">
        <w:rPr>
          <w:rFonts w:ascii="Times New Roman" w:hAnsi="Times New Roman" w:cs="Times New Roman"/>
          <w:sz w:val="24"/>
          <w:szCs w:val="24"/>
        </w:rPr>
        <w:t xml:space="preserve"> </w:t>
      </w:r>
      <w:r>
        <w:rPr>
          <w:rFonts w:ascii="Times New Roman" w:hAnsi="Times New Roman" w:cs="Times New Roman"/>
          <w:sz w:val="24"/>
          <w:szCs w:val="24"/>
        </w:rPr>
        <w:t>Oxford.</w:t>
      </w:r>
    </w:p>
    <w:p w14:paraId="314AF600" w14:textId="77777777" w:rsidR="001E6A09"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Lister, R. (2004). </w:t>
      </w:r>
      <w:r w:rsidRPr="00E35FB0">
        <w:rPr>
          <w:rFonts w:ascii="Times New Roman" w:hAnsi="Times New Roman" w:cs="Times New Roman"/>
          <w:i/>
          <w:sz w:val="24"/>
          <w:szCs w:val="24"/>
        </w:rPr>
        <w:t>Poverty</w:t>
      </w:r>
      <w:r w:rsidRPr="0084480B">
        <w:rPr>
          <w:rFonts w:ascii="Times New Roman" w:hAnsi="Times New Roman" w:cs="Times New Roman"/>
          <w:sz w:val="24"/>
          <w:szCs w:val="24"/>
        </w:rPr>
        <w:t xml:space="preserve">. Cambridge: Polity Press. </w:t>
      </w:r>
    </w:p>
    <w:p w14:paraId="23CC3E0F" w14:textId="77777777" w:rsidR="001E6A09" w:rsidRPr="0084480B" w:rsidRDefault="001E6A09" w:rsidP="001E6A09">
      <w:pPr>
        <w:spacing w:after="0" w:line="360" w:lineRule="auto"/>
        <w:ind w:left="720" w:hanging="720"/>
        <w:rPr>
          <w:rFonts w:ascii="Times New Roman" w:hAnsi="Times New Roman" w:cs="Times New Roman"/>
          <w:sz w:val="24"/>
          <w:szCs w:val="24"/>
        </w:rPr>
      </w:pPr>
      <w:proofErr w:type="spellStart"/>
      <w:r w:rsidRPr="0084480B">
        <w:rPr>
          <w:rFonts w:ascii="Times New Roman" w:hAnsi="Times New Roman" w:cs="Times New Roman"/>
          <w:sz w:val="24"/>
          <w:szCs w:val="24"/>
        </w:rPr>
        <w:t>Niemietz</w:t>
      </w:r>
      <w:proofErr w:type="spellEnd"/>
      <w:r w:rsidRPr="0084480B">
        <w:rPr>
          <w:rFonts w:ascii="Times New Roman" w:hAnsi="Times New Roman" w:cs="Times New Roman"/>
          <w:sz w:val="24"/>
          <w:szCs w:val="24"/>
        </w:rPr>
        <w:t xml:space="preserve">, K. (2011). </w:t>
      </w:r>
      <w:r w:rsidRPr="001E6A09">
        <w:rPr>
          <w:rFonts w:ascii="Times New Roman" w:hAnsi="Times New Roman" w:cs="Times New Roman"/>
          <w:i/>
          <w:iCs/>
          <w:sz w:val="24"/>
          <w:szCs w:val="24"/>
        </w:rPr>
        <w:t>‘A New Understanding of Poverty’</w:t>
      </w:r>
      <w:r>
        <w:rPr>
          <w:rFonts w:ascii="Times New Roman" w:hAnsi="Times New Roman" w:cs="Times New Roman"/>
          <w:sz w:val="24"/>
          <w:szCs w:val="24"/>
        </w:rPr>
        <w:t>;</w:t>
      </w:r>
      <w:r w:rsidRPr="0084480B">
        <w:rPr>
          <w:rFonts w:ascii="Times New Roman" w:hAnsi="Times New Roman" w:cs="Times New Roman"/>
          <w:sz w:val="24"/>
          <w:szCs w:val="24"/>
        </w:rPr>
        <w:t xml:space="preserve"> London: The Institute of Economic Affairs</w:t>
      </w:r>
      <w:r>
        <w:rPr>
          <w:rFonts w:ascii="Times New Roman" w:hAnsi="Times New Roman" w:cs="Times New Roman"/>
          <w:sz w:val="24"/>
          <w:szCs w:val="24"/>
        </w:rPr>
        <w:t>.</w:t>
      </w:r>
    </w:p>
    <w:p w14:paraId="6D759A0A"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Rowntree, B. S. (1901). </w:t>
      </w:r>
      <w:r w:rsidRPr="00E35FB0">
        <w:rPr>
          <w:rFonts w:ascii="Times New Roman" w:hAnsi="Times New Roman" w:cs="Times New Roman"/>
          <w:i/>
          <w:sz w:val="24"/>
          <w:szCs w:val="24"/>
        </w:rPr>
        <w:t>Poverty: A Study of Town Life</w:t>
      </w:r>
      <w:r w:rsidRPr="0084480B">
        <w:rPr>
          <w:rFonts w:ascii="Times New Roman" w:hAnsi="Times New Roman" w:cs="Times New Roman"/>
          <w:sz w:val="24"/>
          <w:szCs w:val="24"/>
        </w:rPr>
        <w:t>. London: Macmillan.</w:t>
      </w:r>
    </w:p>
    <w:p w14:paraId="53A3749B"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Townsend, P. (1979). </w:t>
      </w:r>
      <w:r w:rsidRPr="00E35FB0">
        <w:rPr>
          <w:rFonts w:ascii="Times New Roman" w:hAnsi="Times New Roman" w:cs="Times New Roman"/>
          <w:i/>
          <w:sz w:val="24"/>
          <w:szCs w:val="24"/>
        </w:rPr>
        <w:t>Poverty in the United Kingdom</w:t>
      </w:r>
      <w:r w:rsidRPr="0084480B">
        <w:rPr>
          <w:rFonts w:ascii="Times New Roman" w:hAnsi="Times New Roman" w:cs="Times New Roman"/>
          <w:sz w:val="24"/>
          <w:szCs w:val="24"/>
        </w:rPr>
        <w:t>. Berkeley: University of California Press.</w:t>
      </w:r>
    </w:p>
    <w:p w14:paraId="40BD4BA1"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Townsend, P. (1987). </w:t>
      </w:r>
      <w:r w:rsidRPr="00A20FCA">
        <w:rPr>
          <w:rFonts w:ascii="Times New Roman" w:hAnsi="Times New Roman" w:cs="Times New Roman"/>
          <w:i/>
          <w:sz w:val="24"/>
          <w:szCs w:val="24"/>
        </w:rPr>
        <w:t>Deprivation</w:t>
      </w:r>
      <w:r>
        <w:rPr>
          <w:rFonts w:ascii="Times New Roman" w:hAnsi="Times New Roman" w:cs="Times New Roman"/>
          <w:sz w:val="24"/>
          <w:szCs w:val="24"/>
        </w:rPr>
        <w:t>,</w:t>
      </w:r>
      <w:r w:rsidRPr="0084480B">
        <w:rPr>
          <w:rFonts w:ascii="Times New Roman" w:hAnsi="Times New Roman" w:cs="Times New Roman"/>
          <w:sz w:val="24"/>
          <w:szCs w:val="24"/>
        </w:rPr>
        <w:t xml:space="preserve"> </w:t>
      </w:r>
      <w:r w:rsidRPr="00A20FCA">
        <w:rPr>
          <w:rFonts w:ascii="Times New Roman" w:hAnsi="Times New Roman" w:cs="Times New Roman"/>
          <w:sz w:val="24"/>
          <w:szCs w:val="24"/>
        </w:rPr>
        <w:t>Journal of Social Policy</w:t>
      </w:r>
      <w:r w:rsidRPr="0084480B">
        <w:rPr>
          <w:rFonts w:ascii="Times New Roman" w:hAnsi="Times New Roman" w:cs="Times New Roman"/>
          <w:sz w:val="24"/>
          <w:szCs w:val="24"/>
        </w:rPr>
        <w:t xml:space="preserve">, 15(2), </w:t>
      </w:r>
      <w:r>
        <w:rPr>
          <w:rFonts w:ascii="Times New Roman" w:hAnsi="Times New Roman" w:cs="Times New Roman"/>
          <w:sz w:val="24"/>
          <w:szCs w:val="24"/>
        </w:rPr>
        <w:t xml:space="preserve">pp. </w:t>
      </w:r>
      <w:r w:rsidRPr="0084480B">
        <w:rPr>
          <w:rFonts w:ascii="Times New Roman" w:hAnsi="Times New Roman" w:cs="Times New Roman"/>
          <w:sz w:val="24"/>
          <w:szCs w:val="24"/>
        </w:rPr>
        <w:t>125–146</w:t>
      </w:r>
      <w:r>
        <w:rPr>
          <w:rFonts w:ascii="Times New Roman" w:hAnsi="Times New Roman" w:cs="Times New Roman"/>
          <w:sz w:val="24"/>
          <w:szCs w:val="24"/>
        </w:rPr>
        <w:t>.</w:t>
      </w:r>
    </w:p>
    <w:p w14:paraId="390B39DA" w14:textId="77777777" w:rsidR="001E6A09" w:rsidRPr="0084480B" w:rsidRDefault="001E6A09" w:rsidP="001E6A09">
      <w:pPr>
        <w:spacing w:after="0" w:line="360" w:lineRule="auto"/>
        <w:ind w:left="720" w:hanging="720"/>
        <w:rPr>
          <w:rFonts w:ascii="Times New Roman" w:hAnsi="Times New Roman" w:cs="Times New Roman"/>
          <w:sz w:val="24"/>
          <w:szCs w:val="24"/>
        </w:rPr>
      </w:pPr>
      <w:proofErr w:type="spellStart"/>
      <w:r w:rsidRPr="0084480B">
        <w:rPr>
          <w:rFonts w:ascii="Times New Roman" w:hAnsi="Times New Roman" w:cs="Times New Roman"/>
          <w:sz w:val="24"/>
          <w:szCs w:val="24"/>
        </w:rPr>
        <w:t>Veit</w:t>
      </w:r>
      <w:proofErr w:type="spellEnd"/>
      <w:r w:rsidRPr="0084480B">
        <w:rPr>
          <w:rFonts w:ascii="Times New Roman" w:hAnsi="Times New Roman" w:cs="Times New Roman"/>
          <w:sz w:val="24"/>
          <w:szCs w:val="24"/>
        </w:rPr>
        <w:t xml:space="preserve">-Wilson, J. (1986). </w:t>
      </w:r>
      <w:r w:rsidRPr="001E6A09">
        <w:rPr>
          <w:rFonts w:ascii="Times New Roman" w:hAnsi="Times New Roman" w:cs="Times New Roman"/>
          <w:i/>
          <w:iCs/>
          <w:sz w:val="24"/>
          <w:szCs w:val="24"/>
        </w:rPr>
        <w:t>‘Paradigms of Poverty: A Rehabilitation of B S Rowntree’</w:t>
      </w:r>
      <w:r>
        <w:rPr>
          <w:rFonts w:ascii="Times New Roman" w:hAnsi="Times New Roman" w:cs="Times New Roman"/>
          <w:sz w:val="24"/>
          <w:szCs w:val="24"/>
        </w:rPr>
        <w:t>,</w:t>
      </w:r>
      <w:r w:rsidRPr="0084480B">
        <w:rPr>
          <w:rFonts w:ascii="Times New Roman" w:hAnsi="Times New Roman" w:cs="Times New Roman"/>
          <w:sz w:val="24"/>
          <w:szCs w:val="24"/>
        </w:rPr>
        <w:t xml:space="preserve"> </w:t>
      </w:r>
      <w:r w:rsidRPr="00A20FCA">
        <w:rPr>
          <w:rFonts w:ascii="Times New Roman" w:hAnsi="Times New Roman" w:cs="Times New Roman"/>
          <w:sz w:val="24"/>
          <w:szCs w:val="24"/>
        </w:rPr>
        <w:t>Journal of Social Policy</w:t>
      </w:r>
      <w:r w:rsidRPr="0084480B">
        <w:rPr>
          <w:rFonts w:ascii="Times New Roman" w:hAnsi="Times New Roman" w:cs="Times New Roman"/>
          <w:sz w:val="24"/>
          <w:szCs w:val="24"/>
        </w:rPr>
        <w:t xml:space="preserve">, 15(1), </w:t>
      </w:r>
      <w:r>
        <w:rPr>
          <w:rFonts w:ascii="Times New Roman" w:hAnsi="Times New Roman" w:cs="Times New Roman"/>
          <w:sz w:val="24"/>
          <w:szCs w:val="24"/>
        </w:rPr>
        <w:t xml:space="preserve">pp. </w:t>
      </w:r>
      <w:r w:rsidRPr="0084480B">
        <w:rPr>
          <w:rFonts w:ascii="Times New Roman" w:hAnsi="Times New Roman" w:cs="Times New Roman"/>
          <w:sz w:val="24"/>
          <w:szCs w:val="24"/>
        </w:rPr>
        <w:t>69–99.</w:t>
      </w:r>
    </w:p>
    <w:p w14:paraId="42050292" w14:textId="77777777" w:rsidR="00B578BE" w:rsidRPr="001E6A09" w:rsidRDefault="00B578BE" w:rsidP="00E569C2">
      <w:pPr>
        <w:spacing w:after="0" w:line="360" w:lineRule="auto"/>
        <w:ind w:left="720" w:hanging="720"/>
        <w:rPr>
          <w:rFonts w:ascii="Times New Roman" w:hAnsi="Times New Roman" w:cs="Times New Roman"/>
          <w:sz w:val="24"/>
          <w:szCs w:val="24"/>
        </w:rPr>
      </w:pPr>
    </w:p>
    <w:p w14:paraId="55406A04" w14:textId="77777777" w:rsidR="00B578BE" w:rsidRPr="001E6A09" w:rsidRDefault="00B578BE" w:rsidP="00E569C2">
      <w:pPr>
        <w:spacing w:after="0" w:line="360" w:lineRule="auto"/>
        <w:ind w:left="720" w:hanging="720"/>
        <w:rPr>
          <w:rFonts w:ascii="Times New Roman" w:hAnsi="Times New Roman" w:cs="Times New Roman"/>
          <w:sz w:val="24"/>
          <w:szCs w:val="24"/>
        </w:rPr>
      </w:pPr>
    </w:p>
    <w:p w14:paraId="232FF72B" w14:textId="77777777" w:rsidR="00B578BE" w:rsidRPr="001E6A09" w:rsidRDefault="00B578BE">
      <w:pPr>
        <w:rPr>
          <w:rFonts w:ascii="Times New Roman" w:hAnsi="Times New Roman" w:cs="Times New Roman"/>
          <w:i/>
          <w:sz w:val="24"/>
          <w:szCs w:val="24"/>
        </w:rPr>
      </w:pPr>
      <w:r w:rsidRPr="001E6A09">
        <w:rPr>
          <w:rFonts w:ascii="Times New Roman" w:hAnsi="Times New Roman" w:cs="Times New Roman"/>
          <w:i/>
          <w:sz w:val="24"/>
          <w:szCs w:val="24"/>
        </w:rPr>
        <w:br w:type="page"/>
      </w:r>
    </w:p>
    <w:p w14:paraId="0229ECB0" w14:textId="778B2B7F" w:rsidR="00B578BE" w:rsidRPr="001E6A09" w:rsidRDefault="00B578BE" w:rsidP="00B578BE">
      <w:pPr>
        <w:spacing w:after="0" w:line="240" w:lineRule="auto"/>
        <w:jc w:val="center"/>
        <w:rPr>
          <w:rFonts w:ascii="Times New Roman" w:hAnsi="Times New Roman" w:cs="Times New Roman"/>
          <w:i/>
          <w:sz w:val="24"/>
          <w:szCs w:val="24"/>
        </w:rPr>
      </w:pPr>
      <w:r w:rsidRPr="001E6A09">
        <w:rPr>
          <w:rFonts w:ascii="Times New Roman" w:hAnsi="Times New Roman" w:cs="Times New Roman"/>
          <w:i/>
          <w:sz w:val="24"/>
          <w:szCs w:val="24"/>
        </w:rPr>
        <w:lastRenderedPageBreak/>
        <w:t xml:space="preserve">Part 2 – Use the academic article provided to write </w:t>
      </w:r>
      <w:proofErr w:type="gramStart"/>
      <w:r w:rsidRPr="001E6A09">
        <w:rPr>
          <w:rFonts w:ascii="Times New Roman" w:hAnsi="Times New Roman" w:cs="Times New Roman"/>
          <w:i/>
          <w:sz w:val="24"/>
          <w:szCs w:val="24"/>
        </w:rPr>
        <w:t>a 500 words</w:t>
      </w:r>
      <w:proofErr w:type="gramEnd"/>
      <w:r w:rsidRPr="001E6A09">
        <w:rPr>
          <w:rFonts w:ascii="Times New Roman" w:hAnsi="Times New Roman" w:cs="Times New Roman"/>
          <w:i/>
          <w:sz w:val="24"/>
          <w:szCs w:val="24"/>
        </w:rPr>
        <w:t xml:space="preserve"> academic </w:t>
      </w:r>
      <w:r w:rsidR="00932BDD">
        <w:rPr>
          <w:rFonts w:ascii="Times New Roman" w:hAnsi="Times New Roman" w:cs="Times New Roman"/>
          <w:i/>
          <w:sz w:val="24"/>
          <w:szCs w:val="24"/>
        </w:rPr>
        <w:t xml:space="preserve"> </w:t>
      </w:r>
    </w:p>
    <w:p w14:paraId="1D69DB08" w14:textId="77777777" w:rsidR="00B578BE" w:rsidRPr="001E6A09" w:rsidRDefault="00B578BE" w:rsidP="00B578BE">
      <w:pPr>
        <w:spacing w:after="0" w:line="240" w:lineRule="auto"/>
        <w:jc w:val="center"/>
        <w:rPr>
          <w:rFonts w:ascii="Times New Roman" w:hAnsi="Times New Roman" w:cs="Times New Roman"/>
          <w:i/>
          <w:sz w:val="24"/>
          <w:szCs w:val="24"/>
        </w:rPr>
      </w:pPr>
      <w:r w:rsidRPr="001E6A09">
        <w:rPr>
          <w:rFonts w:ascii="Times New Roman" w:hAnsi="Times New Roman" w:cs="Times New Roman"/>
          <w:i/>
          <w:sz w:val="24"/>
          <w:szCs w:val="24"/>
        </w:rPr>
        <w:t>piece, correctly referenced and in an appropriate academic style.</w:t>
      </w:r>
    </w:p>
    <w:p w14:paraId="6D1A3045" w14:textId="77777777" w:rsidR="001E6A09" w:rsidRPr="00BB4979" w:rsidRDefault="001E6A09" w:rsidP="00B578BE">
      <w:pPr>
        <w:spacing w:after="0" w:line="360" w:lineRule="auto"/>
        <w:rPr>
          <w:rFonts w:ascii="Times New Roman" w:hAnsi="Times New Roman" w:cs="Times New Roman"/>
          <w:i/>
          <w:sz w:val="24"/>
          <w:szCs w:val="24"/>
        </w:rPr>
      </w:pPr>
    </w:p>
    <w:p w14:paraId="2AACE67E" w14:textId="5519693F" w:rsidR="00B578BE" w:rsidRPr="00BB4979" w:rsidRDefault="00C62847" w:rsidP="005B42D9">
      <w:pPr>
        <w:spacing w:after="0" w:line="360" w:lineRule="auto"/>
        <w:jc w:val="both"/>
        <w:rPr>
          <w:rFonts w:ascii="Times New Roman" w:hAnsi="Times New Roman" w:cs="Times New Roman"/>
          <w:iCs/>
          <w:sz w:val="24"/>
          <w:szCs w:val="24"/>
        </w:rPr>
      </w:pPr>
      <w:r w:rsidRPr="00BB4979">
        <w:rPr>
          <w:rFonts w:ascii="Times New Roman" w:hAnsi="Times New Roman" w:cs="Times New Roman"/>
          <w:iCs/>
          <w:sz w:val="24"/>
          <w:szCs w:val="24"/>
        </w:rPr>
        <w:t xml:space="preserve">This </w:t>
      </w:r>
      <w:r w:rsidR="008F10D8" w:rsidRPr="00BB4979">
        <w:rPr>
          <w:rFonts w:ascii="Times New Roman" w:hAnsi="Times New Roman" w:cs="Times New Roman"/>
          <w:iCs/>
          <w:sz w:val="24"/>
          <w:szCs w:val="24"/>
        </w:rPr>
        <w:t>assignment</w:t>
      </w:r>
      <w:r w:rsidRPr="00BB4979">
        <w:rPr>
          <w:rFonts w:ascii="Times New Roman" w:hAnsi="Times New Roman" w:cs="Times New Roman"/>
          <w:iCs/>
          <w:sz w:val="24"/>
          <w:szCs w:val="24"/>
        </w:rPr>
        <w:t xml:space="preserve"> will aim to summarise</w:t>
      </w:r>
      <w:r w:rsidR="008F10D8" w:rsidRPr="00BB4979">
        <w:rPr>
          <w:rFonts w:ascii="Times New Roman" w:hAnsi="Times New Roman" w:cs="Times New Roman"/>
          <w:iCs/>
          <w:sz w:val="24"/>
          <w:szCs w:val="24"/>
        </w:rPr>
        <w:t xml:space="preserve"> whether</w:t>
      </w:r>
      <w:r w:rsidRPr="00BB4979">
        <w:rPr>
          <w:rFonts w:ascii="Times New Roman" w:hAnsi="Times New Roman" w:cs="Times New Roman"/>
          <w:iCs/>
          <w:sz w:val="24"/>
          <w:szCs w:val="24"/>
        </w:rPr>
        <w:t xml:space="preserve"> the</w:t>
      </w:r>
      <w:r w:rsidR="008F10D8" w:rsidRPr="00BB4979">
        <w:rPr>
          <w:rFonts w:ascii="Times New Roman" w:hAnsi="Times New Roman" w:cs="Times New Roman"/>
          <w:iCs/>
          <w:sz w:val="24"/>
          <w:szCs w:val="24"/>
        </w:rPr>
        <w:t xml:space="preserve"> g</w:t>
      </w:r>
      <w:r w:rsidRPr="00BB4979">
        <w:rPr>
          <w:rFonts w:ascii="Times New Roman" w:hAnsi="Times New Roman" w:cs="Times New Roman"/>
          <w:iCs/>
          <w:sz w:val="24"/>
          <w:szCs w:val="24"/>
        </w:rPr>
        <w:t xml:space="preserve">rowing intergenerational socioeconomic inequalities between post war baby boomers and the younger generation of millennials has caused conflict. </w:t>
      </w:r>
      <w:proofErr w:type="spellStart"/>
      <w:r w:rsidRPr="00BB4979">
        <w:rPr>
          <w:rFonts w:ascii="Times New Roman" w:hAnsi="Times New Roman" w:cs="Times New Roman"/>
          <w:iCs/>
          <w:sz w:val="24"/>
          <w:szCs w:val="24"/>
        </w:rPr>
        <w:t>Mannheims</w:t>
      </w:r>
      <w:proofErr w:type="spellEnd"/>
      <w:r w:rsidRPr="00BB4979">
        <w:rPr>
          <w:rFonts w:ascii="Times New Roman" w:hAnsi="Times New Roman" w:cs="Times New Roman"/>
          <w:iCs/>
          <w:sz w:val="24"/>
          <w:szCs w:val="24"/>
        </w:rPr>
        <w:t xml:space="preserve"> theory of social generations, the concept of generational habitus and qualitative data</w:t>
      </w:r>
      <w:r w:rsidR="008F10D8" w:rsidRPr="00BB4979">
        <w:rPr>
          <w:rFonts w:ascii="Times New Roman" w:hAnsi="Times New Roman" w:cs="Times New Roman"/>
          <w:iCs/>
          <w:sz w:val="24"/>
          <w:szCs w:val="24"/>
        </w:rPr>
        <w:t xml:space="preserve"> will be used to</w:t>
      </w:r>
      <w:r w:rsidRPr="00BB4979">
        <w:rPr>
          <w:rFonts w:ascii="Times New Roman" w:hAnsi="Times New Roman" w:cs="Times New Roman"/>
          <w:iCs/>
          <w:sz w:val="24"/>
          <w:szCs w:val="24"/>
        </w:rPr>
        <w:t xml:space="preserve"> explore the ways in which these inequalities are understood and discussed.</w:t>
      </w:r>
      <w:r w:rsidR="008F10D8" w:rsidRPr="00BB4979">
        <w:rPr>
          <w:rFonts w:ascii="Times New Roman" w:hAnsi="Times New Roman" w:cs="Times New Roman"/>
          <w:iCs/>
          <w:sz w:val="24"/>
          <w:szCs w:val="24"/>
        </w:rPr>
        <w:t xml:space="preserve"> This assignment will conclude by considerin</w:t>
      </w:r>
      <w:r w:rsidR="00D7559C">
        <w:rPr>
          <w:rFonts w:ascii="Times New Roman" w:hAnsi="Times New Roman" w:cs="Times New Roman"/>
          <w:iCs/>
          <w:sz w:val="24"/>
          <w:szCs w:val="24"/>
        </w:rPr>
        <w:t>g</w:t>
      </w:r>
      <w:r w:rsidR="008F10D8" w:rsidRPr="00BB4979">
        <w:rPr>
          <w:rFonts w:ascii="Times New Roman" w:hAnsi="Times New Roman" w:cs="Times New Roman"/>
          <w:iCs/>
          <w:sz w:val="24"/>
          <w:szCs w:val="24"/>
        </w:rPr>
        <w:t xml:space="preserve"> narratives surrounding intergenerational inequalities and whether o</w:t>
      </w:r>
      <w:r w:rsidR="005B42D9" w:rsidRPr="00BB4979">
        <w:rPr>
          <w:rFonts w:ascii="Times New Roman" w:hAnsi="Times New Roman" w:cs="Times New Roman"/>
          <w:iCs/>
          <w:sz w:val="24"/>
          <w:szCs w:val="24"/>
        </w:rPr>
        <w:t>r</w:t>
      </w:r>
      <w:r w:rsidR="008F10D8" w:rsidRPr="00BB4979">
        <w:rPr>
          <w:rFonts w:ascii="Times New Roman" w:hAnsi="Times New Roman" w:cs="Times New Roman"/>
          <w:iCs/>
          <w:sz w:val="24"/>
          <w:szCs w:val="24"/>
        </w:rPr>
        <w:t xml:space="preserve"> not they are mislead</w:t>
      </w:r>
      <w:r w:rsidR="00D7559C">
        <w:rPr>
          <w:rFonts w:ascii="Times New Roman" w:hAnsi="Times New Roman" w:cs="Times New Roman"/>
          <w:iCs/>
          <w:sz w:val="24"/>
          <w:szCs w:val="24"/>
        </w:rPr>
        <w:t>ingly</w:t>
      </w:r>
      <w:r w:rsidR="008F10D8" w:rsidRPr="00BB4979">
        <w:rPr>
          <w:rFonts w:ascii="Times New Roman" w:hAnsi="Times New Roman" w:cs="Times New Roman"/>
          <w:iCs/>
          <w:sz w:val="24"/>
          <w:szCs w:val="24"/>
        </w:rPr>
        <w:t xml:space="preserve"> directing blame.</w:t>
      </w:r>
    </w:p>
    <w:p w14:paraId="3F786742" w14:textId="2FA7B6F2" w:rsidR="00BB4979" w:rsidRPr="00BB4979" w:rsidRDefault="008F10D8" w:rsidP="00BB4979">
      <w:pPr>
        <w:spacing w:after="0" w:line="360" w:lineRule="auto"/>
        <w:jc w:val="both"/>
        <w:rPr>
          <w:rFonts w:ascii="Times New Roman" w:hAnsi="Times New Roman" w:cs="Times New Roman"/>
          <w:iCs/>
          <w:sz w:val="24"/>
          <w:szCs w:val="24"/>
        </w:rPr>
      </w:pPr>
      <w:r w:rsidRPr="00BB4979">
        <w:rPr>
          <w:rFonts w:ascii="Times New Roman" w:hAnsi="Times New Roman" w:cs="Times New Roman"/>
          <w:iCs/>
          <w:sz w:val="24"/>
          <w:szCs w:val="24"/>
        </w:rPr>
        <w:t>It is argued by Moore (2016) tha</w:t>
      </w:r>
      <w:r w:rsidR="00D7559C">
        <w:rPr>
          <w:rFonts w:ascii="Times New Roman" w:hAnsi="Times New Roman" w:cs="Times New Roman"/>
          <w:iCs/>
          <w:sz w:val="24"/>
          <w:szCs w:val="24"/>
        </w:rPr>
        <w:t>t</w:t>
      </w:r>
      <w:r w:rsidRPr="00BB4979">
        <w:rPr>
          <w:rFonts w:ascii="Times New Roman" w:hAnsi="Times New Roman" w:cs="Times New Roman"/>
          <w:iCs/>
          <w:sz w:val="24"/>
          <w:szCs w:val="24"/>
        </w:rPr>
        <w:t xml:space="preserve"> the decision to leave the European Union has emphasised a generational divide in regard to inequalities. Socioeconomic disparities between the two generations have been discussed at length by academics, policy makers and political commentators, it is worth noting that there is no clear consensus in the way that the disparities are framed. Bessant et al (2007) takes a relational view as opposed to </w:t>
      </w:r>
      <w:r w:rsidR="005B42D9" w:rsidRPr="00BB4979">
        <w:rPr>
          <w:rFonts w:ascii="Times New Roman" w:hAnsi="Times New Roman" w:cs="Times New Roman"/>
          <w:iCs/>
          <w:sz w:val="24"/>
          <w:szCs w:val="24"/>
        </w:rPr>
        <w:t>a deterministic view and places emphasis on structural inequality. In contrast Berry and Freeland (2011) claim that the generation of baby boomers enjoyed a, ’</w:t>
      </w:r>
      <w:r w:rsidR="00BB4979" w:rsidRPr="00BB4979">
        <w:rPr>
          <w:rFonts w:ascii="Times New Roman" w:hAnsi="Times New Roman" w:cs="Times New Roman"/>
          <w:iCs/>
          <w:sz w:val="24"/>
          <w:szCs w:val="24"/>
        </w:rPr>
        <w:t>21-year</w:t>
      </w:r>
      <w:r w:rsidR="005B42D9" w:rsidRPr="00BB4979">
        <w:rPr>
          <w:rFonts w:ascii="Times New Roman" w:hAnsi="Times New Roman" w:cs="Times New Roman"/>
          <w:iCs/>
          <w:sz w:val="24"/>
          <w:szCs w:val="24"/>
        </w:rPr>
        <w:t xml:space="preserve"> binge,’ at the younger generations expense.</w:t>
      </w:r>
    </w:p>
    <w:p w14:paraId="303FF399" w14:textId="4C656022" w:rsidR="00BB4979" w:rsidRDefault="00BB4979" w:rsidP="00BB4979">
      <w:pPr>
        <w:spacing w:after="0" w:line="360" w:lineRule="auto"/>
        <w:jc w:val="both"/>
        <w:rPr>
          <w:rFonts w:ascii="Times New Roman" w:hAnsi="Times New Roman" w:cs="Times New Roman"/>
          <w:iCs/>
          <w:sz w:val="24"/>
          <w:szCs w:val="24"/>
        </w:rPr>
      </w:pPr>
      <w:r w:rsidRPr="00BB4979">
        <w:rPr>
          <w:rFonts w:ascii="Times New Roman" w:hAnsi="Times New Roman" w:cs="Times New Roman"/>
          <w:iCs/>
          <w:sz w:val="24"/>
          <w:szCs w:val="24"/>
        </w:rPr>
        <w:t>Mannheim (1952</w:t>
      </w:r>
      <w:r w:rsidR="00754A5C">
        <w:rPr>
          <w:rFonts w:ascii="Times New Roman" w:hAnsi="Times New Roman" w:cs="Times New Roman"/>
          <w:iCs/>
          <w:sz w:val="24"/>
          <w:szCs w:val="24"/>
        </w:rPr>
        <w:t>, in Pilcher (1994</w:t>
      </w:r>
      <w:r w:rsidRPr="00BB4979">
        <w:rPr>
          <w:rFonts w:ascii="Times New Roman" w:hAnsi="Times New Roman" w:cs="Times New Roman"/>
          <w:iCs/>
          <w:sz w:val="24"/>
          <w:szCs w:val="24"/>
        </w:rPr>
        <w:t>) was attentive to heterogeneities within a generation and intergenerational differences, with his concept of three interlinked premises; location, actuality and generational units. More recently Woodman and Wyn (2015) extended</w:t>
      </w:r>
      <w:r w:rsidR="00D7559C">
        <w:rPr>
          <w:rFonts w:ascii="Times New Roman" w:hAnsi="Times New Roman" w:cs="Times New Roman"/>
          <w:iCs/>
          <w:sz w:val="24"/>
          <w:szCs w:val="24"/>
        </w:rPr>
        <w:t xml:space="preserve"> </w:t>
      </w:r>
      <w:r w:rsidRPr="00BB4979">
        <w:rPr>
          <w:rFonts w:ascii="Times New Roman" w:hAnsi="Times New Roman" w:cs="Times New Roman"/>
          <w:iCs/>
          <w:sz w:val="24"/>
          <w:szCs w:val="24"/>
        </w:rPr>
        <w:t xml:space="preserve">the concept of perceived generational habitus by connecting it to the thesis </w:t>
      </w:r>
      <w:r w:rsidR="00D7559C" w:rsidRPr="00BB4979">
        <w:rPr>
          <w:rFonts w:ascii="Times New Roman" w:hAnsi="Times New Roman" w:cs="Times New Roman"/>
          <w:iCs/>
          <w:sz w:val="24"/>
          <w:szCs w:val="24"/>
        </w:rPr>
        <w:t>of a</w:t>
      </w:r>
      <w:r w:rsidRPr="00BB4979">
        <w:rPr>
          <w:rFonts w:ascii="Times New Roman" w:hAnsi="Times New Roman" w:cs="Times New Roman"/>
          <w:iCs/>
          <w:sz w:val="24"/>
          <w:szCs w:val="24"/>
        </w:rPr>
        <w:t xml:space="preserve"> ‘risk society.’ Woodman and Wyn (2015) argued that if a young person’s habitus is shaped by their parents and the speed of social change, a child can then develop a ‘cleft habitus.’ Where subjective worldviews are inconsistent with material conditions. </w:t>
      </w:r>
    </w:p>
    <w:p w14:paraId="6675A1D0" w14:textId="2F100AC6" w:rsidR="00EF7C4F" w:rsidRDefault="006808D4" w:rsidP="00BB4979">
      <w:pPr>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Qualitative</w:t>
      </w:r>
      <w:r w:rsidR="00EF7C4F">
        <w:rPr>
          <w:rFonts w:ascii="Times New Roman" w:hAnsi="Times New Roman" w:cs="Times New Roman"/>
          <w:iCs/>
          <w:sz w:val="24"/>
          <w:szCs w:val="24"/>
        </w:rPr>
        <w:t xml:space="preserve"> data collected from two studies investigates the experiencing of housing conditions between </w:t>
      </w:r>
      <w:r w:rsidR="00754A5C">
        <w:rPr>
          <w:rFonts w:ascii="Times New Roman" w:hAnsi="Times New Roman" w:cs="Times New Roman"/>
          <w:iCs/>
          <w:sz w:val="24"/>
          <w:szCs w:val="24"/>
        </w:rPr>
        <w:t>eighteen- and thirty-five-year</w:t>
      </w:r>
      <w:r w:rsidR="00EF7C4F">
        <w:rPr>
          <w:rFonts w:ascii="Times New Roman" w:hAnsi="Times New Roman" w:cs="Times New Roman"/>
          <w:iCs/>
          <w:sz w:val="24"/>
          <w:szCs w:val="24"/>
        </w:rPr>
        <w:t xml:space="preserve"> olds and those aged </w:t>
      </w:r>
      <w:r w:rsidR="00754A5C">
        <w:rPr>
          <w:rFonts w:ascii="Times New Roman" w:hAnsi="Times New Roman" w:cs="Times New Roman"/>
          <w:iCs/>
          <w:sz w:val="24"/>
          <w:szCs w:val="24"/>
        </w:rPr>
        <w:t>forty-five</w:t>
      </w:r>
      <w:r w:rsidR="00EF7C4F">
        <w:rPr>
          <w:rFonts w:ascii="Times New Roman" w:hAnsi="Times New Roman" w:cs="Times New Roman"/>
          <w:iCs/>
          <w:sz w:val="24"/>
          <w:szCs w:val="24"/>
        </w:rPr>
        <w:t xml:space="preserve"> and over</w:t>
      </w:r>
      <w:r>
        <w:rPr>
          <w:rFonts w:ascii="Times New Roman" w:hAnsi="Times New Roman" w:cs="Times New Roman"/>
          <w:iCs/>
          <w:sz w:val="24"/>
          <w:szCs w:val="24"/>
        </w:rPr>
        <w:t xml:space="preserve">. Research </w:t>
      </w:r>
      <w:r w:rsidR="00754A5C">
        <w:rPr>
          <w:rFonts w:ascii="Times New Roman" w:hAnsi="Times New Roman" w:cs="Times New Roman"/>
          <w:iCs/>
          <w:sz w:val="24"/>
          <w:szCs w:val="24"/>
        </w:rPr>
        <w:t>conducted</w:t>
      </w:r>
      <w:r>
        <w:rPr>
          <w:rFonts w:ascii="Times New Roman" w:hAnsi="Times New Roman" w:cs="Times New Roman"/>
          <w:iCs/>
          <w:sz w:val="24"/>
          <w:szCs w:val="24"/>
        </w:rPr>
        <w:t xml:space="preserve"> by the Leverhulme Trust (2011-2014) and </w:t>
      </w:r>
      <w:r w:rsidR="00754A5C">
        <w:rPr>
          <w:rFonts w:ascii="Times New Roman" w:hAnsi="Times New Roman" w:cs="Times New Roman"/>
          <w:iCs/>
          <w:sz w:val="24"/>
          <w:szCs w:val="24"/>
        </w:rPr>
        <w:t>the</w:t>
      </w:r>
      <w:r>
        <w:rPr>
          <w:rFonts w:ascii="Times New Roman" w:hAnsi="Times New Roman" w:cs="Times New Roman"/>
          <w:iCs/>
          <w:sz w:val="24"/>
          <w:szCs w:val="24"/>
        </w:rPr>
        <w:t xml:space="preserve"> Scottish Government (2015) shows that while there is evidence of generational inequality between the millennials and the baby boomers, and the baby boomers did benefit from more stable housing and employment opportuni</w:t>
      </w:r>
      <w:r w:rsidR="00754A5C">
        <w:rPr>
          <w:rFonts w:ascii="Times New Roman" w:hAnsi="Times New Roman" w:cs="Times New Roman"/>
          <w:iCs/>
          <w:sz w:val="24"/>
          <w:szCs w:val="24"/>
        </w:rPr>
        <w:t>ti</w:t>
      </w:r>
      <w:r>
        <w:rPr>
          <w:rFonts w:ascii="Times New Roman" w:hAnsi="Times New Roman" w:cs="Times New Roman"/>
          <w:iCs/>
          <w:sz w:val="24"/>
          <w:szCs w:val="24"/>
        </w:rPr>
        <w:t>es than the millennials, the millennial generation do not attribute the struggles they face to the older generation. (Howker and Malik, 2010).</w:t>
      </w:r>
    </w:p>
    <w:p w14:paraId="1CE3E10E" w14:textId="49EDCC3B" w:rsidR="006808D4" w:rsidRDefault="00992359" w:rsidP="00BB4979">
      <w:pPr>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In conclusion, by e</w:t>
      </w:r>
      <w:r w:rsidRPr="00992359">
        <w:rPr>
          <w:rFonts w:ascii="Times New Roman" w:hAnsi="Times New Roman" w:cs="Times New Roman"/>
          <w:iCs/>
          <w:sz w:val="24"/>
          <w:szCs w:val="24"/>
        </w:rPr>
        <w:t>x</w:t>
      </w:r>
      <w:r w:rsidR="005063E1">
        <w:rPr>
          <w:rFonts w:ascii="Times New Roman" w:hAnsi="Times New Roman" w:cs="Times New Roman"/>
          <w:iCs/>
          <w:sz w:val="24"/>
          <w:szCs w:val="24"/>
        </w:rPr>
        <w:t>aminig the</w:t>
      </w:r>
      <w:r w:rsidRPr="00992359">
        <w:rPr>
          <w:rFonts w:ascii="Times New Roman" w:hAnsi="Times New Roman" w:cs="Times New Roman"/>
          <w:iCs/>
          <w:sz w:val="24"/>
          <w:szCs w:val="24"/>
        </w:rPr>
        <w:t xml:space="preserve"> inter-generational inequalities from an intersubjective</w:t>
      </w:r>
      <w:r w:rsidR="005063E1">
        <w:rPr>
          <w:rFonts w:ascii="Times New Roman" w:hAnsi="Times New Roman" w:cs="Times New Roman"/>
          <w:iCs/>
          <w:sz w:val="24"/>
          <w:szCs w:val="24"/>
        </w:rPr>
        <w:t xml:space="preserve"> and </w:t>
      </w:r>
      <w:r w:rsidRPr="00992359">
        <w:rPr>
          <w:rFonts w:ascii="Times New Roman" w:hAnsi="Times New Roman" w:cs="Times New Roman"/>
          <w:iCs/>
          <w:sz w:val="24"/>
          <w:szCs w:val="24"/>
        </w:rPr>
        <w:t xml:space="preserve">relational </w:t>
      </w:r>
      <w:r w:rsidR="005063E1">
        <w:rPr>
          <w:rFonts w:ascii="Times New Roman" w:hAnsi="Times New Roman" w:cs="Times New Roman"/>
          <w:iCs/>
          <w:sz w:val="24"/>
          <w:szCs w:val="24"/>
        </w:rPr>
        <w:t>standpoint</w:t>
      </w:r>
      <w:r>
        <w:rPr>
          <w:rFonts w:ascii="Times New Roman" w:hAnsi="Times New Roman" w:cs="Times New Roman"/>
          <w:iCs/>
          <w:sz w:val="24"/>
          <w:szCs w:val="24"/>
        </w:rPr>
        <w:t>, is a way of</w:t>
      </w:r>
      <w:r w:rsidRPr="00992359">
        <w:rPr>
          <w:rFonts w:ascii="Times New Roman" w:hAnsi="Times New Roman" w:cs="Times New Roman"/>
          <w:iCs/>
          <w:sz w:val="24"/>
          <w:szCs w:val="24"/>
        </w:rPr>
        <w:t xml:space="preserve"> bring</w:t>
      </w:r>
      <w:r w:rsidR="005063E1">
        <w:rPr>
          <w:rFonts w:ascii="Times New Roman" w:hAnsi="Times New Roman" w:cs="Times New Roman"/>
          <w:iCs/>
          <w:sz w:val="24"/>
          <w:szCs w:val="24"/>
        </w:rPr>
        <w:t>ing</w:t>
      </w:r>
      <w:r w:rsidRPr="00992359">
        <w:rPr>
          <w:rFonts w:ascii="Times New Roman" w:hAnsi="Times New Roman" w:cs="Times New Roman"/>
          <w:iCs/>
          <w:sz w:val="24"/>
          <w:szCs w:val="24"/>
        </w:rPr>
        <w:t xml:space="preserve"> attention to</w:t>
      </w:r>
      <w:r w:rsidR="005063E1">
        <w:rPr>
          <w:rFonts w:ascii="Times New Roman" w:hAnsi="Times New Roman" w:cs="Times New Roman"/>
          <w:iCs/>
          <w:sz w:val="24"/>
          <w:szCs w:val="24"/>
        </w:rPr>
        <w:t xml:space="preserve"> perceived</w:t>
      </w:r>
      <w:r w:rsidRPr="00992359">
        <w:rPr>
          <w:rFonts w:ascii="Times New Roman" w:hAnsi="Times New Roman" w:cs="Times New Roman"/>
          <w:iCs/>
          <w:sz w:val="24"/>
          <w:szCs w:val="24"/>
        </w:rPr>
        <w:t xml:space="preserve"> structural inequalities</w:t>
      </w:r>
      <w:r w:rsidR="005063E1">
        <w:rPr>
          <w:rFonts w:ascii="Times New Roman" w:hAnsi="Times New Roman" w:cs="Times New Roman"/>
          <w:iCs/>
          <w:sz w:val="24"/>
          <w:szCs w:val="24"/>
        </w:rPr>
        <w:t xml:space="preserve"> experienced by different generations in society</w:t>
      </w:r>
      <w:r w:rsidRPr="00992359">
        <w:rPr>
          <w:rFonts w:ascii="Times New Roman" w:hAnsi="Times New Roman" w:cs="Times New Roman"/>
          <w:iCs/>
          <w:sz w:val="24"/>
          <w:szCs w:val="24"/>
        </w:rPr>
        <w:t>,</w:t>
      </w:r>
      <w:r w:rsidR="005063E1">
        <w:rPr>
          <w:rFonts w:ascii="Times New Roman" w:hAnsi="Times New Roman" w:cs="Times New Roman"/>
          <w:iCs/>
          <w:sz w:val="24"/>
          <w:szCs w:val="24"/>
        </w:rPr>
        <w:t xml:space="preserve"> and</w:t>
      </w:r>
      <w:r w:rsidRPr="00992359">
        <w:rPr>
          <w:rFonts w:ascii="Times New Roman" w:hAnsi="Times New Roman" w:cs="Times New Roman"/>
          <w:iCs/>
          <w:sz w:val="24"/>
          <w:szCs w:val="24"/>
        </w:rPr>
        <w:t xml:space="preserve"> enables a</w:t>
      </w:r>
      <w:r w:rsidR="005063E1">
        <w:rPr>
          <w:rFonts w:ascii="Times New Roman" w:hAnsi="Times New Roman" w:cs="Times New Roman"/>
          <w:iCs/>
          <w:sz w:val="24"/>
          <w:szCs w:val="24"/>
        </w:rPr>
        <w:t xml:space="preserve"> way of</w:t>
      </w:r>
      <w:r w:rsidRPr="00992359">
        <w:rPr>
          <w:rFonts w:ascii="Times New Roman" w:hAnsi="Times New Roman" w:cs="Times New Roman"/>
          <w:iCs/>
          <w:sz w:val="24"/>
          <w:szCs w:val="24"/>
        </w:rPr>
        <w:t xml:space="preserve"> understanding how </w:t>
      </w:r>
      <w:r w:rsidR="005063E1">
        <w:rPr>
          <w:rFonts w:ascii="Times New Roman" w:hAnsi="Times New Roman" w:cs="Times New Roman"/>
          <w:iCs/>
          <w:sz w:val="24"/>
          <w:szCs w:val="24"/>
        </w:rPr>
        <w:t>individuals</w:t>
      </w:r>
      <w:r w:rsidRPr="00992359">
        <w:rPr>
          <w:rFonts w:ascii="Times New Roman" w:hAnsi="Times New Roman" w:cs="Times New Roman"/>
          <w:iCs/>
          <w:sz w:val="24"/>
          <w:szCs w:val="24"/>
        </w:rPr>
        <w:t xml:space="preserve"> (from different generations) react and interact with chang</w:t>
      </w:r>
      <w:r w:rsidR="005063E1">
        <w:rPr>
          <w:rFonts w:ascii="Times New Roman" w:hAnsi="Times New Roman" w:cs="Times New Roman"/>
          <w:iCs/>
          <w:sz w:val="24"/>
          <w:szCs w:val="24"/>
        </w:rPr>
        <w:t>es in</w:t>
      </w:r>
      <w:r w:rsidRPr="00992359">
        <w:rPr>
          <w:rFonts w:ascii="Times New Roman" w:hAnsi="Times New Roman" w:cs="Times New Roman"/>
          <w:iCs/>
          <w:sz w:val="24"/>
          <w:szCs w:val="24"/>
        </w:rPr>
        <w:t xml:space="preserve"> market conditions.</w:t>
      </w:r>
      <w:r>
        <w:rPr>
          <w:rFonts w:ascii="Times New Roman" w:hAnsi="Times New Roman" w:cs="Times New Roman"/>
          <w:iCs/>
          <w:sz w:val="24"/>
          <w:szCs w:val="24"/>
        </w:rPr>
        <w:t xml:space="preserve"> </w:t>
      </w:r>
      <w:r>
        <w:rPr>
          <w:rFonts w:ascii="Times New Roman" w:hAnsi="Times New Roman" w:cs="Times New Roman"/>
          <w:iCs/>
          <w:sz w:val="24"/>
          <w:szCs w:val="24"/>
        </w:rPr>
        <w:lastRenderedPageBreak/>
        <w:t xml:space="preserve">The </w:t>
      </w:r>
      <w:r w:rsidRPr="00992359">
        <w:rPr>
          <w:rFonts w:ascii="Times New Roman" w:hAnsi="Times New Roman" w:cs="Times New Roman"/>
          <w:iCs/>
          <w:sz w:val="24"/>
          <w:szCs w:val="24"/>
        </w:rPr>
        <w:t xml:space="preserve">concept of a cleft generational habitus, captures the disharmony that many Millennials currently experience which </w:t>
      </w:r>
      <w:r w:rsidR="005063E1">
        <w:rPr>
          <w:rFonts w:ascii="Times New Roman" w:hAnsi="Times New Roman" w:cs="Times New Roman"/>
          <w:iCs/>
          <w:sz w:val="24"/>
          <w:szCs w:val="24"/>
        </w:rPr>
        <w:t>supports a needed</w:t>
      </w:r>
      <w:r w:rsidRPr="00992359">
        <w:rPr>
          <w:rFonts w:ascii="Times New Roman" w:hAnsi="Times New Roman" w:cs="Times New Roman"/>
          <w:iCs/>
          <w:sz w:val="24"/>
          <w:szCs w:val="24"/>
        </w:rPr>
        <w:t xml:space="preserve"> relational approach</w:t>
      </w:r>
      <w:r>
        <w:rPr>
          <w:rFonts w:ascii="Times New Roman" w:hAnsi="Times New Roman" w:cs="Times New Roman"/>
          <w:iCs/>
          <w:sz w:val="24"/>
          <w:szCs w:val="24"/>
        </w:rPr>
        <w:t xml:space="preserve"> </w:t>
      </w:r>
      <w:r w:rsidR="005063E1">
        <w:rPr>
          <w:rFonts w:ascii="Times New Roman" w:hAnsi="Times New Roman" w:cs="Times New Roman"/>
          <w:iCs/>
          <w:sz w:val="24"/>
          <w:szCs w:val="24"/>
        </w:rPr>
        <w:t xml:space="preserve">to the </w:t>
      </w:r>
      <w:r w:rsidRPr="00992359">
        <w:rPr>
          <w:rFonts w:ascii="Times New Roman" w:hAnsi="Times New Roman" w:cs="Times New Roman"/>
          <w:iCs/>
          <w:sz w:val="24"/>
          <w:szCs w:val="24"/>
        </w:rPr>
        <w:t>concept</w:t>
      </w:r>
      <w:r w:rsidR="005063E1">
        <w:rPr>
          <w:rFonts w:ascii="Times New Roman" w:hAnsi="Times New Roman" w:cs="Times New Roman"/>
          <w:iCs/>
          <w:sz w:val="24"/>
          <w:szCs w:val="24"/>
        </w:rPr>
        <w:t>. Consideration also needs to be given to the</w:t>
      </w:r>
      <w:r>
        <w:rPr>
          <w:rFonts w:ascii="Times New Roman" w:hAnsi="Times New Roman" w:cs="Times New Roman"/>
          <w:iCs/>
          <w:sz w:val="24"/>
          <w:szCs w:val="24"/>
        </w:rPr>
        <w:t xml:space="preserve"> </w:t>
      </w:r>
      <w:r w:rsidR="005063E1">
        <w:rPr>
          <w:rFonts w:ascii="Times New Roman" w:hAnsi="Times New Roman" w:cs="Times New Roman"/>
          <w:iCs/>
          <w:sz w:val="24"/>
          <w:szCs w:val="24"/>
        </w:rPr>
        <w:t>c</w:t>
      </w:r>
      <w:r w:rsidRPr="00992359">
        <w:rPr>
          <w:rFonts w:ascii="Times New Roman" w:hAnsi="Times New Roman" w:cs="Times New Roman"/>
          <w:iCs/>
          <w:sz w:val="24"/>
          <w:szCs w:val="24"/>
        </w:rPr>
        <w:t xml:space="preserve">omparisons </w:t>
      </w:r>
      <w:r w:rsidR="005063E1">
        <w:rPr>
          <w:rFonts w:ascii="Times New Roman" w:hAnsi="Times New Roman" w:cs="Times New Roman"/>
          <w:iCs/>
          <w:sz w:val="24"/>
          <w:szCs w:val="24"/>
        </w:rPr>
        <w:t xml:space="preserve">made </w:t>
      </w:r>
      <w:r w:rsidRPr="00992359">
        <w:rPr>
          <w:rFonts w:ascii="Times New Roman" w:hAnsi="Times New Roman" w:cs="Times New Roman"/>
          <w:iCs/>
          <w:sz w:val="24"/>
          <w:szCs w:val="24"/>
        </w:rPr>
        <w:t xml:space="preserve">between and within different </w:t>
      </w:r>
      <w:r w:rsidR="005063E1">
        <w:rPr>
          <w:rFonts w:ascii="Times New Roman" w:hAnsi="Times New Roman" w:cs="Times New Roman"/>
          <w:iCs/>
          <w:sz w:val="24"/>
          <w:szCs w:val="24"/>
        </w:rPr>
        <w:t>cultures</w:t>
      </w:r>
      <w:r w:rsidRPr="00992359">
        <w:rPr>
          <w:rFonts w:ascii="Times New Roman" w:hAnsi="Times New Roman" w:cs="Times New Roman"/>
          <w:iCs/>
          <w:sz w:val="24"/>
          <w:szCs w:val="24"/>
        </w:rPr>
        <w:t xml:space="preserve"> in different parts of the world, which can shed light on similarities and variances reveal</w:t>
      </w:r>
      <w:r w:rsidR="005063E1">
        <w:rPr>
          <w:rFonts w:ascii="Times New Roman" w:hAnsi="Times New Roman" w:cs="Times New Roman"/>
          <w:iCs/>
          <w:sz w:val="24"/>
          <w:szCs w:val="24"/>
        </w:rPr>
        <w:t>ing</w:t>
      </w:r>
      <w:r w:rsidRPr="00992359">
        <w:rPr>
          <w:rFonts w:ascii="Times New Roman" w:hAnsi="Times New Roman" w:cs="Times New Roman"/>
          <w:iCs/>
          <w:sz w:val="24"/>
          <w:szCs w:val="24"/>
        </w:rPr>
        <w:t xml:space="preserve"> inequalities</w:t>
      </w:r>
      <w:r w:rsidR="005063E1">
        <w:rPr>
          <w:rFonts w:ascii="Times New Roman" w:hAnsi="Times New Roman" w:cs="Times New Roman"/>
          <w:iCs/>
          <w:sz w:val="24"/>
          <w:szCs w:val="24"/>
        </w:rPr>
        <w:t xml:space="preserve"> that may or may not exist</w:t>
      </w:r>
      <w:r w:rsidRPr="00992359">
        <w:rPr>
          <w:rFonts w:ascii="Times New Roman" w:hAnsi="Times New Roman" w:cs="Times New Roman"/>
          <w:iCs/>
          <w:sz w:val="24"/>
          <w:szCs w:val="24"/>
        </w:rPr>
        <w:t>. It is therefore a valuable theoretical approach for better understanding the nuances of contemporary inter-generational inequalities.</w:t>
      </w:r>
      <w:r w:rsidR="005063E1">
        <w:rPr>
          <w:rFonts w:ascii="Times New Roman" w:hAnsi="Times New Roman" w:cs="Times New Roman"/>
          <w:iCs/>
          <w:sz w:val="24"/>
          <w:szCs w:val="24"/>
        </w:rPr>
        <w:t xml:space="preserve"> More research is needed not just on a local UK level, but on a global level to discover the depth of which generational equalities exist and the impact they have on different generations.</w:t>
      </w:r>
    </w:p>
    <w:p w14:paraId="6DA7E169" w14:textId="77777777" w:rsidR="006808D4" w:rsidRDefault="006808D4" w:rsidP="00BB4979">
      <w:pPr>
        <w:spacing w:after="0" w:line="360" w:lineRule="auto"/>
        <w:jc w:val="both"/>
        <w:rPr>
          <w:rFonts w:ascii="Times New Roman" w:hAnsi="Times New Roman" w:cs="Times New Roman"/>
          <w:iCs/>
          <w:sz w:val="24"/>
          <w:szCs w:val="24"/>
        </w:rPr>
      </w:pPr>
    </w:p>
    <w:p w14:paraId="5847B657" w14:textId="522B0E7B" w:rsidR="00EF7C4F" w:rsidRDefault="00EF7C4F" w:rsidP="00BB4979">
      <w:pPr>
        <w:spacing w:after="0" w:line="360" w:lineRule="auto"/>
        <w:jc w:val="both"/>
        <w:rPr>
          <w:rFonts w:ascii="Times New Roman" w:hAnsi="Times New Roman" w:cs="Times New Roman"/>
          <w:iCs/>
          <w:sz w:val="24"/>
          <w:szCs w:val="24"/>
        </w:rPr>
      </w:pPr>
    </w:p>
    <w:p w14:paraId="637D7BDA" w14:textId="77777777" w:rsidR="00754A5C" w:rsidRDefault="00754A5C" w:rsidP="00BB4979">
      <w:pPr>
        <w:spacing w:after="0" w:line="360" w:lineRule="auto"/>
        <w:jc w:val="both"/>
        <w:rPr>
          <w:rFonts w:ascii="Times New Roman" w:hAnsi="Times New Roman" w:cs="Times New Roman"/>
          <w:iCs/>
          <w:sz w:val="24"/>
          <w:szCs w:val="24"/>
        </w:rPr>
      </w:pPr>
    </w:p>
    <w:p w14:paraId="044A9BA2" w14:textId="42C0CE79" w:rsidR="00754A5C" w:rsidRDefault="00754A5C" w:rsidP="00BB4979">
      <w:pPr>
        <w:spacing w:after="0" w:line="360" w:lineRule="auto"/>
        <w:jc w:val="both"/>
        <w:rPr>
          <w:rFonts w:ascii="Times New Roman" w:hAnsi="Times New Roman" w:cs="Times New Roman"/>
          <w:b/>
          <w:bCs/>
          <w:iCs/>
          <w:sz w:val="24"/>
          <w:szCs w:val="24"/>
          <w:u w:val="single"/>
        </w:rPr>
      </w:pPr>
    </w:p>
    <w:p w14:paraId="79BDC607" w14:textId="00630517" w:rsidR="005063E1" w:rsidRDefault="005063E1" w:rsidP="00BB4979">
      <w:pPr>
        <w:spacing w:after="0" w:line="360" w:lineRule="auto"/>
        <w:jc w:val="both"/>
        <w:rPr>
          <w:rFonts w:ascii="Times New Roman" w:hAnsi="Times New Roman" w:cs="Times New Roman"/>
          <w:b/>
          <w:bCs/>
          <w:iCs/>
          <w:sz w:val="24"/>
          <w:szCs w:val="24"/>
          <w:u w:val="single"/>
        </w:rPr>
      </w:pPr>
    </w:p>
    <w:p w14:paraId="71C6F149" w14:textId="7823649F" w:rsidR="005063E1" w:rsidRDefault="005063E1" w:rsidP="00BB4979">
      <w:pPr>
        <w:spacing w:after="0" w:line="360" w:lineRule="auto"/>
        <w:jc w:val="both"/>
        <w:rPr>
          <w:rFonts w:ascii="Times New Roman" w:hAnsi="Times New Roman" w:cs="Times New Roman"/>
          <w:b/>
          <w:bCs/>
          <w:iCs/>
          <w:sz w:val="24"/>
          <w:szCs w:val="24"/>
          <w:u w:val="single"/>
        </w:rPr>
      </w:pPr>
    </w:p>
    <w:p w14:paraId="00D80D98" w14:textId="7B8E2DFF" w:rsidR="005063E1" w:rsidRDefault="005063E1" w:rsidP="00BB4979">
      <w:pPr>
        <w:spacing w:after="0" w:line="360" w:lineRule="auto"/>
        <w:jc w:val="both"/>
        <w:rPr>
          <w:rFonts w:ascii="Times New Roman" w:hAnsi="Times New Roman" w:cs="Times New Roman"/>
          <w:b/>
          <w:bCs/>
          <w:iCs/>
          <w:sz w:val="24"/>
          <w:szCs w:val="24"/>
          <w:u w:val="single"/>
        </w:rPr>
      </w:pPr>
    </w:p>
    <w:p w14:paraId="18878F2B" w14:textId="238C297B" w:rsidR="005063E1" w:rsidRDefault="005063E1" w:rsidP="00BB4979">
      <w:pPr>
        <w:spacing w:after="0" w:line="360" w:lineRule="auto"/>
        <w:jc w:val="both"/>
        <w:rPr>
          <w:rFonts w:ascii="Times New Roman" w:hAnsi="Times New Roman" w:cs="Times New Roman"/>
          <w:b/>
          <w:bCs/>
          <w:iCs/>
          <w:sz w:val="24"/>
          <w:szCs w:val="24"/>
          <w:u w:val="single"/>
        </w:rPr>
      </w:pPr>
    </w:p>
    <w:p w14:paraId="53202AC0" w14:textId="1414E424" w:rsidR="005063E1" w:rsidRDefault="005063E1" w:rsidP="00BB4979">
      <w:pPr>
        <w:spacing w:after="0" w:line="360" w:lineRule="auto"/>
        <w:jc w:val="both"/>
        <w:rPr>
          <w:rFonts w:ascii="Times New Roman" w:hAnsi="Times New Roman" w:cs="Times New Roman"/>
          <w:b/>
          <w:bCs/>
          <w:iCs/>
          <w:sz w:val="24"/>
          <w:szCs w:val="24"/>
          <w:u w:val="single"/>
        </w:rPr>
      </w:pPr>
    </w:p>
    <w:p w14:paraId="0080EB22" w14:textId="6CC937B6" w:rsidR="005063E1" w:rsidRDefault="005063E1" w:rsidP="00BB4979">
      <w:pPr>
        <w:spacing w:after="0" w:line="360" w:lineRule="auto"/>
        <w:jc w:val="both"/>
        <w:rPr>
          <w:rFonts w:ascii="Times New Roman" w:hAnsi="Times New Roman" w:cs="Times New Roman"/>
          <w:b/>
          <w:bCs/>
          <w:iCs/>
          <w:sz w:val="24"/>
          <w:szCs w:val="24"/>
          <w:u w:val="single"/>
        </w:rPr>
      </w:pPr>
    </w:p>
    <w:p w14:paraId="7E6B4271" w14:textId="73E0E20F" w:rsidR="005063E1" w:rsidRDefault="005063E1" w:rsidP="00BB4979">
      <w:pPr>
        <w:spacing w:after="0" w:line="360" w:lineRule="auto"/>
        <w:jc w:val="both"/>
        <w:rPr>
          <w:rFonts w:ascii="Times New Roman" w:hAnsi="Times New Roman" w:cs="Times New Roman"/>
          <w:b/>
          <w:bCs/>
          <w:iCs/>
          <w:sz w:val="24"/>
          <w:szCs w:val="24"/>
          <w:u w:val="single"/>
        </w:rPr>
      </w:pPr>
    </w:p>
    <w:p w14:paraId="154D40C7" w14:textId="4FBAD85A" w:rsidR="005063E1" w:rsidRDefault="005063E1" w:rsidP="00BB4979">
      <w:pPr>
        <w:spacing w:after="0" w:line="360" w:lineRule="auto"/>
        <w:jc w:val="both"/>
        <w:rPr>
          <w:rFonts w:ascii="Times New Roman" w:hAnsi="Times New Roman" w:cs="Times New Roman"/>
          <w:b/>
          <w:bCs/>
          <w:iCs/>
          <w:sz w:val="24"/>
          <w:szCs w:val="24"/>
          <w:u w:val="single"/>
        </w:rPr>
      </w:pPr>
    </w:p>
    <w:p w14:paraId="4E0AC82A" w14:textId="0EADDA70" w:rsidR="005063E1" w:rsidRDefault="005063E1" w:rsidP="00BB4979">
      <w:pPr>
        <w:spacing w:after="0" w:line="360" w:lineRule="auto"/>
        <w:jc w:val="both"/>
        <w:rPr>
          <w:rFonts w:ascii="Times New Roman" w:hAnsi="Times New Roman" w:cs="Times New Roman"/>
          <w:b/>
          <w:bCs/>
          <w:iCs/>
          <w:sz w:val="24"/>
          <w:szCs w:val="24"/>
          <w:u w:val="single"/>
        </w:rPr>
      </w:pPr>
    </w:p>
    <w:p w14:paraId="3EA1B2BC" w14:textId="5C52AB0A" w:rsidR="005063E1" w:rsidRDefault="005063E1" w:rsidP="00BB4979">
      <w:pPr>
        <w:spacing w:after="0" w:line="360" w:lineRule="auto"/>
        <w:jc w:val="both"/>
        <w:rPr>
          <w:rFonts w:ascii="Times New Roman" w:hAnsi="Times New Roman" w:cs="Times New Roman"/>
          <w:b/>
          <w:bCs/>
          <w:iCs/>
          <w:sz w:val="24"/>
          <w:szCs w:val="24"/>
          <w:u w:val="single"/>
        </w:rPr>
      </w:pPr>
    </w:p>
    <w:p w14:paraId="6A78892E" w14:textId="2D338ECA" w:rsidR="005063E1" w:rsidRDefault="005063E1" w:rsidP="00BB4979">
      <w:pPr>
        <w:spacing w:after="0" w:line="360" w:lineRule="auto"/>
        <w:jc w:val="both"/>
        <w:rPr>
          <w:rFonts w:ascii="Times New Roman" w:hAnsi="Times New Roman" w:cs="Times New Roman"/>
          <w:b/>
          <w:bCs/>
          <w:iCs/>
          <w:sz w:val="24"/>
          <w:szCs w:val="24"/>
          <w:u w:val="single"/>
        </w:rPr>
      </w:pPr>
    </w:p>
    <w:p w14:paraId="2DF9B67F" w14:textId="5FDAFB2E" w:rsidR="005063E1" w:rsidRDefault="005063E1" w:rsidP="00BB4979">
      <w:pPr>
        <w:spacing w:after="0" w:line="360" w:lineRule="auto"/>
        <w:jc w:val="both"/>
        <w:rPr>
          <w:rFonts w:ascii="Times New Roman" w:hAnsi="Times New Roman" w:cs="Times New Roman"/>
          <w:b/>
          <w:bCs/>
          <w:iCs/>
          <w:sz w:val="24"/>
          <w:szCs w:val="24"/>
          <w:u w:val="single"/>
        </w:rPr>
      </w:pPr>
      <w:bookmarkStart w:id="0" w:name="_GoBack"/>
      <w:bookmarkEnd w:id="0"/>
    </w:p>
    <w:p w14:paraId="6EE2F3C4" w14:textId="13AEA12A" w:rsidR="005063E1" w:rsidRDefault="005063E1" w:rsidP="00BB4979">
      <w:pPr>
        <w:spacing w:after="0" w:line="360" w:lineRule="auto"/>
        <w:jc w:val="both"/>
        <w:rPr>
          <w:rFonts w:ascii="Times New Roman" w:hAnsi="Times New Roman" w:cs="Times New Roman"/>
          <w:b/>
          <w:bCs/>
          <w:iCs/>
          <w:sz w:val="24"/>
          <w:szCs w:val="24"/>
          <w:u w:val="single"/>
        </w:rPr>
      </w:pPr>
    </w:p>
    <w:p w14:paraId="2D697E95" w14:textId="4329E80E" w:rsidR="005063E1" w:rsidRDefault="005063E1" w:rsidP="00BB4979">
      <w:pPr>
        <w:spacing w:after="0" w:line="360" w:lineRule="auto"/>
        <w:jc w:val="both"/>
        <w:rPr>
          <w:rFonts w:ascii="Times New Roman" w:hAnsi="Times New Roman" w:cs="Times New Roman"/>
          <w:b/>
          <w:bCs/>
          <w:iCs/>
          <w:sz w:val="24"/>
          <w:szCs w:val="24"/>
          <w:u w:val="single"/>
        </w:rPr>
      </w:pPr>
    </w:p>
    <w:p w14:paraId="39B83754" w14:textId="6B2F6DFA" w:rsidR="005063E1" w:rsidRDefault="005063E1" w:rsidP="00BB4979">
      <w:pPr>
        <w:spacing w:after="0" w:line="360" w:lineRule="auto"/>
        <w:jc w:val="both"/>
        <w:rPr>
          <w:rFonts w:ascii="Times New Roman" w:hAnsi="Times New Roman" w:cs="Times New Roman"/>
          <w:b/>
          <w:bCs/>
          <w:iCs/>
          <w:sz w:val="24"/>
          <w:szCs w:val="24"/>
          <w:u w:val="single"/>
        </w:rPr>
      </w:pPr>
    </w:p>
    <w:p w14:paraId="159AEF35" w14:textId="73D78091" w:rsidR="005063E1" w:rsidRDefault="005063E1" w:rsidP="00BB4979">
      <w:pPr>
        <w:spacing w:after="0" w:line="360" w:lineRule="auto"/>
        <w:jc w:val="both"/>
        <w:rPr>
          <w:rFonts w:ascii="Times New Roman" w:hAnsi="Times New Roman" w:cs="Times New Roman"/>
          <w:b/>
          <w:bCs/>
          <w:iCs/>
          <w:sz w:val="24"/>
          <w:szCs w:val="24"/>
          <w:u w:val="single"/>
        </w:rPr>
      </w:pPr>
    </w:p>
    <w:p w14:paraId="2D6C4359" w14:textId="2D606CCC" w:rsidR="005063E1" w:rsidRDefault="005063E1" w:rsidP="00BB4979">
      <w:pPr>
        <w:spacing w:after="0" w:line="360" w:lineRule="auto"/>
        <w:jc w:val="both"/>
        <w:rPr>
          <w:rFonts w:ascii="Times New Roman" w:hAnsi="Times New Roman" w:cs="Times New Roman"/>
          <w:b/>
          <w:bCs/>
          <w:iCs/>
          <w:sz w:val="24"/>
          <w:szCs w:val="24"/>
          <w:u w:val="single"/>
        </w:rPr>
      </w:pPr>
    </w:p>
    <w:p w14:paraId="673AA22D" w14:textId="4F6C90E8" w:rsidR="005063E1" w:rsidRDefault="005063E1" w:rsidP="00BB4979">
      <w:pPr>
        <w:spacing w:after="0" w:line="360" w:lineRule="auto"/>
        <w:jc w:val="both"/>
        <w:rPr>
          <w:rFonts w:ascii="Times New Roman" w:hAnsi="Times New Roman" w:cs="Times New Roman"/>
          <w:b/>
          <w:bCs/>
          <w:iCs/>
          <w:sz w:val="24"/>
          <w:szCs w:val="24"/>
          <w:u w:val="single"/>
        </w:rPr>
      </w:pPr>
    </w:p>
    <w:p w14:paraId="12FFF817" w14:textId="00DD3BBD" w:rsidR="005063E1" w:rsidRDefault="005063E1" w:rsidP="00BB4979">
      <w:pPr>
        <w:spacing w:after="0" w:line="360" w:lineRule="auto"/>
        <w:jc w:val="both"/>
        <w:rPr>
          <w:rFonts w:ascii="Times New Roman" w:hAnsi="Times New Roman" w:cs="Times New Roman"/>
          <w:b/>
          <w:bCs/>
          <w:iCs/>
          <w:sz w:val="24"/>
          <w:szCs w:val="24"/>
          <w:u w:val="single"/>
        </w:rPr>
      </w:pPr>
    </w:p>
    <w:p w14:paraId="424969AC" w14:textId="1567C52D" w:rsidR="005063E1" w:rsidRDefault="005063E1" w:rsidP="00BB4979">
      <w:pPr>
        <w:spacing w:after="0" w:line="360" w:lineRule="auto"/>
        <w:jc w:val="both"/>
        <w:rPr>
          <w:rFonts w:ascii="Times New Roman" w:hAnsi="Times New Roman" w:cs="Times New Roman"/>
          <w:b/>
          <w:bCs/>
          <w:iCs/>
          <w:sz w:val="24"/>
          <w:szCs w:val="24"/>
          <w:u w:val="single"/>
        </w:rPr>
      </w:pPr>
    </w:p>
    <w:p w14:paraId="49041E8C" w14:textId="3E14BA79" w:rsidR="005063E1" w:rsidRDefault="005063E1" w:rsidP="00BB4979">
      <w:pPr>
        <w:spacing w:after="0" w:line="360" w:lineRule="auto"/>
        <w:jc w:val="both"/>
        <w:rPr>
          <w:rFonts w:ascii="Times New Roman" w:hAnsi="Times New Roman" w:cs="Times New Roman"/>
          <w:b/>
          <w:bCs/>
          <w:iCs/>
          <w:sz w:val="24"/>
          <w:szCs w:val="24"/>
          <w:u w:val="single"/>
        </w:rPr>
      </w:pPr>
    </w:p>
    <w:p w14:paraId="3C429716" w14:textId="77777777" w:rsidR="005063E1" w:rsidRPr="00992359" w:rsidRDefault="005063E1" w:rsidP="00BB4979">
      <w:pPr>
        <w:spacing w:after="0" w:line="360" w:lineRule="auto"/>
        <w:jc w:val="both"/>
        <w:rPr>
          <w:rFonts w:ascii="Times New Roman" w:hAnsi="Times New Roman" w:cs="Times New Roman"/>
          <w:b/>
          <w:bCs/>
          <w:iCs/>
          <w:sz w:val="24"/>
          <w:szCs w:val="24"/>
          <w:u w:val="single"/>
        </w:rPr>
      </w:pPr>
    </w:p>
    <w:p w14:paraId="3D4144D5" w14:textId="29FAEA26" w:rsidR="00754A5C" w:rsidRPr="00992359" w:rsidRDefault="00754A5C" w:rsidP="00BB4979">
      <w:pPr>
        <w:spacing w:after="0" w:line="360" w:lineRule="auto"/>
        <w:jc w:val="both"/>
        <w:rPr>
          <w:rFonts w:ascii="Times New Roman" w:hAnsi="Times New Roman" w:cs="Times New Roman"/>
          <w:b/>
          <w:bCs/>
          <w:iCs/>
          <w:sz w:val="24"/>
          <w:szCs w:val="24"/>
          <w:u w:val="single"/>
        </w:rPr>
      </w:pPr>
      <w:r w:rsidRPr="00992359">
        <w:rPr>
          <w:rFonts w:ascii="Times New Roman" w:hAnsi="Times New Roman" w:cs="Times New Roman"/>
          <w:b/>
          <w:bCs/>
          <w:iCs/>
          <w:sz w:val="24"/>
          <w:szCs w:val="24"/>
          <w:u w:val="single"/>
        </w:rPr>
        <w:t>References</w:t>
      </w:r>
    </w:p>
    <w:p w14:paraId="0BFA74F3" w14:textId="77777777" w:rsidR="00754A5C" w:rsidRPr="00BB4979" w:rsidRDefault="00754A5C" w:rsidP="00BB4979">
      <w:pPr>
        <w:spacing w:after="0" w:line="360" w:lineRule="auto"/>
        <w:jc w:val="both"/>
        <w:rPr>
          <w:rFonts w:ascii="Times New Roman" w:hAnsi="Times New Roman" w:cs="Times New Roman"/>
          <w:iCs/>
          <w:sz w:val="24"/>
          <w:szCs w:val="24"/>
        </w:rPr>
      </w:pPr>
    </w:p>
    <w:p w14:paraId="22655264" w14:textId="77777777" w:rsidR="00754A5C" w:rsidRDefault="00754A5C" w:rsidP="00BB4979">
      <w:pPr>
        <w:spacing w:after="0" w:line="360" w:lineRule="auto"/>
        <w:jc w:val="both"/>
        <w:rPr>
          <w:rFonts w:ascii="Times New Roman" w:hAnsi="Times New Roman" w:cs="Times New Roman"/>
          <w:iCs/>
          <w:sz w:val="24"/>
          <w:szCs w:val="24"/>
        </w:rPr>
      </w:pPr>
      <w:r w:rsidRPr="00754A5C">
        <w:rPr>
          <w:rFonts w:ascii="Times New Roman" w:hAnsi="Times New Roman" w:cs="Times New Roman"/>
          <w:iCs/>
          <w:sz w:val="24"/>
          <w:szCs w:val="24"/>
        </w:rPr>
        <w:t xml:space="preserve">Berry C and Freeland R (2011) </w:t>
      </w:r>
      <w:r w:rsidRPr="00754A5C">
        <w:rPr>
          <w:rFonts w:ascii="Times New Roman" w:hAnsi="Times New Roman" w:cs="Times New Roman"/>
          <w:i/>
          <w:sz w:val="24"/>
          <w:szCs w:val="24"/>
        </w:rPr>
        <w:t>Book reviews. Journal of Social Policy</w:t>
      </w:r>
      <w:r w:rsidRPr="00754A5C">
        <w:rPr>
          <w:rFonts w:ascii="Times New Roman" w:hAnsi="Times New Roman" w:cs="Times New Roman"/>
          <w:iCs/>
          <w:sz w:val="24"/>
          <w:szCs w:val="24"/>
        </w:rPr>
        <w:t xml:space="preserve"> 40(4): 853–874.</w:t>
      </w:r>
    </w:p>
    <w:p w14:paraId="24167E14" w14:textId="77777777" w:rsidR="00754A5C" w:rsidRDefault="00754A5C" w:rsidP="00BB4979">
      <w:pPr>
        <w:spacing w:after="0" w:line="360" w:lineRule="auto"/>
        <w:jc w:val="both"/>
        <w:rPr>
          <w:rFonts w:ascii="Times New Roman" w:hAnsi="Times New Roman" w:cs="Times New Roman"/>
          <w:iCs/>
          <w:sz w:val="24"/>
          <w:szCs w:val="24"/>
        </w:rPr>
      </w:pPr>
      <w:r w:rsidRPr="00754A5C">
        <w:rPr>
          <w:rFonts w:ascii="Times New Roman" w:hAnsi="Times New Roman" w:cs="Times New Roman"/>
          <w:iCs/>
          <w:sz w:val="24"/>
          <w:szCs w:val="24"/>
        </w:rPr>
        <w:t xml:space="preserve">Bessant J, Farthing R and Watts R (2017) </w:t>
      </w:r>
      <w:r w:rsidRPr="00754A5C">
        <w:rPr>
          <w:rFonts w:ascii="Times New Roman" w:hAnsi="Times New Roman" w:cs="Times New Roman"/>
          <w:i/>
          <w:sz w:val="24"/>
          <w:szCs w:val="24"/>
        </w:rPr>
        <w:t>The Precarious Generation: A Political Economy of Young People</w:t>
      </w:r>
      <w:r w:rsidRPr="00754A5C">
        <w:rPr>
          <w:rFonts w:ascii="Times New Roman" w:hAnsi="Times New Roman" w:cs="Times New Roman"/>
          <w:iCs/>
          <w:sz w:val="24"/>
          <w:szCs w:val="24"/>
        </w:rPr>
        <w:t>. London: Routledge.</w:t>
      </w:r>
    </w:p>
    <w:p w14:paraId="0DEF7E24" w14:textId="5A8C73C1" w:rsidR="00754A5C" w:rsidRDefault="00754A5C" w:rsidP="00BB4979">
      <w:pPr>
        <w:spacing w:after="0" w:line="360" w:lineRule="auto"/>
        <w:jc w:val="both"/>
        <w:rPr>
          <w:rFonts w:ascii="Times New Roman" w:hAnsi="Times New Roman" w:cs="Times New Roman"/>
          <w:iCs/>
          <w:sz w:val="24"/>
          <w:szCs w:val="24"/>
        </w:rPr>
      </w:pPr>
      <w:r w:rsidRPr="00754A5C">
        <w:rPr>
          <w:rFonts w:ascii="Times New Roman" w:hAnsi="Times New Roman" w:cs="Times New Roman"/>
          <w:iCs/>
          <w:sz w:val="24"/>
          <w:szCs w:val="24"/>
        </w:rPr>
        <w:t xml:space="preserve">Howker E and Malik S (2010) </w:t>
      </w:r>
      <w:r w:rsidRPr="00754A5C">
        <w:rPr>
          <w:rFonts w:ascii="Times New Roman" w:hAnsi="Times New Roman" w:cs="Times New Roman"/>
          <w:i/>
          <w:sz w:val="24"/>
          <w:szCs w:val="24"/>
        </w:rPr>
        <w:t>Jilted Generation: How Britain Bankrupted its Youth.</w:t>
      </w:r>
      <w:r w:rsidRPr="00754A5C">
        <w:rPr>
          <w:rFonts w:ascii="Times New Roman" w:hAnsi="Times New Roman" w:cs="Times New Roman"/>
          <w:iCs/>
          <w:sz w:val="24"/>
          <w:szCs w:val="24"/>
        </w:rPr>
        <w:t xml:space="preserve"> London: Icon Books</w:t>
      </w:r>
    </w:p>
    <w:p w14:paraId="59419232" w14:textId="6F25BE62" w:rsidR="00992359" w:rsidRDefault="00992359" w:rsidP="00BB4979">
      <w:pPr>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Leverhulme Trust (2015) </w:t>
      </w:r>
      <w:r w:rsidRPr="00992359">
        <w:rPr>
          <w:rFonts w:ascii="Times New Roman" w:hAnsi="Times New Roman" w:cs="Times New Roman"/>
          <w:i/>
          <w:sz w:val="24"/>
          <w:szCs w:val="24"/>
        </w:rPr>
        <w:t>Mind the Hou</w:t>
      </w:r>
      <w:r>
        <w:rPr>
          <w:rFonts w:ascii="Times New Roman" w:hAnsi="Times New Roman" w:cs="Times New Roman"/>
          <w:i/>
          <w:sz w:val="24"/>
          <w:szCs w:val="24"/>
        </w:rPr>
        <w:t>s</w:t>
      </w:r>
      <w:r w:rsidRPr="00992359">
        <w:rPr>
          <w:rFonts w:ascii="Times New Roman" w:hAnsi="Times New Roman" w:cs="Times New Roman"/>
          <w:i/>
          <w:sz w:val="24"/>
          <w:szCs w:val="24"/>
        </w:rPr>
        <w:t>ing Wealth Gap</w:t>
      </w:r>
      <w:r>
        <w:rPr>
          <w:rFonts w:ascii="Times New Roman" w:hAnsi="Times New Roman" w:cs="Times New Roman"/>
          <w:iCs/>
          <w:sz w:val="24"/>
          <w:szCs w:val="24"/>
        </w:rPr>
        <w:t xml:space="preserve">. Available at: </w:t>
      </w:r>
      <w:hyperlink r:id="rId7" w:history="1">
        <w:r w:rsidRPr="009A120D">
          <w:rPr>
            <w:rStyle w:val="Hyperlink"/>
            <w:rFonts w:ascii="Times New Roman" w:hAnsi="Times New Roman" w:cs="Times New Roman"/>
            <w:iCs/>
            <w:sz w:val="24"/>
            <w:szCs w:val="24"/>
          </w:rPr>
          <w:t>https://www.birmingham.ac.uk/research/chasm/research/projects/housing-wealth-gap.aspx</w:t>
        </w:r>
      </w:hyperlink>
      <w:r>
        <w:rPr>
          <w:rFonts w:ascii="Times New Roman" w:hAnsi="Times New Roman" w:cs="Times New Roman"/>
          <w:iCs/>
          <w:sz w:val="24"/>
          <w:szCs w:val="24"/>
        </w:rPr>
        <w:t xml:space="preserve"> Accessed on 20/11/2019</w:t>
      </w:r>
    </w:p>
    <w:p w14:paraId="37C6D962" w14:textId="77777777" w:rsidR="00754A5C" w:rsidRDefault="00754A5C" w:rsidP="00BB4979">
      <w:pPr>
        <w:spacing w:after="0" w:line="360" w:lineRule="auto"/>
        <w:jc w:val="both"/>
        <w:rPr>
          <w:rFonts w:ascii="Times New Roman" w:hAnsi="Times New Roman" w:cs="Times New Roman"/>
          <w:iCs/>
          <w:sz w:val="24"/>
          <w:szCs w:val="24"/>
        </w:rPr>
      </w:pPr>
      <w:r w:rsidRPr="00EF7C4F">
        <w:rPr>
          <w:rFonts w:ascii="Times New Roman" w:hAnsi="Times New Roman" w:cs="Times New Roman"/>
          <w:iCs/>
          <w:sz w:val="24"/>
          <w:szCs w:val="24"/>
        </w:rPr>
        <w:t xml:space="preserve">McKee K, Moore T and Crawford J (2015) </w:t>
      </w:r>
      <w:r w:rsidRPr="00754A5C">
        <w:rPr>
          <w:rFonts w:ascii="Times New Roman" w:hAnsi="Times New Roman" w:cs="Times New Roman"/>
          <w:i/>
          <w:sz w:val="24"/>
          <w:szCs w:val="24"/>
        </w:rPr>
        <w:t>Understanding the Housing Aspirations of People in Scotland</w:t>
      </w:r>
      <w:r w:rsidRPr="00EF7C4F">
        <w:rPr>
          <w:rFonts w:ascii="Times New Roman" w:hAnsi="Times New Roman" w:cs="Times New Roman"/>
          <w:iCs/>
          <w:sz w:val="24"/>
          <w:szCs w:val="24"/>
        </w:rPr>
        <w:t>. Edinburgh: Scottish Government.</w:t>
      </w:r>
    </w:p>
    <w:p w14:paraId="628E682E" w14:textId="27FAC60C" w:rsidR="00754A5C" w:rsidRPr="00B00EDB" w:rsidRDefault="00754A5C" w:rsidP="005B42D9">
      <w:pPr>
        <w:spacing w:after="0" w:line="360" w:lineRule="auto"/>
        <w:jc w:val="both"/>
        <w:rPr>
          <w:rFonts w:ascii="Times New Roman" w:hAnsi="Times New Roman" w:cs="Times New Roman"/>
          <w:iCs/>
          <w:sz w:val="24"/>
          <w:szCs w:val="24"/>
        </w:rPr>
      </w:pPr>
      <w:r w:rsidRPr="006808D4">
        <w:rPr>
          <w:rFonts w:ascii="Times New Roman" w:hAnsi="Times New Roman" w:cs="Times New Roman"/>
          <w:iCs/>
          <w:sz w:val="24"/>
          <w:szCs w:val="24"/>
        </w:rPr>
        <w:t xml:space="preserve">Moore P (2016) </w:t>
      </w:r>
      <w:r w:rsidRPr="00754A5C">
        <w:rPr>
          <w:rFonts w:ascii="Times New Roman" w:hAnsi="Times New Roman" w:cs="Times New Roman"/>
          <w:i/>
          <w:sz w:val="24"/>
          <w:szCs w:val="24"/>
        </w:rPr>
        <w:t>How Britain Voted.</w:t>
      </w:r>
      <w:r w:rsidRPr="006808D4">
        <w:rPr>
          <w:rFonts w:ascii="Times New Roman" w:hAnsi="Times New Roman" w:cs="Times New Roman"/>
          <w:iCs/>
          <w:sz w:val="24"/>
          <w:szCs w:val="24"/>
        </w:rPr>
        <w:t xml:space="preserve"> Available at: </w:t>
      </w:r>
      <w:hyperlink r:id="rId8" w:history="1">
        <w:r w:rsidR="00992359" w:rsidRPr="009A120D">
          <w:rPr>
            <w:rStyle w:val="Hyperlink"/>
            <w:rFonts w:ascii="Times New Roman" w:hAnsi="Times New Roman" w:cs="Times New Roman"/>
            <w:iCs/>
            <w:sz w:val="24"/>
            <w:szCs w:val="24"/>
          </w:rPr>
          <w:t>https://yougov.co.uk/news/2016/06/27/howbritain-voted/</w:t>
        </w:r>
      </w:hyperlink>
      <w:r w:rsidR="00992359">
        <w:rPr>
          <w:rFonts w:ascii="Times New Roman" w:hAnsi="Times New Roman" w:cs="Times New Roman"/>
          <w:iCs/>
          <w:sz w:val="24"/>
          <w:szCs w:val="24"/>
        </w:rPr>
        <w:t xml:space="preserve"> </w:t>
      </w:r>
      <w:r w:rsidRPr="006808D4">
        <w:rPr>
          <w:rFonts w:ascii="Times New Roman" w:hAnsi="Times New Roman" w:cs="Times New Roman"/>
          <w:iCs/>
          <w:sz w:val="24"/>
          <w:szCs w:val="24"/>
        </w:rPr>
        <w:t xml:space="preserve"> (accessed 30 June 2016).</w:t>
      </w:r>
    </w:p>
    <w:p w14:paraId="0C3F95EA" w14:textId="77777777" w:rsidR="00754A5C" w:rsidRDefault="00754A5C" w:rsidP="00BB4979">
      <w:pPr>
        <w:spacing w:after="0" w:line="360" w:lineRule="auto"/>
        <w:jc w:val="both"/>
        <w:rPr>
          <w:rFonts w:ascii="Times New Roman" w:hAnsi="Times New Roman" w:cs="Times New Roman"/>
          <w:iCs/>
          <w:sz w:val="24"/>
          <w:szCs w:val="24"/>
        </w:rPr>
      </w:pPr>
      <w:r w:rsidRPr="00754A5C">
        <w:rPr>
          <w:rFonts w:ascii="Times New Roman" w:hAnsi="Times New Roman" w:cs="Times New Roman"/>
          <w:iCs/>
          <w:sz w:val="24"/>
          <w:szCs w:val="24"/>
        </w:rPr>
        <w:t xml:space="preserve">Pilcher J (1994) </w:t>
      </w:r>
      <w:r w:rsidRPr="00754A5C">
        <w:rPr>
          <w:rFonts w:ascii="Times New Roman" w:hAnsi="Times New Roman" w:cs="Times New Roman"/>
          <w:i/>
          <w:sz w:val="24"/>
          <w:szCs w:val="24"/>
        </w:rPr>
        <w:t>Mannheim’s sociology of generations: An undervalued legacy</w:t>
      </w:r>
      <w:r w:rsidRPr="00754A5C">
        <w:rPr>
          <w:rFonts w:ascii="Times New Roman" w:hAnsi="Times New Roman" w:cs="Times New Roman"/>
          <w:iCs/>
          <w:sz w:val="24"/>
          <w:szCs w:val="24"/>
        </w:rPr>
        <w:t>. British Journal of Sociology 45(3): 481–495.</w:t>
      </w:r>
    </w:p>
    <w:p w14:paraId="7E66E661" w14:textId="77777777" w:rsidR="00754A5C" w:rsidRDefault="00754A5C" w:rsidP="00BB4979">
      <w:pPr>
        <w:spacing w:after="0" w:line="360" w:lineRule="auto"/>
        <w:jc w:val="both"/>
        <w:rPr>
          <w:rFonts w:ascii="Times New Roman" w:hAnsi="Times New Roman" w:cs="Times New Roman"/>
          <w:iCs/>
          <w:sz w:val="24"/>
          <w:szCs w:val="24"/>
        </w:rPr>
      </w:pPr>
      <w:r w:rsidRPr="00754A5C">
        <w:rPr>
          <w:rFonts w:ascii="Times New Roman" w:hAnsi="Times New Roman" w:cs="Times New Roman"/>
          <w:iCs/>
          <w:sz w:val="24"/>
          <w:szCs w:val="24"/>
        </w:rPr>
        <w:t xml:space="preserve">Woodman D and Wyn J (2015) </w:t>
      </w:r>
      <w:r w:rsidRPr="00754A5C">
        <w:rPr>
          <w:rFonts w:ascii="Times New Roman" w:hAnsi="Times New Roman" w:cs="Times New Roman"/>
          <w:i/>
          <w:sz w:val="24"/>
          <w:szCs w:val="24"/>
        </w:rPr>
        <w:t>Youth and Generation: Rethinking Change and Inequality in the Lives of Young People</w:t>
      </w:r>
      <w:r w:rsidRPr="00754A5C">
        <w:rPr>
          <w:rFonts w:ascii="Times New Roman" w:hAnsi="Times New Roman" w:cs="Times New Roman"/>
          <w:iCs/>
          <w:sz w:val="24"/>
          <w:szCs w:val="24"/>
        </w:rPr>
        <w:t>. London: SAGE Publications Ltd.</w:t>
      </w:r>
    </w:p>
    <w:sectPr w:rsidR="00754A5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39F70" w14:textId="77777777" w:rsidR="003C21E7" w:rsidRDefault="003C21E7" w:rsidP="003C21E7">
      <w:pPr>
        <w:spacing w:after="0" w:line="240" w:lineRule="auto"/>
      </w:pPr>
      <w:r>
        <w:separator/>
      </w:r>
    </w:p>
  </w:endnote>
  <w:endnote w:type="continuationSeparator" w:id="0">
    <w:p w14:paraId="5E097F95" w14:textId="77777777" w:rsidR="003C21E7" w:rsidRDefault="003C21E7" w:rsidP="003C2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6811469"/>
      <w:docPartObj>
        <w:docPartGallery w:val="Page Numbers (Bottom of Page)"/>
        <w:docPartUnique/>
      </w:docPartObj>
    </w:sdtPr>
    <w:sdtEndPr>
      <w:rPr>
        <w:rFonts w:ascii="Times New Roman" w:hAnsi="Times New Roman" w:cs="Times New Roman"/>
        <w:noProof/>
      </w:rPr>
    </w:sdtEndPr>
    <w:sdtContent>
      <w:p w14:paraId="75B8AD38" w14:textId="77777777" w:rsidR="003C21E7" w:rsidRPr="003C21E7" w:rsidRDefault="003C21E7">
        <w:pPr>
          <w:pStyle w:val="Footer"/>
          <w:jc w:val="center"/>
          <w:rPr>
            <w:rFonts w:ascii="Times New Roman" w:hAnsi="Times New Roman" w:cs="Times New Roman"/>
          </w:rPr>
        </w:pPr>
        <w:r w:rsidRPr="003C21E7">
          <w:rPr>
            <w:rFonts w:ascii="Times New Roman" w:hAnsi="Times New Roman" w:cs="Times New Roman"/>
          </w:rPr>
          <w:fldChar w:fldCharType="begin"/>
        </w:r>
        <w:r w:rsidRPr="003C21E7">
          <w:rPr>
            <w:rFonts w:ascii="Times New Roman" w:hAnsi="Times New Roman" w:cs="Times New Roman"/>
          </w:rPr>
          <w:instrText xml:space="preserve"> PAGE   \* MERGEFORMAT </w:instrText>
        </w:r>
        <w:r w:rsidRPr="003C21E7">
          <w:rPr>
            <w:rFonts w:ascii="Times New Roman" w:hAnsi="Times New Roman" w:cs="Times New Roman"/>
          </w:rPr>
          <w:fldChar w:fldCharType="separate"/>
        </w:r>
        <w:r w:rsidR="00B578BE">
          <w:rPr>
            <w:rFonts w:ascii="Times New Roman" w:hAnsi="Times New Roman" w:cs="Times New Roman"/>
            <w:noProof/>
          </w:rPr>
          <w:t>1</w:t>
        </w:r>
        <w:r w:rsidRPr="003C21E7">
          <w:rPr>
            <w:rFonts w:ascii="Times New Roman" w:hAnsi="Times New Roman" w:cs="Times New Roman"/>
            <w:noProof/>
          </w:rPr>
          <w:fldChar w:fldCharType="end"/>
        </w:r>
      </w:p>
    </w:sdtContent>
  </w:sdt>
  <w:p w14:paraId="48DA2A5D" w14:textId="77777777" w:rsidR="003C21E7" w:rsidRDefault="003C2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3481D" w14:textId="77777777" w:rsidR="003C21E7" w:rsidRDefault="003C21E7" w:rsidP="003C21E7">
      <w:pPr>
        <w:spacing w:after="0" w:line="240" w:lineRule="auto"/>
      </w:pPr>
      <w:r>
        <w:separator/>
      </w:r>
    </w:p>
  </w:footnote>
  <w:footnote w:type="continuationSeparator" w:id="0">
    <w:p w14:paraId="77F4FC54" w14:textId="77777777" w:rsidR="003C21E7" w:rsidRDefault="003C21E7" w:rsidP="003C2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2AE7B" w14:textId="5B5659D8" w:rsidR="003C21E7" w:rsidRPr="003C21E7" w:rsidRDefault="003C21E7" w:rsidP="003C21E7">
    <w:pPr>
      <w:pStyle w:val="Header"/>
      <w:jc w:val="center"/>
      <w:rPr>
        <w:rFonts w:ascii="Times New Roman" w:hAnsi="Times New Roman" w:cs="Times New Roman"/>
      </w:rPr>
    </w:pPr>
    <w:r w:rsidRPr="003C21E7">
      <w:rPr>
        <w:rFonts w:ascii="Times New Roman" w:hAnsi="Times New Roman" w:cs="Times New Roman"/>
      </w:rPr>
      <w:t xml:space="preserve">Module Code: </w:t>
    </w:r>
    <w:r w:rsidR="00E4105F">
      <w:rPr>
        <w:rFonts w:ascii="Times New Roman" w:hAnsi="Times New Roman" w:cs="Times New Roman"/>
      </w:rPr>
      <w:t>ECGE4001Q</w:t>
    </w:r>
  </w:p>
  <w:p w14:paraId="240C87E4" w14:textId="02D25C5D" w:rsidR="003C21E7" w:rsidRPr="003C21E7" w:rsidRDefault="003C21E7" w:rsidP="003C21E7">
    <w:pPr>
      <w:pStyle w:val="Header"/>
      <w:jc w:val="center"/>
      <w:rPr>
        <w:rFonts w:ascii="Times New Roman" w:hAnsi="Times New Roman" w:cs="Times New Roman"/>
      </w:rPr>
    </w:pPr>
    <w:r w:rsidRPr="003C21E7">
      <w:rPr>
        <w:rFonts w:ascii="Times New Roman" w:hAnsi="Times New Roman" w:cs="Times New Roman"/>
      </w:rPr>
      <w:t xml:space="preserve">Assessment number: </w:t>
    </w:r>
    <w:r w:rsidR="00E4105F">
      <w:rPr>
        <w:rFonts w:ascii="Times New Roman" w:hAnsi="Times New Roman" w:cs="Times New Roman"/>
      </w:rPr>
      <w:t>1</w:t>
    </w:r>
  </w:p>
  <w:p w14:paraId="0FC5FC30" w14:textId="10327E63" w:rsidR="003C21E7" w:rsidRDefault="003C21E7" w:rsidP="003C21E7">
    <w:pPr>
      <w:pStyle w:val="Header"/>
      <w:jc w:val="center"/>
      <w:rPr>
        <w:rFonts w:ascii="Times New Roman" w:hAnsi="Times New Roman" w:cs="Times New Roman"/>
      </w:rPr>
    </w:pPr>
    <w:r w:rsidRPr="003C21E7">
      <w:rPr>
        <w:rFonts w:ascii="Times New Roman" w:hAnsi="Times New Roman" w:cs="Times New Roman"/>
      </w:rPr>
      <w:t xml:space="preserve">Student Number: </w:t>
    </w:r>
    <w:r w:rsidR="00E4105F">
      <w:rPr>
        <w:rFonts w:ascii="Times New Roman" w:hAnsi="Times New Roman" w:cs="Times New Roman"/>
      </w:rPr>
      <w:t>1804460</w:t>
    </w:r>
  </w:p>
  <w:p w14:paraId="3968866B" w14:textId="77777777" w:rsidR="003C21E7" w:rsidRPr="003C21E7" w:rsidRDefault="003C21E7" w:rsidP="003C21E7">
    <w:pPr>
      <w:pStyle w:val="Header"/>
      <w:jc w:val="cent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678E6"/>
    <w:multiLevelType w:val="hybridMultilevel"/>
    <w:tmpl w:val="DEB20A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7C1696"/>
    <w:multiLevelType w:val="hybridMultilevel"/>
    <w:tmpl w:val="5E1C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7930C9"/>
    <w:multiLevelType w:val="hybridMultilevel"/>
    <w:tmpl w:val="A7EA3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540961"/>
    <w:multiLevelType w:val="hybridMultilevel"/>
    <w:tmpl w:val="02E08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1E7"/>
    <w:rsid w:val="00025E92"/>
    <w:rsid w:val="000E24ED"/>
    <w:rsid w:val="00131734"/>
    <w:rsid w:val="001E6A09"/>
    <w:rsid w:val="001F56A1"/>
    <w:rsid w:val="00203D6A"/>
    <w:rsid w:val="00271E4D"/>
    <w:rsid w:val="00285E86"/>
    <w:rsid w:val="002877B8"/>
    <w:rsid w:val="002E1E6E"/>
    <w:rsid w:val="00306A55"/>
    <w:rsid w:val="003C21E7"/>
    <w:rsid w:val="00400AB2"/>
    <w:rsid w:val="00404BC9"/>
    <w:rsid w:val="004A01EC"/>
    <w:rsid w:val="005063E1"/>
    <w:rsid w:val="00572BBC"/>
    <w:rsid w:val="005A2587"/>
    <w:rsid w:val="005B42D9"/>
    <w:rsid w:val="005C0F1F"/>
    <w:rsid w:val="005D19FF"/>
    <w:rsid w:val="006808D4"/>
    <w:rsid w:val="00680B76"/>
    <w:rsid w:val="006C05E0"/>
    <w:rsid w:val="006F756A"/>
    <w:rsid w:val="007055C6"/>
    <w:rsid w:val="00721C25"/>
    <w:rsid w:val="00754A5C"/>
    <w:rsid w:val="007A41CE"/>
    <w:rsid w:val="007D78D8"/>
    <w:rsid w:val="008551E7"/>
    <w:rsid w:val="00882F21"/>
    <w:rsid w:val="008F10D8"/>
    <w:rsid w:val="008F59B3"/>
    <w:rsid w:val="00920AB2"/>
    <w:rsid w:val="00932BDD"/>
    <w:rsid w:val="0093350B"/>
    <w:rsid w:val="00992359"/>
    <w:rsid w:val="00A05908"/>
    <w:rsid w:val="00A3633C"/>
    <w:rsid w:val="00A81458"/>
    <w:rsid w:val="00A822EF"/>
    <w:rsid w:val="00B00EDB"/>
    <w:rsid w:val="00B277FD"/>
    <w:rsid w:val="00B418D4"/>
    <w:rsid w:val="00B578BE"/>
    <w:rsid w:val="00BB4979"/>
    <w:rsid w:val="00BF2A94"/>
    <w:rsid w:val="00C16D43"/>
    <w:rsid w:val="00C52DBC"/>
    <w:rsid w:val="00C62847"/>
    <w:rsid w:val="00C67E25"/>
    <w:rsid w:val="00D22167"/>
    <w:rsid w:val="00D7559C"/>
    <w:rsid w:val="00D939DE"/>
    <w:rsid w:val="00DA4806"/>
    <w:rsid w:val="00DA5965"/>
    <w:rsid w:val="00E4105F"/>
    <w:rsid w:val="00E569C2"/>
    <w:rsid w:val="00EC4A5A"/>
    <w:rsid w:val="00EF7C4F"/>
    <w:rsid w:val="00F91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E9379"/>
  <w15:chartTrackingRefBased/>
  <w15:docId w15:val="{3FD23717-553B-465A-82A6-D6B2D96E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A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2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1E7"/>
  </w:style>
  <w:style w:type="paragraph" w:styleId="Footer">
    <w:name w:val="footer"/>
    <w:basedOn w:val="Normal"/>
    <w:link w:val="FooterChar"/>
    <w:uiPriority w:val="99"/>
    <w:unhideWhenUsed/>
    <w:rsid w:val="003C2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1E7"/>
  </w:style>
  <w:style w:type="paragraph" w:styleId="ListParagraph">
    <w:name w:val="List Paragraph"/>
    <w:basedOn w:val="Normal"/>
    <w:uiPriority w:val="34"/>
    <w:qFormat/>
    <w:rsid w:val="003C21E7"/>
    <w:pPr>
      <w:ind w:left="720"/>
      <w:contextualSpacing/>
    </w:pPr>
  </w:style>
  <w:style w:type="character" w:styleId="Hyperlink">
    <w:name w:val="Hyperlink"/>
    <w:basedOn w:val="DefaultParagraphFont"/>
    <w:uiPriority w:val="99"/>
    <w:unhideWhenUsed/>
    <w:rsid w:val="006808D4"/>
    <w:rPr>
      <w:color w:val="0563C1" w:themeColor="hyperlink"/>
      <w:u w:val="single"/>
    </w:rPr>
  </w:style>
  <w:style w:type="character" w:styleId="UnresolvedMention">
    <w:name w:val="Unresolved Mention"/>
    <w:basedOn w:val="DefaultParagraphFont"/>
    <w:uiPriority w:val="99"/>
    <w:semiHidden/>
    <w:unhideWhenUsed/>
    <w:rsid w:val="006808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gov.co.uk/news/2016/06/27/howbritain-voted/" TargetMode="External"/><Relationship Id="rId3" Type="http://schemas.openxmlformats.org/officeDocument/2006/relationships/settings" Target="settings.xml"/><Relationship Id="rId7" Type="http://schemas.openxmlformats.org/officeDocument/2006/relationships/hyperlink" Target="https://www.birmingham.ac.uk/research/chasm/research/projects/housing-wealth-ga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1501</TotalTime>
  <Pages>7</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Jen Davies</cp:lastModifiedBy>
  <cp:revision>12</cp:revision>
  <dcterms:created xsi:type="dcterms:W3CDTF">2019-11-21T09:03:00Z</dcterms:created>
  <dcterms:modified xsi:type="dcterms:W3CDTF">2019-12-13T09:58:00Z</dcterms:modified>
</cp:coreProperties>
</file>