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C05A4" w14:textId="77777777" w:rsidR="0098430E" w:rsidRPr="00017742" w:rsidRDefault="0098430E" w:rsidP="00017742">
      <w:pPr>
        <w:spacing w:after="240" w:line="360" w:lineRule="auto"/>
        <w:jc w:val="center"/>
        <w:rPr>
          <w:rFonts w:eastAsia="Times New Roman"/>
          <w:b/>
          <w:bCs/>
          <w:sz w:val="24"/>
          <w:szCs w:val="24"/>
        </w:rPr>
      </w:pPr>
      <w:r w:rsidRPr="00017742">
        <w:rPr>
          <w:rFonts w:asciiTheme="minorBidi" w:hAnsiTheme="minorBidi"/>
          <w:noProof/>
        </w:rPr>
        <w:drawing>
          <wp:inline distT="0" distB="0" distL="0" distR="0" wp14:anchorId="111EEC48" wp14:editId="6A5B47CB">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18814922" w14:textId="77777777" w:rsidR="0098430E" w:rsidRPr="00017742" w:rsidRDefault="00017742" w:rsidP="00017742">
      <w:pPr>
        <w:spacing w:after="240" w:line="360" w:lineRule="auto"/>
        <w:jc w:val="center"/>
        <w:rPr>
          <w:b/>
          <w:bCs/>
          <w:sz w:val="32"/>
          <w:szCs w:val="28"/>
        </w:rPr>
      </w:pPr>
      <w:r w:rsidRPr="00017742">
        <w:rPr>
          <w:b/>
          <w:bCs/>
          <w:sz w:val="32"/>
          <w:szCs w:val="28"/>
        </w:rPr>
        <w:t>Module Name: Marketing Management</w:t>
      </w:r>
    </w:p>
    <w:p w14:paraId="32DF6E33" w14:textId="77777777" w:rsidR="0098430E" w:rsidRPr="00017742" w:rsidRDefault="00017742" w:rsidP="00017742">
      <w:pPr>
        <w:spacing w:after="240" w:line="360" w:lineRule="auto"/>
        <w:jc w:val="center"/>
        <w:rPr>
          <w:b/>
          <w:bCs/>
          <w:sz w:val="32"/>
          <w:szCs w:val="28"/>
        </w:rPr>
      </w:pPr>
      <w:r w:rsidRPr="00017742">
        <w:rPr>
          <w:b/>
          <w:bCs/>
          <w:sz w:val="32"/>
          <w:szCs w:val="28"/>
        </w:rPr>
        <w:t xml:space="preserve">Module Code: </w:t>
      </w:r>
      <w:r w:rsidR="0098430E" w:rsidRPr="00017742">
        <w:rPr>
          <w:b/>
          <w:bCs/>
          <w:sz w:val="32"/>
          <w:szCs w:val="28"/>
        </w:rPr>
        <w:t>LCMB7024</w:t>
      </w:r>
    </w:p>
    <w:p w14:paraId="409373FE" w14:textId="77777777" w:rsidR="00A8726A" w:rsidRPr="00017742" w:rsidRDefault="00017742" w:rsidP="00017742">
      <w:pPr>
        <w:spacing w:after="240" w:line="360" w:lineRule="auto"/>
        <w:jc w:val="center"/>
        <w:rPr>
          <w:b/>
          <w:bCs/>
          <w:sz w:val="32"/>
          <w:szCs w:val="28"/>
        </w:rPr>
      </w:pPr>
      <w:r w:rsidRPr="00017742">
        <w:rPr>
          <w:b/>
          <w:bCs/>
          <w:sz w:val="32"/>
          <w:szCs w:val="28"/>
        </w:rPr>
        <w:t>Topic: Marketing Environment Analysis and Strategic Growth for BHP's Transition to A Lower-Carbon Business Model</w:t>
      </w:r>
    </w:p>
    <w:p w14:paraId="73D5AC77" w14:textId="7057E5AD" w:rsidR="00017742" w:rsidRPr="00017742" w:rsidRDefault="00017742" w:rsidP="00017742">
      <w:pPr>
        <w:spacing w:after="240" w:line="360" w:lineRule="auto"/>
        <w:jc w:val="center"/>
        <w:rPr>
          <w:b/>
          <w:bCs/>
          <w:sz w:val="32"/>
          <w:szCs w:val="28"/>
        </w:rPr>
      </w:pPr>
      <w:r w:rsidRPr="00017742">
        <w:rPr>
          <w:b/>
          <w:bCs/>
          <w:sz w:val="32"/>
          <w:szCs w:val="28"/>
        </w:rPr>
        <w:t>Student Name:</w:t>
      </w:r>
      <w:r w:rsidR="00CD3F5A">
        <w:rPr>
          <w:b/>
          <w:bCs/>
          <w:sz w:val="32"/>
          <w:szCs w:val="28"/>
        </w:rPr>
        <w:t xml:space="preserve"> Savitri Gorkha</w:t>
      </w:r>
    </w:p>
    <w:p w14:paraId="05C26605" w14:textId="77777777" w:rsidR="00CD3F5A" w:rsidRPr="00547065" w:rsidRDefault="00017742" w:rsidP="00CD3F5A">
      <w:pPr>
        <w:spacing w:after="240" w:line="360" w:lineRule="auto"/>
        <w:jc w:val="center"/>
        <w:rPr>
          <w:rFonts w:eastAsia="Times New Roman"/>
          <w:b/>
          <w:bCs/>
          <w:sz w:val="32"/>
          <w:szCs w:val="32"/>
        </w:rPr>
      </w:pPr>
      <w:r w:rsidRPr="00017742">
        <w:rPr>
          <w:b/>
          <w:bCs/>
          <w:sz w:val="32"/>
          <w:szCs w:val="28"/>
        </w:rPr>
        <w:t>Student Id:</w:t>
      </w:r>
      <w:r w:rsidR="00CD3F5A">
        <w:rPr>
          <w:b/>
          <w:bCs/>
          <w:sz w:val="32"/>
          <w:szCs w:val="28"/>
        </w:rPr>
        <w:t xml:space="preserve"> </w:t>
      </w:r>
      <w:r w:rsidR="00CD3F5A">
        <w:rPr>
          <w:rFonts w:eastAsia="Times New Roman"/>
          <w:b/>
          <w:bCs/>
          <w:sz w:val="32"/>
          <w:szCs w:val="32"/>
        </w:rPr>
        <w:t>2538796</w:t>
      </w:r>
    </w:p>
    <w:p w14:paraId="67463F39" w14:textId="0DD08DA9" w:rsidR="00017742" w:rsidRPr="00017742" w:rsidRDefault="00017742" w:rsidP="00017742">
      <w:pPr>
        <w:spacing w:after="240" w:line="360" w:lineRule="auto"/>
        <w:jc w:val="center"/>
        <w:rPr>
          <w:b/>
          <w:bCs/>
          <w:sz w:val="32"/>
          <w:szCs w:val="28"/>
        </w:rPr>
      </w:pPr>
    </w:p>
    <w:p w14:paraId="0CF4606D" w14:textId="77777777" w:rsidR="00017742" w:rsidRPr="00017742" w:rsidRDefault="00017742" w:rsidP="00017742">
      <w:pPr>
        <w:spacing w:after="240" w:line="360" w:lineRule="auto"/>
        <w:jc w:val="center"/>
        <w:rPr>
          <w:b/>
          <w:bCs/>
          <w:sz w:val="28"/>
          <w:szCs w:val="28"/>
        </w:rPr>
      </w:pPr>
    </w:p>
    <w:p w14:paraId="1623EC99" w14:textId="77777777" w:rsidR="00A8726A" w:rsidRPr="00017742" w:rsidRDefault="00A8726A" w:rsidP="00017742">
      <w:pPr>
        <w:spacing w:after="240" w:line="360" w:lineRule="auto"/>
        <w:rPr>
          <w:b/>
          <w:bCs/>
          <w:sz w:val="28"/>
          <w:szCs w:val="28"/>
        </w:rPr>
      </w:pPr>
      <w:r w:rsidRPr="00017742">
        <w:rPr>
          <w:b/>
          <w:bCs/>
          <w:sz w:val="28"/>
          <w:szCs w:val="28"/>
        </w:rPr>
        <w:br w:type="page"/>
      </w:r>
    </w:p>
    <w:sdt>
      <w:sdtPr>
        <w:rPr>
          <w:rFonts w:ascii="Arial" w:eastAsia="Arial" w:hAnsi="Arial" w:cs="Arial"/>
          <w:color w:val="auto"/>
          <w:sz w:val="22"/>
          <w:szCs w:val="22"/>
        </w:rPr>
        <w:id w:val="-280339513"/>
        <w:docPartObj>
          <w:docPartGallery w:val="Table of Contents"/>
          <w:docPartUnique/>
        </w:docPartObj>
      </w:sdtPr>
      <w:sdtEndPr>
        <w:rPr>
          <w:b/>
          <w:bCs/>
          <w:noProof/>
        </w:rPr>
      </w:sdtEndPr>
      <w:sdtContent>
        <w:p w14:paraId="7B38697E" w14:textId="77777777" w:rsidR="00A8726A" w:rsidRPr="00017742" w:rsidRDefault="00A8726A" w:rsidP="00017742">
          <w:pPr>
            <w:pStyle w:val="TOCHeading"/>
            <w:spacing w:before="0" w:after="240" w:line="360" w:lineRule="auto"/>
            <w:jc w:val="center"/>
            <w:rPr>
              <w:rFonts w:ascii="Arial" w:hAnsi="Arial" w:cs="Arial"/>
              <w:b/>
              <w:color w:val="auto"/>
            </w:rPr>
          </w:pPr>
          <w:r w:rsidRPr="00017742">
            <w:rPr>
              <w:rFonts w:ascii="Arial" w:hAnsi="Arial" w:cs="Arial"/>
              <w:b/>
              <w:color w:val="auto"/>
            </w:rPr>
            <w:t>Table of Contents</w:t>
          </w:r>
        </w:p>
        <w:p w14:paraId="3E3404A7" w14:textId="77777777" w:rsidR="00017742" w:rsidRPr="00017742" w:rsidRDefault="00A8726A" w:rsidP="00017742">
          <w:pPr>
            <w:pStyle w:val="TOC1"/>
            <w:tabs>
              <w:tab w:val="right" w:leader="dot" w:pos="9019"/>
            </w:tabs>
            <w:spacing w:after="0" w:line="240" w:lineRule="auto"/>
            <w:jc w:val="both"/>
            <w:rPr>
              <w:rFonts w:asciiTheme="minorHAnsi" w:eastAsiaTheme="minorEastAsia" w:hAnsiTheme="minorHAnsi" w:cstheme="minorBidi"/>
              <w:noProof/>
              <w:sz w:val="24"/>
              <w:lang w:val="en-US"/>
            </w:rPr>
          </w:pPr>
          <w:r w:rsidRPr="00017742">
            <w:rPr>
              <w:sz w:val="24"/>
            </w:rPr>
            <w:fldChar w:fldCharType="begin"/>
          </w:r>
          <w:r w:rsidRPr="00017742">
            <w:rPr>
              <w:sz w:val="24"/>
            </w:rPr>
            <w:instrText xml:space="preserve"> TOC \o "1-3" \h \z \u </w:instrText>
          </w:r>
          <w:r w:rsidRPr="00017742">
            <w:rPr>
              <w:sz w:val="24"/>
            </w:rPr>
            <w:fldChar w:fldCharType="separate"/>
          </w:r>
          <w:hyperlink w:anchor="_Toc235035333" w:history="1">
            <w:r w:rsidR="00017742" w:rsidRPr="00017742">
              <w:rPr>
                <w:rStyle w:val="Hyperlink"/>
                <w:noProof/>
                <w:sz w:val="24"/>
              </w:rPr>
              <w:t>Task 1: Marketing Environment Analysis</w:t>
            </w:r>
            <w:r w:rsidR="00017742" w:rsidRPr="00017742">
              <w:rPr>
                <w:noProof/>
                <w:webHidden/>
                <w:sz w:val="24"/>
              </w:rPr>
              <w:tab/>
            </w:r>
            <w:r w:rsidR="00017742" w:rsidRPr="00017742">
              <w:rPr>
                <w:noProof/>
                <w:webHidden/>
                <w:sz w:val="24"/>
              </w:rPr>
              <w:fldChar w:fldCharType="begin"/>
            </w:r>
            <w:r w:rsidR="00017742" w:rsidRPr="00017742">
              <w:rPr>
                <w:noProof/>
                <w:webHidden/>
                <w:sz w:val="24"/>
              </w:rPr>
              <w:instrText xml:space="preserve"> PAGEREF _Toc235035333 \h </w:instrText>
            </w:r>
            <w:r w:rsidR="00017742" w:rsidRPr="00017742">
              <w:rPr>
                <w:noProof/>
                <w:webHidden/>
                <w:sz w:val="24"/>
              </w:rPr>
            </w:r>
            <w:r w:rsidR="00017742" w:rsidRPr="00017742">
              <w:rPr>
                <w:noProof/>
                <w:webHidden/>
                <w:sz w:val="24"/>
              </w:rPr>
              <w:fldChar w:fldCharType="separate"/>
            </w:r>
            <w:r w:rsidR="00017742" w:rsidRPr="00017742">
              <w:rPr>
                <w:noProof/>
                <w:webHidden/>
                <w:sz w:val="24"/>
              </w:rPr>
              <w:t>3</w:t>
            </w:r>
            <w:r w:rsidR="00017742" w:rsidRPr="00017742">
              <w:rPr>
                <w:noProof/>
                <w:webHidden/>
                <w:sz w:val="24"/>
              </w:rPr>
              <w:fldChar w:fldCharType="end"/>
            </w:r>
          </w:hyperlink>
        </w:p>
        <w:p w14:paraId="6CA35A80" w14:textId="77777777" w:rsidR="00017742" w:rsidRPr="00017742" w:rsidRDefault="00017742" w:rsidP="00017742">
          <w:pPr>
            <w:pStyle w:val="TOC2"/>
            <w:tabs>
              <w:tab w:val="right" w:leader="dot" w:pos="9019"/>
            </w:tabs>
            <w:spacing w:after="0" w:line="240" w:lineRule="auto"/>
            <w:jc w:val="both"/>
            <w:rPr>
              <w:rFonts w:asciiTheme="minorHAnsi" w:eastAsiaTheme="minorEastAsia" w:hAnsiTheme="minorHAnsi" w:cstheme="minorBidi"/>
              <w:noProof/>
              <w:sz w:val="24"/>
              <w:lang w:val="en-US"/>
            </w:rPr>
          </w:pPr>
          <w:hyperlink w:anchor="_Toc235035334" w:history="1">
            <w:r w:rsidRPr="00017742">
              <w:rPr>
                <w:rStyle w:val="Hyperlink"/>
                <w:noProof/>
                <w:sz w:val="24"/>
              </w:rPr>
              <w:t>1.1 Company Selection and Context</w:t>
            </w:r>
            <w:r w:rsidRPr="00017742">
              <w:rPr>
                <w:noProof/>
                <w:webHidden/>
                <w:sz w:val="24"/>
              </w:rPr>
              <w:tab/>
            </w:r>
            <w:r w:rsidRPr="00017742">
              <w:rPr>
                <w:noProof/>
                <w:webHidden/>
                <w:sz w:val="24"/>
              </w:rPr>
              <w:fldChar w:fldCharType="begin"/>
            </w:r>
            <w:r w:rsidRPr="00017742">
              <w:rPr>
                <w:noProof/>
                <w:webHidden/>
                <w:sz w:val="24"/>
              </w:rPr>
              <w:instrText xml:space="preserve"> PAGEREF _Toc235035334 \h </w:instrText>
            </w:r>
            <w:r w:rsidRPr="00017742">
              <w:rPr>
                <w:noProof/>
                <w:webHidden/>
                <w:sz w:val="24"/>
              </w:rPr>
            </w:r>
            <w:r w:rsidRPr="00017742">
              <w:rPr>
                <w:noProof/>
                <w:webHidden/>
                <w:sz w:val="24"/>
              </w:rPr>
              <w:fldChar w:fldCharType="separate"/>
            </w:r>
            <w:r w:rsidRPr="00017742">
              <w:rPr>
                <w:noProof/>
                <w:webHidden/>
                <w:sz w:val="24"/>
              </w:rPr>
              <w:t>3</w:t>
            </w:r>
            <w:r w:rsidRPr="00017742">
              <w:rPr>
                <w:noProof/>
                <w:webHidden/>
                <w:sz w:val="24"/>
              </w:rPr>
              <w:fldChar w:fldCharType="end"/>
            </w:r>
          </w:hyperlink>
        </w:p>
        <w:p w14:paraId="51D3C68D"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35" w:history="1">
            <w:r w:rsidRPr="00017742">
              <w:rPr>
                <w:rStyle w:val="Hyperlink"/>
                <w:noProof/>
                <w:sz w:val="24"/>
              </w:rPr>
              <w:t>1.1.1 Overview of BHP</w:t>
            </w:r>
            <w:r w:rsidRPr="00017742">
              <w:rPr>
                <w:noProof/>
                <w:webHidden/>
                <w:sz w:val="24"/>
              </w:rPr>
              <w:tab/>
            </w:r>
            <w:r w:rsidRPr="00017742">
              <w:rPr>
                <w:noProof/>
                <w:webHidden/>
                <w:sz w:val="24"/>
              </w:rPr>
              <w:fldChar w:fldCharType="begin"/>
            </w:r>
            <w:r w:rsidRPr="00017742">
              <w:rPr>
                <w:noProof/>
                <w:webHidden/>
                <w:sz w:val="24"/>
              </w:rPr>
              <w:instrText xml:space="preserve"> PAGEREF _Toc235035335 \h </w:instrText>
            </w:r>
            <w:r w:rsidRPr="00017742">
              <w:rPr>
                <w:noProof/>
                <w:webHidden/>
                <w:sz w:val="24"/>
              </w:rPr>
            </w:r>
            <w:r w:rsidRPr="00017742">
              <w:rPr>
                <w:noProof/>
                <w:webHidden/>
                <w:sz w:val="24"/>
              </w:rPr>
              <w:fldChar w:fldCharType="separate"/>
            </w:r>
            <w:r w:rsidRPr="00017742">
              <w:rPr>
                <w:noProof/>
                <w:webHidden/>
                <w:sz w:val="24"/>
              </w:rPr>
              <w:t>3</w:t>
            </w:r>
            <w:r w:rsidRPr="00017742">
              <w:rPr>
                <w:noProof/>
                <w:webHidden/>
                <w:sz w:val="24"/>
              </w:rPr>
              <w:fldChar w:fldCharType="end"/>
            </w:r>
          </w:hyperlink>
        </w:p>
        <w:p w14:paraId="4474F859"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36" w:history="1">
            <w:r w:rsidRPr="00017742">
              <w:rPr>
                <w:rStyle w:val="Hyperlink"/>
                <w:noProof/>
                <w:sz w:val="24"/>
              </w:rPr>
              <w:t>1.1.2 BHP's Sustainability and Decarbonisation Journey</w:t>
            </w:r>
            <w:r w:rsidRPr="00017742">
              <w:rPr>
                <w:noProof/>
                <w:webHidden/>
                <w:sz w:val="24"/>
              </w:rPr>
              <w:tab/>
            </w:r>
            <w:r w:rsidRPr="00017742">
              <w:rPr>
                <w:noProof/>
                <w:webHidden/>
                <w:sz w:val="24"/>
              </w:rPr>
              <w:fldChar w:fldCharType="begin"/>
            </w:r>
            <w:r w:rsidRPr="00017742">
              <w:rPr>
                <w:noProof/>
                <w:webHidden/>
                <w:sz w:val="24"/>
              </w:rPr>
              <w:instrText xml:space="preserve"> PAGEREF _Toc235035336 \h </w:instrText>
            </w:r>
            <w:r w:rsidRPr="00017742">
              <w:rPr>
                <w:noProof/>
                <w:webHidden/>
                <w:sz w:val="24"/>
              </w:rPr>
            </w:r>
            <w:r w:rsidRPr="00017742">
              <w:rPr>
                <w:noProof/>
                <w:webHidden/>
                <w:sz w:val="24"/>
              </w:rPr>
              <w:fldChar w:fldCharType="separate"/>
            </w:r>
            <w:r w:rsidRPr="00017742">
              <w:rPr>
                <w:noProof/>
                <w:webHidden/>
                <w:sz w:val="24"/>
              </w:rPr>
              <w:t>3</w:t>
            </w:r>
            <w:r w:rsidRPr="00017742">
              <w:rPr>
                <w:noProof/>
                <w:webHidden/>
                <w:sz w:val="24"/>
              </w:rPr>
              <w:fldChar w:fldCharType="end"/>
            </w:r>
          </w:hyperlink>
        </w:p>
        <w:p w14:paraId="5668421A" w14:textId="77777777" w:rsidR="00017742" w:rsidRPr="00017742" w:rsidRDefault="00017742" w:rsidP="00017742">
          <w:pPr>
            <w:pStyle w:val="TOC2"/>
            <w:tabs>
              <w:tab w:val="right" w:leader="dot" w:pos="9019"/>
            </w:tabs>
            <w:spacing w:after="0" w:line="240" w:lineRule="auto"/>
            <w:jc w:val="both"/>
            <w:rPr>
              <w:rFonts w:asciiTheme="minorHAnsi" w:eastAsiaTheme="minorEastAsia" w:hAnsiTheme="minorHAnsi" w:cstheme="minorBidi"/>
              <w:noProof/>
              <w:sz w:val="24"/>
              <w:lang w:val="en-US"/>
            </w:rPr>
          </w:pPr>
          <w:hyperlink w:anchor="_Toc235035337" w:history="1">
            <w:r w:rsidRPr="00017742">
              <w:rPr>
                <w:rStyle w:val="Hyperlink"/>
                <w:noProof/>
                <w:sz w:val="24"/>
              </w:rPr>
              <w:t>1.2 External Marketing Environment Actor 1: Natural Environment</w:t>
            </w:r>
            <w:r w:rsidRPr="00017742">
              <w:rPr>
                <w:noProof/>
                <w:webHidden/>
                <w:sz w:val="24"/>
              </w:rPr>
              <w:tab/>
            </w:r>
            <w:r w:rsidRPr="00017742">
              <w:rPr>
                <w:noProof/>
                <w:webHidden/>
                <w:sz w:val="24"/>
              </w:rPr>
              <w:fldChar w:fldCharType="begin"/>
            </w:r>
            <w:r w:rsidRPr="00017742">
              <w:rPr>
                <w:noProof/>
                <w:webHidden/>
                <w:sz w:val="24"/>
              </w:rPr>
              <w:instrText xml:space="preserve"> PAGEREF _Toc235035337 \h </w:instrText>
            </w:r>
            <w:r w:rsidRPr="00017742">
              <w:rPr>
                <w:noProof/>
                <w:webHidden/>
                <w:sz w:val="24"/>
              </w:rPr>
            </w:r>
            <w:r w:rsidRPr="00017742">
              <w:rPr>
                <w:noProof/>
                <w:webHidden/>
                <w:sz w:val="24"/>
              </w:rPr>
              <w:fldChar w:fldCharType="separate"/>
            </w:r>
            <w:r w:rsidRPr="00017742">
              <w:rPr>
                <w:noProof/>
                <w:webHidden/>
                <w:sz w:val="24"/>
              </w:rPr>
              <w:t>5</w:t>
            </w:r>
            <w:r w:rsidRPr="00017742">
              <w:rPr>
                <w:noProof/>
                <w:webHidden/>
                <w:sz w:val="24"/>
              </w:rPr>
              <w:fldChar w:fldCharType="end"/>
            </w:r>
          </w:hyperlink>
        </w:p>
        <w:p w14:paraId="78BCBC21"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38" w:history="1">
            <w:r w:rsidRPr="00017742">
              <w:rPr>
                <w:rStyle w:val="Hyperlink"/>
                <w:noProof/>
                <w:sz w:val="24"/>
              </w:rPr>
              <w:t>1.2.1 Influence of the Natural Environment on BHP's Marketing Strategy</w:t>
            </w:r>
            <w:r w:rsidRPr="00017742">
              <w:rPr>
                <w:noProof/>
                <w:webHidden/>
                <w:sz w:val="24"/>
              </w:rPr>
              <w:tab/>
            </w:r>
            <w:r w:rsidRPr="00017742">
              <w:rPr>
                <w:noProof/>
                <w:webHidden/>
                <w:sz w:val="24"/>
              </w:rPr>
              <w:fldChar w:fldCharType="begin"/>
            </w:r>
            <w:r w:rsidRPr="00017742">
              <w:rPr>
                <w:noProof/>
                <w:webHidden/>
                <w:sz w:val="24"/>
              </w:rPr>
              <w:instrText xml:space="preserve"> PAGEREF _Toc235035338 \h </w:instrText>
            </w:r>
            <w:r w:rsidRPr="00017742">
              <w:rPr>
                <w:noProof/>
                <w:webHidden/>
                <w:sz w:val="24"/>
              </w:rPr>
            </w:r>
            <w:r w:rsidRPr="00017742">
              <w:rPr>
                <w:noProof/>
                <w:webHidden/>
                <w:sz w:val="24"/>
              </w:rPr>
              <w:fldChar w:fldCharType="separate"/>
            </w:r>
            <w:r w:rsidRPr="00017742">
              <w:rPr>
                <w:noProof/>
                <w:webHidden/>
                <w:sz w:val="24"/>
              </w:rPr>
              <w:t>5</w:t>
            </w:r>
            <w:r w:rsidRPr="00017742">
              <w:rPr>
                <w:noProof/>
                <w:webHidden/>
                <w:sz w:val="24"/>
              </w:rPr>
              <w:fldChar w:fldCharType="end"/>
            </w:r>
          </w:hyperlink>
        </w:p>
        <w:p w14:paraId="7B8A3246"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39" w:history="1">
            <w:r w:rsidRPr="00017742">
              <w:rPr>
                <w:rStyle w:val="Hyperlink"/>
                <w:noProof/>
                <w:sz w:val="24"/>
              </w:rPr>
              <w:t>1.2.2 Natural Environment-Driven Opportunities and Threats</w:t>
            </w:r>
            <w:r w:rsidRPr="00017742">
              <w:rPr>
                <w:noProof/>
                <w:webHidden/>
                <w:sz w:val="24"/>
              </w:rPr>
              <w:tab/>
            </w:r>
            <w:r w:rsidRPr="00017742">
              <w:rPr>
                <w:noProof/>
                <w:webHidden/>
                <w:sz w:val="24"/>
              </w:rPr>
              <w:fldChar w:fldCharType="begin"/>
            </w:r>
            <w:r w:rsidRPr="00017742">
              <w:rPr>
                <w:noProof/>
                <w:webHidden/>
                <w:sz w:val="24"/>
              </w:rPr>
              <w:instrText xml:space="preserve"> PAGEREF _Toc235035339 \h </w:instrText>
            </w:r>
            <w:r w:rsidRPr="00017742">
              <w:rPr>
                <w:noProof/>
                <w:webHidden/>
                <w:sz w:val="24"/>
              </w:rPr>
            </w:r>
            <w:r w:rsidRPr="00017742">
              <w:rPr>
                <w:noProof/>
                <w:webHidden/>
                <w:sz w:val="24"/>
              </w:rPr>
              <w:fldChar w:fldCharType="separate"/>
            </w:r>
            <w:r w:rsidRPr="00017742">
              <w:rPr>
                <w:noProof/>
                <w:webHidden/>
                <w:sz w:val="24"/>
              </w:rPr>
              <w:t>5</w:t>
            </w:r>
            <w:r w:rsidRPr="00017742">
              <w:rPr>
                <w:noProof/>
                <w:webHidden/>
                <w:sz w:val="24"/>
              </w:rPr>
              <w:fldChar w:fldCharType="end"/>
            </w:r>
          </w:hyperlink>
        </w:p>
        <w:p w14:paraId="7FB7A408" w14:textId="77777777" w:rsidR="00017742" w:rsidRPr="00017742" w:rsidRDefault="00017742" w:rsidP="00017742">
          <w:pPr>
            <w:pStyle w:val="TOC2"/>
            <w:tabs>
              <w:tab w:val="right" w:leader="dot" w:pos="9019"/>
            </w:tabs>
            <w:spacing w:after="0" w:line="240" w:lineRule="auto"/>
            <w:jc w:val="both"/>
            <w:rPr>
              <w:rFonts w:asciiTheme="minorHAnsi" w:eastAsiaTheme="minorEastAsia" w:hAnsiTheme="minorHAnsi" w:cstheme="minorBidi"/>
              <w:noProof/>
              <w:sz w:val="24"/>
              <w:lang w:val="en-US"/>
            </w:rPr>
          </w:pPr>
          <w:hyperlink w:anchor="_Toc235035340" w:history="1">
            <w:r w:rsidRPr="00017742">
              <w:rPr>
                <w:rStyle w:val="Hyperlink"/>
                <w:rFonts w:eastAsia="Times New Roman"/>
                <w:bCs/>
                <w:noProof/>
                <w:sz w:val="24"/>
              </w:rPr>
              <w:t>1.3 External Marketing Enviro</w:t>
            </w:r>
            <w:r w:rsidRPr="00017742">
              <w:rPr>
                <w:rStyle w:val="Hyperlink"/>
                <w:noProof/>
                <w:sz w:val="24"/>
              </w:rPr>
              <w:t>n</w:t>
            </w:r>
            <w:r w:rsidRPr="00017742">
              <w:rPr>
                <w:rStyle w:val="Hyperlink"/>
                <w:rFonts w:eastAsia="Times New Roman"/>
                <w:bCs/>
                <w:noProof/>
                <w:sz w:val="24"/>
              </w:rPr>
              <w:t>ment Actor 2: Technological Environment</w:t>
            </w:r>
            <w:r w:rsidRPr="00017742">
              <w:rPr>
                <w:noProof/>
                <w:webHidden/>
                <w:sz w:val="24"/>
              </w:rPr>
              <w:tab/>
            </w:r>
            <w:r w:rsidRPr="00017742">
              <w:rPr>
                <w:noProof/>
                <w:webHidden/>
                <w:sz w:val="24"/>
              </w:rPr>
              <w:fldChar w:fldCharType="begin"/>
            </w:r>
            <w:r w:rsidRPr="00017742">
              <w:rPr>
                <w:noProof/>
                <w:webHidden/>
                <w:sz w:val="24"/>
              </w:rPr>
              <w:instrText xml:space="preserve"> PAGEREF _Toc235035340 \h </w:instrText>
            </w:r>
            <w:r w:rsidRPr="00017742">
              <w:rPr>
                <w:noProof/>
                <w:webHidden/>
                <w:sz w:val="24"/>
              </w:rPr>
            </w:r>
            <w:r w:rsidRPr="00017742">
              <w:rPr>
                <w:noProof/>
                <w:webHidden/>
                <w:sz w:val="24"/>
              </w:rPr>
              <w:fldChar w:fldCharType="separate"/>
            </w:r>
            <w:r w:rsidRPr="00017742">
              <w:rPr>
                <w:noProof/>
                <w:webHidden/>
                <w:sz w:val="24"/>
              </w:rPr>
              <w:t>6</w:t>
            </w:r>
            <w:r w:rsidRPr="00017742">
              <w:rPr>
                <w:noProof/>
                <w:webHidden/>
                <w:sz w:val="24"/>
              </w:rPr>
              <w:fldChar w:fldCharType="end"/>
            </w:r>
          </w:hyperlink>
        </w:p>
        <w:p w14:paraId="431CC9CE"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41" w:history="1">
            <w:r w:rsidRPr="00017742">
              <w:rPr>
                <w:rStyle w:val="Hyperlink"/>
                <w:noProof/>
                <w:sz w:val="24"/>
              </w:rPr>
              <w:t>1.3.1 Impact of Technological Advancements on BHP's Marketing Environment</w:t>
            </w:r>
            <w:r w:rsidRPr="00017742">
              <w:rPr>
                <w:noProof/>
                <w:webHidden/>
                <w:sz w:val="24"/>
              </w:rPr>
              <w:tab/>
            </w:r>
            <w:r w:rsidRPr="00017742">
              <w:rPr>
                <w:noProof/>
                <w:webHidden/>
                <w:sz w:val="24"/>
              </w:rPr>
              <w:fldChar w:fldCharType="begin"/>
            </w:r>
            <w:r w:rsidRPr="00017742">
              <w:rPr>
                <w:noProof/>
                <w:webHidden/>
                <w:sz w:val="24"/>
              </w:rPr>
              <w:instrText xml:space="preserve"> PAGEREF _Toc235035341 \h </w:instrText>
            </w:r>
            <w:r w:rsidRPr="00017742">
              <w:rPr>
                <w:noProof/>
                <w:webHidden/>
                <w:sz w:val="24"/>
              </w:rPr>
            </w:r>
            <w:r w:rsidRPr="00017742">
              <w:rPr>
                <w:noProof/>
                <w:webHidden/>
                <w:sz w:val="24"/>
              </w:rPr>
              <w:fldChar w:fldCharType="separate"/>
            </w:r>
            <w:r w:rsidRPr="00017742">
              <w:rPr>
                <w:noProof/>
                <w:webHidden/>
                <w:sz w:val="24"/>
              </w:rPr>
              <w:t>6</w:t>
            </w:r>
            <w:r w:rsidRPr="00017742">
              <w:rPr>
                <w:noProof/>
                <w:webHidden/>
                <w:sz w:val="24"/>
              </w:rPr>
              <w:fldChar w:fldCharType="end"/>
            </w:r>
          </w:hyperlink>
        </w:p>
        <w:p w14:paraId="4276CA43"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42" w:history="1">
            <w:r w:rsidRPr="00017742">
              <w:rPr>
                <w:rStyle w:val="Hyperlink"/>
                <w:noProof/>
                <w:sz w:val="24"/>
              </w:rPr>
              <w:t>1.3.2 Technology-Related Opportunities and Threats</w:t>
            </w:r>
            <w:r w:rsidRPr="00017742">
              <w:rPr>
                <w:noProof/>
                <w:webHidden/>
                <w:sz w:val="24"/>
              </w:rPr>
              <w:tab/>
            </w:r>
            <w:r w:rsidRPr="00017742">
              <w:rPr>
                <w:noProof/>
                <w:webHidden/>
                <w:sz w:val="24"/>
              </w:rPr>
              <w:fldChar w:fldCharType="begin"/>
            </w:r>
            <w:r w:rsidRPr="00017742">
              <w:rPr>
                <w:noProof/>
                <w:webHidden/>
                <w:sz w:val="24"/>
              </w:rPr>
              <w:instrText xml:space="preserve"> PAGEREF _Toc235035342 \h </w:instrText>
            </w:r>
            <w:r w:rsidRPr="00017742">
              <w:rPr>
                <w:noProof/>
                <w:webHidden/>
                <w:sz w:val="24"/>
              </w:rPr>
            </w:r>
            <w:r w:rsidRPr="00017742">
              <w:rPr>
                <w:noProof/>
                <w:webHidden/>
                <w:sz w:val="24"/>
              </w:rPr>
              <w:fldChar w:fldCharType="separate"/>
            </w:r>
            <w:r w:rsidRPr="00017742">
              <w:rPr>
                <w:noProof/>
                <w:webHidden/>
                <w:sz w:val="24"/>
              </w:rPr>
              <w:t>7</w:t>
            </w:r>
            <w:r w:rsidRPr="00017742">
              <w:rPr>
                <w:noProof/>
                <w:webHidden/>
                <w:sz w:val="24"/>
              </w:rPr>
              <w:fldChar w:fldCharType="end"/>
            </w:r>
          </w:hyperlink>
        </w:p>
        <w:p w14:paraId="623A51CA" w14:textId="77777777" w:rsidR="00017742" w:rsidRPr="00017742" w:rsidRDefault="00017742" w:rsidP="00017742">
          <w:pPr>
            <w:pStyle w:val="TOC1"/>
            <w:tabs>
              <w:tab w:val="right" w:leader="dot" w:pos="9019"/>
            </w:tabs>
            <w:spacing w:after="0" w:line="240" w:lineRule="auto"/>
            <w:jc w:val="both"/>
            <w:rPr>
              <w:rFonts w:asciiTheme="minorHAnsi" w:eastAsiaTheme="minorEastAsia" w:hAnsiTheme="minorHAnsi" w:cstheme="minorBidi"/>
              <w:noProof/>
              <w:sz w:val="24"/>
              <w:lang w:val="en-US"/>
            </w:rPr>
          </w:pPr>
          <w:hyperlink w:anchor="_Toc235035343" w:history="1">
            <w:r w:rsidRPr="00017742">
              <w:rPr>
                <w:rStyle w:val="Hyperlink"/>
                <w:noProof/>
                <w:sz w:val="24"/>
              </w:rPr>
              <w:t>Task 2: Strategic Growth and Competitive Positioning</w:t>
            </w:r>
            <w:r w:rsidRPr="00017742">
              <w:rPr>
                <w:noProof/>
                <w:webHidden/>
                <w:sz w:val="24"/>
              </w:rPr>
              <w:tab/>
            </w:r>
            <w:r w:rsidRPr="00017742">
              <w:rPr>
                <w:noProof/>
                <w:webHidden/>
                <w:sz w:val="24"/>
              </w:rPr>
              <w:fldChar w:fldCharType="begin"/>
            </w:r>
            <w:r w:rsidRPr="00017742">
              <w:rPr>
                <w:noProof/>
                <w:webHidden/>
                <w:sz w:val="24"/>
              </w:rPr>
              <w:instrText xml:space="preserve"> PAGEREF _Toc235035343 \h </w:instrText>
            </w:r>
            <w:r w:rsidRPr="00017742">
              <w:rPr>
                <w:noProof/>
                <w:webHidden/>
                <w:sz w:val="24"/>
              </w:rPr>
            </w:r>
            <w:r w:rsidRPr="00017742">
              <w:rPr>
                <w:noProof/>
                <w:webHidden/>
                <w:sz w:val="24"/>
              </w:rPr>
              <w:fldChar w:fldCharType="separate"/>
            </w:r>
            <w:r w:rsidRPr="00017742">
              <w:rPr>
                <w:noProof/>
                <w:webHidden/>
                <w:sz w:val="24"/>
              </w:rPr>
              <w:t>8</w:t>
            </w:r>
            <w:r w:rsidRPr="00017742">
              <w:rPr>
                <w:noProof/>
                <w:webHidden/>
                <w:sz w:val="24"/>
              </w:rPr>
              <w:fldChar w:fldCharType="end"/>
            </w:r>
          </w:hyperlink>
        </w:p>
        <w:p w14:paraId="7260B056" w14:textId="77777777" w:rsidR="00017742" w:rsidRPr="00017742" w:rsidRDefault="00017742" w:rsidP="00017742">
          <w:pPr>
            <w:pStyle w:val="TOC2"/>
            <w:tabs>
              <w:tab w:val="right" w:leader="dot" w:pos="9019"/>
            </w:tabs>
            <w:spacing w:after="0" w:line="240" w:lineRule="auto"/>
            <w:jc w:val="both"/>
            <w:rPr>
              <w:rFonts w:asciiTheme="minorHAnsi" w:eastAsiaTheme="minorEastAsia" w:hAnsiTheme="minorHAnsi" w:cstheme="minorBidi"/>
              <w:noProof/>
              <w:sz w:val="24"/>
              <w:lang w:val="en-US"/>
            </w:rPr>
          </w:pPr>
          <w:hyperlink w:anchor="_Toc235035344" w:history="1">
            <w:r w:rsidRPr="00017742">
              <w:rPr>
                <w:rStyle w:val="Hyperlink"/>
                <w:noProof/>
                <w:sz w:val="24"/>
              </w:rPr>
              <w:t>2.1 Strategic Growth Recommendation through the Ansoff Matrix</w:t>
            </w:r>
            <w:r w:rsidRPr="00017742">
              <w:rPr>
                <w:noProof/>
                <w:webHidden/>
                <w:sz w:val="24"/>
              </w:rPr>
              <w:tab/>
            </w:r>
            <w:r w:rsidRPr="00017742">
              <w:rPr>
                <w:noProof/>
                <w:webHidden/>
                <w:sz w:val="24"/>
              </w:rPr>
              <w:fldChar w:fldCharType="begin"/>
            </w:r>
            <w:r w:rsidRPr="00017742">
              <w:rPr>
                <w:noProof/>
                <w:webHidden/>
                <w:sz w:val="24"/>
              </w:rPr>
              <w:instrText xml:space="preserve"> PAGEREF _Toc235035344 \h </w:instrText>
            </w:r>
            <w:r w:rsidRPr="00017742">
              <w:rPr>
                <w:noProof/>
                <w:webHidden/>
                <w:sz w:val="24"/>
              </w:rPr>
            </w:r>
            <w:r w:rsidRPr="00017742">
              <w:rPr>
                <w:noProof/>
                <w:webHidden/>
                <w:sz w:val="24"/>
              </w:rPr>
              <w:fldChar w:fldCharType="separate"/>
            </w:r>
            <w:r w:rsidRPr="00017742">
              <w:rPr>
                <w:noProof/>
                <w:webHidden/>
                <w:sz w:val="24"/>
              </w:rPr>
              <w:t>8</w:t>
            </w:r>
            <w:r w:rsidRPr="00017742">
              <w:rPr>
                <w:noProof/>
                <w:webHidden/>
                <w:sz w:val="24"/>
              </w:rPr>
              <w:fldChar w:fldCharType="end"/>
            </w:r>
          </w:hyperlink>
        </w:p>
        <w:p w14:paraId="0259BA0C"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45" w:history="1">
            <w:r w:rsidRPr="00017742">
              <w:rPr>
                <w:rStyle w:val="Hyperlink"/>
                <w:noProof/>
                <w:sz w:val="24"/>
              </w:rPr>
              <w:t>2.1.1 Analysing The Growth Options Through the Ansoff Matrix</w:t>
            </w:r>
            <w:r w:rsidRPr="00017742">
              <w:rPr>
                <w:noProof/>
                <w:webHidden/>
                <w:sz w:val="24"/>
              </w:rPr>
              <w:tab/>
            </w:r>
            <w:r w:rsidRPr="00017742">
              <w:rPr>
                <w:noProof/>
                <w:webHidden/>
                <w:sz w:val="24"/>
              </w:rPr>
              <w:fldChar w:fldCharType="begin"/>
            </w:r>
            <w:r w:rsidRPr="00017742">
              <w:rPr>
                <w:noProof/>
                <w:webHidden/>
                <w:sz w:val="24"/>
              </w:rPr>
              <w:instrText xml:space="preserve"> PAGEREF _Toc235035345 \h </w:instrText>
            </w:r>
            <w:r w:rsidRPr="00017742">
              <w:rPr>
                <w:noProof/>
                <w:webHidden/>
                <w:sz w:val="24"/>
              </w:rPr>
            </w:r>
            <w:r w:rsidRPr="00017742">
              <w:rPr>
                <w:noProof/>
                <w:webHidden/>
                <w:sz w:val="24"/>
              </w:rPr>
              <w:fldChar w:fldCharType="separate"/>
            </w:r>
            <w:r w:rsidRPr="00017742">
              <w:rPr>
                <w:noProof/>
                <w:webHidden/>
                <w:sz w:val="24"/>
              </w:rPr>
              <w:t>8</w:t>
            </w:r>
            <w:r w:rsidRPr="00017742">
              <w:rPr>
                <w:noProof/>
                <w:webHidden/>
                <w:sz w:val="24"/>
              </w:rPr>
              <w:fldChar w:fldCharType="end"/>
            </w:r>
          </w:hyperlink>
        </w:p>
        <w:p w14:paraId="474319ED"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46" w:history="1">
            <w:r w:rsidRPr="00017742">
              <w:rPr>
                <w:rStyle w:val="Hyperlink"/>
                <w:noProof/>
                <w:sz w:val="24"/>
              </w:rPr>
              <w:t>2.1.2 Product Development as the Preferred Growth Strategy</w:t>
            </w:r>
            <w:r w:rsidRPr="00017742">
              <w:rPr>
                <w:noProof/>
                <w:webHidden/>
                <w:sz w:val="24"/>
              </w:rPr>
              <w:tab/>
            </w:r>
            <w:r w:rsidRPr="00017742">
              <w:rPr>
                <w:noProof/>
                <w:webHidden/>
                <w:sz w:val="24"/>
              </w:rPr>
              <w:fldChar w:fldCharType="begin"/>
            </w:r>
            <w:r w:rsidRPr="00017742">
              <w:rPr>
                <w:noProof/>
                <w:webHidden/>
                <w:sz w:val="24"/>
              </w:rPr>
              <w:instrText xml:space="preserve"> PAGEREF _Toc235035346 \h </w:instrText>
            </w:r>
            <w:r w:rsidRPr="00017742">
              <w:rPr>
                <w:noProof/>
                <w:webHidden/>
                <w:sz w:val="24"/>
              </w:rPr>
            </w:r>
            <w:r w:rsidRPr="00017742">
              <w:rPr>
                <w:noProof/>
                <w:webHidden/>
                <w:sz w:val="24"/>
              </w:rPr>
              <w:fldChar w:fldCharType="separate"/>
            </w:r>
            <w:r w:rsidRPr="00017742">
              <w:rPr>
                <w:noProof/>
                <w:webHidden/>
                <w:sz w:val="24"/>
              </w:rPr>
              <w:t>9</w:t>
            </w:r>
            <w:r w:rsidRPr="00017742">
              <w:rPr>
                <w:noProof/>
                <w:webHidden/>
                <w:sz w:val="24"/>
              </w:rPr>
              <w:fldChar w:fldCharType="end"/>
            </w:r>
          </w:hyperlink>
        </w:p>
        <w:p w14:paraId="74468272"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47" w:history="1">
            <w:r w:rsidRPr="00017742">
              <w:rPr>
                <w:rStyle w:val="Hyperlink"/>
                <w:noProof/>
                <w:sz w:val="24"/>
              </w:rPr>
              <w:t>2.1.3 Addressing Environmental Challenges Through Strategic Growth</w:t>
            </w:r>
            <w:r w:rsidRPr="00017742">
              <w:rPr>
                <w:noProof/>
                <w:webHidden/>
                <w:sz w:val="24"/>
              </w:rPr>
              <w:tab/>
            </w:r>
            <w:r w:rsidRPr="00017742">
              <w:rPr>
                <w:noProof/>
                <w:webHidden/>
                <w:sz w:val="24"/>
              </w:rPr>
              <w:fldChar w:fldCharType="begin"/>
            </w:r>
            <w:r w:rsidRPr="00017742">
              <w:rPr>
                <w:noProof/>
                <w:webHidden/>
                <w:sz w:val="24"/>
              </w:rPr>
              <w:instrText xml:space="preserve"> PAGEREF _Toc235035347 \h </w:instrText>
            </w:r>
            <w:r w:rsidRPr="00017742">
              <w:rPr>
                <w:noProof/>
                <w:webHidden/>
                <w:sz w:val="24"/>
              </w:rPr>
            </w:r>
            <w:r w:rsidRPr="00017742">
              <w:rPr>
                <w:noProof/>
                <w:webHidden/>
                <w:sz w:val="24"/>
              </w:rPr>
              <w:fldChar w:fldCharType="separate"/>
            </w:r>
            <w:r w:rsidRPr="00017742">
              <w:rPr>
                <w:noProof/>
                <w:webHidden/>
                <w:sz w:val="24"/>
              </w:rPr>
              <w:t>10</w:t>
            </w:r>
            <w:r w:rsidRPr="00017742">
              <w:rPr>
                <w:noProof/>
                <w:webHidden/>
                <w:sz w:val="24"/>
              </w:rPr>
              <w:fldChar w:fldCharType="end"/>
            </w:r>
          </w:hyperlink>
        </w:p>
        <w:p w14:paraId="50074F17" w14:textId="77777777" w:rsidR="00017742" w:rsidRPr="00017742" w:rsidRDefault="00017742" w:rsidP="00017742">
          <w:pPr>
            <w:pStyle w:val="TOC2"/>
            <w:tabs>
              <w:tab w:val="right" w:leader="dot" w:pos="9019"/>
            </w:tabs>
            <w:spacing w:after="0" w:line="240" w:lineRule="auto"/>
            <w:jc w:val="both"/>
            <w:rPr>
              <w:rFonts w:asciiTheme="minorHAnsi" w:eastAsiaTheme="minorEastAsia" w:hAnsiTheme="minorHAnsi" w:cstheme="minorBidi"/>
              <w:noProof/>
              <w:sz w:val="24"/>
              <w:lang w:val="en-US"/>
            </w:rPr>
          </w:pPr>
          <w:hyperlink w:anchor="_Toc235035348" w:history="1">
            <w:r w:rsidRPr="00017742">
              <w:rPr>
                <w:rStyle w:val="Hyperlink"/>
                <w:noProof/>
                <w:sz w:val="24"/>
              </w:rPr>
              <w:t>2.2 Competitive Advantage Through a Lower-Carbon Business Model</w:t>
            </w:r>
            <w:r w:rsidRPr="00017742">
              <w:rPr>
                <w:noProof/>
                <w:webHidden/>
                <w:sz w:val="24"/>
              </w:rPr>
              <w:tab/>
            </w:r>
            <w:r w:rsidRPr="00017742">
              <w:rPr>
                <w:noProof/>
                <w:webHidden/>
                <w:sz w:val="24"/>
              </w:rPr>
              <w:fldChar w:fldCharType="begin"/>
            </w:r>
            <w:r w:rsidRPr="00017742">
              <w:rPr>
                <w:noProof/>
                <w:webHidden/>
                <w:sz w:val="24"/>
              </w:rPr>
              <w:instrText xml:space="preserve"> PAGEREF _Toc235035348 \h </w:instrText>
            </w:r>
            <w:r w:rsidRPr="00017742">
              <w:rPr>
                <w:noProof/>
                <w:webHidden/>
                <w:sz w:val="24"/>
              </w:rPr>
            </w:r>
            <w:r w:rsidRPr="00017742">
              <w:rPr>
                <w:noProof/>
                <w:webHidden/>
                <w:sz w:val="24"/>
              </w:rPr>
              <w:fldChar w:fldCharType="separate"/>
            </w:r>
            <w:r w:rsidRPr="00017742">
              <w:rPr>
                <w:noProof/>
                <w:webHidden/>
                <w:sz w:val="24"/>
              </w:rPr>
              <w:t>10</w:t>
            </w:r>
            <w:r w:rsidRPr="00017742">
              <w:rPr>
                <w:noProof/>
                <w:webHidden/>
                <w:sz w:val="24"/>
              </w:rPr>
              <w:fldChar w:fldCharType="end"/>
            </w:r>
          </w:hyperlink>
        </w:p>
        <w:p w14:paraId="437212FA"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49" w:history="1">
            <w:r w:rsidRPr="00017742">
              <w:rPr>
                <w:rStyle w:val="Hyperlink"/>
                <w:noProof/>
                <w:sz w:val="24"/>
              </w:rPr>
              <w:t>2.2.1 Developing a Lower-Carbon Business Model</w:t>
            </w:r>
            <w:r w:rsidRPr="00017742">
              <w:rPr>
                <w:noProof/>
                <w:webHidden/>
                <w:sz w:val="24"/>
              </w:rPr>
              <w:tab/>
            </w:r>
            <w:r w:rsidRPr="00017742">
              <w:rPr>
                <w:noProof/>
                <w:webHidden/>
                <w:sz w:val="24"/>
              </w:rPr>
              <w:fldChar w:fldCharType="begin"/>
            </w:r>
            <w:r w:rsidRPr="00017742">
              <w:rPr>
                <w:noProof/>
                <w:webHidden/>
                <w:sz w:val="24"/>
              </w:rPr>
              <w:instrText xml:space="preserve"> PAGEREF _Toc235035349 \h </w:instrText>
            </w:r>
            <w:r w:rsidRPr="00017742">
              <w:rPr>
                <w:noProof/>
                <w:webHidden/>
                <w:sz w:val="24"/>
              </w:rPr>
            </w:r>
            <w:r w:rsidRPr="00017742">
              <w:rPr>
                <w:noProof/>
                <w:webHidden/>
                <w:sz w:val="24"/>
              </w:rPr>
              <w:fldChar w:fldCharType="separate"/>
            </w:r>
            <w:r w:rsidRPr="00017742">
              <w:rPr>
                <w:noProof/>
                <w:webHidden/>
                <w:sz w:val="24"/>
              </w:rPr>
              <w:t>10</w:t>
            </w:r>
            <w:r w:rsidRPr="00017742">
              <w:rPr>
                <w:noProof/>
                <w:webHidden/>
                <w:sz w:val="24"/>
              </w:rPr>
              <w:fldChar w:fldCharType="end"/>
            </w:r>
          </w:hyperlink>
        </w:p>
        <w:p w14:paraId="0A4ED0B3"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50" w:history="1">
            <w:r w:rsidRPr="00017742">
              <w:rPr>
                <w:rStyle w:val="Hyperlink"/>
                <w:noProof/>
                <w:sz w:val="24"/>
              </w:rPr>
              <w:t>2.2.2 Competitive Strategy Based on Porter's Generic Strategies</w:t>
            </w:r>
            <w:r w:rsidRPr="00017742">
              <w:rPr>
                <w:noProof/>
                <w:webHidden/>
                <w:sz w:val="24"/>
              </w:rPr>
              <w:tab/>
            </w:r>
            <w:r w:rsidRPr="00017742">
              <w:rPr>
                <w:noProof/>
                <w:webHidden/>
                <w:sz w:val="24"/>
              </w:rPr>
              <w:fldChar w:fldCharType="begin"/>
            </w:r>
            <w:r w:rsidRPr="00017742">
              <w:rPr>
                <w:noProof/>
                <w:webHidden/>
                <w:sz w:val="24"/>
              </w:rPr>
              <w:instrText xml:space="preserve"> PAGEREF _Toc235035350 \h </w:instrText>
            </w:r>
            <w:r w:rsidRPr="00017742">
              <w:rPr>
                <w:noProof/>
                <w:webHidden/>
                <w:sz w:val="24"/>
              </w:rPr>
            </w:r>
            <w:r w:rsidRPr="00017742">
              <w:rPr>
                <w:noProof/>
                <w:webHidden/>
                <w:sz w:val="24"/>
              </w:rPr>
              <w:fldChar w:fldCharType="separate"/>
            </w:r>
            <w:r w:rsidRPr="00017742">
              <w:rPr>
                <w:noProof/>
                <w:webHidden/>
                <w:sz w:val="24"/>
              </w:rPr>
              <w:t>12</w:t>
            </w:r>
            <w:r w:rsidRPr="00017742">
              <w:rPr>
                <w:noProof/>
                <w:webHidden/>
                <w:sz w:val="24"/>
              </w:rPr>
              <w:fldChar w:fldCharType="end"/>
            </w:r>
          </w:hyperlink>
        </w:p>
        <w:p w14:paraId="0CA90845" w14:textId="77777777" w:rsidR="00017742" w:rsidRPr="00017742" w:rsidRDefault="00017742" w:rsidP="00017742">
          <w:pPr>
            <w:pStyle w:val="TOC3"/>
            <w:tabs>
              <w:tab w:val="right" w:leader="dot" w:pos="9019"/>
            </w:tabs>
            <w:spacing w:after="0" w:line="240" w:lineRule="auto"/>
            <w:jc w:val="both"/>
            <w:rPr>
              <w:rFonts w:asciiTheme="minorHAnsi" w:eastAsiaTheme="minorEastAsia" w:hAnsiTheme="minorHAnsi" w:cstheme="minorBidi"/>
              <w:noProof/>
              <w:sz w:val="24"/>
              <w:lang w:val="en-US"/>
            </w:rPr>
          </w:pPr>
          <w:hyperlink w:anchor="_Toc235035351" w:history="1">
            <w:r w:rsidRPr="00017742">
              <w:rPr>
                <w:rStyle w:val="Hyperlink"/>
                <w:noProof/>
                <w:sz w:val="24"/>
              </w:rPr>
              <w:t>2.2.3 Critical analysis</w:t>
            </w:r>
            <w:r w:rsidRPr="00017742">
              <w:rPr>
                <w:noProof/>
                <w:webHidden/>
                <w:sz w:val="24"/>
              </w:rPr>
              <w:tab/>
            </w:r>
            <w:r w:rsidRPr="00017742">
              <w:rPr>
                <w:noProof/>
                <w:webHidden/>
                <w:sz w:val="24"/>
              </w:rPr>
              <w:fldChar w:fldCharType="begin"/>
            </w:r>
            <w:r w:rsidRPr="00017742">
              <w:rPr>
                <w:noProof/>
                <w:webHidden/>
                <w:sz w:val="24"/>
              </w:rPr>
              <w:instrText xml:space="preserve"> PAGEREF _Toc235035351 \h </w:instrText>
            </w:r>
            <w:r w:rsidRPr="00017742">
              <w:rPr>
                <w:noProof/>
                <w:webHidden/>
                <w:sz w:val="24"/>
              </w:rPr>
            </w:r>
            <w:r w:rsidRPr="00017742">
              <w:rPr>
                <w:noProof/>
                <w:webHidden/>
                <w:sz w:val="24"/>
              </w:rPr>
              <w:fldChar w:fldCharType="separate"/>
            </w:r>
            <w:r w:rsidRPr="00017742">
              <w:rPr>
                <w:noProof/>
                <w:webHidden/>
                <w:sz w:val="24"/>
              </w:rPr>
              <w:t>13</w:t>
            </w:r>
            <w:r w:rsidRPr="00017742">
              <w:rPr>
                <w:noProof/>
                <w:webHidden/>
                <w:sz w:val="24"/>
              </w:rPr>
              <w:fldChar w:fldCharType="end"/>
            </w:r>
          </w:hyperlink>
        </w:p>
        <w:p w14:paraId="4BAEFD1B" w14:textId="77777777" w:rsidR="00017742" w:rsidRPr="00017742" w:rsidRDefault="00017742" w:rsidP="00017742">
          <w:pPr>
            <w:pStyle w:val="TOC1"/>
            <w:tabs>
              <w:tab w:val="right" w:leader="dot" w:pos="9019"/>
            </w:tabs>
            <w:spacing w:after="0" w:line="240" w:lineRule="auto"/>
            <w:jc w:val="both"/>
            <w:rPr>
              <w:rFonts w:asciiTheme="minorHAnsi" w:eastAsiaTheme="minorEastAsia" w:hAnsiTheme="minorHAnsi" w:cstheme="minorBidi"/>
              <w:noProof/>
              <w:sz w:val="24"/>
              <w:lang w:val="en-US"/>
            </w:rPr>
          </w:pPr>
          <w:hyperlink w:anchor="_Toc235035352" w:history="1">
            <w:r w:rsidRPr="00017742">
              <w:rPr>
                <w:rStyle w:val="Hyperlink"/>
                <w:noProof/>
                <w:sz w:val="24"/>
              </w:rPr>
              <w:t>Task 3: Critical Reflection on AI Usage</w:t>
            </w:r>
            <w:r w:rsidRPr="00017742">
              <w:rPr>
                <w:noProof/>
                <w:webHidden/>
                <w:sz w:val="24"/>
              </w:rPr>
              <w:tab/>
            </w:r>
            <w:r w:rsidRPr="00017742">
              <w:rPr>
                <w:noProof/>
                <w:webHidden/>
                <w:sz w:val="24"/>
              </w:rPr>
              <w:fldChar w:fldCharType="begin"/>
            </w:r>
            <w:r w:rsidRPr="00017742">
              <w:rPr>
                <w:noProof/>
                <w:webHidden/>
                <w:sz w:val="24"/>
              </w:rPr>
              <w:instrText xml:space="preserve"> PAGEREF _Toc235035352 \h </w:instrText>
            </w:r>
            <w:r w:rsidRPr="00017742">
              <w:rPr>
                <w:noProof/>
                <w:webHidden/>
                <w:sz w:val="24"/>
              </w:rPr>
            </w:r>
            <w:r w:rsidRPr="00017742">
              <w:rPr>
                <w:noProof/>
                <w:webHidden/>
                <w:sz w:val="24"/>
              </w:rPr>
              <w:fldChar w:fldCharType="separate"/>
            </w:r>
            <w:r w:rsidRPr="00017742">
              <w:rPr>
                <w:noProof/>
                <w:webHidden/>
                <w:sz w:val="24"/>
              </w:rPr>
              <w:t>13</w:t>
            </w:r>
            <w:r w:rsidRPr="00017742">
              <w:rPr>
                <w:noProof/>
                <w:webHidden/>
                <w:sz w:val="24"/>
              </w:rPr>
              <w:fldChar w:fldCharType="end"/>
            </w:r>
          </w:hyperlink>
        </w:p>
        <w:p w14:paraId="1330DDF0" w14:textId="77777777" w:rsidR="00017742" w:rsidRPr="00017742" w:rsidRDefault="00017742" w:rsidP="00017742">
          <w:pPr>
            <w:pStyle w:val="TOC2"/>
            <w:tabs>
              <w:tab w:val="right" w:leader="dot" w:pos="9019"/>
            </w:tabs>
            <w:spacing w:after="0" w:line="240" w:lineRule="auto"/>
            <w:jc w:val="both"/>
            <w:rPr>
              <w:rFonts w:asciiTheme="minorHAnsi" w:eastAsiaTheme="minorEastAsia" w:hAnsiTheme="minorHAnsi" w:cstheme="minorBidi"/>
              <w:noProof/>
              <w:sz w:val="24"/>
              <w:lang w:val="en-US"/>
            </w:rPr>
          </w:pPr>
          <w:hyperlink w:anchor="_Toc235035353" w:history="1">
            <w:r w:rsidRPr="00017742">
              <w:rPr>
                <w:rStyle w:val="Hyperlink"/>
                <w:rFonts w:eastAsia="Times New Roman"/>
                <w:bCs/>
                <w:noProof/>
                <w:sz w:val="24"/>
              </w:rPr>
              <w:t>3.1 AI Tool Disclos</w:t>
            </w:r>
            <w:r w:rsidRPr="00017742">
              <w:rPr>
                <w:rStyle w:val="Hyperlink"/>
                <w:noProof/>
                <w:sz w:val="24"/>
              </w:rPr>
              <w:t>u</w:t>
            </w:r>
            <w:r w:rsidRPr="00017742">
              <w:rPr>
                <w:rStyle w:val="Hyperlink"/>
                <w:rFonts w:eastAsia="Times New Roman"/>
                <w:bCs/>
                <w:noProof/>
                <w:sz w:val="24"/>
              </w:rPr>
              <w:t>re</w:t>
            </w:r>
            <w:r w:rsidRPr="00017742">
              <w:rPr>
                <w:noProof/>
                <w:webHidden/>
                <w:sz w:val="24"/>
              </w:rPr>
              <w:tab/>
            </w:r>
            <w:r w:rsidRPr="00017742">
              <w:rPr>
                <w:noProof/>
                <w:webHidden/>
                <w:sz w:val="24"/>
              </w:rPr>
              <w:fldChar w:fldCharType="begin"/>
            </w:r>
            <w:r w:rsidRPr="00017742">
              <w:rPr>
                <w:noProof/>
                <w:webHidden/>
                <w:sz w:val="24"/>
              </w:rPr>
              <w:instrText xml:space="preserve"> PAGEREF _Toc235035353 \h </w:instrText>
            </w:r>
            <w:r w:rsidRPr="00017742">
              <w:rPr>
                <w:noProof/>
                <w:webHidden/>
                <w:sz w:val="24"/>
              </w:rPr>
            </w:r>
            <w:r w:rsidRPr="00017742">
              <w:rPr>
                <w:noProof/>
                <w:webHidden/>
                <w:sz w:val="24"/>
              </w:rPr>
              <w:fldChar w:fldCharType="separate"/>
            </w:r>
            <w:r w:rsidRPr="00017742">
              <w:rPr>
                <w:noProof/>
                <w:webHidden/>
                <w:sz w:val="24"/>
              </w:rPr>
              <w:t>13</w:t>
            </w:r>
            <w:r w:rsidRPr="00017742">
              <w:rPr>
                <w:noProof/>
                <w:webHidden/>
                <w:sz w:val="24"/>
              </w:rPr>
              <w:fldChar w:fldCharType="end"/>
            </w:r>
          </w:hyperlink>
        </w:p>
        <w:p w14:paraId="54BEED98" w14:textId="77777777" w:rsidR="00017742" w:rsidRPr="00017742" w:rsidRDefault="00017742" w:rsidP="00017742">
          <w:pPr>
            <w:pStyle w:val="TOC2"/>
            <w:tabs>
              <w:tab w:val="right" w:leader="dot" w:pos="9019"/>
            </w:tabs>
            <w:spacing w:after="0" w:line="240" w:lineRule="auto"/>
            <w:jc w:val="both"/>
            <w:rPr>
              <w:rFonts w:asciiTheme="minorHAnsi" w:eastAsiaTheme="minorEastAsia" w:hAnsiTheme="minorHAnsi" w:cstheme="minorBidi"/>
              <w:noProof/>
              <w:sz w:val="24"/>
              <w:lang w:val="en-US"/>
            </w:rPr>
          </w:pPr>
          <w:hyperlink w:anchor="_Toc235035354" w:history="1">
            <w:r w:rsidRPr="00017742">
              <w:rPr>
                <w:rStyle w:val="Hyperlink"/>
                <w:noProof/>
                <w:sz w:val="24"/>
              </w:rPr>
              <w:t>3.2 Evaluation of AI-Generated Outputs</w:t>
            </w:r>
            <w:r w:rsidRPr="00017742">
              <w:rPr>
                <w:noProof/>
                <w:webHidden/>
                <w:sz w:val="24"/>
              </w:rPr>
              <w:tab/>
            </w:r>
            <w:r w:rsidRPr="00017742">
              <w:rPr>
                <w:noProof/>
                <w:webHidden/>
                <w:sz w:val="24"/>
              </w:rPr>
              <w:fldChar w:fldCharType="begin"/>
            </w:r>
            <w:r w:rsidRPr="00017742">
              <w:rPr>
                <w:noProof/>
                <w:webHidden/>
                <w:sz w:val="24"/>
              </w:rPr>
              <w:instrText xml:space="preserve"> PAGEREF _Toc235035354 \h </w:instrText>
            </w:r>
            <w:r w:rsidRPr="00017742">
              <w:rPr>
                <w:noProof/>
                <w:webHidden/>
                <w:sz w:val="24"/>
              </w:rPr>
            </w:r>
            <w:r w:rsidRPr="00017742">
              <w:rPr>
                <w:noProof/>
                <w:webHidden/>
                <w:sz w:val="24"/>
              </w:rPr>
              <w:fldChar w:fldCharType="separate"/>
            </w:r>
            <w:r w:rsidRPr="00017742">
              <w:rPr>
                <w:noProof/>
                <w:webHidden/>
                <w:sz w:val="24"/>
              </w:rPr>
              <w:t>13</w:t>
            </w:r>
            <w:r w:rsidRPr="00017742">
              <w:rPr>
                <w:noProof/>
                <w:webHidden/>
                <w:sz w:val="24"/>
              </w:rPr>
              <w:fldChar w:fldCharType="end"/>
            </w:r>
          </w:hyperlink>
        </w:p>
        <w:p w14:paraId="3BADBCE8" w14:textId="77777777" w:rsidR="00017742" w:rsidRPr="00017742" w:rsidRDefault="00017742" w:rsidP="00017742">
          <w:pPr>
            <w:pStyle w:val="TOC2"/>
            <w:tabs>
              <w:tab w:val="right" w:leader="dot" w:pos="9019"/>
            </w:tabs>
            <w:spacing w:after="0" w:line="240" w:lineRule="auto"/>
            <w:jc w:val="both"/>
            <w:rPr>
              <w:rFonts w:asciiTheme="minorHAnsi" w:eastAsiaTheme="minorEastAsia" w:hAnsiTheme="minorHAnsi" w:cstheme="minorBidi"/>
              <w:noProof/>
              <w:sz w:val="24"/>
              <w:lang w:val="en-US"/>
            </w:rPr>
          </w:pPr>
          <w:hyperlink w:anchor="_Toc235035355" w:history="1">
            <w:r w:rsidRPr="00017742">
              <w:rPr>
                <w:rStyle w:val="Hyperlink"/>
                <w:noProof/>
                <w:sz w:val="24"/>
              </w:rPr>
              <w:t>3.3 Assessment of AI and Personal Contributions</w:t>
            </w:r>
            <w:r w:rsidRPr="00017742">
              <w:rPr>
                <w:noProof/>
                <w:webHidden/>
                <w:sz w:val="24"/>
              </w:rPr>
              <w:tab/>
            </w:r>
            <w:r w:rsidRPr="00017742">
              <w:rPr>
                <w:noProof/>
                <w:webHidden/>
                <w:sz w:val="24"/>
              </w:rPr>
              <w:fldChar w:fldCharType="begin"/>
            </w:r>
            <w:r w:rsidRPr="00017742">
              <w:rPr>
                <w:noProof/>
                <w:webHidden/>
                <w:sz w:val="24"/>
              </w:rPr>
              <w:instrText xml:space="preserve"> PAGEREF _Toc235035355 \h </w:instrText>
            </w:r>
            <w:r w:rsidRPr="00017742">
              <w:rPr>
                <w:noProof/>
                <w:webHidden/>
                <w:sz w:val="24"/>
              </w:rPr>
            </w:r>
            <w:r w:rsidRPr="00017742">
              <w:rPr>
                <w:noProof/>
                <w:webHidden/>
                <w:sz w:val="24"/>
              </w:rPr>
              <w:fldChar w:fldCharType="separate"/>
            </w:r>
            <w:r w:rsidRPr="00017742">
              <w:rPr>
                <w:noProof/>
                <w:webHidden/>
                <w:sz w:val="24"/>
              </w:rPr>
              <w:t>14</w:t>
            </w:r>
            <w:r w:rsidRPr="00017742">
              <w:rPr>
                <w:noProof/>
                <w:webHidden/>
                <w:sz w:val="24"/>
              </w:rPr>
              <w:fldChar w:fldCharType="end"/>
            </w:r>
          </w:hyperlink>
        </w:p>
        <w:p w14:paraId="1334DE36" w14:textId="77777777" w:rsidR="00017742" w:rsidRPr="00017742" w:rsidRDefault="00017742" w:rsidP="00017742">
          <w:pPr>
            <w:pStyle w:val="TOC2"/>
            <w:tabs>
              <w:tab w:val="right" w:leader="dot" w:pos="9019"/>
            </w:tabs>
            <w:spacing w:after="0" w:line="240" w:lineRule="auto"/>
            <w:jc w:val="both"/>
            <w:rPr>
              <w:rFonts w:asciiTheme="minorHAnsi" w:eastAsiaTheme="minorEastAsia" w:hAnsiTheme="minorHAnsi" w:cstheme="minorBidi"/>
              <w:noProof/>
              <w:sz w:val="24"/>
              <w:lang w:val="en-US"/>
            </w:rPr>
          </w:pPr>
          <w:hyperlink w:anchor="_Toc235035356" w:history="1">
            <w:r w:rsidRPr="00017742">
              <w:rPr>
                <w:rStyle w:val="Hyperlink"/>
                <w:noProof/>
                <w:sz w:val="24"/>
              </w:rPr>
              <w:t>3.4 Ethical and Professional Reflection on AI Use</w:t>
            </w:r>
            <w:r w:rsidRPr="00017742">
              <w:rPr>
                <w:noProof/>
                <w:webHidden/>
                <w:sz w:val="24"/>
              </w:rPr>
              <w:tab/>
            </w:r>
            <w:r w:rsidRPr="00017742">
              <w:rPr>
                <w:noProof/>
                <w:webHidden/>
                <w:sz w:val="24"/>
              </w:rPr>
              <w:fldChar w:fldCharType="begin"/>
            </w:r>
            <w:r w:rsidRPr="00017742">
              <w:rPr>
                <w:noProof/>
                <w:webHidden/>
                <w:sz w:val="24"/>
              </w:rPr>
              <w:instrText xml:space="preserve"> PAGEREF _Toc235035356 \h </w:instrText>
            </w:r>
            <w:r w:rsidRPr="00017742">
              <w:rPr>
                <w:noProof/>
                <w:webHidden/>
                <w:sz w:val="24"/>
              </w:rPr>
            </w:r>
            <w:r w:rsidRPr="00017742">
              <w:rPr>
                <w:noProof/>
                <w:webHidden/>
                <w:sz w:val="24"/>
              </w:rPr>
              <w:fldChar w:fldCharType="separate"/>
            </w:r>
            <w:r w:rsidRPr="00017742">
              <w:rPr>
                <w:noProof/>
                <w:webHidden/>
                <w:sz w:val="24"/>
              </w:rPr>
              <w:t>14</w:t>
            </w:r>
            <w:r w:rsidRPr="00017742">
              <w:rPr>
                <w:noProof/>
                <w:webHidden/>
                <w:sz w:val="24"/>
              </w:rPr>
              <w:fldChar w:fldCharType="end"/>
            </w:r>
          </w:hyperlink>
        </w:p>
        <w:p w14:paraId="6E3D6D7E" w14:textId="77777777" w:rsidR="00017742" w:rsidRPr="00017742" w:rsidRDefault="00017742" w:rsidP="00017742">
          <w:pPr>
            <w:pStyle w:val="TOC1"/>
            <w:tabs>
              <w:tab w:val="right" w:leader="dot" w:pos="9019"/>
            </w:tabs>
            <w:spacing w:after="0" w:line="240" w:lineRule="auto"/>
            <w:jc w:val="both"/>
            <w:rPr>
              <w:rFonts w:asciiTheme="minorHAnsi" w:eastAsiaTheme="minorEastAsia" w:hAnsiTheme="minorHAnsi" w:cstheme="minorBidi"/>
              <w:noProof/>
              <w:sz w:val="24"/>
              <w:lang w:val="en-US"/>
            </w:rPr>
          </w:pPr>
          <w:hyperlink w:anchor="_Toc235035357" w:history="1">
            <w:r w:rsidRPr="00017742">
              <w:rPr>
                <w:rStyle w:val="Hyperlink"/>
                <w:noProof/>
                <w:sz w:val="24"/>
              </w:rPr>
              <w:t>References</w:t>
            </w:r>
            <w:r w:rsidRPr="00017742">
              <w:rPr>
                <w:noProof/>
                <w:webHidden/>
                <w:sz w:val="24"/>
              </w:rPr>
              <w:tab/>
            </w:r>
            <w:r w:rsidRPr="00017742">
              <w:rPr>
                <w:noProof/>
                <w:webHidden/>
                <w:sz w:val="24"/>
              </w:rPr>
              <w:fldChar w:fldCharType="begin"/>
            </w:r>
            <w:r w:rsidRPr="00017742">
              <w:rPr>
                <w:noProof/>
                <w:webHidden/>
                <w:sz w:val="24"/>
              </w:rPr>
              <w:instrText xml:space="preserve"> PAGEREF _Toc235035357 \h </w:instrText>
            </w:r>
            <w:r w:rsidRPr="00017742">
              <w:rPr>
                <w:noProof/>
                <w:webHidden/>
                <w:sz w:val="24"/>
              </w:rPr>
            </w:r>
            <w:r w:rsidRPr="00017742">
              <w:rPr>
                <w:noProof/>
                <w:webHidden/>
                <w:sz w:val="24"/>
              </w:rPr>
              <w:fldChar w:fldCharType="separate"/>
            </w:r>
            <w:r w:rsidRPr="00017742">
              <w:rPr>
                <w:noProof/>
                <w:webHidden/>
                <w:sz w:val="24"/>
              </w:rPr>
              <w:t>15</w:t>
            </w:r>
            <w:r w:rsidRPr="00017742">
              <w:rPr>
                <w:noProof/>
                <w:webHidden/>
                <w:sz w:val="24"/>
              </w:rPr>
              <w:fldChar w:fldCharType="end"/>
            </w:r>
          </w:hyperlink>
        </w:p>
        <w:p w14:paraId="459E7D99" w14:textId="77777777" w:rsidR="00017742" w:rsidRPr="00017742" w:rsidRDefault="00017742" w:rsidP="00017742">
          <w:pPr>
            <w:pStyle w:val="TOC1"/>
            <w:tabs>
              <w:tab w:val="right" w:leader="dot" w:pos="9019"/>
            </w:tabs>
            <w:spacing w:after="0" w:line="240" w:lineRule="auto"/>
            <w:jc w:val="both"/>
            <w:rPr>
              <w:rFonts w:asciiTheme="minorHAnsi" w:eastAsiaTheme="minorEastAsia" w:hAnsiTheme="minorHAnsi" w:cstheme="minorBidi"/>
              <w:noProof/>
              <w:sz w:val="24"/>
              <w:lang w:val="en-US"/>
            </w:rPr>
          </w:pPr>
          <w:hyperlink w:anchor="_Toc235035358" w:history="1">
            <w:r w:rsidRPr="00017742">
              <w:rPr>
                <w:rStyle w:val="Hyperlink"/>
                <w:noProof/>
                <w:sz w:val="24"/>
              </w:rPr>
              <w:t>Appendix 1: Jansen project</w:t>
            </w:r>
            <w:r w:rsidRPr="00017742">
              <w:rPr>
                <w:noProof/>
                <w:webHidden/>
                <w:sz w:val="24"/>
              </w:rPr>
              <w:tab/>
            </w:r>
            <w:r w:rsidRPr="00017742">
              <w:rPr>
                <w:noProof/>
                <w:webHidden/>
                <w:sz w:val="24"/>
              </w:rPr>
              <w:fldChar w:fldCharType="begin"/>
            </w:r>
            <w:r w:rsidRPr="00017742">
              <w:rPr>
                <w:noProof/>
                <w:webHidden/>
                <w:sz w:val="24"/>
              </w:rPr>
              <w:instrText xml:space="preserve"> PAGEREF _Toc235035358 \h </w:instrText>
            </w:r>
            <w:r w:rsidRPr="00017742">
              <w:rPr>
                <w:noProof/>
                <w:webHidden/>
                <w:sz w:val="24"/>
              </w:rPr>
            </w:r>
            <w:r w:rsidRPr="00017742">
              <w:rPr>
                <w:noProof/>
                <w:webHidden/>
                <w:sz w:val="24"/>
              </w:rPr>
              <w:fldChar w:fldCharType="separate"/>
            </w:r>
            <w:r w:rsidRPr="00017742">
              <w:rPr>
                <w:noProof/>
                <w:webHidden/>
                <w:sz w:val="24"/>
              </w:rPr>
              <w:t>19</w:t>
            </w:r>
            <w:r w:rsidRPr="00017742">
              <w:rPr>
                <w:noProof/>
                <w:webHidden/>
                <w:sz w:val="24"/>
              </w:rPr>
              <w:fldChar w:fldCharType="end"/>
            </w:r>
          </w:hyperlink>
        </w:p>
        <w:p w14:paraId="6C45361D" w14:textId="77777777" w:rsidR="00A8726A" w:rsidRPr="00017742" w:rsidRDefault="00A8726A" w:rsidP="00017742">
          <w:pPr>
            <w:spacing w:line="240" w:lineRule="auto"/>
            <w:jc w:val="both"/>
          </w:pPr>
          <w:r w:rsidRPr="00017742">
            <w:rPr>
              <w:b/>
              <w:bCs/>
              <w:noProof/>
              <w:sz w:val="24"/>
            </w:rPr>
            <w:fldChar w:fldCharType="end"/>
          </w:r>
        </w:p>
      </w:sdtContent>
    </w:sdt>
    <w:p w14:paraId="3639E714" w14:textId="77777777" w:rsidR="0098430E" w:rsidRPr="00017742" w:rsidRDefault="0098430E" w:rsidP="00017742">
      <w:pPr>
        <w:spacing w:after="240" w:line="360" w:lineRule="auto"/>
        <w:jc w:val="center"/>
        <w:rPr>
          <w:b/>
          <w:bCs/>
          <w:sz w:val="28"/>
          <w:szCs w:val="28"/>
        </w:rPr>
      </w:pPr>
    </w:p>
    <w:p w14:paraId="6662BD82" w14:textId="77777777" w:rsidR="0098430E" w:rsidRPr="00017742" w:rsidRDefault="0098430E" w:rsidP="00017742">
      <w:pPr>
        <w:spacing w:after="240" w:line="360" w:lineRule="auto"/>
        <w:jc w:val="both"/>
        <w:rPr>
          <w:rFonts w:eastAsia="Times New Roman"/>
          <w:b/>
          <w:bCs/>
          <w:sz w:val="24"/>
          <w:szCs w:val="24"/>
        </w:rPr>
      </w:pPr>
    </w:p>
    <w:p w14:paraId="750D1CDC" w14:textId="77777777" w:rsidR="0098430E" w:rsidRPr="00017742" w:rsidRDefault="0098430E" w:rsidP="00017742">
      <w:pPr>
        <w:spacing w:after="240" w:line="360" w:lineRule="auto"/>
        <w:rPr>
          <w:b/>
          <w:sz w:val="28"/>
          <w:szCs w:val="40"/>
        </w:rPr>
      </w:pPr>
      <w:bookmarkStart w:id="0" w:name="_jh7uafbk2omr" w:colFirst="0" w:colLast="0"/>
      <w:bookmarkEnd w:id="0"/>
      <w:r w:rsidRPr="00017742">
        <w:br w:type="page"/>
      </w:r>
    </w:p>
    <w:p w14:paraId="13190EB3" w14:textId="77777777" w:rsidR="00F02121" w:rsidRPr="00017742" w:rsidRDefault="00A8726A" w:rsidP="00017742">
      <w:pPr>
        <w:pStyle w:val="Heading1"/>
        <w:spacing w:before="0" w:after="240"/>
        <w:rPr>
          <w:b w:val="0"/>
        </w:rPr>
      </w:pPr>
      <w:bookmarkStart w:id="1" w:name="_Toc235035333"/>
      <w:r w:rsidRPr="00017742">
        <w:lastRenderedPageBreak/>
        <w:t>Task 1: Marketing Environment Analysis</w:t>
      </w:r>
      <w:bookmarkEnd w:id="1"/>
    </w:p>
    <w:p w14:paraId="4355965C" w14:textId="77777777" w:rsidR="00F02121" w:rsidRPr="00017742" w:rsidRDefault="00A8726A" w:rsidP="00017742">
      <w:pPr>
        <w:pStyle w:val="Heading2"/>
        <w:spacing w:before="0" w:after="240"/>
        <w:rPr>
          <w:b w:val="0"/>
        </w:rPr>
      </w:pPr>
      <w:bookmarkStart w:id="2" w:name="_9kx0xipjpqjw" w:colFirst="0" w:colLast="0"/>
      <w:bookmarkStart w:id="3" w:name="_Toc235035334"/>
      <w:bookmarkEnd w:id="2"/>
      <w:r w:rsidRPr="00017742">
        <w:t>1.1 Company Selection and Context</w:t>
      </w:r>
      <w:bookmarkEnd w:id="3"/>
    </w:p>
    <w:p w14:paraId="45761D24" w14:textId="77777777" w:rsidR="00F02121" w:rsidRPr="00017742" w:rsidRDefault="00A8726A" w:rsidP="00017742">
      <w:pPr>
        <w:pStyle w:val="Heading3"/>
      </w:pPr>
      <w:bookmarkStart w:id="4" w:name="_30u4cs3im15q" w:colFirst="0" w:colLast="0"/>
      <w:bookmarkStart w:id="5" w:name="_Toc235035335"/>
      <w:bookmarkEnd w:id="4"/>
      <w:r w:rsidRPr="00017742">
        <w:t>1.1.1 Overview of BHP</w:t>
      </w:r>
      <w:bookmarkEnd w:id="5"/>
    </w:p>
    <w:p w14:paraId="5F48C01F"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BHP is one of the world’s largest diversified mining organisation which, headquartered in Melbourne, Australia, with operations across Australia, the Americas and Asia, employing more than 90,000 employees (BHP, 2026). The company is a leading producer of iron ore, copper, nickel and potash, supplying critical minerals that support the infrastructure, renewable energy and ultimately electric vehicles industries. Owing to its large-scale business operations, strong financial performances alongside an extensive global network, BHP has established a leading position within the global metals and mining sector. As the demand for critical minerals continues to grow, BHP plays a pivotal role across supporting the global energy transition as well as sustainable economic development. </w:t>
      </w:r>
    </w:p>
    <w:p w14:paraId="04FF617F" w14:textId="77777777" w:rsidR="00F02121" w:rsidRPr="00017742" w:rsidRDefault="00A8726A" w:rsidP="00017742">
      <w:pPr>
        <w:spacing w:after="240" w:line="360" w:lineRule="auto"/>
        <w:jc w:val="both"/>
        <w:rPr>
          <w:rFonts w:eastAsia="Times New Roman"/>
          <w:sz w:val="24"/>
          <w:szCs w:val="24"/>
        </w:rPr>
      </w:pPr>
      <w:r w:rsidRPr="00017742">
        <w:rPr>
          <w:rFonts w:eastAsia="Times New Roman"/>
          <w:noProof/>
          <w:sz w:val="24"/>
          <w:szCs w:val="24"/>
        </w:rPr>
        <w:drawing>
          <wp:inline distT="114300" distB="114300" distL="114300" distR="114300" wp14:anchorId="41D73D4E" wp14:editId="7957A682">
            <wp:extent cx="5100255" cy="2650189"/>
            <wp:effectExtent l="133350" t="133350" r="139065" b="169545"/>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102170" cy="26511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44BFEC1" w14:textId="77777777" w:rsidR="00F02121" w:rsidRPr="00017742" w:rsidRDefault="00A8726A" w:rsidP="00017742">
      <w:pPr>
        <w:pStyle w:val="Heading4"/>
        <w:spacing w:before="0" w:after="240"/>
      </w:pPr>
      <w:r w:rsidRPr="00017742">
        <w:t xml:space="preserve">Figure 1: Company statistics </w:t>
      </w:r>
    </w:p>
    <w:p w14:paraId="0279261B"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sz w:val="24"/>
          <w:szCs w:val="24"/>
        </w:rPr>
        <w:t>(Source: BHP, 2025)</w:t>
      </w:r>
    </w:p>
    <w:p w14:paraId="7CB7942D" w14:textId="77777777" w:rsidR="00F02121" w:rsidRPr="00017742" w:rsidRDefault="00A8726A" w:rsidP="00017742">
      <w:pPr>
        <w:pStyle w:val="Heading3"/>
      </w:pPr>
      <w:bookmarkStart w:id="6" w:name="_6h1i1rp5skux" w:colFirst="0" w:colLast="0"/>
      <w:bookmarkStart w:id="7" w:name="_Toc235035336"/>
      <w:bookmarkEnd w:id="6"/>
      <w:r w:rsidRPr="00017742">
        <w:t>1.1.2 BHP's Sustainability and Decarbonisation Journey</w:t>
      </w:r>
      <w:bookmarkEnd w:id="7"/>
    </w:p>
    <w:p w14:paraId="29BC6F4C"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BHP has embedded sustainability within its corporate strategy through prioritising decarbonisation, along with responsible resource development. </w:t>
      </w:r>
    </w:p>
    <w:p w14:paraId="3D068536"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noProof/>
          <w:sz w:val="24"/>
          <w:szCs w:val="24"/>
        </w:rPr>
        <w:lastRenderedPageBreak/>
        <w:drawing>
          <wp:inline distT="114300" distB="114300" distL="114300" distR="114300" wp14:anchorId="329BCCE0" wp14:editId="1E0F8CC3">
            <wp:extent cx="4658820" cy="4143875"/>
            <wp:effectExtent l="76200" t="76200" r="142240" b="142875"/>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661397" cy="41461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3130D9" w14:textId="77777777" w:rsidR="00F02121" w:rsidRPr="00017742" w:rsidRDefault="00A8726A" w:rsidP="00017742">
      <w:pPr>
        <w:pStyle w:val="Heading4"/>
        <w:spacing w:before="0" w:after="240"/>
      </w:pPr>
      <w:r w:rsidRPr="00017742">
        <w:t>Figure 2: Operational GHG emissions of BHP</w:t>
      </w:r>
    </w:p>
    <w:p w14:paraId="002BD292"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sz w:val="24"/>
          <w:szCs w:val="24"/>
        </w:rPr>
        <w:t>(Source: BHP, 2026)</w:t>
      </w:r>
    </w:p>
    <w:p w14:paraId="2C39E76F"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The organisation has committed to attaining net-zero operational greenhouse gas emissions (Scope 1 and 2) by the end of 2050 and also established a medium target of at least a 30% reduction across operational emissions through FY2030 from FY2020 levels (BHP, 2026). In the financial year 2025, approximately 42% of BHP’s operated electricity demand has been supplied from renewable sources, supported through long-term renewable power agreements across Australia and Chile as well (BHP, 2025). In addition, BHP is investing in mine electrification, low-emission haulage technologies and ultimately partnerships to lower the emissions across the steelmaking value chain and thus strengthening its transition towards a lower carbon business model. </w:t>
      </w:r>
    </w:p>
    <w:p w14:paraId="4470503D" w14:textId="77777777" w:rsidR="00F02121" w:rsidRPr="00017742" w:rsidRDefault="00A8726A" w:rsidP="00017742">
      <w:pPr>
        <w:pStyle w:val="Heading2"/>
        <w:spacing w:before="0" w:after="240"/>
        <w:rPr>
          <w:b w:val="0"/>
        </w:rPr>
      </w:pPr>
      <w:bookmarkStart w:id="8" w:name="_o7z3x8hproam" w:colFirst="0" w:colLast="0"/>
      <w:bookmarkStart w:id="9" w:name="_Toc235035337"/>
      <w:bookmarkEnd w:id="8"/>
      <w:r w:rsidRPr="00017742">
        <w:lastRenderedPageBreak/>
        <w:t>1.2 External Marketing Environment Actor 1: Natural Environment</w:t>
      </w:r>
      <w:bookmarkEnd w:id="9"/>
    </w:p>
    <w:p w14:paraId="23C2FDE4" w14:textId="77777777" w:rsidR="00F02121" w:rsidRPr="00017742" w:rsidRDefault="00A8726A" w:rsidP="00017742">
      <w:pPr>
        <w:pStyle w:val="Heading3"/>
      </w:pPr>
      <w:bookmarkStart w:id="10" w:name="_wx0f8s8mmyri" w:colFirst="0" w:colLast="0"/>
      <w:bookmarkStart w:id="11" w:name="_Toc235035338"/>
      <w:bookmarkEnd w:id="10"/>
      <w:r w:rsidRPr="00017742">
        <w:t>1.2.1 Influence of the Natural Environment on BHP's Marketing Strategy</w:t>
      </w:r>
      <w:bookmarkEnd w:id="11"/>
    </w:p>
    <w:p w14:paraId="0A92E37B" w14:textId="77777777" w:rsidR="00017742" w:rsidRDefault="00A8726A" w:rsidP="00017742">
      <w:pPr>
        <w:spacing w:after="240" w:line="360" w:lineRule="auto"/>
        <w:jc w:val="both"/>
        <w:rPr>
          <w:rFonts w:eastAsia="Times New Roman"/>
          <w:sz w:val="24"/>
          <w:szCs w:val="24"/>
        </w:rPr>
      </w:pPr>
      <w:r w:rsidRPr="00017742">
        <w:rPr>
          <w:rFonts w:eastAsia="Times New Roman"/>
          <w:sz w:val="24"/>
          <w:szCs w:val="24"/>
        </w:rPr>
        <w:t>The natural environment is the dominant external marketing environment actor which significantly influences the strategic transition of BHP towards a lower-carbon business model because environmental pressures increasingly determine market demand, regulatory expectations, as well as preferences of the stakeholders. Rising global decarbonisation efforts have intensified the demand for critical minerals, specifically copper and nickel, positioning BHP to gain advantages from expanding renewable energy as well as electric vehicle markets. This opportunity is reflected across copper, contributing approximately 51% of BHP’s underlying EBITDA in the financial year 2025, thus reinforcing the commercial value of its lower-carbon c</w:t>
      </w:r>
      <w:r w:rsidR="00017742">
        <w:rPr>
          <w:rFonts w:eastAsia="Times New Roman"/>
          <w:sz w:val="24"/>
          <w:szCs w:val="24"/>
        </w:rPr>
        <w:t>ommodity portfolio (BHP, 2026).</w:t>
      </w:r>
    </w:p>
    <w:p w14:paraId="402D9C62"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However, these opportunities are not without challenges. Climate change has intensified the water scarcity </w:t>
      </w:r>
      <w:r w:rsidR="00017742" w:rsidRPr="00017742">
        <w:rPr>
          <w:rFonts w:eastAsia="Times New Roman"/>
          <w:sz w:val="24"/>
          <w:szCs w:val="24"/>
        </w:rPr>
        <w:t>along with</w:t>
      </w:r>
      <w:r w:rsidRPr="00017742">
        <w:rPr>
          <w:rFonts w:eastAsia="Times New Roman"/>
          <w:sz w:val="24"/>
          <w:szCs w:val="24"/>
        </w:rPr>
        <w:t xml:space="preserve"> extreme weather events across key operations across countries like Australia and Chile, and thus maximised both operational threats as well as overall costs of production. In addition, attaining the targets of BHP of at least a 30% reduction within the operational greenhouse gas emissions by the end of 2030, despite reaching a 24% reduction by the year 2025, requires substantial investment of capital across renewable electricity, fleet electrification in combination with emissions-reduction technologies (BHP, 2024). Therefore, it can be asserted that though the natural environmental pressures create significant opportunities for growth for the company, they simultaneously impose organisations towards financial as well as operational constraints which requires sustained strategic adaptation.  </w:t>
      </w:r>
    </w:p>
    <w:p w14:paraId="30D52602" w14:textId="77777777" w:rsidR="00F02121" w:rsidRPr="00017742" w:rsidRDefault="00A8726A" w:rsidP="00017742">
      <w:pPr>
        <w:pStyle w:val="Heading3"/>
      </w:pPr>
      <w:bookmarkStart w:id="12" w:name="_vvo19y5el5sa" w:colFirst="0" w:colLast="0"/>
      <w:bookmarkStart w:id="13" w:name="_Toc235035339"/>
      <w:bookmarkEnd w:id="12"/>
      <w:r w:rsidRPr="00017742">
        <w:t>1.2.2 Natural Environment-Driven Opportunities and Threats</w:t>
      </w:r>
      <w:bookmarkEnd w:id="13"/>
    </w:p>
    <w:p w14:paraId="7C1FDC5C"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The lower-carbon transition of BHP presents notable market opportunities through maximising the global demand for both nickel and copper, driven by not only renewable energy infrastructure but also electric vehicle production. Moreover, the company’s investment in renewable electricity in combination with low-emission technologies not only strengthens its ESG credentials but also enhances access towards sustainability-focused investors and long-term customer partnerships (Ahmad et al., 2025). </w:t>
      </w:r>
    </w:p>
    <w:p w14:paraId="6D55BA1E"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lastRenderedPageBreak/>
        <w:t xml:space="preserve">However, these opportunities are balanced by substantial threats. Strict carbon regulations, the growing compliance costs and the climate-related operational disruptions maximise the financial pressures on different mining activities. Furthermore, attaining decarbonisation targets of BHP requires continuous investment of capital within the emerging technologies and thus creates uncertainty concerning both cost recovery and future profitability as well. In essence, it can be asserted that managing the competitive edge completely relies on balancing the sustainability investments with operational effectiveness and financial adaptability as well. </w:t>
      </w:r>
    </w:p>
    <w:p w14:paraId="0CD2051E" w14:textId="77777777" w:rsidR="00F02121" w:rsidRPr="00017742" w:rsidRDefault="00A8726A" w:rsidP="00017742">
      <w:pPr>
        <w:pStyle w:val="Heading2"/>
        <w:keepNext w:val="0"/>
        <w:keepLines w:val="0"/>
        <w:spacing w:before="0" w:after="240"/>
        <w:rPr>
          <w:rFonts w:eastAsia="Times New Roman"/>
          <w:b w:val="0"/>
          <w:bCs/>
          <w:sz w:val="24"/>
          <w:szCs w:val="24"/>
        </w:rPr>
      </w:pPr>
      <w:bookmarkStart w:id="14" w:name="_liof6wyk35a" w:colFirst="0" w:colLast="0"/>
      <w:bookmarkStart w:id="15" w:name="_Toc235035340"/>
      <w:bookmarkEnd w:id="14"/>
      <w:r w:rsidRPr="00017742">
        <w:rPr>
          <w:rFonts w:eastAsia="Times New Roman"/>
          <w:bCs/>
          <w:sz w:val="24"/>
          <w:szCs w:val="24"/>
        </w:rPr>
        <w:t>1.3 External Marketing Enviro</w:t>
      </w:r>
      <w:r w:rsidRPr="00017742">
        <w:t>n</w:t>
      </w:r>
      <w:r w:rsidRPr="00017742">
        <w:rPr>
          <w:rFonts w:eastAsia="Times New Roman"/>
          <w:bCs/>
          <w:sz w:val="24"/>
          <w:szCs w:val="24"/>
        </w:rPr>
        <w:t>ment Actor 2: Technological Environment</w:t>
      </w:r>
      <w:bookmarkEnd w:id="15"/>
    </w:p>
    <w:p w14:paraId="701AF8E2" w14:textId="77777777" w:rsidR="00F02121" w:rsidRPr="00017742" w:rsidRDefault="00A8726A" w:rsidP="00017742">
      <w:pPr>
        <w:pStyle w:val="Heading3"/>
      </w:pPr>
      <w:bookmarkStart w:id="16" w:name="_9e1clzj3hbr4" w:colFirst="0" w:colLast="0"/>
      <w:bookmarkStart w:id="17" w:name="_Toc235035341"/>
      <w:bookmarkEnd w:id="16"/>
      <w:r w:rsidRPr="00017742">
        <w:t>1.3.1 Impact of Technological Advancements on BHP's Marketing Environment</w:t>
      </w:r>
      <w:bookmarkEnd w:id="17"/>
    </w:p>
    <w:p w14:paraId="55CADDA7"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The technological environment is a crucial external marketing actor that influences the competitive edge of </w:t>
      </w:r>
      <w:r w:rsidR="00017742" w:rsidRPr="00017742">
        <w:rPr>
          <w:rFonts w:eastAsia="Times New Roman"/>
          <w:sz w:val="24"/>
          <w:szCs w:val="24"/>
        </w:rPr>
        <w:t>BHP through</w:t>
      </w:r>
      <w:r w:rsidRPr="00017742">
        <w:rPr>
          <w:rFonts w:eastAsia="Times New Roman"/>
          <w:sz w:val="24"/>
          <w:szCs w:val="24"/>
        </w:rPr>
        <w:t xml:space="preserve"> allowing lower-carbon mining while maximising the investment as well as implementation challenges. Research work by Aithal (2023) cited that technological innovation allows firms to respond to changing market demands through enhancing operational effectiveness while supporting the sustainable value creation. </w:t>
      </w:r>
    </w:p>
    <w:p w14:paraId="62A62AB4"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This mining company has </w:t>
      </w:r>
      <w:r w:rsidR="00EC08B5" w:rsidRPr="00017742">
        <w:rPr>
          <w:rFonts w:eastAsia="Times New Roman"/>
          <w:sz w:val="24"/>
          <w:szCs w:val="24"/>
        </w:rPr>
        <w:t xml:space="preserve">accelerated </w:t>
      </w:r>
      <w:r w:rsidRPr="00017742">
        <w:rPr>
          <w:rFonts w:eastAsia="Times New Roman"/>
          <w:sz w:val="24"/>
          <w:szCs w:val="24"/>
        </w:rPr>
        <w:t xml:space="preserve">its technological innovation </w:t>
      </w:r>
      <w:r w:rsidR="00EC08B5" w:rsidRPr="00017742">
        <w:rPr>
          <w:rFonts w:eastAsia="Times New Roman"/>
          <w:sz w:val="24"/>
          <w:szCs w:val="24"/>
        </w:rPr>
        <w:t xml:space="preserve">through </w:t>
      </w:r>
      <w:r w:rsidRPr="00017742">
        <w:rPr>
          <w:rFonts w:eastAsia="Times New Roman"/>
          <w:sz w:val="24"/>
          <w:szCs w:val="24"/>
        </w:rPr>
        <w:t xml:space="preserve">autonomous haulage systems, digital asset management, </w:t>
      </w:r>
      <w:r w:rsidR="00EC08B5" w:rsidRPr="00017742">
        <w:rPr>
          <w:rFonts w:eastAsia="Times New Roman"/>
          <w:sz w:val="24"/>
          <w:szCs w:val="24"/>
        </w:rPr>
        <w:t xml:space="preserve">in combination </w:t>
      </w:r>
      <w:r w:rsidR="00017742" w:rsidRPr="00017742">
        <w:rPr>
          <w:rFonts w:eastAsia="Times New Roman"/>
          <w:sz w:val="24"/>
          <w:szCs w:val="24"/>
        </w:rPr>
        <w:t>with renewable</w:t>
      </w:r>
      <w:r w:rsidRPr="00017742">
        <w:rPr>
          <w:rFonts w:eastAsia="Times New Roman"/>
          <w:sz w:val="24"/>
          <w:szCs w:val="24"/>
        </w:rPr>
        <w:t xml:space="preserve"> energy integration </w:t>
      </w:r>
      <w:r w:rsidR="00EC08B5" w:rsidRPr="00017742">
        <w:rPr>
          <w:rFonts w:eastAsia="Times New Roman"/>
          <w:sz w:val="24"/>
          <w:szCs w:val="24"/>
        </w:rPr>
        <w:t xml:space="preserve">in order to improve the </w:t>
      </w:r>
      <w:r w:rsidRPr="00017742">
        <w:rPr>
          <w:rFonts w:eastAsia="Times New Roman"/>
          <w:sz w:val="24"/>
          <w:szCs w:val="24"/>
        </w:rPr>
        <w:t xml:space="preserve">operational effectiveness while lowering </w:t>
      </w:r>
      <w:r w:rsidR="00EC08B5" w:rsidRPr="00017742">
        <w:rPr>
          <w:rFonts w:eastAsia="Times New Roman"/>
          <w:sz w:val="24"/>
          <w:szCs w:val="24"/>
        </w:rPr>
        <w:t xml:space="preserve">the rates of </w:t>
      </w:r>
      <w:r w:rsidRPr="00017742">
        <w:rPr>
          <w:rFonts w:eastAsia="Times New Roman"/>
          <w:sz w:val="24"/>
          <w:szCs w:val="24"/>
        </w:rPr>
        <w:t xml:space="preserve">emissions. As an example, this mining organisation is trialling battery-electric haul trucks and has also partnered with Komatsu and Caterpillar in order to develop the zero-emission mining fleets which support its emission reduction targets for 2030 (Pollard and Buckley, 2025). Simultaneously, BHP has expanded predictive analytics as well as automation across its Western Australian Iron Ore operations, which assisted in boosting the level of operational productivity while diminishing the energy consumption.  However, Kejriwal (2023) argued that these technologies require substantial capital expenditure and they remain commercially immature. Thus, it can not only delay the large-scale deployment but also develop a sense of uncertainty regarding the investment returns. As a result, it can be exemplified that though technological innovation fortifies the sustainability credentials of BHP along with operational effectiveness, its competitive value relies on profoundly </w:t>
      </w:r>
      <w:r w:rsidRPr="00017742">
        <w:rPr>
          <w:rFonts w:eastAsia="Times New Roman"/>
          <w:sz w:val="24"/>
          <w:szCs w:val="24"/>
        </w:rPr>
        <w:lastRenderedPageBreak/>
        <w:t xml:space="preserve">balancing the innovation advantages against implementation costs, technological risks and ultimately long-term financial viability.  </w:t>
      </w:r>
    </w:p>
    <w:p w14:paraId="1BC12FD5" w14:textId="77777777" w:rsidR="00F02121" w:rsidRPr="00017742" w:rsidRDefault="00A8726A" w:rsidP="00017742">
      <w:pPr>
        <w:pStyle w:val="Heading3"/>
      </w:pPr>
      <w:bookmarkStart w:id="18" w:name="_t8jgsvqm0yp7" w:colFirst="0" w:colLast="0"/>
      <w:bookmarkStart w:id="19" w:name="_Toc235035342"/>
      <w:bookmarkEnd w:id="18"/>
      <w:r w:rsidRPr="00017742">
        <w:t>1.3.2 Technology-Related Opportunities and Threats</w:t>
      </w:r>
      <w:bookmarkEnd w:id="19"/>
    </w:p>
    <w:p w14:paraId="5D54BC31"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BHP’s technological investment offers significant opportunities to fortify both sustainability performances as well as oper</w:t>
      </w:r>
      <w:r w:rsidR="005D74B3" w:rsidRPr="00017742">
        <w:rPr>
          <w:rFonts w:eastAsia="Times New Roman"/>
          <w:sz w:val="24"/>
          <w:szCs w:val="24"/>
        </w:rPr>
        <w:t>at</w:t>
      </w:r>
      <w:r w:rsidRPr="00017742">
        <w:rPr>
          <w:rFonts w:eastAsia="Times New Roman"/>
          <w:sz w:val="24"/>
          <w:szCs w:val="24"/>
        </w:rPr>
        <w:t>ional effectiveness. Moreover, the strong partnerships with Komatsu and Caterpillar to build battery-electric haul trucks support its targets of lowering operational emissions by replacing the diesel-powered mining fleets.  Besides that, the expansion of the autonomous haulage systems within its Western Australian Iron Ore (WAIO) operations has significantly enhanced the productivity, equipment utilisation and safety, thus enabling the organisation to improve its cost competitiveness while guiding its lower-carbon strategy (Pant, 2026).</w:t>
      </w:r>
    </w:p>
    <w:p w14:paraId="16C49E63"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noProof/>
          <w:sz w:val="24"/>
          <w:szCs w:val="24"/>
        </w:rPr>
        <w:drawing>
          <wp:inline distT="114300" distB="114300" distL="114300" distR="114300" wp14:anchorId="5597D115" wp14:editId="3C3CEDF8">
            <wp:extent cx="4476750" cy="3819525"/>
            <wp:effectExtent l="76200" t="76200" r="133350" b="142875"/>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476750" cy="3819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FCF5BD" w14:textId="77777777" w:rsidR="00F02121" w:rsidRPr="00017742" w:rsidRDefault="005D74B3" w:rsidP="00017742">
      <w:pPr>
        <w:pStyle w:val="Heading4"/>
        <w:spacing w:before="0" w:after="240"/>
      </w:pPr>
      <w:r w:rsidRPr="00017742">
        <w:t>Figure 3: Western Austr</w:t>
      </w:r>
      <w:r w:rsidR="00A8726A" w:rsidRPr="00017742">
        <w:t>alia Iron Ore (WAIO)</w:t>
      </w:r>
    </w:p>
    <w:p w14:paraId="766C08DB"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sz w:val="24"/>
          <w:szCs w:val="24"/>
        </w:rPr>
        <w:t>(Source: BHP, 2025)</w:t>
      </w:r>
    </w:p>
    <w:p w14:paraId="299CB86A"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Despite these significant advancements, BHP acknowledges that battery-electric haul trucks along with other zero-emissions technologies, have not yet reached their full </w:t>
      </w:r>
      <w:r w:rsidRPr="00017742">
        <w:rPr>
          <w:rFonts w:eastAsia="Times New Roman"/>
          <w:sz w:val="24"/>
          <w:szCs w:val="24"/>
        </w:rPr>
        <w:lastRenderedPageBreak/>
        <w:t xml:space="preserve">commercial maturity and thus created a sense of uncertainty regarding the large-scale implementation (Leonida, 2022). Additionally, the company recognise that attaining its FY2030 emissions reduction targets relies on both external technology providers as well as renewable energy infrastructures and thus maximising the capital investment requirements while exposing BHP towards supply chain and technology adoption risks. </w:t>
      </w:r>
    </w:p>
    <w:p w14:paraId="7C5B81E9" w14:textId="77777777" w:rsidR="00F02121" w:rsidRPr="00017742" w:rsidRDefault="00A8726A" w:rsidP="00017742">
      <w:pPr>
        <w:pStyle w:val="Heading1"/>
        <w:spacing w:before="0" w:after="240"/>
        <w:rPr>
          <w:b w:val="0"/>
        </w:rPr>
      </w:pPr>
      <w:bookmarkStart w:id="20" w:name="_mb9esfbpm0rw" w:colFirst="0" w:colLast="0"/>
      <w:bookmarkStart w:id="21" w:name="_Toc235035343"/>
      <w:bookmarkEnd w:id="20"/>
      <w:r w:rsidRPr="00017742">
        <w:t>Task 2: Strategic Growth and Competitive Positioning</w:t>
      </w:r>
      <w:bookmarkEnd w:id="21"/>
    </w:p>
    <w:p w14:paraId="5D93CBD1" w14:textId="77777777" w:rsidR="00F02121" w:rsidRPr="00017742" w:rsidRDefault="00A8726A" w:rsidP="00017742">
      <w:pPr>
        <w:pStyle w:val="Heading2"/>
        <w:spacing w:before="0" w:after="240"/>
        <w:rPr>
          <w:b w:val="0"/>
        </w:rPr>
      </w:pPr>
      <w:bookmarkStart w:id="22" w:name="_3r10bwkwdpch" w:colFirst="0" w:colLast="0"/>
      <w:bookmarkStart w:id="23" w:name="_Toc235035344"/>
      <w:bookmarkEnd w:id="22"/>
      <w:r w:rsidRPr="00017742">
        <w:t>2.1 Strategic Growth Recommendation through the Ansoff Matrix</w:t>
      </w:r>
      <w:bookmarkEnd w:id="23"/>
    </w:p>
    <w:p w14:paraId="09FEFAA7" w14:textId="77777777" w:rsidR="00F02121" w:rsidRPr="00017742" w:rsidRDefault="00A8726A" w:rsidP="00017742">
      <w:pPr>
        <w:pStyle w:val="Heading3"/>
      </w:pPr>
      <w:bookmarkStart w:id="24" w:name="_7saam2h5pj2c" w:colFirst="0" w:colLast="0"/>
      <w:bookmarkStart w:id="25" w:name="_Toc235035345"/>
      <w:bookmarkEnd w:id="24"/>
      <w:r w:rsidRPr="00017742">
        <w:t>2.1.1 Analysing The Growth Options Through the Ansoff Matrix</w:t>
      </w:r>
      <w:bookmarkEnd w:id="25"/>
    </w:p>
    <w:p w14:paraId="15E29776"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Developing on the natural and technological pressures identified across Task 1, the strategic growth of this mining company increasingly depends on expanding the lower-carbon mineral products instead of solely depending on the conventional mining operations. </w:t>
      </w:r>
    </w:p>
    <w:p w14:paraId="30D94596"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According to </w:t>
      </w:r>
      <w:r w:rsidR="00017742" w:rsidRPr="00017742">
        <w:rPr>
          <w:rFonts w:eastAsia="Times New Roman"/>
          <w:sz w:val="24"/>
          <w:szCs w:val="24"/>
        </w:rPr>
        <w:t>Ansoff organisational</w:t>
      </w:r>
      <w:r w:rsidRPr="00017742">
        <w:rPr>
          <w:rFonts w:eastAsia="Times New Roman"/>
          <w:sz w:val="24"/>
          <w:szCs w:val="24"/>
        </w:rPr>
        <w:t xml:space="preserve"> growth can be attained</w:t>
      </w:r>
      <w:r w:rsidR="00B95DCE" w:rsidRPr="00017742">
        <w:rPr>
          <w:rFonts w:eastAsia="Times New Roman"/>
          <w:sz w:val="24"/>
          <w:szCs w:val="24"/>
        </w:rPr>
        <w:t xml:space="preserve"> </w:t>
      </w:r>
      <w:r w:rsidR="00017742" w:rsidRPr="00017742">
        <w:rPr>
          <w:rFonts w:eastAsia="Times New Roman"/>
          <w:sz w:val="24"/>
          <w:szCs w:val="24"/>
        </w:rPr>
        <w:t>successfully through</w:t>
      </w:r>
      <w:r w:rsidRPr="00017742">
        <w:rPr>
          <w:rFonts w:eastAsia="Times New Roman"/>
          <w:sz w:val="24"/>
          <w:szCs w:val="24"/>
        </w:rPr>
        <w:t xml:space="preserve"> f</w:t>
      </w:r>
      <w:r w:rsidR="00B95DCE" w:rsidRPr="00017742">
        <w:rPr>
          <w:rFonts w:eastAsia="Times New Roman"/>
          <w:sz w:val="24"/>
          <w:szCs w:val="24"/>
        </w:rPr>
        <w:t xml:space="preserve">our strategic options such </w:t>
      </w:r>
      <w:r w:rsidR="00017742" w:rsidRPr="00017742">
        <w:rPr>
          <w:rFonts w:eastAsia="Times New Roman"/>
          <w:sz w:val="24"/>
          <w:szCs w:val="24"/>
        </w:rPr>
        <w:t>as market</w:t>
      </w:r>
      <w:r w:rsidRPr="00017742">
        <w:rPr>
          <w:rFonts w:eastAsia="Times New Roman"/>
          <w:sz w:val="24"/>
          <w:szCs w:val="24"/>
        </w:rPr>
        <w:t xml:space="preserve"> penetration, market development, product development and </w:t>
      </w:r>
      <w:r w:rsidR="00B95DCE" w:rsidRPr="00017742">
        <w:rPr>
          <w:rFonts w:eastAsia="Times New Roman"/>
          <w:sz w:val="24"/>
          <w:szCs w:val="24"/>
        </w:rPr>
        <w:t xml:space="preserve">finally </w:t>
      </w:r>
      <w:r w:rsidRPr="00017742">
        <w:rPr>
          <w:rFonts w:eastAsia="Times New Roman"/>
          <w:sz w:val="24"/>
          <w:szCs w:val="24"/>
        </w:rPr>
        <w:t>diversification (Zugay and Zakaria, 2023). However, Oladele (2025) contends that strategic growth needs to also respond to external environmental pressures, specifically within industries which experiencing both regulatory as well as technological disruptions.</w:t>
      </w:r>
    </w:p>
    <w:p w14:paraId="1A4F5C6B" w14:textId="77777777" w:rsidR="00F02121" w:rsidRPr="00017742" w:rsidRDefault="00A8726A" w:rsidP="00017742">
      <w:pPr>
        <w:spacing w:after="240" w:line="360" w:lineRule="auto"/>
        <w:jc w:val="both"/>
        <w:rPr>
          <w:rFonts w:eastAsia="Times New Roman"/>
          <w:b/>
          <w:i/>
          <w:sz w:val="24"/>
          <w:szCs w:val="24"/>
        </w:rPr>
      </w:pPr>
      <w:r w:rsidRPr="00017742">
        <w:rPr>
          <w:rFonts w:eastAsia="Times New Roman"/>
          <w:sz w:val="24"/>
          <w:szCs w:val="24"/>
        </w:rPr>
        <w:t>This perspective better highlights the current business strategy of BHP.   Market penetration is constrained through mature ore markets, while market development presents limited additional value because of the global presence of BHP. Moreover, diversification into unrelated industries will maximise the investment risks and thus dilute the core competencies. Instead, BHP has prioritised expanding its Escondida copper operations, progressing the US$5.7 billion Jansen Potash Project and also investing across nickel production, commodities which are not only pivotal for renewable energy, but also for electric vehicles and sustainable agriculture as well (BHP, 2023)</w:t>
      </w:r>
      <w:r w:rsidR="00EC08B5" w:rsidRPr="00017742">
        <w:rPr>
          <w:rFonts w:eastAsia="Times New Roman"/>
          <w:sz w:val="24"/>
          <w:szCs w:val="24"/>
        </w:rPr>
        <w:t xml:space="preserve"> </w:t>
      </w:r>
      <w:r w:rsidR="00EC08B5" w:rsidRPr="00017742">
        <w:rPr>
          <w:rFonts w:eastAsia="Times New Roman"/>
          <w:b/>
          <w:i/>
          <w:sz w:val="24"/>
          <w:szCs w:val="24"/>
        </w:rPr>
        <w:t>[refer to Appendix 1]</w:t>
      </w:r>
      <w:r w:rsidRPr="00017742">
        <w:rPr>
          <w:rFonts w:eastAsia="Times New Roman"/>
          <w:b/>
          <w:i/>
          <w:sz w:val="24"/>
          <w:szCs w:val="24"/>
        </w:rPr>
        <w:t xml:space="preserve">. </w:t>
      </w:r>
    </w:p>
    <w:p w14:paraId="71992EF0" w14:textId="77777777" w:rsidR="00F02121" w:rsidRPr="00017742" w:rsidRDefault="005D74B3" w:rsidP="00017742">
      <w:pPr>
        <w:spacing w:after="240" w:line="360" w:lineRule="auto"/>
        <w:jc w:val="both"/>
        <w:rPr>
          <w:rFonts w:eastAsia="Times New Roman"/>
          <w:sz w:val="24"/>
          <w:szCs w:val="24"/>
        </w:rPr>
      </w:pPr>
      <w:r w:rsidRPr="00017742">
        <w:rPr>
          <w:noProof/>
        </w:rPr>
        <w:lastRenderedPageBreak/>
        <w:drawing>
          <wp:inline distT="0" distB="0" distL="0" distR="0" wp14:anchorId="088206AF" wp14:editId="7F4714E7">
            <wp:extent cx="5705475" cy="3333750"/>
            <wp:effectExtent l="0" t="57150" r="0" b="5715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CAAA4A0" w14:textId="77777777" w:rsidR="00F02121" w:rsidRPr="00017742" w:rsidRDefault="00A8726A" w:rsidP="00017742">
      <w:pPr>
        <w:pStyle w:val="Heading4"/>
        <w:spacing w:before="0" w:after="240"/>
      </w:pPr>
      <w:r w:rsidRPr="00017742">
        <w:t>Figure</w:t>
      </w:r>
      <w:r w:rsidR="005D74B3" w:rsidRPr="00017742">
        <w:t xml:space="preserve"> </w:t>
      </w:r>
      <w:r w:rsidR="00017742" w:rsidRPr="00017742">
        <w:t>4:</w:t>
      </w:r>
      <w:r w:rsidRPr="00017742">
        <w:t xml:space="preserve"> Ansoff Matrix</w:t>
      </w:r>
    </w:p>
    <w:p w14:paraId="597A5648"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sz w:val="24"/>
          <w:szCs w:val="24"/>
        </w:rPr>
        <w:t>(Source: Self-developed)</w:t>
      </w:r>
    </w:p>
    <w:p w14:paraId="454CDEEC"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 Therefore, product development represents the most suitable Ansoff Strategy as it closely utilises the existing mining capabilities of BHP while directly responding towards the environmental sustainability demands and future market growth as well. </w:t>
      </w:r>
    </w:p>
    <w:p w14:paraId="3110EA9D" w14:textId="77777777" w:rsidR="00F02121" w:rsidRPr="00017742" w:rsidRDefault="00A8726A" w:rsidP="00017742">
      <w:pPr>
        <w:pStyle w:val="Heading3"/>
      </w:pPr>
      <w:bookmarkStart w:id="26" w:name="_rnnqo4sxfw13" w:colFirst="0" w:colLast="0"/>
      <w:bookmarkStart w:id="27" w:name="_Toc235035346"/>
      <w:bookmarkEnd w:id="26"/>
      <w:r w:rsidRPr="00017742">
        <w:t>2.1.2 Product Development as the Preferred Growth Strategy</w:t>
      </w:r>
      <w:bookmarkEnd w:id="27"/>
    </w:p>
    <w:p w14:paraId="71054B92"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Though product development is an effective growth strategy for organisations seeking expansion through new offerings within the existing markets, its linear perspective presumes comparatively stable market conditions. However, </w:t>
      </w:r>
      <w:proofErr w:type="spellStart"/>
      <w:r w:rsidRPr="00017742">
        <w:rPr>
          <w:rFonts w:eastAsia="Times New Roman"/>
          <w:sz w:val="24"/>
          <w:szCs w:val="24"/>
        </w:rPr>
        <w:t>Trisiana</w:t>
      </w:r>
      <w:proofErr w:type="spellEnd"/>
      <w:r w:rsidRPr="00017742">
        <w:rPr>
          <w:rFonts w:eastAsia="Times New Roman"/>
          <w:sz w:val="24"/>
          <w:szCs w:val="24"/>
        </w:rPr>
        <w:t xml:space="preserve"> (2024) argues that strategic choices need to be driven by dynamic external pressures, specifically sustainability as well as technological disruption. The strategic direction of BHP supports this latter view. Rather than pursuing market penetration across mature iron ore markets or high-risk diversification, BHP is expanding its Escondida copper operations, advancing the Jansen Potash Project and ultimately investing a heavy amount of capital across Nickel West to cater for the accelerating demand for the critical minerals utilised in both electric vehicles and renewable energy (Smith and Wentworth, 2022). Therefore, it can be asserted that development is not merely a growth option but a strategic response towards decarbonisation, thus allowing BHP to </w:t>
      </w:r>
      <w:r w:rsidRPr="00017742">
        <w:rPr>
          <w:rFonts w:eastAsia="Times New Roman"/>
          <w:sz w:val="24"/>
          <w:szCs w:val="24"/>
        </w:rPr>
        <w:lastRenderedPageBreak/>
        <w:t xml:space="preserve">effectively utilise its existing mining capabilities while fortifying its long-term competitiveness within the low-carbon economy. </w:t>
      </w:r>
    </w:p>
    <w:p w14:paraId="73310544" w14:textId="77777777" w:rsidR="00F02121" w:rsidRPr="00017742" w:rsidRDefault="00A8726A" w:rsidP="00017742">
      <w:pPr>
        <w:pStyle w:val="Heading3"/>
      </w:pPr>
      <w:bookmarkStart w:id="28" w:name="_82exdee73jkw" w:colFirst="0" w:colLast="0"/>
      <w:bookmarkStart w:id="29" w:name="_Toc235035347"/>
      <w:bookmarkEnd w:id="28"/>
      <w:r w:rsidRPr="00017742">
        <w:t>2.1.3 Addressing Environmental Challenges Through Strategic Growth</w:t>
      </w:r>
      <w:bookmarkEnd w:id="29"/>
    </w:p>
    <w:p w14:paraId="3AA3EAD4"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Product developments represent the most effective response by BHP to the environmental pressures identified across Task 1 because it converts both the regulatory and climate-related constraints into commercial opportunities with the help of critical minerals. Moreover, expanding the copper and potash production directly addresses accelerating demand driven through both electrification and renewable energy, while investments across lower-emission mining technologies lower the operational carbon intensity. However, this strategy also maximises the capital commitments as well as technology dependence, which means its long-term success will rely on balancing the sustainability investment with not only operational profitability but also execution capability. </w:t>
      </w:r>
    </w:p>
    <w:p w14:paraId="3D749ADC" w14:textId="77777777" w:rsidR="00F02121" w:rsidRPr="00017742" w:rsidRDefault="00A8726A" w:rsidP="00017742">
      <w:pPr>
        <w:pStyle w:val="Heading2"/>
        <w:spacing w:before="0" w:after="240"/>
        <w:rPr>
          <w:b w:val="0"/>
        </w:rPr>
      </w:pPr>
      <w:bookmarkStart w:id="30" w:name="_uqkbvm1lhitu" w:colFirst="0" w:colLast="0"/>
      <w:bookmarkStart w:id="31" w:name="_Toc235035348"/>
      <w:bookmarkEnd w:id="30"/>
      <w:r w:rsidRPr="00017742">
        <w:t>2.2 Competitive Advantage Through a Lower-Carbon Business Model</w:t>
      </w:r>
      <w:bookmarkEnd w:id="31"/>
    </w:p>
    <w:p w14:paraId="3D65CD94" w14:textId="77777777" w:rsidR="00F02121" w:rsidRPr="00017742" w:rsidRDefault="00A8726A" w:rsidP="00017742">
      <w:pPr>
        <w:pStyle w:val="Heading3"/>
      </w:pPr>
      <w:bookmarkStart w:id="32" w:name="_r8voud4ludhx" w:colFirst="0" w:colLast="0"/>
      <w:bookmarkStart w:id="33" w:name="_Toc235035349"/>
      <w:bookmarkEnd w:id="32"/>
      <w:r w:rsidRPr="00017742">
        <w:t>2.2.1 Developing a Lower-Carbon Business Model</w:t>
      </w:r>
      <w:bookmarkEnd w:id="33"/>
    </w:p>
    <w:p w14:paraId="058C7093"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The competitive advantages of BHS increasingly rely on successfully embedding decarbonisation throughout its value chain instead of completely increasing the production of critical minerals. The company has established a strategic business collaboration with HBIS POSCO and China </w:t>
      </w:r>
      <w:proofErr w:type="spellStart"/>
      <w:r w:rsidRPr="00017742">
        <w:rPr>
          <w:rFonts w:eastAsia="Times New Roman"/>
          <w:sz w:val="24"/>
          <w:szCs w:val="24"/>
        </w:rPr>
        <w:t>Baowu</w:t>
      </w:r>
      <w:proofErr w:type="spellEnd"/>
      <w:r w:rsidRPr="00017742">
        <w:rPr>
          <w:rFonts w:eastAsia="Times New Roman"/>
          <w:sz w:val="24"/>
          <w:szCs w:val="24"/>
        </w:rPr>
        <w:t xml:space="preserve"> to intensify lower-carbon steelmaking, and thus allowing BHP to fortify its long-term customer relationships while supporting the net-zero ambitions of the customers (BHP, 2024). </w:t>
      </w:r>
    </w:p>
    <w:p w14:paraId="77C767A7"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noProof/>
          <w:sz w:val="24"/>
          <w:szCs w:val="24"/>
        </w:rPr>
        <w:lastRenderedPageBreak/>
        <w:drawing>
          <wp:inline distT="114300" distB="114300" distL="114300" distR="114300" wp14:anchorId="64F9DDFF" wp14:editId="60C6780B">
            <wp:extent cx="5343525" cy="3390900"/>
            <wp:effectExtent l="76200" t="76200" r="142875" b="13335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343525" cy="3390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7E070F9" w14:textId="77777777" w:rsidR="00F02121" w:rsidRPr="00017742" w:rsidRDefault="00A8726A" w:rsidP="00017742">
      <w:pPr>
        <w:pStyle w:val="Heading4"/>
        <w:spacing w:before="0" w:after="240"/>
      </w:pPr>
      <w:r w:rsidRPr="00017742">
        <w:t>Figure</w:t>
      </w:r>
      <w:r w:rsidR="005D74B3" w:rsidRPr="00017742">
        <w:t xml:space="preserve"> 5</w:t>
      </w:r>
      <w:r w:rsidRPr="00017742">
        <w:t>: Partnerships of BHP and HBIS</w:t>
      </w:r>
    </w:p>
    <w:p w14:paraId="385ACB50"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sz w:val="24"/>
          <w:szCs w:val="24"/>
        </w:rPr>
        <w:t>(Source: HBIS, 2023)</w:t>
      </w:r>
    </w:p>
    <w:p w14:paraId="0E368126"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In parallel, autonomous mining systems in combination with battery-electric haul truck trails enhance the level of productivity while diminishing the operating costs and thus create a sense of value beyond environmental compliance. However, these collaborative innovations </w:t>
      </w:r>
      <w:r w:rsidR="005D74B3" w:rsidRPr="00017742">
        <w:rPr>
          <w:rFonts w:eastAsia="Times New Roman"/>
          <w:sz w:val="24"/>
          <w:szCs w:val="24"/>
        </w:rPr>
        <w:t>require</w:t>
      </w:r>
      <w:r w:rsidRPr="00017742">
        <w:rPr>
          <w:rFonts w:eastAsia="Times New Roman"/>
          <w:sz w:val="24"/>
          <w:szCs w:val="24"/>
        </w:rPr>
        <w:t xml:space="preserve"> sustained investment and it rely on the willingness of the customers to adopt the emerging technologies. As a result, it can be exemplified that, BHP’s competitive advantages will be determined not only by its resource base but by its capability to commercialise low-carbon solutions faster than competing miners. </w:t>
      </w:r>
    </w:p>
    <w:p w14:paraId="5C055469" w14:textId="77777777" w:rsidR="00F02121" w:rsidRPr="00017742" w:rsidRDefault="00A8726A" w:rsidP="00017742">
      <w:pPr>
        <w:pStyle w:val="Heading3"/>
      </w:pPr>
      <w:bookmarkStart w:id="34" w:name="_nmft002ch5x2" w:colFirst="0" w:colLast="0"/>
      <w:bookmarkStart w:id="35" w:name="_Toc235035350"/>
      <w:bookmarkEnd w:id="34"/>
      <w:r w:rsidRPr="00017742">
        <w:lastRenderedPageBreak/>
        <w:t>2.2.2 Competitive Strategy Based on Porter's Generic Strategies</w:t>
      </w:r>
      <w:bookmarkEnd w:id="35"/>
    </w:p>
    <w:p w14:paraId="53843688" w14:textId="77777777" w:rsidR="00F02121" w:rsidRPr="00017742" w:rsidRDefault="005D74B3" w:rsidP="00017742">
      <w:pPr>
        <w:spacing w:after="240" w:line="360" w:lineRule="auto"/>
        <w:jc w:val="both"/>
        <w:rPr>
          <w:rFonts w:eastAsia="Times New Roman"/>
          <w:sz w:val="24"/>
          <w:szCs w:val="24"/>
        </w:rPr>
      </w:pPr>
      <w:r w:rsidRPr="00017742">
        <w:rPr>
          <w:noProof/>
          <w:shd w:val="clear" w:color="auto" w:fill="EAF1DD" w:themeFill="accent3" w:themeFillTint="33"/>
        </w:rPr>
        <w:drawing>
          <wp:inline distT="0" distB="0" distL="0" distR="0" wp14:anchorId="38F83A3A" wp14:editId="25DEA30E">
            <wp:extent cx="5695950" cy="3381375"/>
            <wp:effectExtent l="0" t="0" r="0" b="952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22CD8F3" w14:textId="77777777" w:rsidR="00F02121" w:rsidRPr="00017742" w:rsidRDefault="00A8726A" w:rsidP="00017742">
      <w:pPr>
        <w:pStyle w:val="Heading4"/>
        <w:spacing w:before="0" w:after="240"/>
      </w:pPr>
      <w:r w:rsidRPr="00017742">
        <w:t>Figure</w:t>
      </w:r>
      <w:r w:rsidR="005D74B3" w:rsidRPr="00017742">
        <w:t xml:space="preserve"> 6</w:t>
      </w:r>
      <w:r w:rsidRPr="00017742">
        <w:t xml:space="preserve">: Porter’s Generic strategy </w:t>
      </w:r>
    </w:p>
    <w:p w14:paraId="5D8B9813"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sz w:val="24"/>
          <w:szCs w:val="24"/>
        </w:rPr>
        <w:t>(Source: Self-developed)</w:t>
      </w:r>
    </w:p>
    <w:p w14:paraId="4F55FAC7"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Historically, BHP has managed cost leadership through the help of large-scale mining operations, high-quality resource assets and effective supply chain integration and thus allowing competitive production costs.  However, this advantage is increasingly challenged through rising carbon adherence costs alongside competitors investing within the similar operational effectiveness. As a result, BHP is strengthening its differentiation through supplying responsibly sourced critical minerals as well as collaborating with steelmakers to develop lower-carbon production pathways and thus creating value beyond price competition (Marfo-Yiadom et al., 2025).  However, sustaining this business position requires both significant investment as well as </w:t>
      </w:r>
      <w:r w:rsidR="005D74B3" w:rsidRPr="00017742">
        <w:rPr>
          <w:rFonts w:eastAsia="Times New Roman"/>
          <w:sz w:val="24"/>
          <w:szCs w:val="24"/>
        </w:rPr>
        <w:t>continues</w:t>
      </w:r>
      <w:r w:rsidRPr="00017742">
        <w:rPr>
          <w:rFonts w:eastAsia="Times New Roman"/>
          <w:sz w:val="24"/>
          <w:szCs w:val="24"/>
        </w:rPr>
        <w:t xml:space="preserve"> innovation.  Therefore, it can be asserted that BHP’s competitive advantages are best </w:t>
      </w:r>
      <w:r w:rsidR="005D74B3" w:rsidRPr="00017742">
        <w:rPr>
          <w:rFonts w:eastAsia="Times New Roman"/>
          <w:sz w:val="24"/>
          <w:szCs w:val="24"/>
        </w:rPr>
        <w:t>characterised</w:t>
      </w:r>
      <w:r w:rsidRPr="00017742">
        <w:rPr>
          <w:rFonts w:eastAsia="Times New Roman"/>
          <w:sz w:val="24"/>
          <w:szCs w:val="24"/>
        </w:rPr>
        <w:t xml:space="preserve"> through a hybrid strategy by amalgamating operational effectiveness with lower carbon differentiation to manage the adaptability alongside long-term competitiveness across a rapidly changing mining industry. </w:t>
      </w:r>
    </w:p>
    <w:p w14:paraId="30827105" w14:textId="77777777" w:rsidR="00F02121" w:rsidRPr="00017742" w:rsidRDefault="00A8726A" w:rsidP="00017742">
      <w:pPr>
        <w:pStyle w:val="Heading3"/>
      </w:pPr>
      <w:bookmarkStart w:id="36" w:name="_lzf3jflaf1jd" w:colFirst="0" w:colLast="0"/>
      <w:bookmarkStart w:id="37" w:name="_Toc235035351"/>
      <w:bookmarkEnd w:id="36"/>
      <w:r w:rsidRPr="00017742">
        <w:lastRenderedPageBreak/>
        <w:t>2.2.3 Critical analysis</w:t>
      </w:r>
      <w:bookmarkEnd w:id="37"/>
      <w:r w:rsidRPr="00017742">
        <w:t xml:space="preserve"> </w:t>
      </w:r>
    </w:p>
    <w:p w14:paraId="1736A6A9"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Though operational effectiveness fortifies the cost competitiveness of BHP, it is unlikely to remain a sustainable source of advantage because competing mining firms continue to embrace similar technologies as well as decarbonisation initiatives. On the flip side, differentiation through the help of both lower-carbon products and collaborative value-chain innovation creates profound long-term value through addressing the changing expectations of the customers.  However, differentiation also requires substantial investment, and it can expose the BHP towards technological uncertainties. As a result, BHP’s long-term competitiveness will rely on balancing cost-effectiveness with consistent innovation and thus allow the organisation to create value which is not only economically resilient but also environmentally sustainable. </w:t>
      </w:r>
    </w:p>
    <w:p w14:paraId="26A44CB4" w14:textId="77777777" w:rsidR="00F02121" w:rsidRPr="00017742" w:rsidRDefault="00A8726A" w:rsidP="00017742">
      <w:pPr>
        <w:pStyle w:val="Heading1"/>
        <w:spacing w:before="0" w:after="240"/>
        <w:rPr>
          <w:b w:val="0"/>
        </w:rPr>
      </w:pPr>
      <w:bookmarkStart w:id="38" w:name="_rx4tetq2ow59" w:colFirst="0" w:colLast="0"/>
      <w:bookmarkStart w:id="39" w:name="_Toc235035352"/>
      <w:bookmarkEnd w:id="38"/>
      <w:r w:rsidRPr="00017742">
        <w:t>Task 3: Critical Reflection on AI Usage</w:t>
      </w:r>
      <w:bookmarkEnd w:id="39"/>
    </w:p>
    <w:p w14:paraId="081F6EC9" w14:textId="77777777" w:rsidR="00F02121" w:rsidRPr="00017742" w:rsidRDefault="00A8726A" w:rsidP="00017742">
      <w:pPr>
        <w:pStyle w:val="Heading2"/>
        <w:keepNext w:val="0"/>
        <w:keepLines w:val="0"/>
        <w:spacing w:before="0" w:after="240"/>
        <w:rPr>
          <w:rFonts w:eastAsia="Times New Roman"/>
          <w:b w:val="0"/>
          <w:bCs/>
          <w:sz w:val="24"/>
          <w:szCs w:val="24"/>
        </w:rPr>
      </w:pPr>
      <w:bookmarkStart w:id="40" w:name="_sl3w5k97a2v8" w:colFirst="0" w:colLast="0"/>
      <w:bookmarkStart w:id="41" w:name="_Toc235035353"/>
      <w:bookmarkEnd w:id="40"/>
      <w:r w:rsidRPr="00017742">
        <w:rPr>
          <w:rFonts w:eastAsia="Times New Roman"/>
          <w:bCs/>
          <w:sz w:val="24"/>
          <w:szCs w:val="24"/>
        </w:rPr>
        <w:t>3.1 AI Tool Disclos</w:t>
      </w:r>
      <w:r w:rsidRPr="00017742">
        <w:t>u</w:t>
      </w:r>
      <w:r w:rsidRPr="00017742">
        <w:rPr>
          <w:rFonts w:eastAsia="Times New Roman"/>
          <w:bCs/>
          <w:sz w:val="24"/>
          <w:szCs w:val="24"/>
        </w:rPr>
        <w:t>re</w:t>
      </w:r>
      <w:bookmarkEnd w:id="41"/>
    </w:p>
    <w:p w14:paraId="38E9BCE2"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During the preparation of this report, </w:t>
      </w:r>
      <w:proofErr w:type="spellStart"/>
      <w:r w:rsidRPr="00017742">
        <w:rPr>
          <w:rFonts w:eastAsia="Times New Roman"/>
          <w:sz w:val="24"/>
          <w:szCs w:val="24"/>
        </w:rPr>
        <w:t>ChatGpt</w:t>
      </w:r>
      <w:proofErr w:type="spellEnd"/>
      <w:r w:rsidRPr="00017742">
        <w:rPr>
          <w:rFonts w:eastAsia="Times New Roman"/>
          <w:sz w:val="24"/>
          <w:szCs w:val="24"/>
        </w:rPr>
        <w:t xml:space="preserve"> </w:t>
      </w:r>
      <w:r w:rsidR="005D74B3" w:rsidRPr="00017742">
        <w:rPr>
          <w:rFonts w:eastAsia="Times New Roman"/>
          <w:sz w:val="24"/>
          <w:szCs w:val="24"/>
        </w:rPr>
        <w:t>has</w:t>
      </w:r>
      <w:r w:rsidRPr="00017742">
        <w:rPr>
          <w:rFonts w:eastAsia="Times New Roman"/>
          <w:sz w:val="24"/>
          <w:szCs w:val="24"/>
        </w:rPr>
        <w:t xml:space="preserve"> been used as the main strategic tool.  This tool assisted me to develop new ideas, </w:t>
      </w:r>
      <w:r w:rsidR="005D74B3" w:rsidRPr="00017742">
        <w:rPr>
          <w:rFonts w:eastAsia="Times New Roman"/>
          <w:sz w:val="24"/>
          <w:szCs w:val="24"/>
        </w:rPr>
        <w:t>enhance</w:t>
      </w:r>
      <w:r w:rsidRPr="00017742">
        <w:rPr>
          <w:rFonts w:eastAsia="Times New Roman"/>
          <w:sz w:val="24"/>
          <w:szCs w:val="24"/>
        </w:rPr>
        <w:t xml:space="preserve"> my sentence structures, refine the academic writing and ultimately organise the different sections of the report. This tool also utiliser to explain the marketing frameworks, incorporating the Ansoff Matrix and Porter's Generic Strategies. However, the final report has not been copied directly from AI. besides that, different company data, academic sources, and critical analysis has been selected, examined and written independently to ensure that the work reflected my own </w:t>
      </w:r>
      <w:r w:rsidR="005D74B3" w:rsidRPr="00017742">
        <w:rPr>
          <w:rFonts w:eastAsia="Times New Roman"/>
          <w:sz w:val="24"/>
          <w:szCs w:val="24"/>
        </w:rPr>
        <w:t>understandings on</w:t>
      </w:r>
      <w:r w:rsidRPr="00017742">
        <w:rPr>
          <w:rFonts w:eastAsia="Times New Roman"/>
          <w:sz w:val="24"/>
          <w:szCs w:val="24"/>
        </w:rPr>
        <w:t xml:space="preserve"> meeting the requirements of the assessments. </w:t>
      </w:r>
    </w:p>
    <w:p w14:paraId="79FFF5DA" w14:textId="77777777" w:rsidR="00F02121" w:rsidRPr="00017742" w:rsidRDefault="00A8726A" w:rsidP="00017742">
      <w:pPr>
        <w:pStyle w:val="Heading2"/>
        <w:spacing w:before="0" w:after="240"/>
        <w:rPr>
          <w:b w:val="0"/>
        </w:rPr>
      </w:pPr>
      <w:bookmarkStart w:id="42" w:name="_4w2fhw10pu0q" w:colFirst="0" w:colLast="0"/>
      <w:bookmarkStart w:id="43" w:name="_Toc235035354"/>
      <w:bookmarkEnd w:id="42"/>
      <w:r w:rsidRPr="00017742">
        <w:t>3.2 Evaluation of AI-Generated Outputs</w:t>
      </w:r>
      <w:bookmarkEnd w:id="43"/>
    </w:p>
    <w:p w14:paraId="6B879E89"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All AI-</w:t>
      </w:r>
      <w:r w:rsidR="005D74B3" w:rsidRPr="00017742">
        <w:rPr>
          <w:rFonts w:eastAsia="Times New Roman"/>
          <w:sz w:val="24"/>
          <w:szCs w:val="24"/>
        </w:rPr>
        <w:t>developed information</w:t>
      </w:r>
      <w:r w:rsidRPr="00017742">
        <w:rPr>
          <w:rFonts w:eastAsia="Times New Roman"/>
          <w:sz w:val="24"/>
          <w:szCs w:val="24"/>
        </w:rPr>
        <w:t xml:space="preserve"> has been checked thoroughly before incorporating within the business report (</w:t>
      </w:r>
      <w:proofErr w:type="spellStart"/>
      <w:r w:rsidRPr="00017742">
        <w:rPr>
          <w:rFonts w:eastAsia="Times New Roman"/>
          <w:sz w:val="24"/>
          <w:szCs w:val="24"/>
        </w:rPr>
        <w:t>Nwozor</w:t>
      </w:r>
      <w:proofErr w:type="spellEnd"/>
      <w:r w:rsidRPr="00017742">
        <w:rPr>
          <w:rFonts w:eastAsia="Times New Roman"/>
          <w:sz w:val="24"/>
          <w:szCs w:val="24"/>
        </w:rPr>
        <w:t xml:space="preserve">, 2025).  Besides that, company-related information has been verified carefully through </w:t>
      </w:r>
      <w:r w:rsidR="005D74B3" w:rsidRPr="00017742">
        <w:rPr>
          <w:rFonts w:eastAsia="Times New Roman"/>
          <w:sz w:val="24"/>
          <w:szCs w:val="24"/>
        </w:rPr>
        <w:t>leveraging</w:t>
      </w:r>
      <w:r w:rsidRPr="00017742">
        <w:rPr>
          <w:rFonts w:eastAsia="Times New Roman"/>
          <w:sz w:val="24"/>
          <w:szCs w:val="24"/>
        </w:rPr>
        <w:t xml:space="preserve"> the </w:t>
      </w:r>
      <w:r w:rsidR="005D74B3" w:rsidRPr="00017742">
        <w:rPr>
          <w:rFonts w:eastAsia="Times New Roman"/>
          <w:sz w:val="24"/>
          <w:szCs w:val="24"/>
        </w:rPr>
        <w:t>Annual</w:t>
      </w:r>
      <w:r w:rsidRPr="00017742">
        <w:rPr>
          <w:rFonts w:eastAsia="Times New Roman"/>
          <w:sz w:val="24"/>
          <w:szCs w:val="24"/>
        </w:rPr>
        <w:t xml:space="preserve"> Report of BHP, sustainability reports and other useful sources. Moreover, different academic concepts like decarbonisation strategy, cost leadership, and low-carbon business model have been confirmed through utilising the journal articles and textbooks as well. In addition, any incorrect or outdated information which has been generated by AI has been removed </w:t>
      </w:r>
      <w:r w:rsidRPr="00017742">
        <w:rPr>
          <w:rFonts w:eastAsia="Times New Roman"/>
          <w:sz w:val="24"/>
          <w:szCs w:val="24"/>
        </w:rPr>
        <w:lastRenderedPageBreak/>
        <w:t xml:space="preserve">from the report. These procedures ensured that the report contained accurate along with reliable, and credible information while managing the academic quality while lowering the risk of factual errors. </w:t>
      </w:r>
    </w:p>
    <w:p w14:paraId="4CD9CECD" w14:textId="77777777" w:rsidR="00F02121" w:rsidRPr="00017742" w:rsidRDefault="00A8726A" w:rsidP="00017742">
      <w:pPr>
        <w:pStyle w:val="Heading2"/>
        <w:spacing w:before="0" w:after="240"/>
        <w:rPr>
          <w:b w:val="0"/>
        </w:rPr>
      </w:pPr>
      <w:bookmarkStart w:id="44" w:name="_p4q3cybzzn0k" w:colFirst="0" w:colLast="0"/>
      <w:bookmarkStart w:id="45" w:name="_Toc235035355"/>
      <w:bookmarkEnd w:id="44"/>
      <w:r w:rsidRPr="00017742">
        <w:t>3.3 Assessment of AI and Personal Contributions</w:t>
      </w:r>
      <w:bookmarkEnd w:id="45"/>
    </w:p>
    <w:p w14:paraId="5ADF7101"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The use of this strategic tool profoundly supported the report through brainstorming, enhancing the writing quality, and ultimately suggesting a logical structure.  However, the selection of evidence, critical interpretation of the company data, comparison of the academic literature, and ultimately the critical analysis </w:t>
      </w:r>
      <w:r w:rsidR="005D74B3" w:rsidRPr="00017742">
        <w:rPr>
          <w:rFonts w:eastAsia="Times New Roman"/>
          <w:sz w:val="24"/>
          <w:szCs w:val="24"/>
        </w:rPr>
        <w:t>has</w:t>
      </w:r>
      <w:r w:rsidRPr="00017742">
        <w:rPr>
          <w:rFonts w:eastAsia="Times New Roman"/>
          <w:sz w:val="24"/>
          <w:szCs w:val="24"/>
        </w:rPr>
        <w:t xml:space="preserve"> been completed independently. Moreover, the final arguments, recommendations, as well as the justification have been based on my own understanding of the context after reviewing the company reports and different academic resources. </w:t>
      </w:r>
    </w:p>
    <w:p w14:paraId="48FF07BB" w14:textId="77777777" w:rsidR="00F02121" w:rsidRPr="00017742" w:rsidRDefault="00A8726A" w:rsidP="00017742">
      <w:pPr>
        <w:pStyle w:val="Heading2"/>
        <w:spacing w:before="0" w:after="240"/>
        <w:rPr>
          <w:b w:val="0"/>
        </w:rPr>
      </w:pPr>
      <w:bookmarkStart w:id="46" w:name="_dr4pxzu2y1eu" w:colFirst="0" w:colLast="0"/>
      <w:bookmarkStart w:id="47" w:name="_Toc235035356"/>
      <w:bookmarkEnd w:id="46"/>
      <w:r w:rsidRPr="00017742">
        <w:t>3.4 Ethical and Professional Reflection on AI Use</w:t>
      </w:r>
      <w:bookmarkEnd w:id="47"/>
    </w:p>
    <w:p w14:paraId="7AD87F00" w14:textId="77777777" w:rsidR="00F02121" w:rsidRPr="00017742" w:rsidRDefault="00A8726A" w:rsidP="00017742">
      <w:pPr>
        <w:spacing w:after="240" w:line="360" w:lineRule="auto"/>
        <w:jc w:val="both"/>
        <w:rPr>
          <w:rFonts w:eastAsia="Times New Roman"/>
          <w:sz w:val="24"/>
          <w:szCs w:val="24"/>
        </w:rPr>
      </w:pPr>
      <w:r w:rsidRPr="00017742">
        <w:rPr>
          <w:rFonts w:eastAsia="Times New Roman"/>
          <w:sz w:val="24"/>
          <w:szCs w:val="24"/>
        </w:rPr>
        <w:t xml:space="preserve">The effective </w:t>
      </w:r>
      <w:r w:rsidR="005D74B3" w:rsidRPr="00017742">
        <w:rPr>
          <w:rFonts w:eastAsia="Times New Roman"/>
          <w:sz w:val="24"/>
          <w:szCs w:val="24"/>
        </w:rPr>
        <w:t>use of</w:t>
      </w:r>
      <w:r w:rsidRPr="00017742">
        <w:rPr>
          <w:rFonts w:eastAsia="Times New Roman"/>
          <w:sz w:val="24"/>
          <w:szCs w:val="24"/>
        </w:rPr>
        <w:t xml:space="preserve"> AI within the academic work provides significant advantages, but it also creates ethical and professional responsibilities. AI enhanced the overall effectiveness of this business </w:t>
      </w:r>
      <w:r w:rsidR="005D74B3" w:rsidRPr="00017742">
        <w:rPr>
          <w:rFonts w:eastAsia="Times New Roman"/>
          <w:sz w:val="24"/>
          <w:szCs w:val="24"/>
        </w:rPr>
        <w:t>report through</w:t>
      </w:r>
      <w:r w:rsidRPr="00017742">
        <w:rPr>
          <w:rFonts w:eastAsia="Times New Roman"/>
          <w:sz w:val="24"/>
          <w:szCs w:val="24"/>
        </w:rPr>
        <w:t xml:space="preserve"> supporting the development of ideas, refinements of language and ultimately organisations of the report.  However, the excessive dependence on AI can not only lowers the </w:t>
      </w:r>
      <w:r w:rsidR="005D74B3" w:rsidRPr="00017742">
        <w:rPr>
          <w:rFonts w:eastAsia="Times New Roman"/>
          <w:sz w:val="24"/>
          <w:szCs w:val="24"/>
        </w:rPr>
        <w:t>independent critical</w:t>
      </w:r>
      <w:r w:rsidRPr="00017742">
        <w:rPr>
          <w:rFonts w:eastAsia="Times New Roman"/>
          <w:sz w:val="24"/>
          <w:szCs w:val="24"/>
        </w:rPr>
        <w:t xml:space="preserve"> thinking but also result across </w:t>
      </w:r>
      <w:r w:rsidR="005D74B3" w:rsidRPr="00017742">
        <w:rPr>
          <w:rFonts w:eastAsia="Times New Roman"/>
          <w:sz w:val="24"/>
          <w:szCs w:val="24"/>
        </w:rPr>
        <w:t>inaccurate</w:t>
      </w:r>
      <w:r w:rsidRPr="00017742">
        <w:rPr>
          <w:rFonts w:eastAsia="Times New Roman"/>
          <w:sz w:val="24"/>
          <w:szCs w:val="24"/>
        </w:rPr>
        <w:t xml:space="preserve">, biased or finally unsupported the information (Zhai et al., 2024). To manage the academic integrity of the report, all AI-generated content has been verified </w:t>
      </w:r>
      <w:r w:rsidR="005D74B3" w:rsidRPr="00017742">
        <w:rPr>
          <w:rFonts w:eastAsia="Times New Roman"/>
          <w:sz w:val="24"/>
          <w:szCs w:val="24"/>
        </w:rPr>
        <w:t>profoundly through</w:t>
      </w:r>
      <w:r w:rsidRPr="00017742">
        <w:rPr>
          <w:rFonts w:eastAsia="Times New Roman"/>
          <w:sz w:val="24"/>
          <w:szCs w:val="24"/>
        </w:rPr>
        <w:t xml:space="preserve"> using the reports of BHP and other recognised academic textbooks before inclusion. As a future marketing professionals, I recognise that ethical use of AI requires a sense of transparency, responsible judgement, critical evaluation and finally strict adherence with both academic as well as professional </w:t>
      </w:r>
      <w:r w:rsidR="005D74B3" w:rsidRPr="00017742">
        <w:rPr>
          <w:rFonts w:eastAsia="Times New Roman"/>
          <w:sz w:val="24"/>
          <w:szCs w:val="24"/>
        </w:rPr>
        <w:t>standards</w:t>
      </w:r>
      <w:r w:rsidRPr="00017742">
        <w:rPr>
          <w:rFonts w:eastAsia="Times New Roman"/>
          <w:sz w:val="24"/>
          <w:szCs w:val="24"/>
        </w:rPr>
        <w:t xml:space="preserve"> to assure credible and evidence based decision-making. </w:t>
      </w:r>
    </w:p>
    <w:p w14:paraId="5E8D1CAF" w14:textId="77777777" w:rsidR="005D74B3" w:rsidRPr="00017742" w:rsidRDefault="005D74B3" w:rsidP="00017742">
      <w:pPr>
        <w:spacing w:after="240" w:line="360" w:lineRule="auto"/>
        <w:rPr>
          <w:rFonts w:eastAsia="Times New Roman"/>
          <w:sz w:val="24"/>
          <w:szCs w:val="24"/>
        </w:rPr>
      </w:pPr>
      <w:r w:rsidRPr="00017742">
        <w:rPr>
          <w:rFonts w:eastAsia="Times New Roman"/>
          <w:sz w:val="24"/>
          <w:szCs w:val="24"/>
        </w:rPr>
        <w:br w:type="page"/>
      </w:r>
    </w:p>
    <w:p w14:paraId="66923ED0" w14:textId="77777777" w:rsidR="001171A4" w:rsidRPr="00017742" w:rsidRDefault="005D74B3" w:rsidP="00017742">
      <w:pPr>
        <w:pStyle w:val="Heading1"/>
        <w:spacing w:before="0" w:after="240"/>
      </w:pPr>
      <w:bookmarkStart w:id="48" w:name="_Toc235035357"/>
      <w:r w:rsidRPr="00017742">
        <w:lastRenderedPageBreak/>
        <w:t>References</w:t>
      </w:r>
      <w:bookmarkEnd w:id="48"/>
      <w:r w:rsidRPr="00017742">
        <w:t xml:space="preserve"> </w:t>
      </w:r>
    </w:p>
    <w:p w14:paraId="13809838" w14:textId="37DE37BE"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Ahmad, F.</w:t>
      </w:r>
      <w:r w:rsidR="0068425A">
        <w:rPr>
          <w:rStyle w:val="Strong"/>
          <w:rFonts w:ascii="Arial" w:hAnsi="Arial" w:cs="Arial"/>
          <w:b w:val="0"/>
        </w:rPr>
        <w:t>,</w:t>
      </w:r>
      <w:r w:rsidR="002C567A">
        <w:rPr>
          <w:rStyle w:val="Strong"/>
          <w:rFonts w:ascii="Arial" w:hAnsi="Arial" w:cs="Arial"/>
          <w:b w:val="0"/>
        </w:rPr>
        <w:t xml:space="preserve"> </w:t>
      </w:r>
      <w:r w:rsidR="003B10EA">
        <w:rPr>
          <w:rStyle w:val="Strong"/>
          <w:rFonts w:ascii="Arial" w:hAnsi="Arial" w:cs="Arial"/>
          <w:b w:val="0"/>
        </w:rPr>
        <w:t>et.al,</w:t>
      </w:r>
      <w:r w:rsidR="002C567A">
        <w:rPr>
          <w:rStyle w:val="Strong"/>
          <w:rFonts w:ascii="Arial" w:hAnsi="Arial" w:cs="Arial"/>
          <w:b w:val="0"/>
        </w:rPr>
        <w:t xml:space="preserve"> </w:t>
      </w:r>
      <w:r w:rsidRPr="00017742">
        <w:rPr>
          <w:rStyle w:val="Strong"/>
          <w:rFonts w:ascii="Arial" w:hAnsi="Arial" w:cs="Arial"/>
          <w:b w:val="0"/>
        </w:rPr>
        <w:t>(2025) ‘A detailed comprehensive role of digital technologies in green finance initiative for net</w:t>
      </w:r>
      <w:r w:rsidRPr="00017742">
        <w:rPr>
          <w:rStyle w:val="Strong"/>
          <w:rFonts w:ascii="Cambria Math" w:hAnsi="Cambria Math" w:cs="Cambria Math"/>
          <w:b w:val="0"/>
        </w:rPr>
        <w:t>‐</w:t>
      </w:r>
      <w:r w:rsidRPr="00017742">
        <w:rPr>
          <w:rStyle w:val="Strong"/>
          <w:rFonts w:ascii="Arial" w:hAnsi="Arial" w:cs="Arial"/>
          <w:b w:val="0"/>
        </w:rPr>
        <w:t xml:space="preserve">zero energy transition’, </w:t>
      </w:r>
      <w:r w:rsidRPr="00017742">
        <w:rPr>
          <w:rStyle w:val="Emphasis"/>
          <w:rFonts w:ascii="Arial" w:hAnsi="Arial" w:cs="Arial"/>
          <w:bCs/>
        </w:rPr>
        <w:t>Advanced Energy and Sustainability Research</w:t>
      </w:r>
      <w:r w:rsidRPr="00017742">
        <w:rPr>
          <w:rStyle w:val="Strong"/>
          <w:rFonts w:ascii="Arial" w:hAnsi="Arial" w:cs="Arial"/>
          <w:b w:val="0"/>
        </w:rPr>
        <w:t xml:space="preserve">, 6(10), p. 2500066. Available at: </w:t>
      </w:r>
      <w:hyperlink r:id="rId22" w:history="1">
        <w:r w:rsidRPr="00017742">
          <w:rPr>
            <w:rStyle w:val="Hyperlink"/>
            <w:rFonts w:ascii="Arial" w:hAnsi="Arial" w:cs="Arial"/>
            <w:bCs/>
          </w:rPr>
          <w:t>https://advanced.onlinelibrary.wiley.com/doi/pdfdirect/10.1002/aesr.202500066</w:t>
        </w:r>
      </w:hyperlink>
      <w:r w:rsidRPr="00017742">
        <w:rPr>
          <w:rStyle w:val="Strong"/>
          <w:rFonts w:ascii="Arial" w:hAnsi="Arial" w:cs="Arial"/>
          <w:b w:val="0"/>
        </w:rPr>
        <w:t>.</w:t>
      </w:r>
    </w:p>
    <w:p w14:paraId="475C49FA"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Aithal, P.S. (2023) ‘How to create business value through technological innovations using ICCT underlying technologies’, </w:t>
      </w:r>
      <w:r w:rsidRPr="00017742">
        <w:rPr>
          <w:rStyle w:val="Emphasis"/>
          <w:rFonts w:ascii="Arial" w:hAnsi="Arial" w:cs="Arial"/>
          <w:bCs/>
        </w:rPr>
        <w:t>International Journal of Applied Engineering and Management Letters (IJAEML)</w:t>
      </w:r>
      <w:r w:rsidRPr="00017742">
        <w:rPr>
          <w:rStyle w:val="Strong"/>
          <w:rFonts w:ascii="Arial" w:hAnsi="Arial" w:cs="Arial"/>
          <w:b w:val="0"/>
        </w:rPr>
        <w:t xml:space="preserve">, 7(2), pp. 232–292. Available at: </w:t>
      </w:r>
      <w:hyperlink r:id="rId23" w:history="1">
        <w:r w:rsidRPr="00017742">
          <w:rPr>
            <w:rStyle w:val="Hyperlink"/>
            <w:rFonts w:ascii="Arial" w:hAnsi="Arial" w:cs="Arial"/>
            <w:bCs/>
          </w:rPr>
          <w:t>https://papers.ssrn.com/sol3/Delivery.cfm?abstractid=4541179</w:t>
        </w:r>
      </w:hyperlink>
      <w:r w:rsidRPr="00017742">
        <w:rPr>
          <w:rStyle w:val="Strong"/>
          <w:rFonts w:ascii="Arial" w:hAnsi="Arial" w:cs="Arial"/>
          <w:b w:val="0"/>
        </w:rPr>
        <w:t>.</w:t>
      </w:r>
    </w:p>
    <w:p w14:paraId="3A8EC70D"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BHP (2023) </w:t>
      </w:r>
      <w:r w:rsidRPr="00017742">
        <w:rPr>
          <w:rStyle w:val="Emphasis"/>
          <w:rFonts w:ascii="Arial" w:hAnsi="Arial" w:cs="Arial"/>
          <w:bCs/>
        </w:rPr>
        <w:t>BHP approves US$4.9 billion investment in stage two of Jansen potash project</w:t>
      </w:r>
      <w:r w:rsidRPr="00017742">
        <w:rPr>
          <w:rStyle w:val="Strong"/>
          <w:rFonts w:ascii="Arial" w:hAnsi="Arial" w:cs="Arial"/>
          <w:b w:val="0"/>
        </w:rPr>
        <w:t xml:space="preserve">. Available at: </w:t>
      </w:r>
      <w:hyperlink r:id="rId24" w:history="1">
        <w:r w:rsidRPr="00017742">
          <w:rPr>
            <w:rStyle w:val="Hyperlink"/>
            <w:rFonts w:ascii="Arial" w:hAnsi="Arial" w:cs="Arial"/>
            <w:bCs/>
          </w:rPr>
          <w:t>https://www.bhp.com/news/media-centre/releases/2023/10/bhp-approves-investment-in-stage-two-of-jansen-potash-project</w:t>
        </w:r>
      </w:hyperlink>
      <w:r w:rsidRPr="00017742">
        <w:rPr>
          <w:rStyle w:val="Strong"/>
          <w:rFonts w:ascii="Arial" w:hAnsi="Arial" w:cs="Arial"/>
          <w:b w:val="0"/>
        </w:rPr>
        <w:t xml:space="preserve"> (Accessed: 15 July 2026).</w:t>
      </w:r>
    </w:p>
    <w:p w14:paraId="1276FF4A"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BHP (2024) </w:t>
      </w:r>
      <w:r w:rsidRPr="00017742">
        <w:rPr>
          <w:rStyle w:val="Emphasis"/>
          <w:rFonts w:ascii="Arial" w:hAnsi="Arial" w:cs="Arial"/>
          <w:bCs/>
        </w:rPr>
        <w:t>BHP and HBIS Strengthen Partnership with New MOU to Advance Decarbonisation in Steel Value Chain</w:t>
      </w:r>
      <w:r w:rsidRPr="00017742">
        <w:rPr>
          <w:rStyle w:val="Strong"/>
          <w:rFonts w:ascii="Arial" w:hAnsi="Arial" w:cs="Arial"/>
          <w:b w:val="0"/>
        </w:rPr>
        <w:t xml:space="preserve">. Available at: </w:t>
      </w:r>
      <w:hyperlink r:id="rId25" w:history="1">
        <w:r w:rsidRPr="00017742">
          <w:rPr>
            <w:rStyle w:val="Hyperlink"/>
            <w:rFonts w:ascii="Arial" w:hAnsi="Arial" w:cs="Arial"/>
            <w:bCs/>
          </w:rPr>
          <w:t>https://www.bhp.com/news/media-centre/releases/2024/12/bhp-and-hbis-strengthen-partnership-with-new-mou-to-advance-decarbonization-in-steel-value-chain</w:t>
        </w:r>
      </w:hyperlink>
      <w:r w:rsidRPr="00017742">
        <w:rPr>
          <w:rStyle w:val="Strong"/>
          <w:rFonts w:ascii="Arial" w:hAnsi="Arial" w:cs="Arial"/>
          <w:b w:val="0"/>
        </w:rPr>
        <w:t xml:space="preserve"> (Accessed: 15 July 2026).</w:t>
      </w:r>
    </w:p>
    <w:p w14:paraId="7A2C6AE2"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BHP (2024) </w:t>
      </w:r>
      <w:r w:rsidRPr="00017742">
        <w:rPr>
          <w:rStyle w:val="Emphasis"/>
          <w:rFonts w:ascii="Arial" w:hAnsi="Arial" w:cs="Arial"/>
          <w:bCs/>
        </w:rPr>
        <w:t>Climate Transition Action Plan</w:t>
      </w:r>
      <w:r w:rsidRPr="00017742">
        <w:rPr>
          <w:rStyle w:val="Strong"/>
          <w:rFonts w:ascii="Arial" w:hAnsi="Arial" w:cs="Arial"/>
          <w:b w:val="0"/>
        </w:rPr>
        <w:t xml:space="preserve">. Available at: </w:t>
      </w:r>
      <w:hyperlink r:id="rId26" w:history="1">
        <w:r w:rsidRPr="00017742">
          <w:rPr>
            <w:rStyle w:val="Hyperlink"/>
            <w:rFonts w:ascii="Arial" w:hAnsi="Arial" w:cs="Arial"/>
            <w:bCs/>
          </w:rPr>
          <w:t>https://www.bhp.com/-/media/documents/investors/annual-reports/2024/240827_bhpclimatetransitionactionplan2024.pdf</w:t>
        </w:r>
      </w:hyperlink>
      <w:r w:rsidRPr="00017742">
        <w:rPr>
          <w:rStyle w:val="Strong"/>
          <w:rFonts w:ascii="Arial" w:hAnsi="Arial" w:cs="Arial"/>
          <w:b w:val="0"/>
        </w:rPr>
        <w:t xml:space="preserve"> (Accessed: 15 July 2026).</w:t>
      </w:r>
    </w:p>
    <w:p w14:paraId="150D585D"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BHP (2025) </w:t>
      </w:r>
      <w:r w:rsidRPr="00017742">
        <w:rPr>
          <w:rStyle w:val="Emphasis"/>
          <w:rFonts w:ascii="Arial" w:hAnsi="Arial" w:cs="Arial"/>
          <w:bCs/>
        </w:rPr>
        <w:t>About us</w:t>
      </w:r>
      <w:r w:rsidRPr="00017742">
        <w:rPr>
          <w:rStyle w:val="Strong"/>
          <w:rFonts w:ascii="Arial" w:hAnsi="Arial" w:cs="Arial"/>
          <w:b w:val="0"/>
        </w:rPr>
        <w:t xml:space="preserve">. Available at: </w:t>
      </w:r>
      <w:hyperlink r:id="rId27" w:history="1">
        <w:r w:rsidRPr="00017742">
          <w:rPr>
            <w:rStyle w:val="Hyperlink"/>
            <w:rFonts w:ascii="Arial" w:hAnsi="Arial" w:cs="Arial"/>
            <w:bCs/>
          </w:rPr>
          <w:t>https://www.bhp.com/about</w:t>
        </w:r>
      </w:hyperlink>
      <w:r w:rsidRPr="00017742">
        <w:rPr>
          <w:rStyle w:val="Strong"/>
          <w:rFonts w:ascii="Arial" w:hAnsi="Arial" w:cs="Arial"/>
          <w:b w:val="0"/>
        </w:rPr>
        <w:t xml:space="preserve"> (Accessed: 15 July 2026).</w:t>
      </w:r>
    </w:p>
    <w:p w14:paraId="3C03AFCB"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BHP (2025) </w:t>
      </w:r>
      <w:r w:rsidRPr="00017742">
        <w:rPr>
          <w:rStyle w:val="Emphasis"/>
          <w:rFonts w:ascii="Arial" w:hAnsi="Arial" w:cs="Arial"/>
          <w:bCs/>
        </w:rPr>
        <w:t>Annual Report 2025</w:t>
      </w:r>
      <w:r w:rsidRPr="00017742">
        <w:rPr>
          <w:rStyle w:val="Strong"/>
          <w:rFonts w:ascii="Arial" w:hAnsi="Arial" w:cs="Arial"/>
          <w:b w:val="0"/>
        </w:rPr>
        <w:t xml:space="preserve">. Available at: </w:t>
      </w:r>
      <w:hyperlink r:id="rId28" w:history="1">
        <w:r w:rsidRPr="00017742">
          <w:rPr>
            <w:rStyle w:val="Hyperlink"/>
            <w:rFonts w:ascii="Arial" w:hAnsi="Arial" w:cs="Arial"/>
            <w:bCs/>
          </w:rPr>
          <w:t>https://www.bhp.com/-/media/documents/investors/annual-reports/2025/250819_bhpannualreport2025.pdf</w:t>
        </w:r>
      </w:hyperlink>
      <w:r w:rsidRPr="00017742">
        <w:rPr>
          <w:rStyle w:val="Strong"/>
          <w:rFonts w:ascii="Arial" w:hAnsi="Arial" w:cs="Arial"/>
          <w:b w:val="0"/>
        </w:rPr>
        <w:t xml:space="preserve"> (Accessed: 15 July 2026).</w:t>
      </w:r>
    </w:p>
    <w:p w14:paraId="747BC793"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BHP (2026) </w:t>
      </w:r>
      <w:r w:rsidRPr="00017742">
        <w:rPr>
          <w:rStyle w:val="Emphasis"/>
          <w:rFonts w:ascii="Arial" w:hAnsi="Arial" w:cs="Arial"/>
          <w:bCs/>
        </w:rPr>
        <w:t>Decarbonisation: Why our emissions reduction pathway is not a smooth nor straight line</w:t>
      </w:r>
      <w:r w:rsidRPr="00017742">
        <w:rPr>
          <w:rStyle w:val="Strong"/>
          <w:rFonts w:ascii="Arial" w:hAnsi="Arial" w:cs="Arial"/>
          <w:b w:val="0"/>
        </w:rPr>
        <w:t xml:space="preserve">. Available at: </w:t>
      </w:r>
      <w:hyperlink r:id="rId29" w:history="1">
        <w:r w:rsidRPr="00017742">
          <w:rPr>
            <w:rStyle w:val="Hyperlink"/>
            <w:rFonts w:ascii="Arial" w:hAnsi="Arial" w:cs="Arial"/>
            <w:bCs/>
          </w:rPr>
          <w:t>https://www.bhp.com/news/articles/2023/10/decarbonisation-why-our-emissions-reduction-pathway-is-not-a-smooth-nor-straight-line</w:t>
        </w:r>
      </w:hyperlink>
      <w:r w:rsidRPr="00017742">
        <w:rPr>
          <w:rStyle w:val="Strong"/>
          <w:rFonts w:ascii="Arial" w:hAnsi="Arial" w:cs="Arial"/>
          <w:b w:val="0"/>
        </w:rPr>
        <w:t xml:space="preserve"> (Accessed: 15 July 2026).</w:t>
      </w:r>
    </w:p>
    <w:p w14:paraId="4BA44185"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BHP (2026) </w:t>
      </w:r>
      <w:r w:rsidRPr="00017742">
        <w:rPr>
          <w:rStyle w:val="Emphasis"/>
          <w:rFonts w:ascii="Arial" w:hAnsi="Arial" w:cs="Arial"/>
          <w:bCs/>
        </w:rPr>
        <w:t>Financial results for the half year ended 31 December 2025</w:t>
      </w:r>
      <w:r w:rsidRPr="00017742">
        <w:rPr>
          <w:rStyle w:val="Strong"/>
          <w:rFonts w:ascii="Arial" w:hAnsi="Arial" w:cs="Arial"/>
          <w:b w:val="0"/>
        </w:rPr>
        <w:t xml:space="preserve">. Available at: </w:t>
      </w:r>
      <w:hyperlink r:id="rId30" w:history="1">
        <w:r w:rsidRPr="00017742">
          <w:rPr>
            <w:rStyle w:val="Hyperlink"/>
            <w:rFonts w:ascii="Arial" w:hAnsi="Arial" w:cs="Arial"/>
            <w:bCs/>
          </w:rPr>
          <w:t>https://www.bhp.com/-/media/documents/media/reports-and-presentations/2026/260217_bhpresultsforthehalfyearended31dec2025_exchangerelease.pdf</w:t>
        </w:r>
      </w:hyperlink>
      <w:r w:rsidRPr="00017742">
        <w:rPr>
          <w:rStyle w:val="Strong"/>
          <w:rFonts w:ascii="Arial" w:hAnsi="Arial" w:cs="Arial"/>
          <w:b w:val="0"/>
        </w:rPr>
        <w:t xml:space="preserve"> (Accessed: 15 July 2026).</w:t>
      </w:r>
    </w:p>
    <w:p w14:paraId="7772738A"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BHP (2026) </w:t>
      </w:r>
      <w:r w:rsidRPr="00017742">
        <w:rPr>
          <w:rStyle w:val="Emphasis"/>
          <w:rFonts w:ascii="Arial" w:hAnsi="Arial" w:cs="Arial"/>
          <w:bCs/>
        </w:rPr>
        <w:t>Our businesses</w:t>
      </w:r>
      <w:r w:rsidRPr="00017742">
        <w:rPr>
          <w:rStyle w:val="Strong"/>
          <w:rFonts w:ascii="Arial" w:hAnsi="Arial" w:cs="Arial"/>
          <w:b w:val="0"/>
        </w:rPr>
        <w:t xml:space="preserve">. Available at: </w:t>
      </w:r>
      <w:hyperlink r:id="rId31" w:history="1">
        <w:r w:rsidRPr="00017742">
          <w:rPr>
            <w:rStyle w:val="Hyperlink"/>
            <w:rFonts w:ascii="Arial" w:hAnsi="Arial" w:cs="Arial"/>
            <w:bCs/>
          </w:rPr>
          <w:t>https://www.bhp.com/about/our-businesses</w:t>
        </w:r>
      </w:hyperlink>
      <w:r w:rsidRPr="00017742">
        <w:rPr>
          <w:rStyle w:val="Strong"/>
          <w:rFonts w:ascii="Arial" w:hAnsi="Arial" w:cs="Arial"/>
          <w:b w:val="0"/>
        </w:rPr>
        <w:t xml:space="preserve"> (Accessed: 15 July 2026).</w:t>
      </w:r>
    </w:p>
    <w:p w14:paraId="7CC7685F"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HBIS (2023) </w:t>
      </w:r>
      <w:r w:rsidRPr="00017742">
        <w:rPr>
          <w:rStyle w:val="Emphasis"/>
          <w:rFonts w:ascii="Arial" w:hAnsi="Arial" w:cs="Arial"/>
          <w:bCs/>
        </w:rPr>
        <w:t>HBIS &amp; BHP Signed Carbon Reduction Experiment Agreement in Steel Industry</w:t>
      </w:r>
      <w:r w:rsidRPr="00017742">
        <w:rPr>
          <w:rStyle w:val="Strong"/>
          <w:rFonts w:ascii="Arial" w:hAnsi="Arial" w:cs="Arial"/>
          <w:b w:val="0"/>
        </w:rPr>
        <w:t xml:space="preserve">. Available at: </w:t>
      </w:r>
      <w:hyperlink r:id="rId32" w:history="1">
        <w:r w:rsidRPr="00017742">
          <w:rPr>
            <w:rStyle w:val="Hyperlink"/>
            <w:rFonts w:ascii="Arial" w:hAnsi="Arial" w:cs="Arial"/>
            <w:bCs/>
          </w:rPr>
          <w:t>https://www.hbisco.com/en/news/group/t101/2279</w:t>
        </w:r>
      </w:hyperlink>
      <w:r w:rsidRPr="00017742">
        <w:rPr>
          <w:rStyle w:val="Strong"/>
          <w:rFonts w:ascii="Arial" w:hAnsi="Arial" w:cs="Arial"/>
          <w:b w:val="0"/>
        </w:rPr>
        <w:t xml:space="preserve"> (Accessed: 15 July 2026).</w:t>
      </w:r>
    </w:p>
    <w:p w14:paraId="08FBEC71"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Kejriwal, M. (2023) </w:t>
      </w:r>
      <w:r w:rsidRPr="00017742">
        <w:rPr>
          <w:rStyle w:val="Emphasis"/>
          <w:rFonts w:ascii="Arial" w:hAnsi="Arial" w:cs="Arial"/>
          <w:bCs/>
        </w:rPr>
        <w:t>Artificial Intelligence for Industries of the Future</w:t>
      </w:r>
      <w:r w:rsidRPr="00017742">
        <w:rPr>
          <w:rStyle w:val="Strong"/>
          <w:rFonts w:ascii="Arial" w:hAnsi="Arial" w:cs="Arial"/>
          <w:b w:val="0"/>
        </w:rPr>
        <w:t xml:space="preserve">. Cham: Springer International Publishing. Available at: </w:t>
      </w:r>
      <w:hyperlink r:id="rId33" w:history="1">
        <w:r w:rsidRPr="00017742">
          <w:rPr>
            <w:rStyle w:val="Hyperlink"/>
            <w:rFonts w:ascii="Arial" w:hAnsi="Arial" w:cs="Arial"/>
            <w:bCs/>
          </w:rPr>
          <w:t>https://link.springer.com/content/pdf/10.1007/978-3-031-19039-1.pdf</w:t>
        </w:r>
      </w:hyperlink>
      <w:r w:rsidRPr="00017742">
        <w:rPr>
          <w:rStyle w:val="Strong"/>
          <w:rFonts w:ascii="Arial" w:hAnsi="Arial" w:cs="Arial"/>
          <w:b w:val="0"/>
        </w:rPr>
        <w:t>.</w:t>
      </w:r>
    </w:p>
    <w:p w14:paraId="43AA5C21"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Leonida, C. (2022) ‘Powering Trucks for the Long Haul’, </w:t>
      </w:r>
      <w:r w:rsidRPr="00017742">
        <w:rPr>
          <w:rStyle w:val="Emphasis"/>
          <w:rFonts w:ascii="Arial" w:hAnsi="Arial" w:cs="Arial"/>
          <w:bCs/>
        </w:rPr>
        <w:t>Engineering and Mining Journal</w:t>
      </w:r>
      <w:r w:rsidRPr="00017742">
        <w:rPr>
          <w:rStyle w:val="Strong"/>
          <w:rFonts w:ascii="Arial" w:hAnsi="Arial" w:cs="Arial"/>
          <w:b w:val="0"/>
        </w:rPr>
        <w:t xml:space="preserve">, 223(5), pp. 20–25. Available at: </w:t>
      </w:r>
      <w:hyperlink r:id="rId34" w:history="1">
        <w:r w:rsidRPr="00017742">
          <w:rPr>
            <w:rStyle w:val="Hyperlink"/>
            <w:rFonts w:ascii="Arial" w:hAnsi="Arial" w:cs="Arial"/>
            <w:bCs/>
          </w:rPr>
          <w:t>https://search.proquest.com/openview/afbe9fb5ef81678221e4471d13d50f03/1?pq-origsite=gscholar&amp;cbl=39</w:t>
        </w:r>
      </w:hyperlink>
      <w:r w:rsidRPr="00017742">
        <w:rPr>
          <w:rStyle w:val="Strong"/>
          <w:rFonts w:ascii="Arial" w:hAnsi="Arial" w:cs="Arial"/>
          <w:b w:val="0"/>
        </w:rPr>
        <w:t>.</w:t>
      </w:r>
    </w:p>
    <w:p w14:paraId="799D36DA" w14:textId="0E51A16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Marfo-Yiadom, E.</w:t>
      </w:r>
      <w:r w:rsidR="0068425A">
        <w:rPr>
          <w:rStyle w:val="Strong"/>
          <w:rFonts w:ascii="Arial" w:hAnsi="Arial" w:cs="Arial"/>
          <w:b w:val="0"/>
        </w:rPr>
        <w:t>,</w:t>
      </w:r>
      <w:r w:rsidR="006102E1">
        <w:rPr>
          <w:rStyle w:val="Strong"/>
          <w:rFonts w:ascii="Arial" w:hAnsi="Arial" w:cs="Arial"/>
          <w:b w:val="0"/>
        </w:rPr>
        <w:t xml:space="preserve"> et.al,</w:t>
      </w:r>
      <w:r w:rsidR="0068425A">
        <w:rPr>
          <w:rStyle w:val="Strong"/>
          <w:rFonts w:ascii="Arial" w:hAnsi="Arial" w:cs="Arial"/>
          <w:b w:val="0"/>
        </w:rPr>
        <w:t xml:space="preserve"> </w:t>
      </w:r>
      <w:r w:rsidRPr="00017742">
        <w:rPr>
          <w:rStyle w:val="Strong"/>
          <w:rFonts w:ascii="Arial" w:hAnsi="Arial" w:cs="Arial"/>
          <w:b w:val="0"/>
        </w:rPr>
        <w:t xml:space="preserve">(2025) ‘Efficacy of the Porter’s generic strategies in achieving competitive advantage: The mediating roles of market ambidexterity and firm performance’, </w:t>
      </w:r>
      <w:r w:rsidRPr="00017742">
        <w:rPr>
          <w:rStyle w:val="Emphasis"/>
          <w:rFonts w:ascii="Arial" w:hAnsi="Arial" w:cs="Arial"/>
          <w:bCs/>
        </w:rPr>
        <w:t>Journal of Business and Enterprise Development (JOBED)</w:t>
      </w:r>
      <w:r w:rsidRPr="00017742">
        <w:rPr>
          <w:rStyle w:val="Strong"/>
          <w:rFonts w:ascii="Arial" w:hAnsi="Arial" w:cs="Arial"/>
          <w:b w:val="0"/>
        </w:rPr>
        <w:t xml:space="preserve">, 13(2). Available at: </w:t>
      </w:r>
      <w:hyperlink r:id="rId35" w:history="1">
        <w:r w:rsidRPr="00017742">
          <w:rPr>
            <w:rStyle w:val="Hyperlink"/>
            <w:rFonts w:ascii="Arial" w:hAnsi="Arial" w:cs="Arial"/>
            <w:bCs/>
          </w:rPr>
          <w:t>https://journal.ucc.edu.gh/index.php/jobed/article/download/1753/849</w:t>
        </w:r>
      </w:hyperlink>
      <w:r w:rsidRPr="00017742">
        <w:rPr>
          <w:rStyle w:val="Strong"/>
          <w:rFonts w:ascii="Arial" w:hAnsi="Arial" w:cs="Arial"/>
          <w:b w:val="0"/>
        </w:rPr>
        <w:t>.</w:t>
      </w:r>
    </w:p>
    <w:p w14:paraId="1F4E335F" w14:textId="77777777" w:rsidR="001171A4" w:rsidRPr="00017742" w:rsidRDefault="001171A4" w:rsidP="00017742">
      <w:pPr>
        <w:pStyle w:val="NormalWeb"/>
        <w:spacing w:before="0" w:beforeAutospacing="0" w:after="240" w:afterAutospacing="0" w:line="360" w:lineRule="auto"/>
        <w:jc w:val="both"/>
        <w:rPr>
          <w:rFonts w:ascii="Arial" w:hAnsi="Arial" w:cs="Arial"/>
        </w:rPr>
      </w:pPr>
      <w:proofErr w:type="spellStart"/>
      <w:r w:rsidRPr="00017742">
        <w:rPr>
          <w:rStyle w:val="Strong"/>
          <w:rFonts w:ascii="Arial" w:hAnsi="Arial" w:cs="Arial"/>
          <w:b w:val="0"/>
        </w:rPr>
        <w:t>Nwozor</w:t>
      </w:r>
      <w:proofErr w:type="spellEnd"/>
      <w:r w:rsidRPr="00017742">
        <w:rPr>
          <w:rStyle w:val="Strong"/>
          <w:rFonts w:ascii="Arial" w:hAnsi="Arial" w:cs="Arial"/>
          <w:b w:val="0"/>
        </w:rPr>
        <w:t xml:space="preserve">, A. (2025) ‘Artificial intelligence (AI) and academic honesty-dishonesty nexus: Trends and preventive measures’, </w:t>
      </w:r>
      <w:r w:rsidRPr="00017742">
        <w:rPr>
          <w:rStyle w:val="Emphasis"/>
          <w:rFonts w:ascii="Arial" w:hAnsi="Arial" w:cs="Arial"/>
          <w:bCs/>
        </w:rPr>
        <w:t>AI and Ethics, Academic Integrity and the Future of Quality Assurance in Higher Education</w:t>
      </w:r>
      <w:r w:rsidRPr="00017742">
        <w:rPr>
          <w:rStyle w:val="Strong"/>
          <w:rFonts w:ascii="Arial" w:hAnsi="Arial" w:cs="Arial"/>
          <w:b w:val="0"/>
        </w:rPr>
        <w:t xml:space="preserve">, 27(3). Available at: </w:t>
      </w:r>
      <w:hyperlink r:id="rId36" w:anchor="page=288" w:history="1">
        <w:r w:rsidRPr="00017742">
          <w:rPr>
            <w:rStyle w:val="Hyperlink"/>
            <w:rFonts w:ascii="Arial" w:hAnsi="Arial" w:cs="Arial"/>
            <w:bCs/>
          </w:rPr>
          <w:t>https://www.researchgate.net/profile/Mamman-Muazu-2/publication/384969429_AI_and_EthicsAcademic_integrity_and_the_future_of_Quality_Assurance_in_Higher_Education_Hand_Book_on_AI_and_Quality_Higher_Education_in_Honour_of_Prof_Abubakar_Adamu_Rasheed_Volume_3/links/67655ce311</w:t>
        </w:r>
        <w:r w:rsidRPr="00017742">
          <w:rPr>
            <w:rStyle w:val="Hyperlink"/>
            <w:rFonts w:ascii="Arial" w:hAnsi="Arial" w:cs="Arial"/>
            <w:bCs/>
          </w:rPr>
          <w:lastRenderedPageBreak/>
          <w:t>7f340ec3cf7d14/AI-and-Ethics-Academic-integrity-and-the-future-of-Quality-Assurance-in-Higher-Education-Hand-Book-on-AI-and-Quality-Higher-Education-in-Honour-of-Prof-Abubakar-Adamu-Rasheed-Volume-3.pdf#page=288</w:t>
        </w:r>
      </w:hyperlink>
      <w:r w:rsidRPr="00017742">
        <w:rPr>
          <w:rStyle w:val="Strong"/>
          <w:rFonts w:ascii="Arial" w:hAnsi="Arial" w:cs="Arial"/>
          <w:b w:val="0"/>
        </w:rPr>
        <w:t>.</w:t>
      </w:r>
    </w:p>
    <w:p w14:paraId="161585D3"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Oladele, O.K. (2025) </w:t>
      </w:r>
      <w:r w:rsidRPr="00017742">
        <w:rPr>
          <w:rStyle w:val="Emphasis"/>
          <w:rFonts w:ascii="Arial" w:hAnsi="Arial" w:cs="Arial"/>
          <w:bCs/>
        </w:rPr>
        <w:t>The Role of Strategic Planning in Managing Technological Disruptions in Business</w:t>
      </w:r>
      <w:r w:rsidRPr="00017742">
        <w:rPr>
          <w:rStyle w:val="Strong"/>
          <w:rFonts w:ascii="Arial" w:hAnsi="Arial" w:cs="Arial"/>
          <w:b w:val="0"/>
        </w:rPr>
        <w:t xml:space="preserve">. Available at: </w:t>
      </w:r>
      <w:hyperlink r:id="rId37" w:history="1">
        <w:r w:rsidRPr="00017742">
          <w:rPr>
            <w:rStyle w:val="Hyperlink"/>
            <w:rFonts w:ascii="Arial" w:hAnsi="Arial" w:cs="Arial"/>
            <w:bCs/>
          </w:rPr>
          <w:t>https://www.researchgate.net/profile/Oluwaseyi-Oladele-3/publication/389287926_The_Role_of_Strategic_Planning_in_Managing_Technological_Disruptions_in_Business/links/67bd65c6645ef274a49414a0/The-Role-of-Strategic-Planning-in-Managing-Technological-Disruptions-in-Business.pdf</w:t>
        </w:r>
      </w:hyperlink>
      <w:r w:rsidRPr="00017742">
        <w:rPr>
          <w:rStyle w:val="Strong"/>
          <w:rFonts w:ascii="Arial" w:hAnsi="Arial" w:cs="Arial"/>
          <w:b w:val="0"/>
        </w:rPr>
        <w:t>.</w:t>
      </w:r>
    </w:p>
    <w:p w14:paraId="52BBBFFA"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Pant, P. (2026) ‘Empowering Sustainability Through Digital Transformation’, in </w:t>
      </w:r>
      <w:r w:rsidRPr="00017742">
        <w:rPr>
          <w:rStyle w:val="Emphasis"/>
          <w:rFonts w:ascii="Arial" w:hAnsi="Arial" w:cs="Arial"/>
          <w:bCs/>
        </w:rPr>
        <w:t>Multimedia and AI Applications for Sustainable Smart Mining and Energy</w:t>
      </w:r>
      <w:r w:rsidRPr="00017742">
        <w:rPr>
          <w:rStyle w:val="Strong"/>
          <w:rFonts w:ascii="Arial" w:hAnsi="Arial" w:cs="Arial"/>
          <w:b w:val="0"/>
        </w:rPr>
        <w:t xml:space="preserve">. Hershey, PA: IGI Global Scientific Publishing, pp. 517–548. Available at: </w:t>
      </w:r>
      <w:hyperlink r:id="rId38" w:history="1">
        <w:r w:rsidRPr="00017742">
          <w:rPr>
            <w:rStyle w:val="Hyperlink"/>
            <w:rFonts w:ascii="Arial" w:hAnsi="Arial" w:cs="Arial"/>
            <w:bCs/>
          </w:rPr>
          <w:t>https://www.igi-global.com/chapter/empowering-sustainability-through-digital-transformation/402955</w:t>
        </w:r>
      </w:hyperlink>
      <w:r w:rsidRPr="00017742">
        <w:rPr>
          <w:rStyle w:val="Strong"/>
          <w:rFonts w:ascii="Arial" w:hAnsi="Arial" w:cs="Arial"/>
          <w:b w:val="0"/>
        </w:rPr>
        <w:t>.</w:t>
      </w:r>
    </w:p>
    <w:p w14:paraId="07C0A8E0"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Pollard, M. and Buckley, T. (2025) </w:t>
      </w:r>
      <w:r w:rsidRPr="00017742">
        <w:rPr>
          <w:rStyle w:val="Emphasis"/>
          <w:rFonts w:ascii="Arial" w:hAnsi="Arial" w:cs="Arial"/>
          <w:bCs/>
        </w:rPr>
        <w:t>Transition Tax Incentive: Reforming Fuel Tax Credits into a Decarbonisation Tailwind</w:t>
      </w:r>
      <w:r w:rsidRPr="00017742">
        <w:rPr>
          <w:rStyle w:val="Strong"/>
          <w:rFonts w:ascii="Arial" w:hAnsi="Arial" w:cs="Arial"/>
          <w:b w:val="0"/>
        </w:rPr>
        <w:t xml:space="preserve">. Available at: </w:t>
      </w:r>
      <w:hyperlink r:id="rId39" w:history="1">
        <w:r w:rsidRPr="00017742">
          <w:rPr>
            <w:rStyle w:val="Hyperlink"/>
            <w:rFonts w:ascii="Arial" w:hAnsi="Arial" w:cs="Arial"/>
            <w:bCs/>
          </w:rPr>
          <w:t>http://climateenergyfinance.org/wp-content/uploads/2025/08/CEF_Transition-Tax-Incentive-Report-FINAL_20August2025.pdf</w:t>
        </w:r>
      </w:hyperlink>
      <w:r w:rsidRPr="00017742">
        <w:rPr>
          <w:rStyle w:val="Strong"/>
          <w:rFonts w:ascii="Arial" w:hAnsi="Arial" w:cs="Arial"/>
          <w:b w:val="0"/>
        </w:rPr>
        <w:t>.</w:t>
      </w:r>
    </w:p>
    <w:p w14:paraId="051B3EB1"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Smith, D. and Wentworth, J. (2022) </w:t>
      </w:r>
      <w:r w:rsidRPr="00017742">
        <w:rPr>
          <w:rStyle w:val="Emphasis"/>
          <w:rFonts w:ascii="Arial" w:hAnsi="Arial" w:cs="Arial"/>
          <w:bCs/>
        </w:rPr>
        <w:t>Mining and the Sustainability of Metals</w:t>
      </w:r>
      <w:r w:rsidRPr="00017742">
        <w:rPr>
          <w:rStyle w:val="Strong"/>
          <w:rFonts w:ascii="Arial" w:hAnsi="Arial" w:cs="Arial"/>
          <w:b w:val="0"/>
        </w:rPr>
        <w:t xml:space="preserve">. London: Parliamentary Office of Science and Technology, UK Parliament. Available at: </w:t>
      </w:r>
      <w:hyperlink r:id="rId40" w:history="1">
        <w:r w:rsidRPr="00017742">
          <w:rPr>
            <w:rStyle w:val="Hyperlink"/>
            <w:rFonts w:ascii="Arial" w:hAnsi="Arial" w:cs="Arial"/>
            <w:bCs/>
          </w:rPr>
          <w:t>https://figshare.le.ac.uk/ndownloader/files/33988796</w:t>
        </w:r>
      </w:hyperlink>
      <w:r w:rsidRPr="00017742">
        <w:rPr>
          <w:rStyle w:val="Strong"/>
          <w:rFonts w:ascii="Arial" w:hAnsi="Arial" w:cs="Arial"/>
          <w:b w:val="0"/>
        </w:rPr>
        <w:t>.</w:t>
      </w:r>
    </w:p>
    <w:p w14:paraId="0140D150" w14:textId="77777777" w:rsidR="001171A4" w:rsidRPr="00017742" w:rsidRDefault="001171A4" w:rsidP="00017742">
      <w:pPr>
        <w:pStyle w:val="NormalWeb"/>
        <w:spacing w:before="0" w:beforeAutospacing="0" w:after="240" w:afterAutospacing="0" w:line="360" w:lineRule="auto"/>
        <w:jc w:val="both"/>
        <w:rPr>
          <w:rFonts w:ascii="Arial" w:hAnsi="Arial" w:cs="Arial"/>
        </w:rPr>
      </w:pPr>
      <w:proofErr w:type="spellStart"/>
      <w:r w:rsidRPr="00017742">
        <w:rPr>
          <w:rStyle w:val="Strong"/>
          <w:rFonts w:ascii="Arial" w:hAnsi="Arial" w:cs="Arial"/>
          <w:b w:val="0"/>
        </w:rPr>
        <w:t>Trisiana</w:t>
      </w:r>
      <w:proofErr w:type="spellEnd"/>
      <w:r w:rsidRPr="00017742">
        <w:rPr>
          <w:rStyle w:val="Strong"/>
          <w:rFonts w:ascii="Arial" w:hAnsi="Arial" w:cs="Arial"/>
          <w:b w:val="0"/>
        </w:rPr>
        <w:t xml:space="preserve">, A. (2024) ‘A Sustainability-Driven Innovation and Management Policies through Technological Disruptions: Navigating Uncertainty in the Digital Era’, </w:t>
      </w:r>
      <w:r w:rsidRPr="00017742">
        <w:rPr>
          <w:rStyle w:val="Emphasis"/>
          <w:rFonts w:ascii="Arial" w:hAnsi="Arial" w:cs="Arial"/>
          <w:bCs/>
        </w:rPr>
        <w:t>Global Perspectives in Management</w:t>
      </w:r>
      <w:r w:rsidRPr="00017742">
        <w:rPr>
          <w:rStyle w:val="Strong"/>
          <w:rFonts w:ascii="Arial" w:hAnsi="Arial" w:cs="Arial"/>
          <w:b w:val="0"/>
        </w:rPr>
        <w:t xml:space="preserve">, 2(1), pp. 22–32. Available at: </w:t>
      </w:r>
      <w:hyperlink r:id="rId41" w:history="1">
        <w:r w:rsidRPr="00017742">
          <w:rPr>
            <w:rStyle w:val="Hyperlink"/>
            <w:rFonts w:ascii="Arial" w:hAnsi="Arial" w:cs="Arial"/>
            <w:bCs/>
          </w:rPr>
          <w:t>https://gpim.in/index.php/journal/article/download/GPM24103/102</w:t>
        </w:r>
      </w:hyperlink>
      <w:r w:rsidRPr="00017742">
        <w:rPr>
          <w:rStyle w:val="Strong"/>
          <w:rFonts w:ascii="Arial" w:hAnsi="Arial" w:cs="Arial"/>
          <w:b w:val="0"/>
        </w:rPr>
        <w:t>.</w:t>
      </w:r>
    </w:p>
    <w:p w14:paraId="2EAAA8B4" w14:textId="77777777" w:rsidR="001171A4" w:rsidRPr="00017742" w:rsidRDefault="001171A4" w:rsidP="00017742">
      <w:pPr>
        <w:pStyle w:val="NormalWeb"/>
        <w:spacing w:before="0" w:beforeAutospacing="0" w:after="240" w:afterAutospacing="0" w:line="360" w:lineRule="auto"/>
        <w:jc w:val="both"/>
        <w:rPr>
          <w:rFonts w:ascii="Arial" w:hAnsi="Arial" w:cs="Arial"/>
        </w:rPr>
      </w:pPr>
      <w:r w:rsidRPr="00017742">
        <w:rPr>
          <w:rStyle w:val="Strong"/>
          <w:rFonts w:ascii="Arial" w:hAnsi="Arial" w:cs="Arial"/>
          <w:b w:val="0"/>
        </w:rPr>
        <w:t xml:space="preserve">Zhai, C., Wibowo, S. and Li, L.D. (2024) ‘The effects of over-reliance on AI dialogue systems on students' cognitive abilities: A systematic review’, </w:t>
      </w:r>
      <w:r w:rsidRPr="00017742">
        <w:rPr>
          <w:rStyle w:val="Emphasis"/>
          <w:rFonts w:ascii="Arial" w:hAnsi="Arial" w:cs="Arial"/>
          <w:bCs/>
        </w:rPr>
        <w:t>Smart Learning Environments</w:t>
      </w:r>
      <w:r w:rsidRPr="00017742">
        <w:rPr>
          <w:rStyle w:val="Strong"/>
          <w:rFonts w:ascii="Arial" w:hAnsi="Arial" w:cs="Arial"/>
          <w:b w:val="0"/>
        </w:rPr>
        <w:t xml:space="preserve">, 11(1), p. 28. Available at: </w:t>
      </w:r>
      <w:hyperlink r:id="rId42" w:history="1">
        <w:r w:rsidRPr="00017742">
          <w:rPr>
            <w:rStyle w:val="Hyperlink"/>
            <w:rFonts w:ascii="Arial" w:hAnsi="Arial" w:cs="Arial"/>
            <w:bCs/>
          </w:rPr>
          <w:t>https://link.springer.com/article/10.1186/s40561-024-00316-7?fbclid=IwZXh0bgNhZW0CMTEAAR5nkxIdDLo8CdVygkPcbDQO7Tw9yMR1_EgHAElbgowcEB2XoCPscDA4bk47Sw_aem_TwS9UfH378qH6RPQzO9pUg</w:t>
        </w:r>
      </w:hyperlink>
    </w:p>
    <w:p w14:paraId="6416D589" w14:textId="77777777" w:rsidR="00017742" w:rsidRDefault="001171A4" w:rsidP="00017742">
      <w:pPr>
        <w:pStyle w:val="NormalWeb"/>
        <w:spacing w:before="0" w:beforeAutospacing="0" w:after="240" w:afterAutospacing="0" w:line="360" w:lineRule="auto"/>
        <w:jc w:val="both"/>
        <w:rPr>
          <w:rStyle w:val="Strong"/>
          <w:rFonts w:ascii="Arial" w:hAnsi="Arial" w:cs="Arial"/>
          <w:b w:val="0"/>
        </w:rPr>
      </w:pPr>
      <w:r w:rsidRPr="00017742">
        <w:rPr>
          <w:rStyle w:val="Strong"/>
          <w:rFonts w:ascii="Arial" w:hAnsi="Arial" w:cs="Arial"/>
          <w:b w:val="0"/>
        </w:rPr>
        <w:lastRenderedPageBreak/>
        <w:t xml:space="preserve">Zugay, B. and Zakaria, R. (2023) </w:t>
      </w:r>
      <w:r w:rsidRPr="00017742">
        <w:rPr>
          <w:rStyle w:val="Emphasis"/>
          <w:rFonts w:ascii="Arial" w:hAnsi="Arial" w:cs="Arial"/>
          <w:bCs/>
        </w:rPr>
        <w:t>Ansoff Matrix</w:t>
      </w:r>
      <w:r w:rsidRPr="00017742">
        <w:rPr>
          <w:rStyle w:val="Strong"/>
          <w:rFonts w:ascii="Arial" w:hAnsi="Arial" w:cs="Arial"/>
          <w:b w:val="0"/>
        </w:rPr>
        <w:t xml:space="preserve">. Thousand Oaks, CA: SAGE Publications. Available at: </w:t>
      </w:r>
      <w:hyperlink r:id="rId43" w:history="1">
        <w:r w:rsidRPr="00017742">
          <w:rPr>
            <w:rStyle w:val="Hyperlink"/>
            <w:rFonts w:ascii="Arial" w:hAnsi="Arial" w:cs="Arial"/>
            <w:bCs/>
          </w:rPr>
          <w:t>https://sk.sagepub.com/foundations/ansoff-matrix?tab=Theory+In+Practice</w:t>
        </w:r>
      </w:hyperlink>
      <w:r w:rsidRPr="00017742">
        <w:rPr>
          <w:rStyle w:val="Strong"/>
          <w:rFonts w:ascii="Arial" w:hAnsi="Arial" w:cs="Arial"/>
          <w:b w:val="0"/>
        </w:rPr>
        <w:t>.</w:t>
      </w:r>
    </w:p>
    <w:p w14:paraId="5B0ACD6F" w14:textId="77777777" w:rsidR="00017742" w:rsidRDefault="00017742">
      <w:pPr>
        <w:rPr>
          <w:rStyle w:val="Strong"/>
          <w:rFonts w:eastAsia="Times New Roman"/>
          <w:b w:val="0"/>
          <w:sz w:val="24"/>
          <w:szCs w:val="24"/>
        </w:rPr>
      </w:pPr>
      <w:r>
        <w:rPr>
          <w:rStyle w:val="Strong"/>
          <w:b w:val="0"/>
        </w:rPr>
        <w:br w:type="page"/>
      </w:r>
    </w:p>
    <w:p w14:paraId="4878099E" w14:textId="77777777" w:rsidR="001171A4" w:rsidRPr="00017742" w:rsidRDefault="00A8726A" w:rsidP="00017742">
      <w:pPr>
        <w:pStyle w:val="Heading1"/>
      </w:pPr>
      <w:bookmarkStart w:id="49" w:name="_Toc235035358"/>
      <w:r w:rsidRPr="00017742">
        <w:lastRenderedPageBreak/>
        <w:t>Appendix 1:</w:t>
      </w:r>
      <w:r w:rsidR="001171A4" w:rsidRPr="00017742">
        <w:t xml:space="preserve"> Jansen project</w:t>
      </w:r>
      <w:bookmarkEnd w:id="49"/>
      <w:r w:rsidR="001171A4" w:rsidRPr="00017742">
        <w:t xml:space="preserve"> </w:t>
      </w:r>
    </w:p>
    <w:p w14:paraId="4015DAA0" w14:textId="77777777" w:rsidR="00F02121" w:rsidRPr="00017742" w:rsidRDefault="00A8726A" w:rsidP="00017742">
      <w:pPr>
        <w:spacing w:after="240" w:line="360" w:lineRule="auto"/>
        <w:jc w:val="center"/>
        <w:rPr>
          <w:rFonts w:eastAsia="Times New Roman"/>
          <w:sz w:val="24"/>
          <w:szCs w:val="24"/>
        </w:rPr>
      </w:pPr>
      <w:r w:rsidRPr="00017742">
        <w:rPr>
          <w:rFonts w:eastAsia="Times New Roman"/>
          <w:noProof/>
          <w:sz w:val="24"/>
          <w:szCs w:val="24"/>
        </w:rPr>
        <w:drawing>
          <wp:inline distT="114300" distB="114300" distL="114300" distR="114300" wp14:anchorId="0E0E1E59" wp14:editId="4EAF0383">
            <wp:extent cx="4622909" cy="3610304"/>
            <wp:effectExtent l="0" t="0" r="635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4"/>
                    <a:srcRect/>
                    <a:stretch>
                      <a:fillRect/>
                    </a:stretch>
                  </pic:blipFill>
                  <pic:spPr>
                    <a:xfrm>
                      <a:off x="0" y="0"/>
                      <a:ext cx="4626659" cy="3613232"/>
                    </a:xfrm>
                    <a:prstGeom prst="rect">
                      <a:avLst/>
                    </a:prstGeom>
                    <a:ln/>
                  </pic:spPr>
                </pic:pic>
              </a:graphicData>
            </a:graphic>
          </wp:inline>
        </w:drawing>
      </w:r>
    </w:p>
    <w:p w14:paraId="2170F901" w14:textId="77777777" w:rsidR="00F02121" w:rsidRPr="00017742" w:rsidRDefault="001171A4" w:rsidP="00017742">
      <w:pPr>
        <w:spacing w:after="240" w:line="360" w:lineRule="auto"/>
        <w:jc w:val="center"/>
        <w:rPr>
          <w:rFonts w:eastAsia="Times New Roman"/>
          <w:b/>
          <w:bCs/>
          <w:sz w:val="24"/>
          <w:szCs w:val="24"/>
        </w:rPr>
      </w:pPr>
      <w:r w:rsidRPr="00017742">
        <w:t xml:space="preserve">(Source: </w:t>
      </w:r>
      <w:hyperlink r:id="rId45">
        <w:r w:rsidR="00A8726A" w:rsidRPr="00017742">
          <w:rPr>
            <w:rFonts w:eastAsia="Times New Roman"/>
            <w:color w:val="1155CC"/>
            <w:sz w:val="24"/>
            <w:szCs w:val="24"/>
            <w:u w:val="single"/>
          </w:rPr>
          <w:t>https://www.bhp.com/-/media/documents/investors/annual-reports/2025/250819_bhpannualreport2025.pdf</w:t>
        </w:r>
      </w:hyperlink>
      <w:r w:rsidRPr="00017742">
        <w:rPr>
          <w:rFonts w:eastAsia="Times New Roman"/>
          <w:color w:val="1155CC"/>
          <w:sz w:val="24"/>
          <w:szCs w:val="24"/>
          <w:u w:val="single"/>
        </w:rPr>
        <w:t>)</w:t>
      </w:r>
    </w:p>
    <w:p w14:paraId="060D5CC8" w14:textId="77777777" w:rsidR="00F02121" w:rsidRPr="00017742" w:rsidRDefault="00F02121" w:rsidP="00017742">
      <w:pPr>
        <w:spacing w:after="240" w:line="360" w:lineRule="auto"/>
        <w:jc w:val="both"/>
        <w:rPr>
          <w:rFonts w:eastAsia="Times New Roman"/>
          <w:b/>
          <w:bCs/>
          <w:sz w:val="24"/>
          <w:szCs w:val="24"/>
        </w:rPr>
      </w:pPr>
    </w:p>
    <w:p w14:paraId="49AD07B9" w14:textId="77777777" w:rsidR="00F02121" w:rsidRPr="00017742" w:rsidRDefault="00F02121" w:rsidP="00017742">
      <w:pPr>
        <w:spacing w:after="240" w:line="360" w:lineRule="auto"/>
        <w:jc w:val="both"/>
        <w:rPr>
          <w:rFonts w:eastAsia="Times New Roman"/>
          <w:b/>
          <w:bCs/>
          <w:sz w:val="24"/>
          <w:szCs w:val="24"/>
        </w:rPr>
      </w:pPr>
    </w:p>
    <w:sectPr w:rsidR="00F02121" w:rsidRPr="00017742" w:rsidSect="0098430E">
      <w:footerReference w:type="default" r:id="rId4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741A3" w14:textId="77777777" w:rsidR="00B06DCD" w:rsidRDefault="00B06DCD" w:rsidP="00CA6CE2">
      <w:pPr>
        <w:spacing w:line="240" w:lineRule="auto"/>
      </w:pPr>
      <w:r>
        <w:separator/>
      </w:r>
    </w:p>
  </w:endnote>
  <w:endnote w:type="continuationSeparator" w:id="0">
    <w:p w14:paraId="67834770" w14:textId="77777777" w:rsidR="00B06DCD" w:rsidRDefault="00B06DCD" w:rsidP="00CA6C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C6D47C5-5F20-4DE5-A6CB-E0855A233C0F}"/>
  </w:font>
  <w:font w:name="Cambria">
    <w:panose1 w:val="02040503050406030204"/>
    <w:charset w:val="00"/>
    <w:family w:val="roman"/>
    <w:pitch w:val="variable"/>
    <w:sig w:usb0="E00006FF" w:usb1="420024FF" w:usb2="02000000" w:usb3="00000000" w:csb0="0000019F" w:csb1="00000000"/>
    <w:embedRegular r:id="rId2" w:fontKey="{38CDC549-7E27-41CF-8DF0-50652428C207}"/>
  </w:font>
  <w:font w:name="Cambria Math">
    <w:panose1 w:val="02040503050406030204"/>
    <w:charset w:val="00"/>
    <w:family w:val="roman"/>
    <w:pitch w:val="variable"/>
    <w:sig w:usb0="E00006FF" w:usb1="420024FF" w:usb2="02000000" w:usb3="00000000" w:csb0="0000019F" w:csb1="00000000"/>
    <w:embedRegular r:id="rId3" w:fontKey="{6DC5A035-008F-4555-9EA3-123BA9D65D59}"/>
    <w:embedBold r:id="rId4" w:fontKey="{9035A5F9-19C4-4B3D-84B6-42AD0FCA36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225779"/>
      <w:docPartObj>
        <w:docPartGallery w:val="Page Numbers (Bottom of Page)"/>
        <w:docPartUnique/>
      </w:docPartObj>
    </w:sdtPr>
    <w:sdtEndPr>
      <w:rPr>
        <w:noProof/>
        <w:sz w:val="20"/>
        <w:szCs w:val="20"/>
      </w:rPr>
    </w:sdtEndPr>
    <w:sdtContent>
      <w:p w14:paraId="3FF6DE31" w14:textId="77777777" w:rsidR="00A8726A" w:rsidRPr="00CA6CE2" w:rsidRDefault="00A8726A">
        <w:pPr>
          <w:pStyle w:val="Footer"/>
          <w:jc w:val="right"/>
          <w:rPr>
            <w:sz w:val="20"/>
            <w:szCs w:val="20"/>
          </w:rPr>
        </w:pPr>
        <w:r w:rsidRPr="00CA6CE2">
          <w:rPr>
            <w:sz w:val="20"/>
            <w:szCs w:val="20"/>
          </w:rPr>
          <w:fldChar w:fldCharType="begin"/>
        </w:r>
        <w:r w:rsidRPr="00CA6CE2">
          <w:rPr>
            <w:sz w:val="20"/>
            <w:szCs w:val="20"/>
          </w:rPr>
          <w:instrText xml:space="preserve"> PAGE   \* MERGEFORMAT </w:instrText>
        </w:r>
        <w:r w:rsidRPr="00CA6CE2">
          <w:rPr>
            <w:sz w:val="20"/>
            <w:szCs w:val="20"/>
          </w:rPr>
          <w:fldChar w:fldCharType="separate"/>
        </w:r>
        <w:r w:rsidR="00017742">
          <w:rPr>
            <w:noProof/>
            <w:sz w:val="20"/>
            <w:szCs w:val="20"/>
          </w:rPr>
          <w:t>6</w:t>
        </w:r>
        <w:r w:rsidRPr="00CA6CE2">
          <w:rPr>
            <w:noProof/>
            <w:sz w:val="20"/>
            <w:szCs w:val="20"/>
          </w:rPr>
          <w:fldChar w:fldCharType="end"/>
        </w:r>
      </w:p>
    </w:sdtContent>
  </w:sdt>
  <w:p w14:paraId="7CB6CDAC" w14:textId="77777777" w:rsidR="00A8726A" w:rsidRDefault="00A87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F7EA8" w14:textId="77777777" w:rsidR="00B06DCD" w:rsidRDefault="00B06DCD" w:rsidP="00CA6CE2">
      <w:pPr>
        <w:spacing w:line="240" w:lineRule="auto"/>
      </w:pPr>
      <w:r>
        <w:separator/>
      </w:r>
    </w:p>
  </w:footnote>
  <w:footnote w:type="continuationSeparator" w:id="0">
    <w:p w14:paraId="09234D32" w14:textId="77777777" w:rsidR="00B06DCD" w:rsidRDefault="00B06DCD" w:rsidP="00CA6CE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121"/>
    <w:rsid w:val="00017742"/>
    <w:rsid w:val="001171A4"/>
    <w:rsid w:val="002C567A"/>
    <w:rsid w:val="00314B59"/>
    <w:rsid w:val="00343ADC"/>
    <w:rsid w:val="00353306"/>
    <w:rsid w:val="003B10EA"/>
    <w:rsid w:val="005D74B3"/>
    <w:rsid w:val="006102E1"/>
    <w:rsid w:val="0068425A"/>
    <w:rsid w:val="0091189F"/>
    <w:rsid w:val="0098430E"/>
    <w:rsid w:val="00A8726A"/>
    <w:rsid w:val="00B06DCD"/>
    <w:rsid w:val="00B95DCE"/>
    <w:rsid w:val="00CA6CE2"/>
    <w:rsid w:val="00CB2F7E"/>
    <w:rsid w:val="00CD3F5A"/>
    <w:rsid w:val="00E0564A"/>
    <w:rsid w:val="00EC08B5"/>
    <w:rsid w:val="00F02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2726D"/>
  <w15:docId w15:val="{FE7C1096-86F6-49E4-8EB2-D26ECCE6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017742"/>
    <w:pPr>
      <w:keepNext/>
      <w:keepLines/>
      <w:spacing w:before="120" w:after="120" w:line="360" w:lineRule="auto"/>
      <w:jc w:val="both"/>
      <w:outlineLvl w:val="0"/>
    </w:pPr>
    <w:rPr>
      <w:b/>
      <w:sz w:val="28"/>
      <w:szCs w:val="40"/>
    </w:rPr>
  </w:style>
  <w:style w:type="paragraph" w:styleId="Heading2">
    <w:name w:val="heading 2"/>
    <w:basedOn w:val="Normal"/>
    <w:next w:val="Normal"/>
    <w:rsid w:val="00017742"/>
    <w:pPr>
      <w:keepNext/>
      <w:keepLines/>
      <w:spacing w:before="120" w:after="120" w:line="360" w:lineRule="auto"/>
      <w:jc w:val="both"/>
      <w:outlineLvl w:val="1"/>
    </w:pPr>
    <w:rPr>
      <w:b/>
      <w:sz w:val="26"/>
      <w:szCs w:val="32"/>
    </w:rPr>
  </w:style>
  <w:style w:type="paragraph" w:styleId="Heading3">
    <w:name w:val="heading 3"/>
    <w:basedOn w:val="Normal"/>
    <w:next w:val="Normal"/>
    <w:rsid w:val="00017742"/>
    <w:pPr>
      <w:keepNext/>
      <w:keepLines/>
      <w:spacing w:before="120" w:after="120" w:line="360" w:lineRule="auto"/>
      <w:jc w:val="both"/>
      <w:outlineLvl w:val="2"/>
    </w:pPr>
    <w:rPr>
      <w:b/>
      <w:sz w:val="24"/>
      <w:szCs w:val="28"/>
    </w:rPr>
  </w:style>
  <w:style w:type="paragraph" w:styleId="Heading4">
    <w:name w:val="heading 4"/>
    <w:basedOn w:val="Normal"/>
    <w:next w:val="Normal"/>
    <w:rsid w:val="005D74B3"/>
    <w:pPr>
      <w:keepNext/>
      <w:keepLines/>
      <w:spacing w:before="120" w:after="120" w:line="360" w:lineRule="auto"/>
      <w:jc w:val="center"/>
      <w:outlineLvl w:val="3"/>
    </w:pPr>
    <w:rPr>
      <w:b/>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Strong">
    <w:name w:val="Strong"/>
    <w:basedOn w:val="DefaultParagraphFont"/>
    <w:uiPriority w:val="22"/>
    <w:qFormat/>
    <w:rsid w:val="001171A4"/>
    <w:rPr>
      <w:b/>
      <w:bCs/>
    </w:rPr>
  </w:style>
  <w:style w:type="paragraph" w:styleId="NormalWeb">
    <w:name w:val="Normal (Web)"/>
    <w:basedOn w:val="Normal"/>
    <w:uiPriority w:val="99"/>
    <w:unhideWhenUsed/>
    <w:rsid w:val="001171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171A4"/>
    <w:rPr>
      <w:i/>
      <w:iCs/>
    </w:rPr>
  </w:style>
  <w:style w:type="character" w:styleId="Hyperlink">
    <w:name w:val="Hyperlink"/>
    <w:basedOn w:val="DefaultParagraphFont"/>
    <w:uiPriority w:val="99"/>
    <w:unhideWhenUsed/>
    <w:rsid w:val="001171A4"/>
    <w:rPr>
      <w:color w:val="0000FF"/>
      <w:u w:val="single"/>
    </w:rPr>
  </w:style>
  <w:style w:type="paragraph" w:styleId="Header">
    <w:name w:val="header"/>
    <w:basedOn w:val="Normal"/>
    <w:link w:val="HeaderChar"/>
    <w:uiPriority w:val="99"/>
    <w:unhideWhenUsed/>
    <w:rsid w:val="00CA6CE2"/>
    <w:pPr>
      <w:tabs>
        <w:tab w:val="center" w:pos="4680"/>
        <w:tab w:val="right" w:pos="9360"/>
      </w:tabs>
      <w:spacing w:line="240" w:lineRule="auto"/>
    </w:pPr>
  </w:style>
  <w:style w:type="character" w:customStyle="1" w:styleId="HeaderChar">
    <w:name w:val="Header Char"/>
    <w:basedOn w:val="DefaultParagraphFont"/>
    <w:link w:val="Header"/>
    <w:uiPriority w:val="99"/>
    <w:rsid w:val="00CA6CE2"/>
  </w:style>
  <w:style w:type="paragraph" w:styleId="Footer">
    <w:name w:val="footer"/>
    <w:basedOn w:val="Normal"/>
    <w:link w:val="FooterChar"/>
    <w:uiPriority w:val="99"/>
    <w:unhideWhenUsed/>
    <w:rsid w:val="00CA6CE2"/>
    <w:pPr>
      <w:tabs>
        <w:tab w:val="center" w:pos="4680"/>
        <w:tab w:val="right" w:pos="9360"/>
      </w:tabs>
      <w:spacing w:line="240" w:lineRule="auto"/>
    </w:pPr>
  </w:style>
  <w:style w:type="character" w:customStyle="1" w:styleId="FooterChar">
    <w:name w:val="Footer Char"/>
    <w:basedOn w:val="DefaultParagraphFont"/>
    <w:link w:val="Footer"/>
    <w:uiPriority w:val="99"/>
    <w:rsid w:val="00CA6CE2"/>
  </w:style>
  <w:style w:type="paragraph" w:styleId="TOCHeading">
    <w:name w:val="TOC Heading"/>
    <w:basedOn w:val="Heading1"/>
    <w:next w:val="Normal"/>
    <w:uiPriority w:val="39"/>
    <w:unhideWhenUsed/>
    <w:qFormat/>
    <w:rsid w:val="00A8726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A8726A"/>
    <w:pPr>
      <w:spacing w:after="100"/>
    </w:pPr>
  </w:style>
  <w:style w:type="paragraph" w:styleId="TOC2">
    <w:name w:val="toc 2"/>
    <w:basedOn w:val="Normal"/>
    <w:next w:val="Normal"/>
    <w:autoRedefine/>
    <w:uiPriority w:val="39"/>
    <w:unhideWhenUsed/>
    <w:rsid w:val="00A8726A"/>
    <w:pPr>
      <w:spacing w:after="100"/>
      <w:ind w:left="220"/>
    </w:pPr>
  </w:style>
  <w:style w:type="paragraph" w:styleId="TOC3">
    <w:name w:val="toc 3"/>
    <w:basedOn w:val="Normal"/>
    <w:next w:val="Normal"/>
    <w:autoRedefine/>
    <w:uiPriority w:val="39"/>
    <w:unhideWhenUsed/>
    <w:rsid w:val="00A8726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067068">
      <w:bodyDiv w:val="1"/>
      <w:marLeft w:val="0"/>
      <w:marRight w:val="0"/>
      <w:marTop w:val="0"/>
      <w:marBottom w:val="0"/>
      <w:divBdr>
        <w:top w:val="none" w:sz="0" w:space="0" w:color="auto"/>
        <w:left w:val="none" w:sz="0" w:space="0" w:color="auto"/>
        <w:bottom w:val="none" w:sz="0" w:space="0" w:color="auto"/>
        <w:right w:val="none" w:sz="0" w:space="0" w:color="auto"/>
      </w:divBdr>
    </w:div>
    <w:div w:id="1586374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hyperlink" Target="https://www.bhp.com/-/media/documents/investors/annual-reports/2024/240827_bhpclimatetransitionactionplan2024.pdf" TargetMode="External"/><Relationship Id="rId39" Type="http://schemas.openxmlformats.org/officeDocument/2006/relationships/hyperlink" Target="http://climateenergyfinance.org/wp-content/uploads/2025/08/CEF_Transition-Tax-Incentive-Report-FINAL_20August2025.pdf" TargetMode="External"/><Relationship Id="rId21" Type="http://schemas.microsoft.com/office/2007/relationships/diagramDrawing" Target="diagrams/drawing2.xml"/><Relationship Id="rId34" Type="http://schemas.openxmlformats.org/officeDocument/2006/relationships/hyperlink" Target="https://search.proquest.com/openview/afbe9fb5ef81678221e4471d13d50f03/1?pq-origsite=gscholar&amp;cbl=39" TargetMode="External"/><Relationship Id="rId42" Type="http://schemas.openxmlformats.org/officeDocument/2006/relationships/hyperlink" Target="https://link.springer.com/article/10.1186/s40561-024-00316-7?fbclid=IwZXh0bgNhZW0CMTEAAR5nkxIdDLo8CdVygkPcbDQO7Tw9yMR1_EgHAElbgowcEB2XoCPscDA4bk47Sw_aem_TwS9UfH378qH6RPQzO9pUg"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www.bhp.com/news/articles/2023/10/decarbonisation-why-our-emissions-reduction-pathway-is-not-a-smooth-nor-straight-lin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hyperlink" Target="https://www.bhp.com/news/media-centre/releases/2023/10/bhp-approves-investment-in-stage-two-of-jansen-potash-project" TargetMode="External"/><Relationship Id="rId32" Type="http://schemas.openxmlformats.org/officeDocument/2006/relationships/hyperlink" Target="https://www.hbisco.com/en/news/group/t101/2279" TargetMode="External"/><Relationship Id="rId37" Type="http://schemas.openxmlformats.org/officeDocument/2006/relationships/hyperlink" Target="https://www.researchgate.net/profile/Oluwaseyi-Oladele-3/publication/389287926_The_Role_of_Strategic_Planning_in_Managing_Technological_Disruptions_in_Business/links/67bd65c6645ef274a49414a0/The-Role-of-Strategic-Planning-in-Managing-Technological-Disruptions-in-Business.pdf" TargetMode="External"/><Relationship Id="rId40" Type="http://schemas.openxmlformats.org/officeDocument/2006/relationships/hyperlink" Target="https://figshare.le.ac.uk/ndownloader/files/33988796" TargetMode="External"/><Relationship Id="rId45" Type="http://schemas.openxmlformats.org/officeDocument/2006/relationships/hyperlink" Target="https://www.bhp.com/-/media/documents/investors/annual-reports/2025/250819_bhpannualreport2025.pdf" TargetMode="Externa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papers.ssrn.com/sol3/Delivery.cfm?abstractid=4541179" TargetMode="External"/><Relationship Id="rId28" Type="http://schemas.openxmlformats.org/officeDocument/2006/relationships/hyperlink" Target="https://www.bhp.com/-/media/documents/investors/annual-reports/2025/250819_bhpannualreport2025.pdf" TargetMode="External"/><Relationship Id="rId36" Type="http://schemas.openxmlformats.org/officeDocument/2006/relationships/hyperlink" Target="https://www.researchgate.net/profile/Mamman-Muazu-2/publication/384969429_AI_and_EthicsAcademic_integrity_and_the_future_of_Quality_Assurance_in_Higher_Education_Hand_Book_on_AI_and_Quality_Higher_Education_in_Honour_of_Prof_Abubakar_Adamu_Rasheed_Volume_3/links/67655ce3117f340ec3cf7d14/AI-and-Ethics-Academic-integrity-and-the-future-of-Quality-Assurance-in-Higher-Education-Hand-Book-on-AI-and-Quality-Higher-Education-in-Honour-of-Prof-Abubakar-Adamu-Rasheed-Volume-3.pdf" TargetMode="External"/><Relationship Id="rId10" Type="http://schemas.openxmlformats.org/officeDocument/2006/relationships/image" Target="media/image4.png"/><Relationship Id="rId19" Type="http://schemas.openxmlformats.org/officeDocument/2006/relationships/diagramQuickStyle" Target="diagrams/quickStyle2.xml"/><Relationship Id="rId31" Type="http://schemas.openxmlformats.org/officeDocument/2006/relationships/hyperlink" Target="https://www.bhp.com/about/our-businesses" TargetMode="External"/><Relationship Id="rId44"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hyperlink" Target="https://advanced.onlinelibrary.wiley.com/doi/pdfdirect/10.1002/aesr.202500066" TargetMode="External"/><Relationship Id="rId27" Type="http://schemas.openxmlformats.org/officeDocument/2006/relationships/hyperlink" Target="https://www.bhp.com/about" TargetMode="External"/><Relationship Id="rId30" Type="http://schemas.openxmlformats.org/officeDocument/2006/relationships/hyperlink" Target="https://www.bhp.com/-/media/documents/media/reports-and-presentations/2026/260217_bhpresultsforthehalfyearended31dec2025_exchangerelease.pdf" TargetMode="External"/><Relationship Id="rId35" Type="http://schemas.openxmlformats.org/officeDocument/2006/relationships/hyperlink" Target="https://journal.ucc.edu.gh/index.php/jobed/article/download/1753/849" TargetMode="External"/><Relationship Id="rId43" Type="http://schemas.openxmlformats.org/officeDocument/2006/relationships/hyperlink" Target="https://sk.sagepub.com/foundations/ansoff-matrix?tab=Theory+In+Practice"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hyperlink" Target="https://www.bhp.com/news/media-centre/releases/2024/12/bhp-and-hbis-strengthen-partnership-with-new-mou-to-advance-decarbonization-in-steel-value-chain" TargetMode="External"/><Relationship Id="rId33" Type="http://schemas.openxmlformats.org/officeDocument/2006/relationships/hyperlink" Target="https://link.springer.com/content/pdf/10.1007/978-3-031-19039-1.pdf" TargetMode="External"/><Relationship Id="rId38" Type="http://schemas.openxmlformats.org/officeDocument/2006/relationships/hyperlink" Target="https://www.igi-global.com/chapter/empowering-sustainability-through-digital-transformation/402955" TargetMode="External"/><Relationship Id="rId46" Type="http://schemas.openxmlformats.org/officeDocument/2006/relationships/footer" Target="footer1.xml"/><Relationship Id="rId20" Type="http://schemas.openxmlformats.org/officeDocument/2006/relationships/diagramColors" Target="diagrams/colors2.xml"/><Relationship Id="rId41" Type="http://schemas.openxmlformats.org/officeDocument/2006/relationships/hyperlink" Target="https://gpim.in/index.php/journal/article/download/GPM24103/10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D14EB1-8A24-47B6-ABE9-779532C8A192}" type="doc">
      <dgm:prSet loTypeId="urn:microsoft.com/office/officeart/2005/8/layout/cycle4" loCatId="matrix" qsTypeId="urn:microsoft.com/office/officeart/2005/8/quickstyle/3d3" qsCatId="3D" csTypeId="urn:microsoft.com/office/officeart/2005/8/colors/accent2_4" csCatId="accent2" phldr="1"/>
      <dgm:spPr/>
      <dgm:t>
        <a:bodyPr/>
        <a:lstStyle/>
        <a:p>
          <a:endParaRPr lang="en-US"/>
        </a:p>
      </dgm:t>
    </dgm:pt>
    <dgm:pt modelId="{3F91A39A-5769-4F1F-B42E-986D52143268}">
      <dgm:prSet phldrT="[Text]"/>
      <dgm:spPr/>
      <dgm:t>
        <a:bodyPr/>
        <a:lstStyle/>
        <a:p>
          <a:r>
            <a:rPr lang="en-US" b="1">
              <a:solidFill>
                <a:sysClr val="windowText" lastClr="000000"/>
              </a:solidFill>
              <a:latin typeface="Arial" panose="020B0604020202020204" pitchFamily="34" charset="0"/>
              <a:cs typeface="Arial" panose="020B0604020202020204" pitchFamily="34" charset="0"/>
            </a:rPr>
            <a:t>Market Penetration</a:t>
          </a:r>
        </a:p>
      </dgm:t>
    </dgm:pt>
    <dgm:pt modelId="{A2149DEC-797D-4C9D-86D2-F450ACAA2599}" type="parTrans" cxnId="{F4492EF2-C61A-4A7B-A0AA-B68E29E62973}">
      <dgm:prSet/>
      <dgm:spPr/>
      <dgm:t>
        <a:bodyPr/>
        <a:lstStyle/>
        <a:p>
          <a:endParaRPr lang="en-US"/>
        </a:p>
      </dgm:t>
    </dgm:pt>
    <dgm:pt modelId="{8A6A3E28-6B36-4EFF-91A1-6A6977D3936A}" type="sibTrans" cxnId="{F4492EF2-C61A-4A7B-A0AA-B68E29E62973}">
      <dgm:prSet/>
      <dgm:spPr/>
      <dgm:t>
        <a:bodyPr/>
        <a:lstStyle/>
        <a:p>
          <a:endParaRPr lang="en-US"/>
        </a:p>
      </dgm:t>
    </dgm:pt>
    <dgm:pt modelId="{0FDF8664-4CB5-4478-B1CB-6FC693822A15}">
      <dgm:prSet phldrT="[Text]"/>
      <dgm:spPr/>
      <dgm:t>
        <a:bodyPr/>
        <a:lstStyle/>
        <a:p>
          <a:r>
            <a:rPr lang="en-US" b="1">
              <a:solidFill>
                <a:sysClr val="windowText" lastClr="000000"/>
              </a:solidFill>
              <a:latin typeface="Arial" panose="020B0604020202020204" pitchFamily="34" charset="0"/>
              <a:cs typeface="Arial" panose="020B0604020202020204" pitchFamily="34" charset="0"/>
            </a:rPr>
            <a:t>Market Development</a:t>
          </a:r>
        </a:p>
      </dgm:t>
    </dgm:pt>
    <dgm:pt modelId="{11EA78BF-561D-4A1A-BCE5-1B9653BEE29D}" type="parTrans" cxnId="{DBBA46E9-F28F-45A6-BFCF-9115F7689F0A}">
      <dgm:prSet/>
      <dgm:spPr/>
      <dgm:t>
        <a:bodyPr/>
        <a:lstStyle/>
        <a:p>
          <a:endParaRPr lang="en-US"/>
        </a:p>
      </dgm:t>
    </dgm:pt>
    <dgm:pt modelId="{9E317EA6-8580-4095-808B-6E4A835FE159}" type="sibTrans" cxnId="{DBBA46E9-F28F-45A6-BFCF-9115F7689F0A}">
      <dgm:prSet/>
      <dgm:spPr/>
      <dgm:t>
        <a:bodyPr/>
        <a:lstStyle/>
        <a:p>
          <a:endParaRPr lang="en-US"/>
        </a:p>
      </dgm:t>
    </dgm:pt>
    <dgm:pt modelId="{1D1622E9-0400-4C39-B556-080C3DF4AC80}">
      <dgm:prSet phldrT="[Text]"/>
      <dgm:spPr/>
      <dgm:t>
        <a:bodyPr/>
        <a:lstStyle/>
        <a:p>
          <a:r>
            <a:rPr lang="en-US" b="1">
              <a:solidFill>
                <a:sysClr val="windowText" lastClr="000000"/>
              </a:solidFill>
              <a:latin typeface="Arial" panose="020B0604020202020204" pitchFamily="34" charset="0"/>
              <a:cs typeface="Arial" panose="020B0604020202020204" pitchFamily="34" charset="0"/>
            </a:rPr>
            <a:t>Product Development </a:t>
          </a:r>
        </a:p>
      </dgm:t>
    </dgm:pt>
    <dgm:pt modelId="{21A2355F-FEDA-402E-A527-7C66C14DCF34}" type="parTrans" cxnId="{5ED8B0E4-8F28-4F14-A092-24F3889AC093}">
      <dgm:prSet/>
      <dgm:spPr/>
      <dgm:t>
        <a:bodyPr/>
        <a:lstStyle/>
        <a:p>
          <a:endParaRPr lang="en-US"/>
        </a:p>
      </dgm:t>
    </dgm:pt>
    <dgm:pt modelId="{54D82474-4812-43A3-89C9-1C24FF955C20}" type="sibTrans" cxnId="{5ED8B0E4-8F28-4F14-A092-24F3889AC093}">
      <dgm:prSet/>
      <dgm:spPr/>
      <dgm:t>
        <a:bodyPr/>
        <a:lstStyle/>
        <a:p>
          <a:endParaRPr lang="en-US"/>
        </a:p>
      </dgm:t>
    </dgm:pt>
    <dgm:pt modelId="{671EF7BE-65E7-4FD9-9252-4BADA4418ECF}">
      <dgm:prSet phldrT="[Text]"/>
      <dgm:spPr/>
      <dgm:t>
        <a:bodyPr/>
        <a:lstStyle/>
        <a:p>
          <a:r>
            <a:rPr lang="en-US">
              <a:solidFill>
                <a:sysClr val="windowText" lastClr="000000"/>
              </a:solidFill>
              <a:latin typeface="Arial" panose="020B0604020202020204" pitchFamily="34" charset="0"/>
              <a:cs typeface="Arial" panose="020B0604020202020204" pitchFamily="34" charset="0"/>
            </a:rPr>
            <a:t>Expand copper, nickel and potash portfolio</a:t>
          </a:r>
        </a:p>
      </dgm:t>
    </dgm:pt>
    <dgm:pt modelId="{2B7E03CB-F39A-4091-B97A-AB310CC0ED18}" type="parTrans" cxnId="{37ADD5E8-F0C6-4FD7-97CE-758613BFBADC}">
      <dgm:prSet/>
      <dgm:spPr/>
      <dgm:t>
        <a:bodyPr/>
        <a:lstStyle/>
        <a:p>
          <a:endParaRPr lang="en-US"/>
        </a:p>
      </dgm:t>
    </dgm:pt>
    <dgm:pt modelId="{1BF9B2E6-9C4A-4EE7-A467-A5BA9EF6D727}" type="sibTrans" cxnId="{37ADD5E8-F0C6-4FD7-97CE-758613BFBADC}">
      <dgm:prSet/>
      <dgm:spPr/>
      <dgm:t>
        <a:bodyPr/>
        <a:lstStyle/>
        <a:p>
          <a:endParaRPr lang="en-US"/>
        </a:p>
      </dgm:t>
    </dgm:pt>
    <dgm:pt modelId="{DEE413F0-5BB1-48EC-82E7-B4B601CC839C}">
      <dgm:prSet phldrT="[Text]"/>
      <dgm:spPr/>
      <dgm:t>
        <a:bodyPr/>
        <a:lstStyle/>
        <a:p>
          <a:r>
            <a:rPr lang="en-US" b="1">
              <a:solidFill>
                <a:sysClr val="windowText" lastClr="000000"/>
              </a:solidFill>
              <a:latin typeface="Arial" panose="020B0604020202020204" pitchFamily="34" charset="0"/>
              <a:cs typeface="Arial" panose="020B0604020202020204" pitchFamily="34" charset="0"/>
            </a:rPr>
            <a:t>Diversification</a:t>
          </a:r>
        </a:p>
      </dgm:t>
    </dgm:pt>
    <dgm:pt modelId="{B7FE2FFA-F364-4205-8C1E-D743F6C739E7}" type="parTrans" cxnId="{2532DA4B-0074-448A-94A5-43D33C867A10}">
      <dgm:prSet/>
      <dgm:spPr/>
      <dgm:t>
        <a:bodyPr/>
        <a:lstStyle/>
        <a:p>
          <a:endParaRPr lang="en-US"/>
        </a:p>
      </dgm:t>
    </dgm:pt>
    <dgm:pt modelId="{2BEC6BFF-2ABC-4518-BACF-8EC084A56C27}" type="sibTrans" cxnId="{2532DA4B-0074-448A-94A5-43D33C867A10}">
      <dgm:prSet/>
      <dgm:spPr/>
      <dgm:t>
        <a:bodyPr/>
        <a:lstStyle/>
        <a:p>
          <a:endParaRPr lang="en-US"/>
        </a:p>
      </dgm:t>
    </dgm:pt>
    <dgm:pt modelId="{A49A8EED-3426-47D0-97E1-1882BF097431}">
      <dgm:prSet phldrT="[Text]"/>
      <dgm:spPr/>
      <dgm:t>
        <a:bodyPr/>
        <a:lstStyle/>
        <a:p>
          <a:r>
            <a:rPr lang="en-US">
              <a:solidFill>
                <a:sysClr val="windowText" lastClr="000000"/>
              </a:solidFill>
              <a:latin typeface="Arial" panose="020B0604020202020204" pitchFamily="34" charset="0"/>
              <a:cs typeface="Arial" panose="020B0604020202020204" pitchFamily="34" charset="0"/>
            </a:rPr>
            <a:t>Enter new industries or businesses</a:t>
          </a:r>
        </a:p>
      </dgm:t>
    </dgm:pt>
    <dgm:pt modelId="{01A3DC1C-BC6A-41BC-87D3-B5232DBC262B}" type="parTrans" cxnId="{199550B3-DB3A-49E2-9C1D-F02CC7E84DED}">
      <dgm:prSet/>
      <dgm:spPr/>
      <dgm:t>
        <a:bodyPr/>
        <a:lstStyle/>
        <a:p>
          <a:endParaRPr lang="en-US"/>
        </a:p>
      </dgm:t>
    </dgm:pt>
    <dgm:pt modelId="{66DD43EB-715F-4E84-8DD9-561409159E8E}" type="sibTrans" cxnId="{199550B3-DB3A-49E2-9C1D-F02CC7E84DED}">
      <dgm:prSet/>
      <dgm:spPr/>
      <dgm:t>
        <a:bodyPr/>
        <a:lstStyle/>
        <a:p>
          <a:endParaRPr lang="en-US"/>
        </a:p>
      </dgm:t>
    </dgm:pt>
    <dgm:pt modelId="{64A1A704-5957-41C7-8C52-BA81D80BDF7C}">
      <dgm:prSet/>
      <dgm:spPr/>
      <dgm:t>
        <a:bodyPr/>
        <a:lstStyle/>
        <a:p>
          <a:r>
            <a:rPr lang="en-US">
              <a:solidFill>
                <a:sysClr val="windowText" lastClr="000000"/>
              </a:solidFill>
              <a:latin typeface="Arial" panose="020B0604020202020204" pitchFamily="34" charset="0"/>
              <a:cs typeface="Arial" panose="020B0604020202020204" pitchFamily="34" charset="0"/>
            </a:rPr>
            <a:t>Increase sales of existing minerals</a:t>
          </a:r>
        </a:p>
      </dgm:t>
    </dgm:pt>
    <dgm:pt modelId="{EC3A2328-2023-4C5F-B90A-617AF374853B}" type="parTrans" cxnId="{D7E418C1-A49A-4EC4-9FF6-9842CDE70B5C}">
      <dgm:prSet/>
      <dgm:spPr/>
      <dgm:t>
        <a:bodyPr/>
        <a:lstStyle/>
        <a:p>
          <a:endParaRPr lang="en-US"/>
        </a:p>
      </dgm:t>
    </dgm:pt>
    <dgm:pt modelId="{771A7049-01BE-4ACA-93D7-1ABFBC276433}" type="sibTrans" cxnId="{D7E418C1-A49A-4EC4-9FF6-9842CDE70B5C}">
      <dgm:prSet/>
      <dgm:spPr/>
      <dgm:t>
        <a:bodyPr/>
        <a:lstStyle/>
        <a:p>
          <a:endParaRPr lang="en-US"/>
        </a:p>
      </dgm:t>
    </dgm:pt>
    <dgm:pt modelId="{6DD9AD31-D4FB-460C-B388-CFC6BCEFDF72}">
      <dgm:prSet/>
      <dgm:spPr/>
      <dgm:t>
        <a:bodyPr/>
        <a:lstStyle/>
        <a:p>
          <a:r>
            <a:rPr lang="en-US">
              <a:solidFill>
                <a:sysClr val="windowText" lastClr="000000"/>
              </a:solidFill>
              <a:latin typeface="Arial" panose="020B0604020202020204" pitchFamily="34" charset="0"/>
              <a:cs typeface="Arial" panose="020B0604020202020204" pitchFamily="34" charset="0"/>
            </a:rPr>
            <a:t>Mature iron ore market</a:t>
          </a:r>
        </a:p>
      </dgm:t>
    </dgm:pt>
    <dgm:pt modelId="{CB41D59E-88D4-40B2-A679-FD23F77F2BE3}" type="parTrans" cxnId="{BE3FC2A5-EBB7-42B6-8615-CE8376A7BD60}">
      <dgm:prSet/>
      <dgm:spPr/>
      <dgm:t>
        <a:bodyPr/>
        <a:lstStyle/>
        <a:p>
          <a:endParaRPr lang="en-US"/>
        </a:p>
      </dgm:t>
    </dgm:pt>
    <dgm:pt modelId="{1D5B9CB2-71A2-4E78-840B-2819ED5D28F0}" type="sibTrans" cxnId="{BE3FC2A5-EBB7-42B6-8615-CE8376A7BD60}">
      <dgm:prSet/>
      <dgm:spPr/>
      <dgm:t>
        <a:bodyPr/>
        <a:lstStyle/>
        <a:p>
          <a:endParaRPr lang="en-US"/>
        </a:p>
      </dgm:t>
    </dgm:pt>
    <dgm:pt modelId="{978CD41B-5931-4697-A298-357C67B27C57}">
      <dgm:prSet/>
      <dgm:spPr/>
      <dgm:t>
        <a:bodyPr/>
        <a:lstStyle/>
        <a:p>
          <a:r>
            <a:rPr lang="en-US">
              <a:solidFill>
                <a:sysClr val="windowText" lastClr="000000"/>
              </a:solidFill>
              <a:latin typeface="Arial" panose="020B0604020202020204" pitchFamily="34" charset="0"/>
              <a:cs typeface="Arial" panose="020B0604020202020204" pitchFamily="34" charset="0"/>
            </a:rPr>
            <a:t>Limited growth opportunity</a:t>
          </a:r>
        </a:p>
      </dgm:t>
    </dgm:pt>
    <dgm:pt modelId="{D9C479F1-508E-4820-B954-C8B4127A839D}" type="parTrans" cxnId="{34424A52-BBD5-4BEA-981D-4859ABF9D244}">
      <dgm:prSet/>
      <dgm:spPr/>
      <dgm:t>
        <a:bodyPr/>
        <a:lstStyle/>
        <a:p>
          <a:endParaRPr lang="en-US"/>
        </a:p>
      </dgm:t>
    </dgm:pt>
    <dgm:pt modelId="{762733F2-970D-4B8F-9CC5-D830D6A4D76D}" type="sibTrans" cxnId="{34424A52-BBD5-4BEA-981D-4859ABF9D244}">
      <dgm:prSet/>
      <dgm:spPr/>
      <dgm:t>
        <a:bodyPr/>
        <a:lstStyle/>
        <a:p>
          <a:endParaRPr lang="en-US"/>
        </a:p>
      </dgm:t>
    </dgm:pt>
    <dgm:pt modelId="{820FDB33-F9F8-4E72-8609-4ABEB1E05059}">
      <dgm:prSet/>
      <dgm:spPr/>
      <dgm:t>
        <a:bodyPr/>
        <a:lstStyle/>
        <a:p>
          <a:r>
            <a:rPr lang="en-US">
              <a:solidFill>
                <a:sysClr val="windowText" lastClr="000000"/>
              </a:solidFill>
              <a:latin typeface="Arial" panose="020B0604020202020204" pitchFamily="34" charset="0"/>
              <a:cs typeface="Arial" panose="020B0604020202020204" pitchFamily="34" charset="0"/>
            </a:rPr>
            <a:t>Expand into new geographic markets</a:t>
          </a:r>
        </a:p>
      </dgm:t>
    </dgm:pt>
    <dgm:pt modelId="{6CCCA73D-72FB-45E8-B77E-C930E83C3C97}" type="parTrans" cxnId="{72166B65-6028-45A6-8F99-7F956A1606A0}">
      <dgm:prSet/>
      <dgm:spPr/>
      <dgm:t>
        <a:bodyPr/>
        <a:lstStyle/>
        <a:p>
          <a:endParaRPr lang="en-US"/>
        </a:p>
      </dgm:t>
    </dgm:pt>
    <dgm:pt modelId="{CE5BBACB-FC55-42C0-996F-623927C8CD91}" type="sibTrans" cxnId="{72166B65-6028-45A6-8F99-7F956A1606A0}">
      <dgm:prSet/>
      <dgm:spPr/>
      <dgm:t>
        <a:bodyPr/>
        <a:lstStyle/>
        <a:p>
          <a:endParaRPr lang="en-US"/>
        </a:p>
      </dgm:t>
    </dgm:pt>
    <dgm:pt modelId="{2C7C8AD3-0A83-4E58-8506-49AF345FFFC2}">
      <dgm:prSet/>
      <dgm:spPr/>
      <dgm:t>
        <a:bodyPr/>
        <a:lstStyle/>
        <a:p>
          <a:r>
            <a:rPr lang="en-US">
              <a:solidFill>
                <a:sysClr val="windowText" lastClr="000000"/>
              </a:solidFill>
              <a:latin typeface="Arial" panose="020B0604020202020204" pitchFamily="34" charset="0"/>
              <a:cs typeface="Arial" panose="020B0604020202020204" pitchFamily="34" charset="0"/>
            </a:rPr>
            <a:t>BHP already has a global presence</a:t>
          </a:r>
        </a:p>
      </dgm:t>
    </dgm:pt>
    <dgm:pt modelId="{F6A47218-06FE-4FD7-9809-ECD6423C2730}" type="parTrans" cxnId="{01FD3D46-0FA2-41DA-A832-0775C1EAD59E}">
      <dgm:prSet/>
      <dgm:spPr/>
      <dgm:t>
        <a:bodyPr/>
        <a:lstStyle/>
        <a:p>
          <a:endParaRPr lang="en-US"/>
        </a:p>
      </dgm:t>
    </dgm:pt>
    <dgm:pt modelId="{8780E0F6-6FBB-4EBC-B617-F62F3C5B5360}" type="sibTrans" cxnId="{01FD3D46-0FA2-41DA-A832-0775C1EAD59E}">
      <dgm:prSet/>
      <dgm:spPr/>
      <dgm:t>
        <a:bodyPr/>
        <a:lstStyle/>
        <a:p>
          <a:endParaRPr lang="en-US"/>
        </a:p>
      </dgm:t>
    </dgm:pt>
    <dgm:pt modelId="{17BC25AC-4615-4790-8B9F-B3FE9F9ABDB7}">
      <dgm:prSet/>
      <dgm:spPr/>
      <dgm:t>
        <a:bodyPr/>
        <a:lstStyle/>
        <a:p>
          <a:r>
            <a:rPr lang="en-US">
              <a:solidFill>
                <a:sysClr val="windowText" lastClr="000000"/>
              </a:solidFill>
              <a:latin typeface="Arial" panose="020B0604020202020204" pitchFamily="34" charset="0"/>
              <a:cs typeface="Arial" panose="020B0604020202020204" pitchFamily="34" charset="0"/>
            </a:rPr>
            <a:t>Limited strategic potential</a:t>
          </a:r>
        </a:p>
      </dgm:t>
    </dgm:pt>
    <dgm:pt modelId="{0C7C87C1-EF7D-42C3-AC0E-EC5389F3B22D}" type="parTrans" cxnId="{4665B084-015E-4262-8D33-2E1166DDB243}">
      <dgm:prSet/>
      <dgm:spPr/>
      <dgm:t>
        <a:bodyPr/>
        <a:lstStyle/>
        <a:p>
          <a:endParaRPr lang="en-US"/>
        </a:p>
      </dgm:t>
    </dgm:pt>
    <dgm:pt modelId="{B6C6A01C-3585-4F29-BE82-305D21DF57E6}" type="sibTrans" cxnId="{4665B084-015E-4262-8D33-2E1166DDB243}">
      <dgm:prSet/>
      <dgm:spPr/>
      <dgm:t>
        <a:bodyPr/>
        <a:lstStyle/>
        <a:p>
          <a:endParaRPr lang="en-US"/>
        </a:p>
      </dgm:t>
    </dgm:pt>
    <dgm:pt modelId="{D3DADE6F-0CDC-465C-BD4F-83102398CC6A}">
      <dgm:prSet/>
      <dgm:spPr/>
      <dgm:t>
        <a:bodyPr/>
        <a:lstStyle/>
        <a:p>
          <a:r>
            <a:rPr lang="en-US">
              <a:solidFill>
                <a:sysClr val="windowText" lastClr="000000"/>
              </a:solidFill>
              <a:latin typeface="Arial" panose="020B0604020202020204" pitchFamily="34" charset="0"/>
              <a:cs typeface="Arial" panose="020B0604020202020204" pitchFamily="34" charset="0"/>
            </a:rPr>
            <a:t>High investment and operational risk</a:t>
          </a:r>
        </a:p>
      </dgm:t>
    </dgm:pt>
    <dgm:pt modelId="{A933D06B-9D04-4FE1-8CA9-0DF0433AA3F9}" type="parTrans" cxnId="{9945EF4F-7141-4C54-A56F-174078FE3331}">
      <dgm:prSet/>
      <dgm:spPr/>
      <dgm:t>
        <a:bodyPr/>
        <a:lstStyle/>
        <a:p>
          <a:endParaRPr lang="en-US"/>
        </a:p>
      </dgm:t>
    </dgm:pt>
    <dgm:pt modelId="{388EE62F-A1FD-4BEB-B34C-5291627864B5}" type="sibTrans" cxnId="{9945EF4F-7141-4C54-A56F-174078FE3331}">
      <dgm:prSet/>
      <dgm:spPr/>
      <dgm:t>
        <a:bodyPr/>
        <a:lstStyle/>
        <a:p>
          <a:endParaRPr lang="en-US"/>
        </a:p>
      </dgm:t>
    </dgm:pt>
    <dgm:pt modelId="{05F66BD2-75EC-476C-A92F-B41ABA84361B}">
      <dgm:prSet/>
      <dgm:spPr/>
      <dgm:t>
        <a:bodyPr/>
        <a:lstStyle/>
        <a:p>
          <a:r>
            <a:rPr lang="en-US">
              <a:solidFill>
                <a:sysClr val="windowText" lastClr="000000"/>
              </a:solidFill>
              <a:latin typeface="Arial" panose="020B0604020202020204" pitchFamily="34" charset="0"/>
              <a:cs typeface="Arial" panose="020B0604020202020204" pitchFamily="34" charset="0"/>
            </a:rPr>
            <a:t>Limited alignment with core capabilities</a:t>
          </a:r>
        </a:p>
      </dgm:t>
    </dgm:pt>
    <dgm:pt modelId="{D74253D2-A09F-4876-9475-48B369251725}" type="parTrans" cxnId="{235B6418-0F1E-472A-88DC-97F6DB4CDE2B}">
      <dgm:prSet/>
      <dgm:spPr/>
      <dgm:t>
        <a:bodyPr/>
        <a:lstStyle/>
        <a:p>
          <a:endParaRPr lang="en-US"/>
        </a:p>
      </dgm:t>
    </dgm:pt>
    <dgm:pt modelId="{7BDDA4AD-E7B3-4FD3-8E28-610F9CED74E6}" type="sibTrans" cxnId="{235B6418-0F1E-472A-88DC-97F6DB4CDE2B}">
      <dgm:prSet/>
      <dgm:spPr/>
      <dgm:t>
        <a:bodyPr/>
        <a:lstStyle/>
        <a:p>
          <a:endParaRPr lang="en-US"/>
        </a:p>
      </dgm:t>
    </dgm:pt>
    <dgm:pt modelId="{9B11133D-49A7-4FB4-930D-B8A7888194B3}">
      <dgm:prSet/>
      <dgm:spPr/>
      <dgm:t>
        <a:bodyPr/>
        <a:lstStyle/>
        <a:p>
          <a:r>
            <a:rPr lang="en-US">
              <a:solidFill>
                <a:sysClr val="windowText" lastClr="000000"/>
              </a:solidFill>
              <a:latin typeface="Arial" panose="020B0604020202020204" pitchFamily="34" charset="0"/>
              <a:cs typeface="Arial" panose="020B0604020202020204" pitchFamily="34" charset="0"/>
            </a:rPr>
            <a:t>Develop lower-carbon mineral solutions</a:t>
          </a:r>
        </a:p>
      </dgm:t>
    </dgm:pt>
    <dgm:pt modelId="{7A000ED6-3B7A-4CCA-AF57-F8339F6D7AC8}" type="parTrans" cxnId="{0142A033-87F4-4DC0-A6DF-D8E958CB7C7B}">
      <dgm:prSet/>
      <dgm:spPr/>
      <dgm:t>
        <a:bodyPr/>
        <a:lstStyle/>
        <a:p>
          <a:endParaRPr lang="en-US"/>
        </a:p>
      </dgm:t>
    </dgm:pt>
    <dgm:pt modelId="{771C4327-BCB3-4513-B608-BF0C6D33EDA0}" type="sibTrans" cxnId="{0142A033-87F4-4DC0-A6DF-D8E958CB7C7B}">
      <dgm:prSet/>
      <dgm:spPr/>
      <dgm:t>
        <a:bodyPr/>
        <a:lstStyle/>
        <a:p>
          <a:endParaRPr lang="en-US"/>
        </a:p>
      </dgm:t>
    </dgm:pt>
    <dgm:pt modelId="{624709AA-065B-428A-AFAD-0D18E2CB7B93}">
      <dgm:prSet/>
      <dgm:spPr/>
      <dgm:t>
        <a:bodyPr/>
        <a:lstStyle/>
        <a:p>
          <a:r>
            <a:rPr lang="en-US">
              <a:solidFill>
                <a:sysClr val="windowText" lastClr="000000"/>
              </a:solidFill>
              <a:latin typeface="Arial" panose="020B0604020202020204" pitchFamily="34" charset="0"/>
              <a:cs typeface="Arial" panose="020B0604020202020204" pitchFamily="34" charset="0"/>
            </a:rPr>
            <a:t>Meet growing clean energy demand</a:t>
          </a:r>
        </a:p>
      </dgm:t>
    </dgm:pt>
    <dgm:pt modelId="{003CAD30-D47B-4D2B-94ED-A3703E87F6EA}" type="parTrans" cxnId="{C643904D-E7B5-4342-B46C-4ABFCF855012}">
      <dgm:prSet/>
      <dgm:spPr/>
      <dgm:t>
        <a:bodyPr/>
        <a:lstStyle/>
        <a:p>
          <a:endParaRPr lang="en-US"/>
        </a:p>
      </dgm:t>
    </dgm:pt>
    <dgm:pt modelId="{2A695D43-A2BD-4C17-85FD-3F96FE260925}" type="sibTrans" cxnId="{C643904D-E7B5-4342-B46C-4ABFCF855012}">
      <dgm:prSet/>
      <dgm:spPr/>
      <dgm:t>
        <a:bodyPr/>
        <a:lstStyle/>
        <a:p>
          <a:endParaRPr lang="en-US"/>
        </a:p>
      </dgm:t>
    </dgm:pt>
    <dgm:pt modelId="{3816AD0B-2C05-462D-8EAB-DB1B7C6B7C87}" type="pres">
      <dgm:prSet presAssocID="{BBD14EB1-8A24-47B6-ABE9-779532C8A192}" presName="cycleMatrixDiagram" presStyleCnt="0">
        <dgm:presLayoutVars>
          <dgm:chMax val="1"/>
          <dgm:dir/>
          <dgm:animLvl val="lvl"/>
          <dgm:resizeHandles val="exact"/>
        </dgm:presLayoutVars>
      </dgm:prSet>
      <dgm:spPr/>
    </dgm:pt>
    <dgm:pt modelId="{924CD0B2-322F-499B-9884-2C6521162C7F}" type="pres">
      <dgm:prSet presAssocID="{BBD14EB1-8A24-47B6-ABE9-779532C8A192}" presName="children" presStyleCnt="0"/>
      <dgm:spPr/>
    </dgm:pt>
    <dgm:pt modelId="{2DE7CB59-00B9-423F-8EDC-31D988B65F9A}" type="pres">
      <dgm:prSet presAssocID="{BBD14EB1-8A24-47B6-ABE9-779532C8A192}" presName="child1group" presStyleCnt="0"/>
      <dgm:spPr/>
    </dgm:pt>
    <dgm:pt modelId="{84EE787D-2396-4BF0-A1E9-D6F980B96855}" type="pres">
      <dgm:prSet presAssocID="{BBD14EB1-8A24-47B6-ABE9-779532C8A192}" presName="child1" presStyleLbl="bgAcc1" presStyleIdx="0" presStyleCnt="4"/>
      <dgm:spPr/>
    </dgm:pt>
    <dgm:pt modelId="{D6F9193E-B466-42B3-9033-789D62EA5433}" type="pres">
      <dgm:prSet presAssocID="{BBD14EB1-8A24-47B6-ABE9-779532C8A192}" presName="child1Text" presStyleLbl="bgAcc1" presStyleIdx="0" presStyleCnt="4">
        <dgm:presLayoutVars>
          <dgm:bulletEnabled val="1"/>
        </dgm:presLayoutVars>
      </dgm:prSet>
      <dgm:spPr/>
    </dgm:pt>
    <dgm:pt modelId="{7AD5B0B9-E2E6-4CF0-8C9D-44019E2781EB}" type="pres">
      <dgm:prSet presAssocID="{BBD14EB1-8A24-47B6-ABE9-779532C8A192}" presName="child2group" presStyleCnt="0"/>
      <dgm:spPr/>
    </dgm:pt>
    <dgm:pt modelId="{8AAE8B3B-7420-4F01-9195-6973C320E226}" type="pres">
      <dgm:prSet presAssocID="{BBD14EB1-8A24-47B6-ABE9-779532C8A192}" presName="child2" presStyleLbl="bgAcc1" presStyleIdx="1" presStyleCnt="4"/>
      <dgm:spPr/>
    </dgm:pt>
    <dgm:pt modelId="{CB145681-7AC1-4AC8-B797-8C553924DA8A}" type="pres">
      <dgm:prSet presAssocID="{BBD14EB1-8A24-47B6-ABE9-779532C8A192}" presName="child2Text" presStyleLbl="bgAcc1" presStyleIdx="1" presStyleCnt="4">
        <dgm:presLayoutVars>
          <dgm:bulletEnabled val="1"/>
        </dgm:presLayoutVars>
      </dgm:prSet>
      <dgm:spPr/>
    </dgm:pt>
    <dgm:pt modelId="{67A8CF79-7BD8-4950-9844-084925138D3B}" type="pres">
      <dgm:prSet presAssocID="{BBD14EB1-8A24-47B6-ABE9-779532C8A192}" presName="child3group" presStyleCnt="0"/>
      <dgm:spPr/>
    </dgm:pt>
    <dgm:pt modelId="{E67AF6EA-7964-4DFC-8249-6D345D3406C4}" type="pres">
      <dgm:prSet presAssocID="{BBD14EB1-8A24-47B6-ABE9-779532C8A192}" presName="child3" presStyleLbl="bgAcc1" presStyleIdx="2" presStyleCnt="4"/>
      <dgm:spPr/>
    </dgm:pt>
    <dgm:pt modelId="{0EE35D6A-52F4-4CFB-8D28-AFAC796D28EE}" type="pres">
      <dgm:prSet presAssocID="{BBD14EB1-8A24-47B6-ABE9-779532C8A192}" presName="child3Text" presStyleLbl="bgAcc1" presStyleIdx="2" presStyleCnt="4">
        <dgm:presLayoutVars>
          <dgm:bulletEnabled val="1"/>
        </dgm:presLayoutVars>
      </dgm:prSet>
      <dgm:spPr/>
    </dgm:pt>
    <dgm:pt modelId="{DB0A667D-ED8D-431F-A6DF-5E923CA50B48}" type="pres">
      <dgm:prSet presAssocID="{BBD14EB1-8A24-47B6-ABE9-779532C8A192}" presName="child4group" presStyleCnt="0"/>
      <dgm:spPr/>
    </dgm:pt>
    <dgm:pt modelId="{F6E48F3A-E0B8-4607-8518-7771650EEBE9}" type="pres">
      <dgm:prSet presAssocID="{BBD14EB1-8A24-47B6-ABE9-779532C8A192}" presName="child4" presStyleLbl="bgAcc1" presStyleIdx="3" presStyleCnt="4"/>
      <dgm:spPr/>
    </dgm:pt>
    <dgm:pt modelId="{E8369B9A-4528-432C-B6FF-53BE00D970CE}" type="pres">
      <dgm:prSet presAssocID="{BBD14EB1-8A24-47B6-ABE9-779532C8A192}" presName="child4Text" presStyleLbl="bgAcc1" presStyleIdx="3" presStyleCnt="4">
        <dgm:presLayoutVars>
          <dgm:bulletEnabled val="1"/>
        </dgm:presLayoutVars>
      </dgm:prSet>
      <dgm:spPr/>
    </dgm:pt>
    <dgm:pt modelId="{05F37C1F-8063-4B2D-95C2-03FDB10ADA61}" type="pres">
      <dgm:prSet presAssocID="{BBD14EB1-8A24-47B6-ABE9-779532C8A192}" presName="childPlaceholder" presStyleCnt="0"/>
      <dgm:spPr/>
    </dgm:pt>
    <dgm:pt modelId="{E584E25C-8025-4CAB-B2E2-9DB973EE3932}" type="pres">
      <dgm:prSet presAssocID="{BBD14EB1-8A24-47B6-ABE9-779532C8A192}" presName="circle" presStyleCnt="0"/>
      <dgm:spPr/>
    </dgm:pt>
    <dgm:pt modelId="{38CBDAC5-EE6D-422E-9424-12F969BA1CC5}" type="pres">
      <dgm:prSet presAssocID="{BBD14EB1-8A24-47B6-ABE9-779532C8A192}" presName="quadrant1" presStyleLbl="node1" presStyleIdx="0" presStyleCnt="4">
        <dgm:presLayoutVars>
          <dgm:chMax val="1"/>
          <dgm:bulletEnabled val="1"/>
        </dgm:presLayoutVars>
      </dgm:prSet>
      <dgm:spPr/>
    </dgm:pt>
    <dgm:pt modelId="{B0DB5D87-C891-4063-A0FD-1B1CF7F50A15}" type="pres">
      <dgm:prSet presAssocID="{BBD14EB1-8A24-47B6-ABE9-779532C8A192}" presName="quadrant2" presStyleLbl="node1" presStyleIdx="1" presStyleCnt="4">
        <dgm:presLayoutVars>
          <dgm:chMax val="1"/>
          <dgm:bulletEnabled val="1"/>
        </dgm:presLayoutVars>
      </dgm:prSet>
      <dgm:spPr/>
    </dgm:pt>
    <dgm:pt modelId="{D4315B55-EA37-4004-8AB9-01A4EE1D9D46}" type="pres">
      <dgm:prSet presAssocID="{BBD14EB1-8A24-47B6-ABE9-779532C8A192}" presName="quadrant3" presStyleLbl="node1" presStyleIdx="2" presStyleCnt="4" custLinFactNeighborX="-660" custLinFactNeighborY="-1320">
        <dgm:presLayoutVars>
          <dgm:chMax val="1"/>
          <dgm:bulletEnabled val="1"/>
        </dgm:presLayoutVars>
      </dgm:prSet>
      <dgm:spPr/>
    </dgm:pt>
    <dgm:pt modelId="{C83482AB-0993-4F62-AB75-E53E1DDE025D}" type="pres">
      <dgm:prSet presAssocID="{BBD14EB1-8A24-47B6-ABE9-779532C8A192}" presName="quadrant4" presStyleLbl="node1" presStyleIdx="3" presStyleCnt="4">
        <dgm:presLayoutVars>
          <dgm:chMax val="1"/>
          <dgm:bulletEnabled val="1"/>
        </dgm:presLayoutVars>
      </dgm:prSet>
      <dgm:spPr/>
    </dgm:pt>
    <dgm:pt modelId="{FD6B8FA2-CD5D-45CE-A020-0343CFCE468B}" type="pres">
      <dgm:prSet presAssocID="{BBD14EB1-8A24-47B6-ABE9-779532C8A192}" presName="quadrantPlaceholder" presStyleCnt="0"/>
      <dgm:spPr/>
    </dgm:pt>
    <dgm:pt modelId="{BAE3F41E-8301-47AF-991A-ABC51D6B0816}" type="pres">
      <dgm:prSet presAssocID="{BBD14EB1-8A24-47B6-ABE9-779532C8A192}" presName="center1" presStyleLbl="fgShp" presStyleIdx="0" presStyleCnt="2"/>
      <dgm:spPr/>
    </dgm:pt>
    <dgm:pt modelId="{DCE0C870-412C-4E61-B0EF-5956F4CCB72F}" type="pres">
      <dgm:prSet presAssocID="{BBD14EB1-8A24-47B6-ABE9-779532C8A192}" presName="center2" presStyleLbl="fgShp" presStyleIdx="1" presStyleCnt="2"/>
      <dgm:spPr/>
    </dgm:pt>
  </dgm:ptLst>
  <dgm:cxnLst>
    <dgm:cxn modelId="{5B734603-4F16-4048-AA51-7C5A921D15D0}" type="presOf" srcId="{17BC25AC-4615-4790-8B9F-B3FE9F9ABDB7}" destId="{8AAE8B3B-7420-4F01-9195-6973C320E226}" srcOrd="0" destOrd="2" presId="urn:microsoft.com/office/officeart/2005/8/layout/cycle4"/>
    <dgm:cxn modelId="{7D3B2505-AF28-4677-A14C-AE6B8FAC4505}" type="presOf" srcId="{64A1A704-5957-41C7-8C52-BA81D80BDF7C}" destId="{D6F9193E-B466-42B3-9033-789D62EA5433}" srcOrd="1" destOrd="0" presId="urn:microsoft.com/office/officeart/2005/8/layout/cycle4"/>
    <dgm:cxn modelId="{F83E6310-7650-498D-975F-7EDE8888B2BF}" type="presOf" srcId="{624709AA-065B-428A-AFAD-0D18E2CB7B93}" destId="{E67AF6EA-7964-4DFC-8249-6D345D3406C4}" srcOrd="0" destOrd="2" presId="urn:microsoft.com/office/officeart/2005/8/layout/cycle4"/>
    <dgm:cxn modelId="{2FD08E11-E934-4E87-8D4F-9B54FEACED2A}" type="presOf" srcId="{05F66BD2-75EC-476C-A92F-B41ABA84361B}" destId="{F6E48F3A-E0B8-4607-8518-7771650EEBE9}" srcOrd="0" destOrd="2" presId="urn:microsoft.com/office/officeart/2005/8/layout/cycle4"/>
    <dgm:cxn modelId="{CC469E11-8B91-4D17-B203-508BEA83D5DF}" type="presOf" srcId="{64A1A704-5957-41C7-8C52-BA81D80BDF7C}" destId="{84EE787D-2396-4BF0-A1E9-D6F980B96855}" srcOrd="0" destOrd="0" presId="urn:microsoft.com/office/officeart/2005/8/layout/cycle4"/>
    <dgm:cxn modelId="{235B6418-0F1E-472A-88DC-97F6DB4CDE2B}" srcId="{DEE413F0-5BB1-48EC-82E7-B4B601CC839C}" destId="{05F66BD2-75EC-476C-A92F-B41ABA84361B}" srcOrd="2" destOrd="0" parTransId="{D74253D2-A09F-4876-9475-48B369251725}" sibTransId="{7BDDA4AD-E7B3-4FD3-8E28-610F9CED74E6}"/>
    <dgm:cxn modelId="{0142A033-87F4-4DC0-A6DF-D8E958CB7C7B}" srcId="{1D1622E9-0400-4C39-B556-080C3DF4AC80}" destId="{9B11133D-49A7-4FB4-930D-B8A7888194B3}" srcOrd="1" destOrd="0" parTransId="{7A000ED6-3B7A-4CCA-AF57-F8339F6D7AC8}" sibTransId="{771C4327-BCB3-4513-B608-BF0C6D33EDA0}"/>
    <dgm:cxn modelId="{A23B4A34-8927-41A6-9FC3-784965836828}" type="presOf" srcId="{D3DADE6F-0CDC-465C-BD4F-83102398CC6A}" destId="{F6E48F3A-E0B8-4607-8518-7771650EEBE9}" srcOrd="0" destOrd="1" presId="urn:microsoft.com/office/officeart/2005/8/layout/cycle4"/>
    <dgm:cxn modelId="{A11F2C36-CEEA-4F47-880D-B5A3694833CB}" type="presOf" srcId="{671EF7BE-65E7-4FD9-9252-4BADA4418ECF}" destId="{E67AF6EA-7964-4DFC-8249-6D345D3406C4}" srcOrd="0" destOrd="0" presId="urn:microsoft.com/office/officeart/2005/8/layout/cycle4"/>
    <dgm:cxn modelId="{49AD583C-80F4-4B4E-9071-79B98045EBDF}" type="presOf" srcId="{9B11133D-49A7-4FB4-930D-B8A7888194B3}" destId="{E67AF6EA-7964-4DFC-8249-6D345D3406C4}" srcOrd="0" destOrd="1" presId="urn:microsoft.com/office/officeart/2005/8/layout/cycle4"/>
    <dgm:cxn modelId="{AF96FD3E-195F-4AE7-995E-E39301CC11A8}" type="presOf" srcId="{1D1622E9-0400-4C39-B556-080C3DF4AC80}" destId="{D4315B55-EA37-4004-8AB9-01A4EE1D9D46}" srcOrd="0" destOrd="0" presId="urn:microsoft.com/office/officeart/2005/8/layout/cycle4"/>
    <dgm:cxn modelId="{72166B65-6028-45A6-8F99-7F956A1606A0}" srcId="{0FDF8664-4CB5-4478-B1CB-6FC693822A15}" destId="{820FDB33-F9F8-4E72-8609-4ABEB1E05059}" srcOrd="0" destOrd="0" parTransId="{6CCCA73D-72FB-45E8-B77E-C930E83C3C97}" sibTransId="{CE5BBACB-FC55-42C0-996F-623927C8CD91}"/>
    <dgm:cxn modelId="{343FE345-5E10-428A-80F0-240DC5C73F0B}" type="presOf" srcId="{2C7C8AD3-0A83-4E58-8506-49AF345FFFC2}" destId="{8AAE8B3B-7420-4F01-9195-6973C320E226}" srcOrd="0" destOrd="1" presId="urn:microsoft.com/office/officeart/2005/8/layout/cycle4"/>
    <dgm:cxn modelId="{01FD3D46-0FA2-41DA-A832-0775C1EAD59E}" srcId="{0FDF8664-4CB5-4478-B1CB-6FC693822A15}" destId="{2C7C8AD3-0A83-4E58-8506-49AF345FFFC2}" srcOrd="1" destOrd="0" parTransId="{F6A47218-06FE-4FD7-9809-ECD6423C2730}" sibTransId="{8780E0F6-6FBB-4EBC-B617-F62F3C5B5360}"/>
    <dgm:cxn modelId="{56CCEB46-675F-48B2-9AF0-0E86471718BA}" type="presOf" srcId="{2C7C8AD3-0A83-4E58-8506-49AF345FFFC2}" destId="{CB145681-7AC1-4AC8-B797-8C553924DA8A}" srcOrd="1" destOrd="1" presId="urn:microsoft.com/office/officeart/2005/8/layout/cycle4"/>
    <dgm:cxn modelId="{2532DA4B-0074-448A-94A5-43D33C867A10}" srcId="{BBD14EB1-8A24-47B6-ABE9-779532C8A192}" destId="{DEE413F0-5BB1-48EC-82E7-B4B601CC839C}" srcOrd="3" destOrd="0" parTransId="{B7FE2FFA-F364-4205-8C1E-D743F6C739E7}" sibTransId="{2BEC6BFF-2ABC-4518-BACF-8EC084A56C27}"/>
    <dgm:cxn modelId="{DAECED6C-3067-4DE1-A4AD-9740A7BF19A0}" type="presOf" srcId="{624709AA-065B-428A-AFAD-0D18E2CB7B93}" destId="{0EE35D6A-52F4-4CFB-8D28-AFAC796D28EE}" srcOrd="1" destOrd="2" presId="urn:microsoft.com/office/officeart/2005/8/layout/cycle4"/>
    <dgm:cxn modelId="{9F10486D-5B51-4796-B663-EC15BB6F4303}" type="presOf" srcId="{3F91A39A-5769-4F1F-B42E-986D52143268}" destId="{38CBDAC5-EE6D-422E-9424-12F969BA1CC5}" srcOrd="0" destOrd="0" presId="urn:microsoft.com/office/officeart/2005/8/layout/cycle4"/>
    <dgm:cxn modelId="{C643904D-E7B5-4342-B46C-4ABFCF855012}" srcId="{1D1622E9-0400-4C39-B556-080C3DF4AC80}" destId="{624709AA-065B-428A-AFAD-0D18E2CB7B93}" srcOrd="2" destOrd="0" parTransId="{003CAD30-D47B-4D2B-94ED-A3703E87F6EA}" sibTransId="{2A695D43-A2BD-4C17-85FD-3F96FE260925}"/>
    <dgm:cxn modelId="{9945EF4F-7141-4C54-A56F-174078FE3331}" srcId="{DEE413F0-5BB1-48EC-82E7-B4B601CC839C}" destId="{D3DADE6F-0CDC-465C-BD4F-83102398CC6A}" srcOrd="1" destOrd="0" parTransId="{A933D06B-9D04-4FE1-8CA9-0DF0433AA3F9}" sibTransId="{388EE62F-A1FD-4BEB-B34C-5291627864B5}"/>
    <dgm:cxn modelId="{34424A52-BBD5-4BEA-981D-4859ABF9D244}" srcId="{3F91A39A-5769-4F1F-B42E-986D52143268}" destId="{978CD41B-5931-4697-A298-357C67B27C57}" srcOrd="2" destOrd="0" parTransId="{D9C479F1-508E-4820-B954-C8B4127A839D}" sibTransId="{762733F2-970D-4B8F-9CC5-D830D6A4D76D}"/>
    <dgm:cxn modelId="{D0F29953-8860-415D-93C8-A2EB527A2EBB}" type="presOf" srcId="{05F66BD2-75EC-476C-A92F-B41ABA84361B}" destId="{E8369B9A-4528-432C-B6FF-53BE00D970CE}" srcOrd="1" destOrd="2" presId="urn:microsoft.com/office/officeart/2005/8/layout/cycle4"/>
    <dgm:cxn modelId="{4663D153-B71D-421A-9E6A-EBE117D60FB3}" type="presOf" srcId="{6DD9AD31-D4FB-460C-B388-CFC6BCEFDF72}" destId="{D6F9193E-B466-42B3-9033-789D62EA5433}" srcOrd="1" destOrd="1" presId="urn:microsoft.com/office/officeart/2005/8/layout/cycle4"/>
    <dgm:cxn modelId="{22D4787C-3C18-40BC-A029-A9ED236980E5}" type="presOf" srcId="{671EF7BE-65E7-4FD9-9252-4BADA4418ECF}" destId="{0EE35D6A-52F4-4CFB-8D28-AFAC796D28EE}" srcOrd="1" destOrd="0" presId="urn:microsoft.com/office/officeart/2005/8/layout/cycle4"/>
    <dgm:cxn modelId="{4665B084-015E-4262-8D33-2E1166DDB243}" srcId="{0FDF8664-4CB5-4478-B1CB-6FC693822A15}" destId="{17BC25AC-4615-4790-8B9F-B3FE9F9ABDB7}" srcOrd="2" destOrd="0" parTransId="{0C7C87C1-EF7D-42C3-AC0E-EC5389F3B22D}" sibTransId="{B6C6A01C-3585-4F29-BE82-305D21DF57E6}"/>
    <dgm:cxn modelId="{CBDC408B-66B7-4B09-B6C9-05F302B15238}" type="presOf" srcId="{9B11133D-49A7-4FB4-930D-B8A7888194B3}" destId="{0EE35D6A-52F4-4CFB-8D28-AFAC796D28EE}" srcOrd="1" destOrd="1" presId="urn:microsoft.com/office/officeart/2005/8/layout/cycle4"/>
    <dgm:cxn modelId="{8EBF128F-FB3E-4E73-90FB-15C4FE0EFF96}" type="presOf" srcId="{820FDB33-F9F8-4E72-8609-4ABEB1E05059}" destId="{CB145681-7AC1-4AC8-B797-8C553924DA8A}" srcOrd="1" destOrd="0" presId="urn:microsoft.com/office/officeart/2005/8/layout/cycle4"/>
    <dgm:cxn modelId="{6C18929B-112B-4E57-8103-B9139AF25A95}" type="presOf" srcId="{A49A8EED-3426-47D0-97E1-1882BF097431}" destId="{E8369B9A-4528-432C-B6FF-53BE00D970CE}" srcOrd="1" destOrd="0" presId="urn:microsoft.com/office/officeart/2005/8/layout/cycle4"/>
    <dgm:cxn modelId="{4E073E9C-C8C4-482B-AB35-E9C1C348D218}" type="presOf" srcId="{0FDF8664-4CB5-4478-B1CB-6FC693822A15}" destId="{B0DB5D87-C891-4063-A0FD-1B1CF7F50A15}" srcOrd="0" destOrd="0" presId="urn:microsoft.com/office/officeart/2005/8/layout/cycle4"/>
    <dgm:cxn modelId="{BE3FC2A5-EBB7-42B6-8615-CE8376A7BD60}" srcId="{3F91A39A-5769-4F1F-B42E-986D52143268}" destId="{6DD9AD31-D4FB-460C-B388-CFC6BCEFDF72}" srcOrd="1" destOrd="0" parTransId="{CB41D59E-88D4-40B2-A679-FD23F77F2BE3}" sibTransId="{1D5B9CB2-71A2-4E78-840B-2819ED5D28F0}"/>
    <dgm:cxn modelId="{199550B3-DB3A-49E2-9C1D-F02CC7E84DED}" srcId="{DEE413F0-5BB1-48EC-82E7-B4B601CC839C}" destId="{A49A8EED-3426-47D0-97E1-1882BF097431}" srcOrd="0" destOrd="0" parTransId="{01A3DC1C-BC6A-41BC-87D3-B5232DBC262B}" sibTransId="{66DD43EB-715F-4E84-8DD9-561409159E8E}"/>
    <dgm:cxn modelId="{D7E418C1-A49A-4EC4-9FF6-9842CDE70B5C}" srcId="{3F91A39A-5769-4F1F-B42E-986D52143268}" destId="{64A1A704-5957-41C7-8C52-BA81D80BDF7C}" srcOrd="0" destOrd="0" parTransId="{EC3A2328-2023-4C5F-B90A-617AF374853B}" sibTransId="{771A7049-01BE-4ACA-93D7-1ABFBC276433}"/>
    <dgm:cxn modelId="{7902E0C7-3819-408D-8BA4-224B8087EA5B}" type="presOf" srcId="{820FDB33-F9F8-4E72-8609-4ABEB1E05059}" destId="{8AAE8B3B-7420-4F01-9195-6973C320E226}" srcOrd="0" destOrd="0" presId="urn:microsoft.com/office/officeart/2005/8/layout/cycle4"/>
    <dgm:cxn modelId="{2D1A64D2-B41C-4CBA-A31E-86F9D06D6B01}" type="presOf" srcId="{A49A8EED-3426-47D0-97E1-1882BF097431}" destId="{F6E48F3A-E0B8-4607-8518-7771650EEBE9}" srcOrd="0" destOrd="0" presId="urn:microsoft.com/office/officeart/2005/8/layout/cycle4"/>
    <dgm:cxn modelId="{C7D2B2D2-26D9-489C-B744-25A2DA85A559}" type="presOf" srcId="{D3DADE6F-0CDC-465C-BD4F-83102398CC6A}" destId="{E8369B9A-4528-432C-B6FF-53BE00D970CE}" srcOrd="1" destOrd="1" presId="urn:microsoft.com/office/officeart/2005/8/layout/cycle4"/>
    <dgm:cxn modelId="{0CCF61DA-A258-4CD8-BCC9-95C76A94ABC0}" type="presOf" srcId="{BBD14EB1-8A24-47B6-ABE9-779532C8A192}" destId="{3816AD0B-2C05-462D-8EAB-DB1B7C6B7C87}" srcOrd="0" destOrd="0" presId="urn:microsoft.com/office/officeart/2005/8/layout/cycle4"/>
    <dgm:cxn modelId="{9B5D91DC-7A92-4AE2-B869-821133696192}" type="presOf" srcId="{978CD41B-5931-4697-A298-357C67B27C57}" destId="{D6F9193E-B466-42B3-9033-789D62EA5433}" srcOrd="1" destOrd="2" presId="urn:microsoft.com/office/officeart/2005/8/layout/cycle4"/>
    <dgm:cxn modelId="{E10355E1-05B4-40CB-A5A8-491773A53DE5}" type="presOf" srcId="{978CD41B-5931-4697-A298-357C67B27C57}" destId="{84EE787D-2396-4BF0-A1E9-D6F980B96855}" srcOrd="0" destOrd="2" presId="urn:microsoft.com/office/officeart/2005/8/layout/cycle4"/>
    <dgm:cxn modelId="{5ED8B0E4-8F28-4F14-A092-24F3889AC093}" srcId="{BBD14EB1-8A24-47B6-ABE9-779532C8A192}" destId="{1D1622E9-0400-4C39-B556-080C3DF4AC80}" srcOrd="2" destOrd="0" parTransId="{21A2355F-FEDA-402E-A527-7C66C14DCF34}" sibTransId="{54D82474-4812-43A3-89C9-1C24FF955C20}"/>
    <dgm:cxn modelId="{FBD209E5-740E-47DE-B735-CC8FF7A51693}" type="presOf" srcId="{DEE413F0-5BB1-48EC-82E7-B4B601CC839C}" destId="{C83482AB-0993-4F62-AB75-E53E1DDE025D}" srcOrd="0" destOrd="0" presId="urn:microsoft.com/office/officeart/2005/8/layout/cycle4"/>
    <dgm:cxn modelId="{37ADD5E8-F0C6-4FD7-97CE-758613BFBADC}" srcId="{1D1622E9-0400-4C39-B556-080C3DF4AC80}" destId="{671EF7BE-65E7-4FD9-9252-4BADA4418ECF}" srcOrd="0" destOrd="0" parTransId="{2B7E03CB-F39A-4091-B97A-AB310CC0ED18}" sibTransId="{1BF9B2E6-9C4A-4EE7-A467-A5BA9EF6D727}"/>
    <dgm:cxn modelId="{DBBA46E9-F28F-45A6-BFCF-9115F7689F0A}" srcId="{BBD14EB1-8A24-47B6-ABE9-779532C8A192}" destId="{0FDF8664-4CB5-4478-B1CB-6FC693822A15}" srcOrd="1" destOrd="0" parTransId="{11EA78BF-561D-4A1A-BCE5-1B9653BEE29D}" sibTransId="{9E317EA6-8580-4095-808B-6E4A835FE159}"/>
    <dgm:cxn modelId="{2AC697ED-65E5-4B7F-B47F-867BFF0C40DC}" type="presOf" srcId="{6DD9AD31-D4FB-460C-B388-CFC6BCEFDF72}" destId="{84EE787D-2396-4BF0-A1E9-D6F980B96855}" srcOrd="0" destOrd="1" presId="urn:microsoft.com/office/officeart/2005/8/layout/cycle4"/>
    <dgm:cxn modelId="{0BDB6BF0-538F-40EE-8BE2-8E612EFE1218}" type="presOf" srcId="{17BC25AC-4615-4790-8B9F-B3FE9F9ABDB7}" destId="{CB145681-7AC1-4AC8-B797-8C553924DA8A}" srcOrd="1" destOrd="2" presId="urn:microsoft.com/office/officeart/2005/8/layout/cycle4"/>
    <dgm:cxn modelId="{F4492EF2-C61A-4A7B-A0AA-B68E29E62973}" srcId="{BBD14EB1-8A24-47B6-ABE9-779532C8A192}" destId="{3F91A39A-5769-4F1F-B42E-986D52143268}" srcOrd="0" destOrd="0" parTransId="{A2149DEC-797D-4C9D-86D2-F450ACAA2599}" sibTransId="{8A6A3E28-6B36-4EFF-91A1-6A6977D3936A}"/>
    <dgm:cxn modelId="{DEA8616E-D232-4207-A54C-508C25DE29B4}" type="presParOf" srcId="{3816AD0B-2C05-462D-8EAB-DB1B7C6B7C87}" destId="{924CD0B2-322F-499B-9884-2C6521162C7F}" srcOrd="0" destOrd="0" presId="urn:microsoft.com/office/officeart/2005/8/layout/cycle4"/>
    <dgm:cxn modelId="{75439E29-F0B3-4420-8714-0B45ACCADE55}" type="presParOf" srcId="{924CD0B2-322F-499B-9884-2C6521162C7F}" destId="{2DE7CB59-00B9-423F-8EDC-31D988B65F9A}" srcOrd="0" destOrd="0" presId="urn:microsoft.com/office/officeart/2005/8/layout/cycle4"/>
    <dgm:cxn modelId="{523CF1F4-210E-4321-80CB-07666C95B0AF}" type="presParOf" srcId="{2DE7CB59-00B9-423F-8EDC-31D988B65F9A}" destId="{84EE787D-2396-4BF0-A1E9-D6F980B96855}" srcOrd="0" destOrd="0" presId="urn:microsoft.com/office/officeart/2005/8/layout/cycle4"/>
    <dgm:cxn modelId="{AD447C18-9666-4F11-A250-ADB0FF2C9DC2}" type="presParOf" srcId="{2DE7CB59-00B9-423F-8EDC-31D988B65F9A}" destId="{D6F9193E-B466-42B3-9033-789D62EA5433}" srcOrd="1" destOrd="0" presId="urn:microsoft.com/office/officeart/2005/8/layout/cycle4"/>
    <dgm:cxn modelId="{1F225B57-D3D9-41BE-8EE0-2B7CC60BEB11}" type="presParOf" srcId="{924CD0B2-322F-499B-9884-2C6521162C7F}" destId="{7AD5B0B9-E2E6-4CF0-8C9D-44019E2781EB}" srcOrd="1" destOrd="0" presId="urn:microsoft.com/office/officeart/2005/8/layout/cycle4"/>
    <dgm:cxn modelId="{6681FEED-3015-4774-860E-4D493F6A9A24}" type="presParOf" srcId="{7AD5B0B9-E2E6-4CF0-8C9D-44019E2781EB}" destId="{8AAE8B3B-7420-4F01-9195-6973C320E226}" srcOrd="0" destOrd="0" presId="urn:microsoft.com/office/officeart/2005/8/layout/cycle4"/>
    <dgm:cxn modelId="{84B3FD81-4085-46B8-ACC5-FF47C9C369C4}" type="presParOf" srcId="{7AD5B0B9-E2E6-4CF0-8C9D-44019E2781EB}" destId="{CB145681-7AC1-4AC8-B797-8C553924DA8A}" srcOrd="1" destOrd="0" presId="urn:microsoft.com/office/officeart/2005/8/layout/cycle4"/>
    <dgm:cxn modelId="{91761822-D6FC-402F-AF9C-C0C3282360B5}" type="presParOf" srcId="{924CD0B2-322F-499B-9884-2C6521162C7F}" destId="{67A8CF79-7BD8-4950-9844-084925138D3B}" srcOrd="2" destOrd="0" presId="urn:microsoft.com/office/officeart/2005/8/layout/cycle4"/>
    <dgm:cxn modelId="{7027342D-5BA4-4C1F-915B-098BFC18A772}" type="presParOf" srcId="{67A8CF79-7BD8-4950-9844-084925138D3B}" destId="{E67AF6EA-7964-4DFC-8249-6D345D3406C4}" srcOrd="0" destOrd="0" presId="urn:microsoft.com/office/officeart/2005/8/layout/cycle4"/>
    <dgm:cxn modelId="{05988CC1-D6D8-482B-8EC5-7017B920EA3A}" type="presParOf" srcId="{67A8CF79-7BD8-4950-9844-084925138D3B}" destId="{0EE35D6A-52F4-4CFB-8D28-AFAC796D28EE}" srcOrd="1" destOrd="0" presId="urn:microsoft.com/office/officeart/2005/8/layout/cycle4"/>
    <dgm:cxn modelId="{B1CD57F7-C18D-4F5D-877D-E92AD90BF166}" type="presParOf" srcId="{924CD0B2-322F-499B-9884-2C6521162C7F}" destId="{DB0A667D-ED8D-431F-A6DF-5E923CA50B48}" srcOrd="3" destOrd="0" presId="urn:microsoft.com/office/officeart/2005/8/layout/cycle4"/>
    <dgm:cxn modelId="{50E0061D-0511-4E26-A53A-48C01F8E8891}" type="presParOf" srcId="{DB0A667D-ED8D-431F-A6DF-5E923CA50B48}" destId="{F6E48F3A-E0B8-4607-8518-7771650EEBE9}" srcOrd="0" destOrd="0" presId="urn:microsoft.com/office/officeart/2005/8/layout/cycle4"/>
    <dgm:cxn modelId="{9468969C-83F2-413B-8B69-BF2FC65F73A5}" type="presParOf" srcId="{DB0A667D-ED8D-431F-A6DF-5E923CA50B48}" destId="{E8369B9A-4528-432C-B6FF-53BE00D970CE}" srcOrd="1" destOrd="0" presId="urn:microsoft.com/office/officeart/2005/8/layout/cycle4"/>
    <dgm:cxn modelId="{094B4106-7DA7-4C30-A64A-B409C1344445}" type="presParOf" srcId="{924CD0B2-322F-499B-9884-2C6521162C7F}" destId="{05F37C1F-8063-4B2D-95C2-03FDB10ADA61}" srcOrd="4" destOrd="0" presId="urn:microsoft.com/office/officeart/2005/8/layout/cycle4"/>
    <dgm:cxn modelId="{829AC535-314E-4872-B1CF-674D36002FAB}" type="presParOf" srcId="{3816AD0B-2C05-462D-8EAB-DB1B7C6B7C87}" destId="{E584E25C-8025-4CAB-B2E2-9DB973EE3932}" srcOrd="1" destOrd="0" presId="urn:microsoft.com/office/officeart/2005/8/layout/cycle4"/>
    <dgm:cxn modelId="{54A16407-0E1E-4162-AEDF-291EB4DD92EF}" type="presParOf" srcId="{E584E25C-8025-4CAB-B2E2-9DB973EE3932}" destId="{38CBDAC5-EE6D-422E-9424-12F969BA1CC5}" srcOrd="0" destOrd="0" presId="urn:microsoft.com/office/officeart/2005/8/layout/cycle4"/>
    <dgm:cxn modelId="{49C23262-5A43-457B-9680-6CBB8159FFC7}" type="presParOf" srcId="{E584E25C-8025-4CAB-B2E2-9DB973EE3932}" destId="{B0DB5D87-C891-4063-A0FD-1B1CF7F50A15}" srcOrd="1" destOrd="0" presId="urn:microsoft.com/office/officeart/2005/8/layout/cycle4"/>
    <dgm:cxn modelId="{C5133340-3877-4CAA-B8FD-02E70A76DFC6}" type="presParOf" srcId="{E584E25C-8025-4CAB-B2E2-9DB973EE3932}" destId="{D4315B55-EA37-4004-8AB9-01A4EE1D9D46}" srcOrd="2" destOrd="0" presId="urn:microsoft.com/office/officeart/2005/8/layout/cycle4"/>
    <dgm:cxn modelId="{C48718D2-9606-4BD4-8F07-736BDB4D9BAE}" type="presParOf" srcId="{E584E25C-8025-4CAB-B2E2-9DB973EE3932}" destId="{C83482AB-0993-4F62-AB75-E53E1DDE025D}" srcOrd="3" destOrd="0" presId="urn:microsoft.com/office/officeart/2005/8/layout/cycle4"/>
    <dgm:cxn modelId="{D88E12CC-3385-47C7-96CF-F4DAF6500199}" type="presParOf" srcId="{E584E25C-8025-4CAB-B2E2-9DB973EE3932}" destId="{FD6B8FA2-CD5D-45CE-A020-0343CFCE468B}" srcOrd="4" destOrd="0" presId="urn:microsoft.com/office/officeart/2005/8/layout/cycle4"/>
    <dgm:cxn modelId="{4E30B77A-6CFC-4F91-946F-3589DF6CEB17}" type="presParOf" srcId="{3816AD0B-2C05-462D-8EAB-DB1B7C6B7C87}" destId="{BAE3F41E-8301-47AF-991A-ABC51D6B0816}" srcOrd="2" destOrd="0" presId="urn:microsoft.com/office/officeart/2005/8/layout/cycle4"/>
    <dgm:cxn modelId="{5760D986-404D-4FF9-A20A-946B145CE062}" type="presParOf" srcId="{3816AD0B-2C05-462D-8EAB-DB1B7C6B7C87}" destId="{DCE0C870-412C-4E61-B0EF-5956F4CCB72F}" srcOrd="3" destOrd="0" presId="urn:microsoft.com/office/officeart/2005/8/layout/cycle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86AAE26-0CB6-40C3-BE0C-4288F9A8EDB6}"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US"/>
        </a:p>
      </dgm:t>
    </dgm:pt>
    <dgm:pt modelId="{ECF08670-10C9-45A5-A381-F1A80ED575D4}">
      <dgm:prSet phldrT="[Text]">
        <dgm:style>
          <a:lnRef idx="0">
            <a:scrgbClr r="0" g="0" b="0"/>
          </a:lnRef>
          <a:fillRef idx="0">
            <a:scrgbClr r="0" g="0" b="0"/>
          </a:fillRef>
          <a:effectRef idx="0">
            <a:scrgbClr r="0" g="0" b="0"/>
          </a:effectRef>
          <a:fontRef idx="minor">
            <a:schemeClr val="lt1"/>
          </a:fontRef>
        </dgm:style>
      </dgm:prSet>
      <dgm:spPr>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dgm:spPr>
      <dgm:t>
        <a:bodyPr/>
        <a:lstStyle/>
        <a:p>
          <a:pPr algn="just"/>
          <a:r>
            <a:rPr lang="en-US" b="0">
              <a:solidFill>
                <a:sysClr val="windowText" lastClr="000000"/>
              </a:solidFill>
              <a:latin typeface="Arial" panose="020B0604020202020204" pitchFamily="34" charset="0"/>
              <a:cs typeface="Arial" panose="020B0604020202020204" pitchFamily="34" charset="0"/>
            </a:rPr>
            <a:t>Cost Leadership</a:t>
          </a:r>
          <a:endParaRPr lang="en-US">
            <a:solidFill>
              <a:sysClr val="windowText" lastClr="000000"/>
            </a:solidFill>
            <a:latin typeface="Arial" panose="020B0604020202020204" pitchFamily="34" charset="0"/>
            <a:cs typeface="Arial" panose="020B0604020202020204" pitchFamily="34" charset="0"/>
          </a:endParaRPr>
        </a:p>
      </dgm:t>
    </dgm:pt>
    <dgm:pt modelId="{78611CF8-AF68-479D-9AA1-BAE68829F1A5}" type="parTrans" cxnId="{97B0E002-B6B6-443C-BFE3-8A10676AE7C0}">
      <dgm:prSet/>
      <dgm:spPr/>
      <dgm:t>
        <a:bodyPr/>
        <a:lstStyle/>
        <a:p>
          <a:endParaRPr lang="en-US"/>
        </a:p>
      </dgm:t>
    </dgm:pt>
    <dgm:pt modelId="{C0914066-0E00-455E-AECA-3FB787D0B66F}" type="sibTrans" cxnId="{97B0E002-B6B6-443C-BFE3-8A10676AE7C0}">
      <dgm:prSet/>
      <dgm:spPr/>
      <dgm:t>
        <a:bodyPr/>
        <a:lstStyle/>
        <a:p>
          <a:endParaRPr lang="en-US"/>
        </a:p>
      </dgm:t>
    </dgm:pt>
    <dgm:pt modelId="{7220BE7A-228F-4A3A-B7C8-652D67C0BD03}">
      <dgm:prSet phldrT="[Text]">
        <dgm:style>
          <a:lnRef idx="0">
            <a:scrgbClr r="0" g="0" b="0"/>
          </a:lnRef>
          <a:fillRef idx="0">
            <a:scrgbClr r="0" g="0" b="0"/>
          </a:fillRef>
          <a:effectRef idx="0">
            <a:scrgbClr r="0" g="0" b="0"/>
          </a:effectRef>
          <a:fontRef idx="minor">
            <a:schemeClr val="lt1"/>
          </a:fontRef>
        </dgm:style>
      </dgm:prSet>
      <dgm:spPr>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dgm:spPr>
      <dgm:t>
        <a:bodyPr/>
        <a:lstStyle/>
        <a:p>
          <a:pPr algn="just"/>
          <a:r>
            <a:rPr lang="en-US" b="0">
              <a:solidFill>
                <a:sysClr val="windowText" lastClr="000000"/>
              </a:solidFill>
              <a:latin typeface="Arial" panose="020B0604020202020204" pitchFamily="34" charset="0"/>
              <a:cs typeface="Arial" panose="020B0604020202020204" pitchFamily="34" charset="0"/>
            </a:rPr>
            <a:t>Differentiation</a:t>
          </a:r>
          <a:endParaRPr lang="en-US">
            <a:solidFill>
              <a:sysClr val="windowText" lastClr="000000"/>
            </a:solidFill>
            <a:latin typeface="Arial" panose="020B0604020202020204" pitchFamily="34" charset="0"/>
            <a:cs typeface="Arial" panose="020B0604020202020204" pitchFamily="34" charset="0"/>
          </a:endParaRPr>
        </a:p>
      </dgm:t>
    </dgm:pt>
    <dgm:pt modelId="{8F304016-5612-4248-BA53-E319D09D86D3}" type="sibTrans" cxnId="{31996A66-7A60-427F-AA86-FC576EBF5D4A}">
      <dgm:prSet/>
      <dgm:spPr/>
      <dgm:t>
        <a:bodyPr/>
        <a:lstStyle/>
        <a:p>
          <a:endParaRPr lang="en-US"/>
        </a:p>
      </dgm:t>
    </dgm:pt>
    <dgm:pt modelId="{7AA50AC2-296A-40F8-99BD-FD46B79BDD17}" type="parTrans" cxnId="{31996A66-7A60-427F-AA86-FC576EBF5D4A}">
      <dgm:prSet/>
      <dgm:spPr/>
      <dgm:t>
        <a:bodyPr/>
        <a:lstStyle/>
        <a:p>
          <a:endParaRPr lang="en-US"/>
        </a:p>
      </dgm:t>
    </dgm:pt>
    <dgm:pt modelId="{BA2A266C-59C5-419B-BC62-859BE4DA8E32}">
      <dgm:prSet phldrT="[Text]">
        <dgm:style>
          <a:lnRef idx="0">
            <a:scrgbClr r="0" g="0" b="0"/>
          </a:lnRef>
          <a:fillRef idx="0">
            <a:scrgbClr r="0" g="0" b="0"/>
          </a:fillRef>
          <a:effectRef idx="0">
            <a:scrgbClr r="0" g="0" b="0"/>
          </a:effectRef>
          <a:fontRef idx="minor">
            <a:schemeClr val="lt1"/>
          </a:fontRef>
        </dgm:style>
      </dgm:prSet>
      <dgm:spPr>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dgm:spPr>
      <dgm:t>
        <a:bodyPr/>
        <a:lstStyle/>
        <a:p>
          <a:pPr algn="just"/>
          <a:r>
            <a:rPr lang="en-US" b="0">
              <a:solidFill>
                <a:sysClr val="windowText" lastClr="000000"/>
              </a:solidFill>
              <a:latin typeface="Arial" panose="020B0604020202020204" pitchFamily="34" charset="0"/>
              <a:cs typeface="Arial" panose="020B0604020202020204" pitchFamily="34" charset="0"/>
            </a:rPr>
            <a:t>Cost Focus</a:t>
          </a:r>
          <a:endParaRPr lang="en-US">
            <a:solidFill>
              <a:sysClr val="windowText" lastClr="000000"/>
            </a:solidFill>
            <a:latin typeface="Arial" panose="020B0604020202020204" pitchFamily="34" charset="0"/>
            <a:cs typeface="Arial" panose="020B0604020202020204" pitchFamily="34" charset="0"/>
          </a:endParaRPr>
        </a:p>
      </dgm:t>
    </dgm:pt>
    <dgm:pt modelId="{681BD5C0-1B80-4956-A391-71A8821CF2BE}" type="sibTrans" cxnId="{CADA017F-8A81-410A-AB66-AC5A13C79536}">
      <dgm:prSet/>
      <dgm:spPr/>
      <dgm:t>
        <a:bodyPr/>
        <a:lstStyle/>
        <a:p>
          <a:endParaRPr lang="en-US"/>
        </a:p>
      </dgm:t>
    </dgm:pt>
    <dgm:pt modelId="{61C11027-926C-4EE8-92FA-33CDC4B9F9BC}" type="parTrans" cxnId="{CADA017F-8A81-410A-AB66-AC5A13C79536}">
      <dgm:prSet/>
      <dgm:spPr/>
      <dgm:t>
        <a:bodyPr/>
        <a:lstStyle/>
        <a:p>
          <a:endParaRPr lang="en-US"/>
        </a:p>
      </dgm:t>
    </dgm:pt>
    <dgm:pt modelId="{02A384B5-F52A-4A62-921B-7A21AD388842}">
      <dgm:prSet phldrT="[Text]">
        <dgm:style>
          <a:lnRef idx="0">
            <a:scrgbClr r="0" g="0" b="0"/>
          </a:lnRef>
          <a:fillRef idx="0">
            <a:scrgbClr r="0" g="0" b="0"/>
          </a:fillRef>
          <a:effectRef idx="0">
            <a:scrgbClr r="0" g="0" b="0"/>
          </a:effectRef>
          <a:fontRef idx="minor">
            <a:schemeClr val="lt1"/>
          </a:fontRef>
        </dgm:style>
      </dgm:prSet>
      <dgm:spPr>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dgm:spPr>
      <dgm:t>
        <a:bodyPr/>
        <a:lstStyle/>
        <a:p>
          <a:pPr algn="just"/>
          <a:r>
            <a:rPr lang="en-US" b="0">
              <a:solidFill>
                <a:sysClr val="windowText" lastClr="000000"/>
              </a:solidFill>
              <a:latin typeface="Arial" panose="020B0604020202020204" pitchFamily="34" charset="0"/>
              <a:cs typeface="Arial" panose="020B0604020202020204" pitchFamily="34" charset="0"/>
            </a:rPr>
            <a:t>Differentiation Focus</a:t>
          </a:r>
          <a:endParaRPr lang="en-US">
            <a:solidFill>
              <a:sysClr val="windowText" lastClr="000000"/>
            </a:solidFill>
            <a:latin typeface="Arial" panose="020B0604020202020204" pitchFamily="34" charset="0"/>
            <a:cs typeface="Arial" panose="020B0604020202020204" pitchFamily="34" charset="0"/>
          </a:endParaRPr>
        </a:p>
      </dgm:t>
    </dgm:pt>
    <dgm:pt modelId="{9086A640-E67B-4A05-BF22-1BD02E9079F6}" type="sibTrans" cxnId="{3A768BEB-C37D-4838-96C6-5EA2B4DE1A33}">
      <dgm:prSet/>
      <dgm:spPr/>
      <dgm:t>
        <a:bodyPr/>
        <a:lstStyle/>
        <a:p>
          <a:endParaRPr lang="en-US"/>
        </a:p>
      </dgm:t>
    </dgm:pt>
    <dgm:pt modelId="{E8FD2437-118C-4967-83C5-E658E7E5ABC2}" type="parTrans" cxnId="{3A768BEB-C37D-4838-96C6-5EA2B4DE1A33}">
      <dgm:prSet/>
      <dgm:spPr/>
      <dgm:t>
        <a:bodyPr/>
        <a:lstStyle/>
        <a:p>
          <a:endParaRPr lang="en-US"/>
        </a:p>
      </dgm:t>
    </dgm:pt>
    <dgm:pt modelId="{4AD0ABAC-0AFB-4217-8C14-DC51BCCD95A6}">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Large-scale mining operation s </a:t>
          </a:r>
        </a:p>
      </dgm:t>
    </dgm:pt>
    <dgm:pt modelId="{8CF706C9-5255-43E6-B01F-A4E44F98C5C7}" type="parTrans" cxnId="{D4C1A131-B345-4354-AB00-3841EDFE7EE6}">
      <dgm:prSet/>
      <dgm:spPr/>
      <dgm:t>
        <a:bodyPr/>
        <a:lstStyle/>
        <a:p>
          <a:endParaRPr lang="en-US"/>
        </a:p>
      </dgm:t>
    </dgm:pt>
    <dgm:pt modelId="{EE5CBCBB-4CAE-467A-A2EE-E01E45D1FA66}" type="sibTrans" cxnId="{D4C1A131-B345-4354-AB00-3841EDFE7EE6}">
      <dgm:prSet/>
      <dgm:spPr/>
      <dgm:t>
        <a:bodyPr/>
        <a:lstStyle/>
        <a:p>
          <a:endParaRPr lang="en-US"/>
        </a:p>
      </dgm:t>
    </dgm:pt>
    <dgm:pt modelId="{153FAF89-037C-41F3-9AF0-CA2AD9638FCC}">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Automation and operational efficiency </a:t>
          </a:r>
        </a:p>
      </dgm:t>
    </dgm:pt>
    <dgm:pt modelId="{54F136FC-4124-436D-97EA-A43F71473984}" type="parTrans" cxnId="{EE7215A5-745E-4B5B-9316-52D818E77CE5}">
      <dgm:prSet/>
      <dgm:spPr/>
      <dgm:t>
        <a:bodyPr/>
        <a:lstStyle/>
        <a:p>
          <a:endParaRPr lang="en-US"/>
        </a:p>
      </dgm:t>
    </dgm:pt>
    <dgm:pt modelId="{238AF64F-99F7-4712-B93C-10B3F73C8432}" type="sibTrans" cxnId="{EE7215A5-745E-4B5B-9316-52D818E77CE5}">
      <dgm:prSet/>
      <dgm:spPr/>
      <dgm:t>
        <a:bodyPr/>
        <a:lstStyle/>
        <a:p>
          <a:endParaRPr lang="en-US"/>
        </a:p>
      </dgm:t>
    </dgm:pt>
    <dgm:pt modelId="{579E2138-1768-4E2D-95DA-636AE08FFB1A}">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Low-cost iron ore production </a:t>
          </a:r>
        </a:p>
      </dgm:t>
    </dgm:pt>
    <dgm:pt modelId="{37614D94-8577-4E10-9AFE-6356FAFEDE40}" type="parTrans" cxnId="{6FFD76A6-9054-4B09-B8A1-478F59327093}">
      <dgm:prSet/>
      <dgm:spPr/>
      <dgm:t>
        <a:bodyPr/>
        <a:lstStyle/>
        <a:p>
          <a:endParaRPr lang="en-US"/>
        </a:p>
      </dgm:t>
    </dgm:pt>
    <dgm:pt modelId="{E06C4329-CCB5-4584-BADF-9548E175522E}" type="sibTrans" cxnId="{6FFD76A6-9054-4B09-B8A1-478F59327093}">
      <dgm:prSet/>
      <dgm:spPr/>
      <dgm:t>
        <a:bodyPr/>
        <a:lstStyle/>
        <a:p>
          <a:endParaRPr lang="en-US"/>
        </a:p>
      </dgm:t>
    </dgm:pt>
    <dgm:pt modelId="{433ED951-6886-4FDF-9B50-BD818C35A49E}">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Responsibly sourced critical minerals </a:t>
          </a:r>
        </a:p>
      </dgm:t>
    </dgm:pt>
    <dgm:pt modelId="{89EB3E17-3BD3-4E70-A6C3-422B54FD9A0B}" type="parTrans" cxnId="{3CC9B3A0-F091-4522-A405-8C5EB2326879}">
      <dgm:prSet/>
      <dgm:spPr/>
      <dgm:t>
        <a:bodyPr/>
        <a:lstStyle/>
        <a:p>
          <a:endParaRPr lang="en-US"/>
        </a:p>
      </dgm:t>
    </dgm:pt>
    <dgm:pt modelId="{018E1637-7945-44C7-9BE4-DB7DD2995D5F}" type="sibTrans" cxnId="{3CC9B3A0-F091-4522-A405-8C5EB2326879}">
      <dgm:prSet/>
      <dgm:spPr/>
      <dgm:t>
        <a:bodyPr/>
        <a:lstStyle/>
        <a:p>
          <a:endParaRPr lang="en-US"/>
        </a:p>
      </dgm:t>
    </dgm:pt>
    <dgm:pt modelId="{1FC7BA9B-0B17-41E6-91CD-1FC1933F120C}">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Lower-carbon value chain partnerships </a:t>
          </a:r>
        </a:p>
      </dgm:t>
    </dgm:pt>
    <dgm:pt modelId="{7A5F0F18-E2E6-44AA-BE53-D436BF713A66}" type="parTrans" cxnId="{F1DC6E8B-635F-4050-93BB-09FBF770D453}">
      <dgm:prSet/>
      <dgm:spPr/>
      <dgm:t>
        <a:bodyPr/>
        <a:lstStyle/>
        <a:p>
          <a:endParaRPr lang="en-US"/>
        </a:p>
      </dgm:t>
    </dgm:pt>
    <dgm:pt modelId="{11DF53B7-870D-4C21-8FD0-7E47E223A7E5}" type="sibTrans" cxnId="{F1DC6E8B-635F-4050-93BB-09FBF770D453}">
      <dgm:prSet/>
      <dgm:spPr/>
      <dgm:t>
        <a:bodyPr/>
        <a:lstStyle/>
        <a:p>
          <a:endParaRPr lang="en-US"/>
        </a:p>
      </dgm:t>
    </dgm:pt>
    <dgm:pt modelId="{A930087B-6CD5-446A-BFD7-FBD45D4EC4F1}">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Strong ESG and sustainability leadership </a:t>
          </a:r>
        </a:p>
      </dgm:t>
    </dgm:pt>
    <dgm:pt modelId="{1A84253F-16AA-4439-9483-4463C5988C93}" type="parTrans" cxnId="{E7832B67-F352-4873-A80C-8A6B9C3F16BA}">
      <dgm:prSet/>
      <dgm:spPr/>
      <dgm:t>
        <a:bodyPr/>
        <a:lstStyle/>
        <a:p>
          <a:endParaRPr lang="en-US"/>
        </a:p>
      </dgm:t>
    </dgm:pt>
    <dgm:pt modelId="{E48B4927-E0A9-43FE-A901-C7DC53195C7C}" type="sibTrans" cxnId="{E7832B67-F352-4873-A80C-8A6B9C3F16BA}">
      <dgm:prSet/>
      <dgm:spPr/>
      <dgm:t>
        <a:bodyPr/>
        <a:lstStyle/>
        <a:p>
          <a:endParaRPr lang="en-US"/>
        </a:p>
      </dgm:t>
    </dgm:pt>
    <dgm:pt modelId="{C3D45204-58A9-44D1-BE21-89CEF1694F54}">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Efficient production in core mining assets </a:t>
          </a:r>
        </a:p>
      </dgm:t>
    </dgm:pt>
    <dgm:pt modelId="{B8947AFC-BF44-4784-BE17-77D701F9E09B}" type="parTrans" cxnId="{333F2C85-9478-49F9-B9A4-ED106B456785}">
      <dgm:prSet/>
      <dgm:spPr/>
      <dgm:t>
        <a:bodyPr/>
        <a:lstStyle/>
        <a:p>
          <a:endParaRPr lang="en-US"/>
        </a:p>
      </dgm:t>
    </dgm:pt>
    <dgm:pt modelId="{9AA38FC5-5E05-4CF4-9A6E-B6AF37BCBB43}" type="sibTrans" cxnId="{333F2C85-9478-49F9-B9A4-ED106B456785}">
      <dgm:prSet/>
      <dgm:spPr/>
      <dgm:t>
        <a:bodyPr/>
        <a:lstStyle/>
        <a:p>
          <a:endParaRPr lang="en-US"/>
        </a:p>
      </dgm:t>
    </dgm:pt>
    <dgm:pt modelId="{B1B8BEB3-D8A8-4B0C-A8B1-21E47C5AE91B}">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Optimised resource utilisation </a:t>
          </a:r>
        </a:p>
      </dgm:t>
    </dgm:pt>
    <dgm:pt modelId="{E01DC7B3-7537-42E7-A35B-B84BB12EC119}" type="parTrans" cxnId="{899B5B6C-E48B-40AD-9EE3-5551A78E0879}">
      <dgm:prSet/>
      <dgm:spPr/>
      <dgm:t>
        <a:bodyPr/>
        <a:lstStyle/>
        <a:p>
          <a:endParaRPr lang="en-US"/>
        </a:p>
      </dgm:t>
    </dgm:pt>
    <dgm:pt modelId="{970771CD-5EF9-401D-ABF6-36CFB372F38B}" type="sibTrans" cxnId="{899B5B6C-E48B-40AD-9EE3-5551A78E0879}">
      <dgm:prSet/>
      <dgm:spPr/>
      <dgm:t>
        <a:bodyPr/>
        <a:lstStyle/>
        <a:p>
          <a:endParaRPr lang="en-US"/>
        </a:p>
      </dgm:t>
    </dgm:pt>
    <dgm:pt modelId="{0DDD37BB-3D13-4F41-8B38-978FEE44C4E0}">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Limited strategic emphasis </a:t>
          </a:r>
        </a:p>
      </dgm:t>
    </dgm:pt>
    <dgm:pt modelId="{B6B90BD9-7227-4B44-8334-75CA4F1AE4B9}" type="parTrans" cxnId="{F2A92DEC-36D6-4A8E-B578-1CE36CF7E9BF}">
      <dgm:prSet/>
      <dgm:spPr/>
      <dgm:t>
        <a:bodyPr/>
        <a:lstStyle/>
        <a:p>
          <a:endParaRPr lang="en-US"/>
        </a:p>
      </dgm:t>
    </dgm:pt>
    <dgm:pt modelId="{B7F782DE-1DEA-46B4-A4E1-9ED9A2E18FD2}" type="sibTrans" cxnId="{F2A92DEC-36D6-4A8E-B578-1CE36CF7E9BF}">
      <dgm:prSet/>
      <dgm:spPr/>
      <dgm:t>
        <a:bodyPr/>
        <a:lstStyle/>
        <a:p>
          <a:endParaRPr lang="en-US"/>
        </a:p>
      </dgm:t>
    </dgm:pt>
    <dgm:pt modelId="{42C98E4A-8C3E-4EE8-B424-BA2E27F5C183}">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Copper, nickel and potash for clean energy </a:t>
          </a:r>
        </a:p>
      </dgm:t>
    </dgm:pt>
    <dgm:pt modelId="{4C3BA20E-7596-4CB1-B931-8093A0BE6CE2}" type="parTrans" cxnId="{88B3729D-02BA-4082-AF67-5A8DAB191EEC}">
      <dgm:prSet/>
      <dgm:spPr/>
      <dgm:t>
        <a:bodyPr/>
        <a:lstStyle/>
        <a:p>
          <a:endParaRPr lang="en-US"/>
        </a:p>
      </dgm:t>
    </dgm:pt>
    <dgm:pt modelId="{56958D9A-1759-47AF-9D3A-E648DB148D87}" type="sibTrans" cxnId="{88B3729D-02BA-4082-AF67-5A8DAB191EEC}">
      <dgm:prSet/>
      <dgm:spPr/>
      <dgm:t>
        <a:bodyPr/>
        <a:lstStyle/>
        <a:p>
          <a:endParaRPr lang="en-US"/>
        </a:p>
      </dgm:t>
    </dgm:pt>
    <dgm:pt modelId="{DE1D84D1-8CB1-4DEB-9399-82B52E321B20}">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Decarbonisation solutions for customers </a:t>
          </a:r>
        </a:p>
      </dgm:t>
    </dgm:pt>
    <dgm:pt modelId="{9DFBC03B-0035-4D89-8011-9A2C3BE00808}" type="parTrans" cxnId="{356123E9-870D-42F2-83C8-C37533E49620}">
      <dgm:prSet/>
      <dgm:spPr/>
      <dgm:t>
        <a:bodyPr/>
        <a:lstStyle/>
        <a:p>
          <a:endParaRPr lang="en-US"/>
        </a:p>
      </dgm:t>
    </dgm:pt>
    <dgm:pt modelId="{69963AD7-0F1F-4139-B9B2-0B98BC74BF3C}" type="sibTrans" cxnId="{356123E9-870D-42F2-83C8-C37533E49620}">
      <dgm:prSet/>
      <dgm:spPr/>
      <dgm:t>
        <a:bodyPr/>
        <a:lstStyle/>
        <a:p>
          <a:endParaRPr lang="en-US"/>
        </a:p>
      </dgm:t>
    </dgm:pt>
    <dgm:pt modelId="{D85D2ABD-9353-4222-81F1-ADCB9AC2B700}">
      <dgm:prSet>
        <dgm:style>
          <a:lnRef idx="0">
            <a:scrgbClr r="0" g="0" b="0"/>
          </a:lnRef>
          <a:fillRef idx="0">
            <a:scrgbClr r="0" g="0" b="0"/>
          </a:fillRef>
          <a:effectRef idx="0">
            <a:scrgbClr r="0" g="0" b="0"/>
          </a:effectRef>
          <a:fontRef idx="minor">
            <a:schemeClr val="lt1"/>
          </a:fontRef>
        </dgm:style>
      </dgm:prSet>
      <dgm:spPr>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dgm:spPr>
      <dgm:t>
        <a:bodyPr/>
        <a:lstStyle/>
        <a:p>
          <a:pPr algn="just"/>
          <a:r>
            <a:rPr lang="en-US">
              <a:solidFill>
                <a:sysClr val="windowText" lastClr="000000"/>
              </a:solidFill>
              <a:latin typeface="Arial" panose="020B0604020202020204" pitchFamily="34" charset="0"/>
              <a:cs typeface="Arial" panose="020B0604020202020204" pitchFamily="34" charset="0"/>
            </a:rPr>
            <a:t>Strategic partnerships in green innovation</a:t>
          </a:r>
        </a:p>
      </dgm:t>
    </dgm:pt>
    <dgm:pt modelId="{FBE96901-F7A5-4B76-913C-5DDC43EECF85}" type="parTrans" cxnId="{9A1B193D-C494-4B50-91AC-A65CB7253F85}">
      <dgm:prSet/>
      <dgm:spPr/>
      <dgm:t>
        <a:bodyPr/>
        <a:lstStyle/>
        <a:p>
          <a:endParaRPr lang="en-US"/>
        </a:p>
      </dgm:t>
    </dgm:pt>
    <dgm:pt modelId="{5A204F7C-4D58-4391-8ADE-7AD88B5CB257}" type="sibTrans" cxnId="{9A1B193D-C494-4B50-91AC-A65CB7253F85}">
      <dgm:prSet/>
      <dgm:spPr/>
      <dgm:t>
        <a:bodyPr/>
        <a:lstStyle/>
        <a:p>
          <a:endParaRPr lang="en-US"/>
        </a:p>
      </dgm:t>
    </dgm:pt>
    <dgm:pt modelId="{F0296484-55E1-41CF-AFAC-EDBA387DA9FF}" type="pres">
      <dgm:prSet presAssocID="{B86AAE26-0CB6-40C3-BE0C-4288F9A8EDB6}" presName="matrix" presStyleCnt="0">
        <dgm:presLayoutVars>
          <dgm:chMax val="1"/>
          <dgm:dir/>
          <dgm:resizeHandles val="exact"/>
        </dgm:presLayoutVars>
      </dgm:prSet>
      <dgm:spPr/>
    </dgm:pt>
    <dgm:pt modelId="{48D699F6-D3F1-465C-AF79-ECB10395F5FA}" type="pres">
      <dgm:prSet presAssocID="{B86AAE26-0CB6-40C3-BE0C-4288F9A8EDB6}" presName="axisShape" presStyleLbl="bgShp" presStyleIdx="0" presStyleCnt="1"/>
      <dgm:spPr/>
    </dgm:pt>
    <dgm:pt modelId="{86267062-C454-4727-BFFB-BCE12A80CB8A}" type="pres">
      <dgm:prSet presAssocID="{B86AAE26-0CB6-40C3-BE0C-4288F9A8EDB6}" presName="rect1" presStyleLbl="node1" presStyleIdx="0" presStyleCnt="4">
        <dgm:presLayoutVars>
          <dgm:chMax val="0"/>
          <dgm:chPref val="0"/>
          <dgm:bulletEnabled val="1"/>
        </dgm:presLayoutVars>
      </dgm:prSet>
      <dgm:spPr/>
    </dgm:pt>
    <dgm:pt modelId="{92042869-8415-41D9-B8C3-0E42A5BBBD05}" type="pres">
      <dgm:prSet presAssocID="{B86AAE26-0CB6-40C3-BE0C-4288F9A8EDB6}" presName="rect2" presStyleLbl="node1" presStyleIdx="1" presStyleCnt="4">
        <dgm:presLayoutVars>
          <dgm:chMax val="0"/>
          <dgm:chPref val="0"/>
          <dgm:bulletEnabled val="1"/>
        </dgm:presLayoutVars>
      </dgm:prSet>
      <dgm:spPr/>
    </dgm:pt>
    <dgm:pt modelId="{5B5FF6E0-2B40-4602-9D86-CBE5DFFC961C}" type="pres">
      <dgm:prSet presAssocID="{B86AAE26-0CB6-40C3-BE0C-4288F9A8EDB6}" presName="rect3" presStyleLbl="node1" presStyleIdx="2" presStyleCnt="4">
        <dgm:presLayoutVars>
          <dgm:chMax val="0"/>
          <dgm:chPref val="0"/>
          <dgm:bulletEnabled val="1"/>
        </dgm:presLayoutVars>
      </dgm:prSet>
      <dgm:spPr/>
    </dgm:pt>
    <dgm:pt modelId="{35D175AF-B5F9-4C4E-8209-AEDE989816E9}" type="pres">
      <dgm:prSet presAssocID="{B86AAE26-0CB6-40C3-BE0C-4288F9A8EDB6}" presName="rect4" presStyleLbl="node1" presStyleIdx="3" presStyleCnt="4">
        <dgm:presLayoutVars>
          <dgm:chMax val="0"/>
          <dgm:chPref val="0"/>
          <dgm:bulletEnabled val="1"/>
        </dgm:presLayoutVars>
      </dgm:prSet>
      <dgm:spPr/>
    </dgm:pt>
  </dgm:ptLst>
  <dgm:cxnLst>
    <dgm:cxn modelId="{97B0E002-B6B6-443C-BFE3-8A10676AE7C0}" srcId="{B86AAE26-0CB6-40C3-BE0C-4288F9A8EDB6}" destId="{ECF08670-10C9-45A5-A381-F1A80ED575D4}" srcOrd="0" destOrd="0" parTransId="{78611CF8-AF68-479D-9AA1-BAE68829F1A5}" sibTransId="{C0914066-0E00-455E-AECA-3FB787D0B66F}"/>
    <dgm:cxn modelId="{C2D55B0F-FEE8-42F0-BD40-A1C72CAAB6CD}" type="presOf" srcId="{4AD0ABAC-0AFB-4217-8C14-DC51BCCD95A6}" destId="{86267062-C454-4727-BFFB-BCE12A80CB8A}" srcOrd="0" destOrd="1" presId="urn:microsoft.com/office/officeart/2005/8/layout/matrix2"/>
    <dgm:cxn modelId="{4DA0ED1C-E2EB-4AA6-8D4C-43328E844AE1}" type="presOf" srcId="{7220BE7A-228F-4A3A-B7C8-652D67C0BD03}" destId="{92042869-8415-41D9-B8C3-0E42A5BBBD05}" srcOrd="0" destOrd="0" presId="urn:microsoft.com/office/officeart/2005/8/layout/matrix2"/>
    <dgm:cxn modelId="{D4C1A131-B345-4354-AB00-3841EDFE7EE6}" srcId="{ECF08670-10C9-45A5-A381-F1A80ED575D4}" destId="{4AD0ABAC-0AFB-4217-8C14-DC51BCCD95A6}" srcOrd="0" destOrd="0" parTransId="{8CF706C9-5255-43E6-B01F-A4E44F98C5C7}" sibTransId="{EE5CBCBB-4CAE-467A-A2EE-E01E45D1FA66}"/>
    <dgm:cxn modelId="{F070E532-D278-4A04-A5FA-9B9FFDFC47CA}" type="presOf" srcId="{ECF08670-10C9-45A5-A381-F1A80ED575D4}" destId="{86267062-C454-4727-BFFB-BCE12A80CB8A}" srcOrd="0" destOrd="0" presId="urn:microsoft.com/office/officeart/2005/8/layout/matrix2"/>
    <dgm:cxn modelId="{9A1B193D-C494-4B50-91AC-A65CB7253F85}" srcId="{02A384B5-F52A-4A62-921B-7A21AD388842}" destId="{D85D2ABD-9353-4222-81F1-ADCB9AC2B700}" srcOrd="2" destOrd="0" parTransId="{FBE96901-F7A5-4B76-913C-5DDC43EECF85}" sibTransId="{5A204F7C-4D58-4391-8ADE-7AD88B5CB257}"/>
    <dgm:cxn modelId="{07DC4D3E-2277-47A5-82FA-47F6B9BF9EF9}" type="presOf" srcId="{BA2A266C-59C5-419B-BC62-859BE4DA8E32}" destId="{5B5FF6E0-2B40-4602-9D86-CBE5DFFC961C}" srcOrd="0" destOrd="0" presId="urn:microsoft.com/office/officeart/2005/8/layout/matrix2"/>
    <dgm:cxn modelId="{84802242-E869-4D01-B360-2E202E9F8A7A}" type="presOf" srcId="{02A384B5-F52A-4A62-921B-7A21AD388842}" destId="{35D175AF-B5F9-4C4E-8209-AEDE989816E9}" srcOrd="0" destOrd="0" presId="urn:microsoft.com/office/officeart/2005/8/layout/matrix2"/>
    <dgm:cxn modelId="{169F4065-6F50-4C79-BD4E-475E75352310}" type="presOf" srcId="{153FAF89-037C-41F3-9AF0-CA2AD9638FCC}" destId="{86267062-C454-4727-BFFB-BCE12A80CB8A}" srcOrd="0" destOrd="2" presId="urn:microsoft.com/office/officeart/2005/8/layout/matrix2"/>
    <dgm:cxn modelId="{31996A66-7A60-427F-AA86-FC576EBF5D4A}" srcId="{B86AAE26-0CB6-40C3-BE0C-4288F9A8EDB6}" destId="{7220BE7A-228F-4A3A-B7C8-652D67C0BD03}" srcOrd="1" destOrd="0" parTransId="{7AA50AC2-296A-40F8-99BD-FD46B79BDD17}" sibTransId="{8F304016-5612-4248-BA53-E319D09D86D3}"/>
    <dgm:cxn modelId="{E7832B67-F352-4873-A80C-8A6B9C3F16BA}" srcId="{7220BE7A-228F-4A3A-B7C8-652D67C0BD03}" destId="{A930087B-6CD5-446A-BFD7-FBD45D4EC4F1}" srcOrd="2" destOrd="0" parTransId="{1A84253F-16AA-4439-9483-4463C5988C93}" sibTransId="{E48B4927-E0A9-43FE-A901-C7DC53195C7C}"/>
    <dgm:cxn modelId="{899B5B6C-E48B-40AD-9EE3-5551A78E0879}" srcId="{BA2A266C-59C5-419B-BC62-859BE4DA8E32}" destId="{B1B8BEB3-D8A8-4B0C-A8B1-21E47C5AE91B}" srcOrd="1" destOrd="0" parTransId="{E01DC7B3-7537-42E7-A35B-B84BB12EC119}" sibTransId="{970771CD-5EF9-401D-ABF6-36CFB372F38B}"/>
    <dgm:cxn modelId="{4F236E72-0837-408F-9058-03AF7E290323}" type="presOf" srcId="{1FC7BA9B-0B17-41E6-91CD-1FC1933F120C}" destId="{92042869-8415-41D9-B8C3-0E42A5BBBD05}" srcOrd="0" destOrd="2" presId="urn:microsoft.com/office/officeart/2005/8/layout/matrix2"/>
    <dgm:cxn modelId="{B1EEA452-97DF-4FC0-A910-47130519336A}" type="presOf" srcId="{433ED951-6886-4FDF-9B50-BD818C35A49E}" destId="{92042869-8415-41D9-B8C3-0E42A5BBBD05}" srcOrd="0" destOrd="1" presId="urn:microsoft.com/office/officeart/2005/8/layout/matrix2"/>
    <dgm:cxn modelId="{CADA017F-8A81-410A-AB66-AC5A13C79536}" srcId="{B86AAE26-0CB6-40C3-BE0C-4288F9A8EDB6}" destId="{BA2A266C-59C5-419B-BC62-859BE4DA8E32}" srcOrd="2" destOrd="0" parTransId="{61C11027-926C-4EE8-92FA-33CDC4B9F9BC}" sibTransId="{681BD5C0-1B80-4956-A391-71A8821CF2BE}"/>
    <dgm:cxn modelId="{333F2C85-9478-49F9-B9A4-ED106B456785}" srcId="{BA2A266C-59C5-419B-BC62-859BE4DA8E32}" destId="{C3D45204-58A9-44D1-BE21-89CEF1694F54}" srcOrd="0" destOrd="0" parTransId="{B8947AFC-BF44-4784-BE17-77D701F9E09B}" sibTransId="{9AA38FC5-5E05-4CF4-9A6E-B6AF37BCBB43}"/>
    <dgm:cxn modelId="{A174A688-47DC-438D-A3BC-5E48AC7DB124}" type="presOf" srcId="{0DDD37BB-3D13-4F41-8B38-978FEE44C4E0}" destId="{5B5FF6E0-2B40-4602-9D86-CBE5DFFC961C}" srcOrd="0" destOrd="3" presId="urn:microsoft.com/office/officeart/2005/8/layout/matrix2"/>
    <dgm:cxn modelId="{F1DC6E8B-635F-4050-93BB-09FBF770D453}" srcId="{7220BE7A-228F-4A3A-B7C8-652D67C0BD03}" destId="{1FC7BA9B-0B17-41E6-91CD-1FC1933F120C}" srcOrd="1" destOrd="0" parTransId="{7A5F0F18-E2E6-44AA-BE53-D436BF713A66}" sibTransId="{11DF53B7-870D-4C21-8FD0-7E47E223A7E5}"/>
    <dgm:cxn modelId="{8678E792-1761-46E9-8BA3-20E202A3D6D2}" type="presOf" srcId="{D85D2ABD-9353-4222-81F1-ADCB9AC2B700}" destId="{35D175AF-B5F9-4C4E-8209-AEDE989816E9}" srcOrd="0" destOrd="3" presId="urn:microsoft.com/office/officeart/2005/8/layout/matrix2"/>
    <dgm:cxn modelId="{88B3729D-02BA-4082-AF67-5A8DAB191EEC}" srcId="{02A384B5-F52A-4A62-921B-7A21AD388842}" destId="{42C98E4A-8C3E-4EE8-B424-BA2E27F5C183}" srcOrd="0" destOrd="0" parTransId="{4C3BA20E-7596-4CB1-B931-8093A0BE6CE2}" sibTransId="{56958D9A-1759-47AF-9D3A-E648DB148D87}"/>
    <dgm:cxn modelId="{3CC9B3A0-F091-4522-A405-8C5EB2326879}" srcId="{7220BE7A-228F-4A3A-B7C8-652D67C0BD03}" destId="{433ED951-6886-4FDF-9B50-BD818C35A49E}" srcOrd="0" destOrd="0" parTransId="{89EB3E17-3BD3-4E70-A6C3-422B54FD9A0B}" sibTransId="{018E1637-7945-44C7-9BE4-DB7DD2995D5F}"/>
    <dgm:cxn modelId="{EE7215A5-745E-4B5B-9316-52D818E77CE5}" srcId="{ECF08670-10C9-45A5-A381-F1A80ED575D4}" destId="{153FAF89-037C-41F3-9AF0-CA2AD9638FCC}" srcOrd="1" destOrd="0" parTransId="{54F136FC-4124-436D-97EA-A43F71473984}" sibTransId="{238AF64F-99F7-4712-B93C-10B3F73C8432}"/>
    <dgm:cxn modelId="{F91B87A5-8C7F-4C7B-9AA5-705ED66CF341}" type="presOf" srcId="{A930087B-6CD5-446A-BFD7-FBD45D4EC4F1}" destId="{92042869-8415-41D9-B8C3-0E42A5BBBD05}" srcOrd="0" destOrd="3" presId="urn:microsoft.com/office/officeart/2005/8/layout/matrix2"/>
    <dgm:cxn modelId="{6FFD76A6-9054-4B09-B8A1-478F59327093}" srcId="{ECF08670-10C9-45A5-A381-F1A80ED575D4}" destId="{579E2138-1768-4E2D-95DA-636AE08FFB1A}" srcOrd="2" destOrd="0" parTransId="{37614D94-8577-4E10-9AFE-6356FAFEDE40}" sibTransId="{E06C4329-CCB5-4584-BADF-9548E175522E}"/>
    <dgm:cxn modelId="{71D053AA-FC7E-4D30-A707-AFBE12D16382}" type="presOf" srcId="{DE1D84D1-8CB1-4DEB-9399-82B52E321B20}" destId="{35D175AF-B5F9-4C4E-8209-AEDE989816E9}" srcOrd="0" destOrd="2" presId="urn:microsoft.com/office/officeart/2005/8/layout/matrix2"/>
    <dgm:cxn modelId="{BFAB9CC6-210E-4F32-961D-9B202C0A5561}" type="presOf" srcId="{C3D45204-58A9-44D1-BE21-89CEF1694F54}" destId="{5B5FF6E0-2B40-4602-9D86-CBE5DFFC961C}" srcOrd="0" destOrd="1" presId="urn:microsoft.com/office/officeart/2005/8/layout/matrix2"/>
    <dgm:cxn modelId="{08D858D6-8901-41C4-AB0F-1B53488E4969}" type="presOf" srcId="{B1B8BEB3-D8A8-4B0C-A8B1-21E47C5AE91B}" destId="{5B5FF6E0-2B40-4602-9D86-CBE5DFFC961C}" srcOrd="0" destOrd="2" presId="urn:microsoft.com/office/officeart/2005/8/layout/matrix2"/>
    <dgm:cxn modelId="{8D61D2D7-268D-424F-9BD9-07AF11F18B6E}" type="presOf" srcId="{42C98E4A-8C3E-4EE8-B424-BA2E27F5C183}" destId="{35D175AF-B5F9-4C4E-8209-AEDE989816E9}" srcOrd="0" destOrd="1" presId="urn:microsoft.com/office/officeart/2005/8/layout/matrix2"/>
    <dgm:cxn modelId="{EB4309DC-368D-4D34-8FCF-8690A696E1F7}" type="presOf" srcId="{B86AAE26-0CB6-40C3-BE0C-4288F9A8EDB6}" destId="{F0296484-55E1-41CF-AFAC-EDBA387DA9FF}" srcOrd="0" destOrd="0" presId="urn:microsoft.com/office/officeart/2005/8/layout/matrix2"/>
    <dgm:cxn modelId="{08EDFCDC-8EBB-4E90-BCA4-2D02A8F721EE}" type="presOf" srcId="{579E2138-1768-4E2D-95DA-636AE08FFB1A}" destId="{86267062-C454-4727-BFFB-BCE12A80CB8A}" srcOrd="0" destOrd="3" presId="urn:microsoft.com/office/officeart/2005/8/layout/matrix2"/>
    <dgm:cxn modelId="{356123E9-870D-42F2-83C8-C37533E49620}" srcId="{02A384B5-F52A-4A62-921B-7A21AD388842}" destId="{DE1D84D1-8CB1-4DEB-9399-82B52E321B20}" srcOrd="1" destOrd="0" parTransId="{9DFBC03B-0035-4D89-8011-9A2C3BE00808}" sibTransId="{69963AD7-0F1F-4139-B9B2-0B98BC74BF3C}"/>
    <dgm:cxn modelId="{3A768BEB-C37D-4838-96C6-5EA2B4DE1A33}" srcId="{B86AAE26-0CB6-40C3-BE0C-4288F9A8EDB6}" destId="{02A384B5-F52A-4A62-921B-7A21AD388842}" srcOrd="3" destOrd="0" parTransId="{E8FD2437-118C-4967-83C5-E658E7E5ABC2}" sibTransId="{9086A640-E67B-4A05-BF22-1BD02E9079F6}"/>
    <dgm:cxn modelId="{F2A92DEC-36D6-4A8E-B578-1CE36CF7E9BF}" srcId="{BA2A266C-59C5-419B-BC62-859BE4DA8E32}" destId="{0DDD37BB-3D13-4F41-8B38-978FEE44C4E0}" srcOrd="2" destOrd="0" parTransId="{B6B90BD9-7227-4B44-8334-75CA4F1AE4B9}" sibTransId="{B7F782DE-1DEA-46B4-A4E1-9ED9A2E18FD2}"/>
    <dgm:cxn modelId="{6332DADA-2DAE-4698-9D3A-7EFCC1725D4F}" type="presParOf" srcId="{F0296484-55E1-41CF-AFAC-EDBA387DA9FF}" destId="{48D699F6-D3F1-465C-AF79-ECB10395F5FA}" srcOrd="0" destOrd="0" presId="urn:microsoft.com/office/officeart/2005/8/layout/matrix2"/>
    <dgm:cxn modelId="{1101C9B7-291F-447A-A11F-7411BBAC9383}" type="presParOf" srcId="{F0296484-55E1-41CF-AFAC-EDBA387DA9FF}" destId="{86267062-C454-4727-BFFB-BCE12A80CB8A}" srcOrd="1" destOrd="0" presId="urn:microsoft.com/office/officeart/2005/8/layout/matrix2"/>
    <dgm:cxn modelId="{CABDA9E5-F304-4919-952D-E3AE326A474A}" type="presParOf" srcId="{F0296484-55E1-41CF-AFAC-EDBA387DA9FF}" destId="{92042869-8415-41D9-B8C3-0E42A5BBBD05}" srcOrd="2" destOrd="0" presId="urn:microsoft.com/office/officeart/2005/8/layout/matrix2"/>
    <dgm:cxn modelId="{63D93761-EF1A-4CE7-8F10-D672800F2AA0}" type="presParOf" srcId="{F0296484-55E1-41CF-AFAC-EDBA387DA9FF}" destId="{5B5FF6E0-2B40-4602-9D86-CBE5DFFC961C}" srcOrd="3" destOrd="0" presId="urn:microsoft.com/office/officeart/2005/8/layout/matrix2"/>
    <dgm:cxn modelId="{A54603CA-9D4C-4261-9BF0-8B5DBC13ADD6}" type="presParOf" srcId="{F0296484-55E1-41CF-AFAC-EDBA387DA9FF}" destId="{35D175AF-B5F9-4C4E-8209-AEDE989816E9}" srcOrd="4" destOrd="0" presId="urn:microsoft.com/office/officeart/2005/8/layout/matrix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7AF6EA-7964-4DFC-8249-6D345D3406C4}">
      <dsp:nvSpPr>
        <dsp:cNvPr id="0" name=""/>
        <dsp:cNvSpPr/>
      </dsp:nvSpPr>
      <dsp:spPr>
        <a:xfrm>
          <a:off x="3372802" y="2266950"/>
          <a:ext cx="1646872" cy="106680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Expand copper, nickel and potash portfolio</a:t>
          </a:r>
        </a:p>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Develop lower-carbon mineral solutions</a:t>
          </a:r>
        </a:p>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Meet growing clean energy demand</a:t>
          </a:r>
        </a:p>
      </dsp:txBody>
      <dsp:txXfrm>
        <a:off x="3890298" y="2557084"/>
        <a:ext cx="1105942" cy="753232"/>
      </dsp:txXfrm>
    </dsp:sp>
    <dsp:sp modelId="{F6E48F3A-E0B8-4607-8518-7771650EEBE9}">
      <dsp:nvSpPr>
        <dsp:cNvPr id="0" name=""/>
        <dsp:cNvSpPr/>
      </dsp:nvSpPr>
      <dsp:spPr>
        <a:xfrm>
          <a:off x="685799" y="2266950"/>
          <a:ext cx="1646872" cy="106680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Enter new industries or businesses</a:t>
          </a:r>
        </a:p>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High investment and operational risk</a:t>
          </a:r>
        </a:p>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Limited alignment with core capabilities</a:t>
          </a:r>
        </a:p>
      </dsp:txBody>
      <dsp:txXfrm>
        <a:off x="709233" y="2557084"/>
        <a:ext cx="1105942" cy="753232"/>
      </dsp:txXfrm>
    </dsp:sp>
    <dsp:sp modelId="{8AAE8B3B-7420-4F01-9195-6973C320E226}">
      <dsp:nvSpPr>
        <dsp:cNvPr id="0" name=""/>
        <dsp:cNvSpPr/>
      </dsp:nvSpPr>
      <dsp:spPr>
        <a:xfrm>
          <a:off x="3372802" y="0"/>
          <a:ext cx="1646872" cy="106680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Expand into new geographic markets</a:t>
          </a:r>
        </a:p>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BHP already has a global presence</a:t>
          </a:r>
        </a:p>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Limited strategic potential</a:t>
          </a:r>
        </a:p>
      </dsp:txBody>
      <dsp:txXfrm>
        <a:off x="3890298" y="23434"/>
        <a:ext cx="1105942" cy="753232"/>
      </dsp:txXfrm>
    </dsp:sp>
    <dsp:sp modelId="{84EE787D-2396-4BF0-A1E9-D6F980B96855}">
      <dsp:nvSpPr>
        <dsp:cNvPr id="0" name=""/>
        <dsp:cNvSpPr/>
      </dsp:nvSpPr>
      <dsp:spPr>
        <a:xfrm>
          <a:off x="685799" y="0"/>
          <a:ext cx="1646872" cy="1066800"/>
        </a:xfrm>
        <a:prstGeom prst="roundRect">
          <a:avLst>
            <a:gd name="adj" fmla="val 10000"/>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Increase sales of existing minerals</a:t>
          </a:r>
        </a:p>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Mature iron ore market</a:t>
          </a:r>
        </a:p>
        <a:p>
          <a:pPr marL="57150" lvl="1" indent="-57150" algn="l" defTabSz="311150">
            <a:lnSpc>
              <a:spcPct val="90000"/>
            </a:lnSpc>
            <a:spcBef>
              <a:spcPct val="0"/>
            </a:spcBef>
            <a:spcAft>
              <a:spcPct val="15000"/>
            </a:spcAft>
            <a:buChar char="•"/>
          </a:pPr>
          <a:r>
            <a:rPr lang="en-US" sz="700" kern="1200">
              <a:solidFill>
                <a:sysClr val="windowText" lastClr="000000"/>
              </a:solidFill>
              <a:latin typeface="Arial" panose="020B0604020202020204" pitchFamily="34" charset="0"/>
              <a:cs typeface="Arial" panose="020B0604020202020204" pitchFamily="34" charset="0"/>
            </a:rPr>
            <a:t>Limited growth opportunity</a:t>
          </a:r>
        </a:p>
      </dsp:txBody>
      <dsp:txXfrm>
        <a:off x="709233" y="23434"/>
        <a:ext cx="1105942" cy="753232"/>
      </dsp:txXfrm>
    </dsp:sp>
    <dsp:sp modelId="{38CBDAC5-EE6D-422E-9424-12F969BA1CC5}">
      <dsp:nvSpPr>
        <dsp:cNvPr id="0" name=""/>
        <dsp:cNvSpPr/>
      </dsp:nvSpPr>
      <dsp:spPr>
        <a:xfrm>
          <a:off x="1375886" y="190023"/>
          <a:ext cx="1443513" cy="1443513"/>
        </a:xfrm>
        <a:prstGeom prst="pieWedge">
          <a:avLst/>
        </a:prstGeom>
        <a:solidFill>
          <a:schemeClr val="accent2">
            <a:shade val="50000"/>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latin typeface="Arial" panose="020B0604020202020204" pitchFamily="34" charset="0"/>
              <a:cs typeface="Arial" panose="020B0604020202020204" pitchFamily="34" charset="0"/>
            </a:rPr>
            <a:t>Market Penetration</a:t>
          </a:r>
        </a:p>
      </dsp:txBody>
      <dsp:txXfrm>
        <a:off x="1798681" y="612818"/>
        <a:ext cx="1020718" cy="1020718"/>
      </dsp:txXfrm>
    </dsp:sp>
    <dsp:sp modelId="{B0DB5D87-C891-4063-A0FD-1B1CF7F50A15}">
      <dsp:nvSpPr>
        <dsp:cNvPr id="0" name=""/>
        <dsp:cNvSpPr/>
      </dsp:nvSpPr>
      <dsp:spPr>
        <a:xfrm rot="5400000">
          <a:off x="2886075" y="190023"/>
          <a:ext cx="1443513" cy="1443513"/>
        </a:xfrm>
        <a:prstGeom prst="pieWedge">
          <a:avLst/>
        </a:prstGeom>
        <a:solidFill>
          <a:schemeClr val="accent2">
            <a:shade val="50000"/>
            <a:hueOff val="-20742"/>
            <a:satOff val="-4204"/>
            <a:lumOff val="2312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latin typeface="Arial" panose="020B0604020202020204" pitchFamily="34" charset="0"/>
              <a:cs typeface="Arial" panose="020B0604020202020204" pitchFamily="34" charset="0"/>
            </a:rPr>
            <a:t>Market Development</a:t>
          </a:r>
        </a:p>
      </dsp:txBody>
      <dsp:txXfrm rot="-5400000">
        <a:off x="2886075" y="612818"/>
        <a:ext cx="1020718" cy="1020718"/>
      </dsp:txXfrm>
    </dsp:sp>
    <dsp:sp modelId="{D4315B55-EA37-4004-8AB9-01A4EE1D9D46}">
      <dsp:nvSpPr>
        <dsp:cNvPr id="0" name=""/>
        <dsp:cNvSpPr/>
      </dsp:nvSpPr>
      <dsp:spPr>
        <a:xfrm rot="10800000">
          <a:off x="2876547" y="1681158"/>
          <a:ext cx="1443513" cy="1443513"/>
        </a:xfrm>
        <a:prstGeom prst="pieWedge">
          <a:avLst/>
        </a:prstGeom>
        <a:solidFill>
          <a:schemeClr val="accent2">
            <a:shade val="50000"/>
            <a:hueOff val="-41484"/>
            <a:satOff val="-8409"/>
            <a:lumOff val="46251"/>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latin typeface="Arial" panose="020B0604020202020204" pitchFamily="34" charset="0"/>
              <a:cs typeface="Arial" panose="020B0604020202020204" pitchFamily="34" charset="0"/>
            </a:rPr>
            <a:t>Product Development </a:t>
          </a:r>
        </a:p>
      </dsp:txBody>
      <dsp:txXfrm rot="10800000">
        <a:off x="2876547" y="1681158"/>
        <a:ext cx="1020718" cy="1020718"/>
      </dsp:txXfrm>
    </dsp:sp>
    <dsp:sp modelId="{C83482AB-0993-4F62-AB75-E53E1DDE025D}">
      <dsp:nvSpPr>
        <dsp:cNvPr id="0" name=""/>
        <dsp:cNvSpPr/>
      </dsp:nvSpPr>
      <dsp:spPr>
        <a:xfrm rot="16200000">
          <a:off x="1375886" y="1700212"/>
          <a:ext cx="1443513" cy="1443513"/>
        </a:xfrm>
        <a:prstGeom prst="pieWedge">
          <a:avLst/>
        </a:prstGeom>
        <a:solidFill>
          <a:schemeClr val="accent2">
            <a:shade val="50000"/>
            <a:hueOff val="-20742"/>
            <a:satOff val="-4204"/>
            <a:lumOff val="2312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a:solidFill>
                <a:sysClr val="windowText" lastClr="000000"/>
              </a:solidFill>
              <a:latin typeface="Arial" panose="020B0604020202020204" pitchFamily="34" charset="0"/>
              <a:cs typeface="Arial" panose="020B0604020202020204" pitchFamily="34" charset="0"/>
            </a:rPr>
            <a:t>Diversification</a:t>
          </a:r>
        </a:p>
      </dsp:txBody>
      <dsp:txXfrm rot="5400000">
        <a:off x="1798681" y="1700212"/>
        <a:ext cx="1020718" cy="1020718"/>
      </dsp:txXfrm>
    </dsp:sp>
    <dsp:sp modelId="{BAE3F41E-8301-47AF-991A-ABC51D6B0816}">
      <dsp:nvSpPr>
        <dsp:cNvPr id="0" name=""/>
        <dsp:cNvSpPr/>
      </dsp:nvSpPr>
      <dsp:spPr>
        <a:xfrm>
          <a:off x="2603539" y="1366837"/>
          <a:ext cx="498395" cy="433387"/>
        </a:xfrm>
        <a:prstGeom prst="circularArrow">
          <a:avLst/>
        </a:prstGeom>
        <a:solidFill>
          <a:schemeClr val="accent2">
            <a:tint val="55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DCE0C870-412C-4E61-B0EF-5956F4CCB72F}">
      <dsp:nvSpPr>
        <dsp:cNvPr id="0" name=""/>
        <dsp:cNvSpPr/>
      </dsp:nvSpPr>
      <dsp:spPr>
        <a:xfrm rot="10800000">
          <a:off x="2603539" y="1533525"/>
          <a:ext cx="498395" cy="433387"/>
        </a:xfrm>
        <a:prstGeom prst="circularArrow">
          <a:avLst/>
        </a:prstGeom>
        <a:solidFill>
          <a:schemeClr val="accent2">
            <a:tint val="55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D699F6-D3F1-465C-AF79-ECB10395F5FA}">
      <dsp:nvSpPr>
        <dsp:cNvPr id="0" name=""/>
        <dsp:cNvSpPr/>
      </dsp:nvSpPr>
      <dsp:spPr>
        <a:xfrm>
          <a:off x="1157287" y="0"/>
          <a:ext cx="3381375" cy="3381375"/>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6267062-C454-4727-BFFB-BCE12A80CB8A}">
      <dsp:nvSpPr>
        <dsp:cNvPr id="0" name=""/>
        <dsp:cNvSpPr/>
      </dsp:nvSpPr>
      <dsp:spPr>
        <a:xfrm>
          <a:off x="1377076" y="219789"/>
          <a:ext cx="1352550" cy="1352550"/>
        </a:xfrm>
        <a:prstGeom prst="round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a:effectLst/>
      </dsp:spPr>
      <dsp:style>
        <a:lnRef idx="0">
          <a:scrgbClr r="0" g="0" b="0"/>
        </a:lnRef>
        <a:fillRef idx="0">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just" defTabSz="444500">
            <a:lnSpc>
              <a:spcPct val="90000"/>
            </a:lnSpc>
            <a:spcBef>
              <a:spcPct val="0"/>
            </a:spcBef>
            <a:spcAft>
              <a:spcPct val="35000"/>
            </a:spcAft>
            <a:buNone/>
          </a:pPr>
          <a:r>
            <a:rPr lang="en-US" sz="1000" b="0" kern="1200">
              <a:solidFill>
                <a:sysClr val="windowText" lastClr="000000"/>
              </a:solidFill>
              <a:latin typeface="Arial" panose="020B0604020202020204" pitchFamily="34" charset="0"/>
              <a:cs typeface="Arial" panose="020B0604020202020204" pitchFamily="34" charset="0"/>
            </a:rPr>
            <a:t>Cost Leadership</a:t>
          </a:r>
          <a:endParaRPr lang="en-US" sz="1000" kern="1200">
            <a:solidFill>
              <a:sysClr val="windowText" lastClr="000000"/>
            </a:solidFill>
            <a:latin typeface="Arial" panose="020B0604020202020204" pitchFamily="34" charset="0"/>
            <a:cs typeface="Arial" panose="020B0604020202020204" pitchFamily="34" charset="0"/>
          </a:endParaRP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Large-scale mining operation s </a:t>
          </a: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Automation and operational efficiency </a:t>
          </a: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Low-cost iron ore production </a:t>
          </a:r>
        </a:p>
      </dsp:txBody>
      <dsp:txXfrm>
        <a:off x="1443102" y="285815"/>
        <a:ext cx="1220498" cy="1220498"/>
      </dsp:txXfrm>
    </dsp:sp>
    <dsp:sp modelId="{92042869-8415-41D9-B8C3-0E42A5BBBD05}">
      <dsp:nvSpPr>
        <dsp:cNvPr id="0" name=""/>
        <dsp:cNvSpPr/>
      </dsp:nvSpPr>
      <dsp:spPr>
        <a:xfrm>
          <a:off x="2966323" y="219789"/>
          <a:ext cx="1352550" cy="1352550"/>
        </a:xfrm>
        <a:prstGeom prst="roundRect">
          <a:avLst/>
        </a:prstGeom>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a:effectLst/>
      </dsp:spPr>
      <dsp:style>
        <a:lnRef idx="0">
          <a:scrgbClr r="0" g="0" b="0"/>
        </a:lnRef>
        <a:fillRef idx="0">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just" defTabSz="444500">
            <a:lnSpc>
              <a:spcPct val="90000"/>
            </a:lnSpc>
            <a:spcBef>
              <a:spcPct val="0"/>
            </a:spcBef>
            <a:spcAft>
              <a:spcPct val="35000"/>
            </a:spcAft>
            <a:buNone/>
          </a:pPr>
          <a:r>
            <a:rPr lang="en-US" sz="1000" b="0" kern="1200">
              <a:solidFill>
                <a:sysClr val="windowText" lastClr="000000"/>
              </a:solidFill>
              <a:latin typeface="Arial" panose="020B0604020202020204" pitchFamily="34" charset="0"/>
              <a:cs typeface="Arial" panose="020B0604020202020204" pitchFamily="34" charset="0"/>
            </a:rPr>
            <a:t>Differentiation</a:t>
          </a:r>
          <a:endParaRPr lang="en-US" sz="1000" kern="1200">
            <a:solidFill>
              <a:sysClr val="windowText" lastClr="000000"/>
            </a:solidFill>
            <a:latin typeface="Arial" panose="020B0604020202020204" pitchFamily="34" charset="0"/>
            <a:cs typeface="Arial" panose="020B0604020202020204" pitchFamily="34" charset="0"/>
          </a:endParaRP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Responsibly sourced critical minerals </a:t>
          </a: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Lower-carbon value chain partnerships </a:t>
          </a: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Strong ESG and sustainability leadership </a:t>
          </a:r>
        </a:p>
      </dsp:txBody>
      <dsp:txXfrm>
        <a:off x="3032349" y="285815"/>
        <a:ext cx="1220498" cy="1220498"/>
      </dsp:txXfrm>
    </dsp:sp>
    <dsp:sp modelId="{5B5FF6E0-2B40-4602-9D86-CBE5DFFC961C}">
      <dsp:nvSpPr>
        <dsp:cNvPr id="0" name=""/>
        <dsp:cNvSpPr/>
      </dsp:nvSpPr>
      <dsp:spPr>
        <a:xfrm>
          <a:off x="1377076" y="1809035"/>
          <a:ext cx="1352550" cy="1352550"/>
        </a:xfrm>
        <a:prstGeom prst="roundRect">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a:effectLst/>
      </dsp:spPr>
      <dsp:style>
        <a:lnRef idx="0">
          <a:scrgbClr r="0" g="0" b="0"/>
        </a:lnRef>
        <a:fillRef idx="0">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just" defTabSz="444500">
            <a:lnSpc>
              <a:spcPct val="90000"/>
            </a:lnSpc>
            <a:spcBef>
              <a:spcPct val="0"/>
            </a:spcBef>
            <a:spcAft>
              <a:spcPct val="35000"/>
            </a:spcAft>
            <a:buNone/>
          </a:pPr>
          <a:r>
            <a:rPr lang="en-US" sz="1000" b="0" kern="1200">
              <a:solidFill>
                <a:sysClr val="windowText" lastClr="000000"/>
              </a:solidFill>
              <a:latin typeface="Arial" panose="020B0604020202020204" pitchFamily="34" charset="0"/>
              <a:cs typeface="Arial" panose="020B0604020202020204" pitchFamily="34" charset="0"/>
            </a:rPr>
            <a:t>Cost Focus</a:t>
          </a:r>
          <a:endParaRPr lang="en-US" sz="1000" kern="1200">
            <a:solidFill>
              <a:sysClr val="windowText" lastClr="000000"/>
            </a:solidFill>
            <a:latin typeface="Arial" panose="020B0604020202020204" pitchFamily="34" charset="0"/>
            <a:cs typeface="Arial" panose="020B0604020202020204" pitchFamily="34" charset="0"/>
          </a:endParaRP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Efficient production in core mining assets </a:t>
          </a: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Optimised resource utilisation </a:t>
          </a: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Limited strategic emphasis </a:t>
          </a:r>
        </a:p>
      </dsp:txBody>
      <dsp:txXfrm>
        <a:off x="1443102" y="1875061"/>
        <a:ext cx="1220498" cy="1220498"/>
      </dsp:txXfrm>
    </dsp:sp>
    <dsp:sp modelId="{35D175AF-B5F9-4C4E-8209-AEDE989816E9}">
      <dsp:nvSpPr>
        <dsp:cNvPr id="0" name=""/>
        <dsp:cNvSpPr/>
      </dsp:nvSpPr>
      <dsp:spPr>
        <a:xfrm>
          <a:off x="2966323" y="1809035"/>
          <a:ext cx="1352550" cy="1352550"/>
        </a:xfrm>
        <a:prstGeom prst="roundRec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a:effectLst/>
      </dsp:spPr>
      <dsp:style>
        <a:lnRef idx="0">
          <a:scrgbClr r="0" g="0" b="0"/>
        </a:lnRef>
        <a:fillRef idx="0">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just" defTabSz="444500">
            <a:lnSpc>
              <a:spcPct val="90000"/>
            </a:lnSpc>
            <a:spcBef>
              <a:spcPct val="0"/>
            </a:spcBef>
            <a:spcAft>
              <a:spcPct val="35000"/>
            </a:spcAft>
            <a:buNone/>
          </a:pPr>
          <a:r>
            <a:rPr lang="en-US" sz="1000" b="0" kern="1200">
              <a:solidFill>
                <a:sysClr val="windowText" lastClr="000000"/>
              </a:solidFill>
              <a:latin typeface="Arial" panose="020B0604020202020204" pitchFamily="34" charset="0"/>
              <a:cs typeface="Arial" panose="020B0604020202020204" pitchFamily="34" charset="0"/>
            </a:rPr>
            <a:t>Differentiation Focus</a:t>
          </a:r>
          <a:endParaRPr lang="en-US" sz="1000" kern="1200">
            <a:solidFill>
              <a:sysClr val="windowText" lastClr="000000"/>
            </a:solidFill>
            <a:latin typeface="Arial" panose="020B0604020202020204" pitchFamily="34" charset="0"/>
            <a:cs typeface="Arial" panose="020B0604020202020204" pitchFamily="34" charset="0"/>
          </a:endParaRP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Copper, nickel and potash for clean energy </a:t>
          </a: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Decarbonisation solutions for customers </a:t>
          </a:r>
        </a:p>
        <a:p>
          <a:pPr marL="57150" lvl="1" indent="-57150" algn="just" defTabSz="355600">
            <a:lnSpc>
              <a:spcPct val="90000"/>
            </a:lnSpc>
            <a:spcBef>
              <a:spcPct val="0"/>
            </a:spcBef>
            <a:spcAft>
              <a:spcPct val="15000"/>
            </a:spcAft>
            <a:buChar char="•"/>
          </a:pPr>
          <a:r>
            <a:rPr lang="en-US" sz="800" kern="1200">
              <a:solidFill>
                <a:sysClr val="windowText" lastClr="000000"/>
              </a:solidFill>
              <a:latin typeface="Arial" panose="020B0604020202020204" pitchFamily="34" charset="0"/>
              <a:cs typeface="Arial" panose="020B0604020202020204" pitchFamily="34" charset="0"/>
            </a:rPr>
            <a:t>Strategic partnerships in green innovation</a:t>
          </a:r>
        </a:p>
      </dsp:txBody>
      <dsp:txXfrm>
        <a:off x="3032349" y="1875061"/>
        <a:ext cx="1220498" cy="1220498"/>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8D494-1AD6-4197-8EF0-82916D309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19</Pages>
  <Words>4630</Words>
  <Characters>26395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Savitri Gorkha</cp:lastModifiedBy>
  <cp:revision>15</cp:revision>
  <dcterms:created xsi:type="dcterms:W3CDTF">2026-07-15T13:14:00Z</dcterms:created>
  <dcterms:modified xsi:type="dcterms:W3CDTF">2026-07-23T13:57:00Z</dcterms:modified>
</cp:coreProperties>
</file>