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9F1764" wp14:paraId="1C72B450" wp14:textId="5668DCE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59F1764" wp14:paraId="46B7CC18" wp14:textId="7108FB0F">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7FC03F57">
        <w:drawing>
          <wp:inline xmlns:wp14="http://schemas.microsoft.com/office/word/2010/wordprocessingDrawing" wp14:editId="60635221" wp14:anchorId="1F41BA83">
            <wp:extent cx="1619250" cy="628650"/>
            <wp:effectExtent l="0" t="0" r="0" b="0"/>
            <wp:docPr id="538058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8058013" name="Picture 538058013"/>
                    <pic:cNvPicPr/>
                  </pic:nvPicPr>
                  <pic:blipFill>
                    <a:blip xmlns:r="http://schemas.openxmlformats.org/officeDocument/2006/relationships" r:embed="rId1462616971">
                      <a:extLst>
                        <a:ext uri="{28A0092B-C50C-407E-A947-70E740481C1C}">
                          <a14:useLocalDpi xmlns:a14="http://schemas.microsoft.com/office/drawing/2010/main"/>
                        </a:ext>
                      </a:extLst>
                    </a:blip>
                    <a:stretch>
                      <a:fillRect/>
                    </a:stretch>
                  </pic:blipFill>
                  <pic:spPr>
                    <a:xfrm>
                      <a:off x="0" y="0"/>
                      <a:ext cx="1619250" cy="628650"/>
                    </a:xfrm>
                    <a:prstGeom prst="rect">
                      <a:avLst/>
                    </a:prstGeom>
                  </pic:spPr>
                </pic:pic>
              </a:graphicData>
            </a:graphic>
          </wp:inline>
        </w:drawing>
      </w:r>
    </w:p>
    <w:p xmlns:wp14="http://schemas.microsoft.com/office/word/2010/wordml" w:rsidP="659F1764" wp14:paraId="2F1460E6" wp14:textId="0A0E1C59">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59F1764" wp14:paraId="204FDD0D" wp14:textId="35124045">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59F1764" wp14:paraId="60FB9EA3" wp14:textId="475FC12D">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59F1764" w:rsidR="7FC03F57">
        <w:rPr>
          <w:rFonts w:ascii="Arial" w:hAnsi="Arial" w:eastAsia="Arial" w:cs="Arial"/>
          <w:b w:val="1"/>
          <w:bCs w:val="1"/>
          <w:i w:val="0"/>
          <w:iCs w:val="0"/>
          <w:caps w:val="0"/>
          <w:smallCaps w:val="0"/>
          <w:noProof w:val="0"/>
          <w:color w:val="000000" w:themeColor="text1" w:themeTint="FF" w:themeShade="FF"/>
          <w:sz w:val="24"/>
          <w:szCs w:val="24"/>
          <w:lang w:val="en-GB"/>
        </w:rPr>
        <w:t>UNDERGRADUATE DISSERTATION</w:t>
      </w:r>
    </w:p>
    <w:p xmlns:wp14="http://schemas.microsoft.com/office/word/2010/wordml" w:rsidP="659F1764" wp14:paraId="502B9FB5" wp14:textId="3959E815">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59F1764" w:rsidR="7FC03F57">
        <w:rPr>
          <w:rFonts w:ascii="Arial" w:hAnsi="Arial" w:eastAsia="Arial" w:cs="Arial"/>
          <w:b w:val="1"/>
          <w:bCs w:val="1"/>
          <w:i w:val="0"/>
          <w:iCs w:val="0"/>
          <w:caps w:val="0"/>
          <w:smallCaps w:val="0"/>
          <w:noProof w:val="0"/>
          <w:color w:val="000000" w:themeColor="text1" w:themeTint="FF" w:themeShade="FF"/>
          <w:sz w:val="24"/>
          <w:szCs w:val="24"/>
          <w:lang w:val="en-GB"/>
        </w:rPr>
        <w:t>RESEARCH PROPOSAL FORM</w:t>
      </w:r>
    </w:p>
    <w:p xmlns:wp14="http://schemas.microsoft.com/office/word/2010/wordml" w:rsidP="659F1764" wp14:paraId="67A84635" wp14:textId="5DB67479">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59F1764" w:rsidR="7FC03F5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7050"/>
        <w:gridCol w:w="3405"/>
      </w:tblGrid>
      <w:tr w:rsidR="659F1764" w:rsidTr="659F1764" w14:paraId="53F50DDB">
        <w:trPr>
          <w:trHeight w:val="510"/>
        </w:trPr>
        <w:tc>
          <w:tcPr>
            <w:tcW w:w="7050" w:type="dxa"/>
            <w:tcBorders>
              <w:top w:val="single" w:sz="6"/>
              <w:left w:val="single" w:sz="6"/>
              <w:bottom w:val="single" w:sz="6"/>
              <w:right w:val="single" w:sz="6"/>
            </w:tcBorders>
            <w:tcMar>
              <w:left w:w="105" w:type="dxa"/>
              <w:right w:w="105" w:type="dxa"/>
            </w:tcMar>
            <w:vAlign w:val="top"/>
          </w:tcPr>
          <w:p w:rsidR="659F1764" w:rsidP="659F1764" w:rsidRDefault="659F1764" w14:paraId="3F5CA37B" w14:textId="7AC2CD21">
            <w:pPr>
              <w:pStyle w:val="BodyText"/>
              <w:spacing w:after="0"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 xml:space="preserve">NAME: </w:t>
            </w:r>
          </w:p>
          <w:p w:rsidR="659F1764" w:rsidP="659F1764" w:rsidRDefault="659F1764" w14:paraId="236ED62D" w14:textId="1E463FE3">
            <w:pPr>
              <w:spacing w:after="0" w:line="360" w:lineRule="auto"/>
              <w:jc w:val="both"/>
              <w:rPr>
                <w:rFonts w:ascii="Arial" w:hAnsi="Arial" w:eastAsia="Arial" w:cs="Arial"/>
                <w:b w:val="0"/>
                <w:bCs w:val="0"/>
                <w:i w:val="0"/>
                <w:iCs w:val="0"/>
                <w:sz w:val="24"/>
                <w:szCs w:val="24"/>
              </w:rPr>
            </w:pPr>
          </w:p>
          <w:p w:rsidR="659F1764" w:rsidP="659F1764" w:rsidRDefault="659F1764" w14:paraId="1E08813B" w14:textId="51752AA8">
            <w:pPr>
              <w:pStyle w:val="BodyText"/>
              <w:spacing w:after="0"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Calan Wilkins</w:t>
            </w:r>
          </w:p>
        </w:tc>
        <w:tc>
          <w:tcPr>
            <w:tcW w:w="3405" w:type="dxa"/>
            <w:tcBorders>
              <w:top w:val="single" w:sz="6"/>
              <w:left w:val="single" w:sz="6"/>
              <w:bottom w:val="single" w:sz="6"/>
              <w:right w:val="single" w:sz="6"/>
            </w:tcBorders>
            <w:tcMar/>
            <w:vAlign w:val="top"/>
          </w:tcPr>
          <w:p w:rsidR="659F1764" w:rsidP="659F1764" w:rsidRDefault="659F1764" w14:paraId="4B5EB805" w14:textId="2A20252B">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 xml:space="preserve"> ID No.: </w:t>
            </w:r>
          </w:p>
          <w:p w:rsidR="659F1764" w:rsidP="659F1764" w:rsidRDefault="659F1764" w14:paraId="25018276" w14:textId="335EAEB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 xml:space="preserve"> </w:t>
            </w:r>
            <w:r w:rsidRPr="659F1764" w:rsidR="659F1764">
              <w:rPr>
                <w:rFonts w:ascii="Arial" w:hAnsi="Arial" w:eastAsia="Arial" w:cs="Arial"/>
                <w:b w:val="0"/>
                <w:bCs w:val="0"/>
                <w:i w:val="0"/>
                <w:iCs w:val="0"/>
                <w:sz w:val="24"/>
                <w:szCs w:val="24"/>
                <w:lang w:val="en-GB"/>
              </w:rPr>
              <w:t>2400656</w:t>
            </w:r>
          </w:p>
        </w:tc>
      </w:tr>
      <w:tr w:rsidR="659F1764" w:rsidTr="659F1764" w14:paraId="08769A88">
        <w:trPr>
          <w:trHeight w:val="2280"/>
        </w:trPr>
        <w:tc>
          <w:tcPr>
            <w:tcW w:w="10455"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659F1764" w:rsidP="659F1764" w:rsidRDefault="659F1764" w14:paraId="176089C1" w14:textId="46535C4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DRAFT RESEARCH TITLE QUESTION:</w:t>
            </w:r>
          </w:p>
          <w:p w:rsidR="659F1764" w:rsidP="659F1764" w:rsidRDefault="659F1764" w14:paraId="5549D9D2" w14:textId="5D4BEB01">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“He Did It, She Snapped”: A critical comparison of the gendered media portrayal of domestic abuse perpetrators in England and Wales.</w:t>
            </w:r>
          </w:p>
          <w:p w:rsidR="659F1764" w:rsidP="659F1764" w:rsidRDefault="659F1764" w14:paraId="1A4C0F57" w14:textId="45A4760D">
            <w:pPr>
              <w:tabs>
                <w:tab w:val="left" w:leader="none" w:pos="1860"/>
              </w:tabs>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This is a worthy topic for an undergraduate dissertation as domestic abuse is a highly relevant topic in England and Wales, and the media plays a significant role in shaping and framing public perceptions. There is plenty of research that focuses on male perpetrators and female victims with limited research on the opposite side; this study will shine a light on both sides comparatively and provide understanding of how gendered narratives influence perceptions of domestic abuse and victimhood within contemporary society. </w:t>
            </w:r>
          </w:p>
        </w:tc>
      </w:tr>
      <w:tr w:rsidR="659F1764" w:rsidTr="659F1764" w14:paraId="65D2A908">
        <w:trPr>
          <w:trHeight w:val="2415"/>
        </w:trPr>
        <w:tc>
          <w:tcPr>
            <w:tcW w:w="10455" w:type="dxa"/>
            <w:gridSpan w:val="2"/>
            <w:tcBorders>
              <w:top w:val="single" w:sz="6"/>
              <w:left w:val="single" w:sz="6"/>
              <w:bottom w:val="single" w:sz="6"/>
              <w:right w:val="single" w:sz="6"/>
            </w:tcBorders>
            <w:tcMar>
              <w:left w:w="105" w:type="dxa"/>
              <w:right w:w="105" w:type="dxa"/>
            </w:tcMar>
            <w:vAlign w:val="top"/>
          </w:tcPr>
          <w:p w:rsidR="659F1764" w:rsidP="659F1764" w:rsidRDefault="659F1764" w14:paraId="1756B4DF" w14:textId="10C48D9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 xml:space="preserve">SUMMARY OF RESEARCH AIM &amp; OBJECTIVES: </w:t>
            </w:r>
          </w:p>
          <w:p w:rsidR="659F1764" w:rsidP="659F1764" w:rsidRDefault="659F1764" w14:paraId="2B81BD90" w14:textId="7C47C6DA">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Aim - a key aim within this study is to explore and identify the contrasting portrayals of male and female perpetrators of domestic abuse across different media outlets. A critical element of this study is to examine how gendered narratives and media framing contribute to societal perceptions of domestic abuse, specifically in relation to blame, victimisation, seriousness, and stigmatisation. </w:t>
            </w:r>
          </w:p>
          <w:p w:rsidR="659F1764" w:rsidP="659F1764" w:rsidRDefault="659F1764" w14:paraId="48B69880" w14:textId="722BD00B">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Objectives: </w:t>
            </w:r>
          </w:p>
          <w:p w:rsidR="659F1764" w:rsidP="659F1764" w:rsidRDefault="659F1764" w14:paraId="05DA1A75" w14:textId="57D93BA1">
            <w:pPr>
              <w:pStyle w:val="ListParagraph"/>
              <w:numPr>
                <w:ilvl w:val="0"/>
                <w:numId w:val="1"/>
              </w:num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Distinguish the differences in media portrayals of male and female perpetrators of domestic abuse across various media outlets. </w:t>
            </w:r>
          </w:p>
          <w:p w:rsidR="659F1764" w:rsidP="659F1764" w:rsidRDefault="659F1764" w14:paraId="59A54E0E" w14:textId="2982B704">
            <w:pPr>
              <w:pStyle w:val="ListParagraph"/>
              <w:numPr>
                <w:ilvl w:val="0"/>
                <w:numId w:val="2"/>
              </w:num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Examine the role the media plays in reinforcing gender stereotypes and in influencing societal perceptions of domestic abuse. </w:t>
            </w:r>
          </w:p>
          <w:p w:rsidR="659F1764" w:rsidP="659F1764" w:rsidRDefault="659F1764" w14:paraId="5A022624" w14:textId="21DBD408">
            <w:pPr>
              <w:pStyle w:val="ListParagraph"/>
              <w:numPr>
                <w:ilvl w:val="0"/>
                <w:numId w:val="3"/>
              </w:numPr>
              <w:spacing w:line="360" w:lineRule="auto"/>
              <w:jc w:val="both"/>
              <w:rPr>
                <w:rFonts w:ascii="Arial" w:hAnsi="Arial" w:eastAsia="Arial" w:cs="Arial"/>
                <w:b w:val="0"/>
                <w:bCs w:val="0"/>
                <w:i w:val="0"/>
                <w:iCs w:val="0"/>
                <w:sz w:val="24"/>
                <w:szCs w:val="24"/>
                <w:lang w:val="en-GB"/>
              </w:rPr>
            </w:pPr>
            <w:r w:rsidRPr="659F1764" w:rsidR="659F1764">
              <w:rPr>
                <w:rFonts w:ascii="Arial" w:hAnsi="Arial" w:eastAsia="Arial" w:cs="Arial"/>
                <w:b w:val="0"/>
                <w:bCs w:val="0"/>
                <w:i w:val="0"/>
                <w:iCs w:val="0"/>
                <w:sz w:val="24"/>
                <w:szCs w:val="24"/>
                <w:lang w:val="en-GB"/>
              </w:rPr>
              <w:t>Analyse </w:t>
            </w:r>
            <w:r w:rsidRPr="659F1764" w:rsidR="608F73A4">
              <w:rPr>
                <w:rFonts w:ascii="Arial" w:hAnsi="Arial" w:eastAsia="Arial" w:cs="Arial"/>
                <w:b w:val="0"/>
                <w:bCs w:val="0"/>
                <w:i w:val="0"/>
                <w:iCs w:val="0"/>
                <w:sz w:val="24"/>
                <w:szCs w:val="24"/>
                <w:lang w:val="en-GB"/>
              </w:rPr>
              <w:t xml:space="preserve">public </w:t>
            </w:r>
            <w:r w:rsidRPr="659F1764" w:rsidR="608F73A4">
              <w:rPr>
                <w:rFonts w:ascii="Arial" w:hAnsi="Arial" w:eastAsia="Arial" w:cs="Arial"/>
                <w:b w:val="0"/>
                <w:bCs w:val="0"/>
                <w:i w:val="0"/>
                <w:iCs w:val="0"/>
                <w:sz w:val="24"/>
                <w:szCs w:val="24"/>
                <w:lang w:val="en-GB"/>
              </w:rPr>
              <w:t>perception</w:t>
            </w:r>
            <w:r w:rsidRPr="659F1764" w:rsidR="608F73A4">
              <w:rPr>
                <w:rFonts w:ascii="Arial" w:hAnsi="Arial" w:eastAsia="Arial" w:cs="Arial"/>
                <w:b w:val="0"/>
                <w:bCs w:val="0"/>
                <w:i w:val="0"/>
                <w:iCs w:val="0"/>
                <w:sz w:val="24"/>
                <w:szCs w:val="24"/>
                <w:lang w:val="en-GB"/>
              </w:rPr>
              <w:t xml:space="preserve"> on the portrayal of domestic abuse perpetrators and what can b</w:t>
            </w:r>
            <w:r w:rsidRPr="659F1764" w:rsidR="0602C042">
              <w:rPr>
                <w:rFonts w:ascii="Arial" w:hAnsi="Arial" w:eastAsia="Arial" w:cs="Arial"/>
                <w:b w:val="0"/>
                <w:bCs w:val="0"/>
                <w:i w:val="0"/>
                <w:iCs w:val="0"/>
                <w:sz w:val="24"/>
                <w:szCs w:val="24"/>
                <w:lang w:val="en-GB"/>
              </w:rPr>
              <w:t>e done to minimise gender stereotyping.</w:t>
            </w:r>
          </w:p>
          <w:p w:rsidR="659F1764" w:rsidP="659F1764" w:rsidRDefault="659F1764" w14:paraId="75200282" w14:textId="3B0C9142">
            <w:pPr>
              <w:spacing w:line="360" w:lineRule="auto"/>
              <w:jc w:val="both"/>
              <w:rPr>
                <w:rFonts w:ascii="Arial" w:hAnsi="Arial" w:eastAsia="Arial" w:cs="Arial"/>
                <w:b w:val="0"/>
                <w:bCs w:val="0"/>
                <w:i w:val="0"/>
                <w:iCs w:val="0"/>
                <w:sz w:val="24"/>
                <w:szCs w:val="24"/>
              </w:rPr>
            </w:pPr>
          </w:p>
        </w:tc>
      </w:tr>
      <w:tr w:rsidR="659F1764" w:rsidTr="659F1764" w14:paraId="219917D6">
        <w:trPr>
          <w:trHeight w:val="2715"/>
        </w:trPr>
        <w:tc>
          <w:tcPr>
            <w:tcW w:w="10455" w:type="dxa"/>
            <w:gridSpan w:val="2"/>
            <w:tcBorders>
              <w:top w:val="single" w:sz="6"/>
              <w:left w:val="single" w:sz="6"/>
              <w:bottom w:val="single" w:sz="6"/>
              <w:right w:val="single" w:sz="6"/>
            </w:tcBorders>
            <w:tcMar>
              <w:left w:w="105" w:type="dxa"/>
              <w:right w:w="105" w:type="dxa"/>
            </w:tcMar>
            <w:vAlign w:val="top"/>
          </w:tcPr>
          <w:p w:rsidR="659F1764" w:rsidP="659F1764" w:rsidRDefault="659F1764" w14:paraId="406EFA6D" w14:textId="6D510567">
            <w:pPr>
              <w:spacing w:line="360" w:lineRule="auto"/>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THEORETICAL CONTEXT:</w:t>
            </w:r>
          </w:p>
          <w:p w:rsidR="659F1764" w:rsidP="659F1764" w:rsidRDefault="659F1764" w14:paraId="1EE2D371" w14:textId="39020AE0">
            <w:pPr>
              <w:spacing w:line="360" w:lineRule="auto"/>
              <w:jc w:val="both"/>
              <w:rPr>
                <w:rFonts w:ascii="Arial" w:hAnsi="Arial" w:eastAsia="Arial" w:cs="Arial"/>
                <w:b w:val="0"/>
                <w:bCs w:val="0"/>
                <w:i w:val="0"/>
                <w:iCs w:val="0"/>
                <w:sz w:val="24"/>
                <w:szCs w:val="24"/>
              </w:rPr>
            </w:pPr>
            <w:r w:rsidRPr="659F1764" w:rsidR="659F1764">
              <w:rPr>
                <w:rStyle w:val="lookup-resultcontent"/>
                <w:rFonts w:ascii="Arial" w:hAnsi="Arial" w:eastAsia="Arial" w:cs="Arial"/>
                <w:b w:val="0"/>
                <w:bCs w:val="0"/>
                <w:i w:val="0"/>
                <w:iCs w:val="0"/>
                <w:sz w:val="24"/>
                <w:szCs w:val="24"/>
                <w:lang w:val="en-GB"/>
              </w:rPr>
              <w:t xml:space="preserve">Section one of the </w:t>
            </w:r>
            <w:r w:rsidRPr="659F1764" w:rsidR="659F1764">
              <w:rPr>
                <w:rStyle w:val="lookup-resultcontent"/>
                <w:rFonts w:ascii="Arial" w:hAnsi="Arial" w:eastAsia="Arial" w:cs="Arial"/>
                <w:b w:val="0"/>
                <w:bCs w:val="0"/>
                <w:i w:val="1"/>
                <w:iCs w:val="1"/>
                <w:sz w:val="24"/>
                <w:szCs w:val="24"/>
                <w:lang w:val="en-GB"/>
              </w:rPr>
              <w:t>Domestic Abuse Act 2021</w:t>
            </w:r>
            <w:r w:rsidRPr="659F1764" w:rsidR="659F1764">
              <w:rPr>
                <w:rStyle w:val="lookup-resultcontent"/>
                <w:rFonts w:ascii="Arial" w:hAnsi="Arial" w:eastAsia="Arial" w:cs="Arial"/>
                <w:b w:val="0"/>
                <w:bCs w:val="0"/>
                <w:i w:val="0"/>
                <w:iCs w:val="0"/>
                <w:sz w:val="24"/>
                <w:szCs w:val="24"/>
                <w:lang w:val="en-GB"/>
              </w:rPr>
              <w:t xml:space="preserve"> defines domestic abuse as behaviour of a person that is abusive between two people who are over 16 and are personally connected to each other. This behaviour can be physical, sexual, threatening, coercive, financial, or psychological and emotional. While it is recognised that both men and women can be perpetrators of domestic abuse, many frameworks prioritise male-committed abuse. Morgan et al. (2023) found there are many interventions for men that includes support for female partners and ex-partners; the focus on male perpetrators and their partners in these frameworks reflects a targeted approach to addressing male-perpetrated domestic abuse. Equally, service providers supporting male victims of female perpetrators have a lack of tailored services and funding, and gender stereotypes can deter male victims from seeking help, and these approaches do not adequately address the complexity of female-perpetrated domestic abuse (Pisano, Widanaralalage and Willmott, 2025). This difference in treatment and interpretation creates a foundation for how domestic abuse is later represented in the media.</w:t>
            </w:r>
          </w:p>
          <w:p w:rsidR="659F1764" w:rsidP="659F1764" w:rsidRDefault="659F1764" w14:paraId="338BC934" w14:textId="695F9418">
            <w:pPr>
              <w:spacing w:line="360" w:lineRule="auto"/>
              <w:jc w:val="both"/>
              <w:rPr>
                <w:rFonts w:ascii="Arial" w:hAnsi="Arial" w:eastAsia="Arial" w:cs="Arial"/>
                <w:b w:val="0"/>
                <w:bCs w:val="0"/>
                <w:i w:val="0"/>
                <w:iCs w:val="0"/>
                <w:sz w:val="24"/>
                <w:szCs w:val="24"/>
              </w:rPr>
            </w:pPr>
            <w:r w:rsidRPr="659F1764" w:rsidR="659F1764">
              <w:rPr>
                <w:rStyle w:val="lookup-resultcontent"/>
                <w:rFonts w:ascii="Arial" w:hAnsi="Arial" w:eastAsia="Arial" w:cs="Arial"/>
                <w:b w:val="0"/>
                <w:bCs w:val="0"/>
                <w:i w:val="0"/>
                <w:iCs w:val="0"/>
                <w:sz w:val="24"/>
                <w:szCs w:val="24"/>
                <w:lang w:val="en-GB"/>
              </w:rPr>
              <w:t>Building on the fundamental understanding of domestic abuse, it is important to consider how domestic abuse is theorised, specifically through a gendered lens. Feminist theory primarily conceptualises domestic abuse as rooted in patriarchal power and gendered expectations, and emphasises that it is a manifestation of broader societal gender inequalities and male dominance; whilst it acknowledges that men can also be victims, it maintains that men’s victimisation by women is still influenced by the patriarchy (Westmarland and Burrell, 2023). However, feminist theory often overlooks male victims and rarely recognises female perpetrators. According to Cunningham and Anderson (2023), research suggests that women experience more intimate-partner violence (IPV) overall and report more situations of most IPV acts and more severe forms of violence, and women tend to experience IPV at younger ages and have more perpetrators over their lifetime compared to men, drawing inspiration from the gender asymmetry debate. Social constructionist perspectives highlight that narratives around IPV often assign fixed emotional and behavioural characteristics to perpetrators based on gender. For example, offenders are commonly described using terms associated with anger and pathology, linking male perpetrators with aggression and psychological dysfunction, whereas female-perpetrated domestic abuse is often minimised or seen as less harmful as they do not fit the socially constructed narrative (Moro et al., 2025). This theory demonstrates that the media plays a crucial role in constructing public perspective of domestic abuse through its reporting.</w:t>
            </w:r>
          </w:p>
          <w:p w:rsidR="659F1764" w:rsidP="659F1764" w:rsidRDefault="659F1764" w14:paraId="253A8374" w14:textId="39DADBB4">
            <w:pPr>
              <w:spacing w:line="360" w:lineRule="auto"/>
              <w:jc w:val="both"/>
              <w:rPr>
                <w:rFonts w:ascii="Arial" w:hAnsi="Arial" w:eastAsia="Arial" w:cs="Arial"/>
                <w:b w:val="0"/>
                <w:bCs w:val="0"/>
                <w:i w:val="0"/>
                <w:iCs w:val="0"/>
                <w:sz w:val="24"/>
                <w:szCs w:val="24"/>
              </w:rPr>
            </w:pPr>
            <w:r w:rsidRPr="659F1764" w:rsidR="659F1764">
              <w:rPr>
                <w:rStyle w:val="lookup-resultcontent"/>
                <w:rFonts w:ascii="Arial" w:hAnsi="Arial" w:eastAsia="Arial" w:cs="Arial"/>
                <w:b w:val="0"/>
                <w:bCs w:val="0"/>
                <w:i w:val="0"/>
                <w:iCs w:val="0"/>
                <w:sz w:val="24"/>
                <w:szCs w:val="24"/>
                <w:lang w:val="en-GB"/>
              </w:rPr>
              <w:t>Theories shape the understanding of domestic abuse, which is then reflected and reported in the media. The media chooses what to report and highlight, and shapes how the public interprets certain topics, setting an agenda and influencing what people think is important. Regarding domestic abuse, male perpetrators are often framed as violent and controlling, whereas female perpetrators are framed as victims themselves and often said to have been provoked or unstable. Garret (2023) states that media portrayals often emphasise individual-level dynamics of domestic abuse, which can obscure broader systematic factors such as patriarchal privilege. Similarly, screen adaptations tend to focus on interpersonal conflicts and victim-blaming rather than structural causes of gendered abuse.</w:t>
            </w:r>
          </w:p>
          <w:p w:rsidR="659F1764" w:rsidP="659F1764" w:rsidRDefault="659F1764" w14:paraId="78379CA1" w14:textId="62C3B256">
            <w:pPr>
              <w:spacing w:line="360" w:lineRule="auto"/>
              <w:jc w:val="both"/>
              <w:rPr>
                <w:rFonts w:ascii="Arial" w:hAnsi="Arial" w:eastAsia="Arial" w:cs="Arial"/>
                <w:b w:val="0"/>
                <w:bCs w:val="0"/>
                <w:i w:val="0"/>
                <w:iCs w:val="0"/>
                <w:sz w:val="24"/>
                <w:szCs w:val="24"/>
              </w:rPr>
            </w:pPr>
            <w:r w:rsidRPr="659F1764" w:rsidR="659F1764">
              <w:rPr>
                <w:rStyle w:val="lookup-resultcontent"/>
                <w:rFonts w:ascii="Arial" w:hAnsi="Arial" w:eastAsia="Arial" w:cs="Arial"/>
                <w:b w:val="0"/>
                <w:bCs w:val="0"/>
                <w:i w:val="0"/>
                <w:iCs w:val="0"/>
                <w:sz w:val="24"/>
                <w:szCs w:val="24"/>
                <w:lang w:val="en-GB"/>
              </w:rPr>
              <w:t>Media framing strongly influences public perceptions of domestic abuse. Media representations often construct domestic abuse through gendered lenses that influence both the framing of victims and perpetrators and the public’s responses; analysis of the YouTube commentary of the ‘Depp v Heard’ trial in 2022 showed that commentators used phrases such as “Perfect Victim” and “Mutual Abuse” to minimise female victimhood and reinforce traditional and outdated gender norms that depict women as either pathological or equally culpable in abuse dynamics (Reidy, Abbott and Parker, 2023). Male victims often face disbelief and challenges in recognition as societal expectations, reflected in the media, about masculinity affect how abuse against men is perceived and reported; stereotypes about men’s roles and experiences shape the narratives around male victimisation, which can lead to underrepresentation and limited media attention (Hine, Bates and Wallace, 2020). According to Karlsson et al. (2018), female offenders are more frequently regarded as mentally ill and as victims of domestic abuse themselves, which suggests a tendency to view women who use force in intimate relationships through a lens of victimisation rather than solely as perpetrators. In contrast, media portrayal of male offenders often frames violence as unintentional or driven by situational factors such as emotional disturbances, jealousy, or substance abuse. This framing can lead to a lack of accountability in public narratives, as male offenders are sometimes depicted as victims of uncontrollable impulses or relational stressors (Cunha et al., 2022). This research suggests that the media reinforces gender stereotypes whereby female perpetrators are treated as exceptions and male victims are often invisible, ignoring the true complexities of domestic abuse.</w:t>
            </w:r>
          </w:p>
          <w:p w:rsidR="659F1764" w:rsidP="659F1764" w:rsidRDefault="659F1764" w14:paraId="5E05450D" w14:textId="3B2616F8">
            <w:pPr>
              <w:spacing w:line="360" w:lineRule="auto"/>
              <w:jc w:val="both"/>
              <w:rPr>
                <w:rFonts w:ascii="Arial" w:hAnsi="Arial" w:eastAsia="Arial" w:cs="Arial"/>
                <w:b w:val="0"/>
                <w:bCs w:val="0"/>
                <w:i w:val="0"/>
                <w:iCs w:val="0"/>
                <w:sz w:val="24"/>
                <w:szCs w:val="24"/>
              </w:rPr>
            </w:pPr>
            <w:r w:rsidRPr="659F1764" w:rsidR="659F1764">
              <w:rPr>
                <w:rStyle w:val="lookup-resultcontent"/>
                <w:rFonts w:ascii="Arial" w:hAnsi="Arial" w:eastAsia="Arial" w:cs="Arial"/>
                <w:b w:val="0"/>
                <w:bCs w:val="0"/>
                <w:i w:val="0"/>
                <w:iCs w:val="0"/>
                <w:sz w:val="24"/>
                <w:szCs w:val="24"/>
                <w:lang w:val="en-GB"/>
              </w:rPr>
              <w:t>Throughout the research, there is a clear focus on male perpetrators and female victims, with limited research on female perpetrators and male victim representation in the media and a lack of direct comparison between the two genders in media portrayal. It would be helpful to research the difference in language used in the media when reporting on male perpetrators and victims compared to female, as well as how they are portrayed across different media outlets, perhaps looking into how fiction can romanticise domestic abuse, specifically when it is committed by women, and how it differs to reality.</w:t>
            </w:r>
          </w:p>
          <w:p w:rsidR="659F1764" w:rsidP="659F1764" w:rsidRDefault="659F1764" w14:paraId="557BDA6C" w14:textId="722C3D58">
            <w:pPr>
              <w:spacing w:line="360" w:lineRule="auto"/>
              <w:jc w:val="both"/>
              <w:rPr>
                <w:rFonts w:ascii="Arial" w:hAnsi="Arial" w:eastAsia="Arial" w:cs="Arial"/>
                <w:b w:val="0"/>
                <w:bCs w:val="0"/>
                <w:i w:val="0"/>
                <w:iCs w:val="0"/>
                <w:sz w:val="24"/>
                <w:szCs w:val="24"/>
              </w:rPr>
            </w:pPr>
          </w:p>
        </w:tc>
      </w:tr>
      <w:tr w:rsidR="659F1764" w:rsidTr="659F1764" w14:paraId="37B45E0E">
        <w:trPr>
          <w:trHeight w:val="1830"/>
        </w:trPr>
        <w:tc>
          <w:tcPr>
            <w:tcW w:w="10455" w:type="dxa"/>
            <w:gridSpan w:val="2"/>
            <w:tcBorders>
              <w:top w:val="single" w:sz="6"/>
              <w:left w:val="single" w:sz="6"/>
              <w:bottom w:val="single" w:sz="6"/>
              <w:right w:val="single" w:sz="6"/>
            </w:tcBorders>
            <w:tcMar>
              <w:left w:w="105" w:type="dxa"/>
              <w:right w:w="105" w:type="dxa"/>
            </w:tcMar>
            <w:vAlign w:val="top"/>
          </w:tcPr>
          <w:p w:rsidR="659F1764" w:rsidP="659F1764" w:rsidRDefault="659F1764" w14:paraId="514BA053" w14:textId="45CBA3F2">
            <w:pPr>
              <w:spacing w:line="360" w:lineRule="auto"/>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 xml:space="preserve">SUMMARY OF RESEARCH –SURVEY METHOD: </w:t>
            </w:r>
          </w:p>
          <w:p w:rsidR="659F1764" w:rsidP="659F1764" w:rsidRDefault="659F1764" w14:paraId="205E53CB" w14:textId="04C8B985">
            <w:pPr>
              <w:spacing w:line="360" w:lineRule="auto"/>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The main survey technique being considered is an online questionnaire, utilising both open-ended and close-ended questions to collect quantitative and qualitative data. An online questionnaire would allow for a wider sample size and reach a higher population compared to other survey techniques such as interviews or focus groups, as a link can be shared to many people. Collecting quantitative data allows for data collected to be easily compared and analysed for trends, whereas qualitative data provides deeper meaning and understanding of the data. Collecting both using open-ended and close-ended questions allows for not just raw, straightforward answers being collected, but also why people have answered the way they have, increasing validity of the research.</w:t>
            </w:r>
          </w:p>
          <w:p w:rsidR="659F1764" w:rsidP="659F1764" w:rsidRDefault="659F1764" w14:paraId="1BFAEF94" w14:textId="31211BCA">
            <w:pPr>
              <w:spacing w:line="360" w:lineRule="auto"/>
              <w:jc w:val="both"/>
              <w:rPr>
                <w:rFonts w:ascii="Arial" w:hAnsi="Arial" w:eastAsia="Arial" w:cs="Arial"/>
                <w:b w:val="0"/>
                <w:bCs w:val="0"/>
                <w:i w:val="0"/>
                <w:iCs w:val="0"/>
                <w:sz w:val="24"/>
                <w:szCs w:val="24"/>
              </w:rPr>
            </w:pPr>
          </w:p>
        </w:tc>
      </w:tr>
      <w:tr w:rsidR="659F1764" w:rsidTr="659F1764" w14:paraId="39062828">
        <w:trPr>
          <w:trHeight w:val="450"/>
        </w:trPr>
        <w:tc>
          <w:tcPr>
            <w:tcW w:w="10455" w:type="dxa"/>
            <w:gridSpan w:val="2"/>
            <w:tcBorders>
              <w:top w:val="single" w:sz="6"/>
              <w:left w:val="single" w:sz="6"/>
              <w:bottom w:val="single" w:sz="6"/>
              <w:right w:val="single" w:sz="6"/>
            </w:tcBorders>
            <w:tcMar>
              <w:left w:w="105" w:type="dxa"/>
              <w:right w:w="105" w:type="dxa"/>
            </w:tcMar>
            <w:vAlign w:val="top"/>
          </w:tcPr>
          <w:p w:rsidR="659F1764" w:rsidP="659F1764" w:rsidRDefault="659F1764" w14:paraId="5C38CFF3" w14:textId="1DE6682A">
            <w:pPr>
              <w:spacing w:line="360" w:lineRule="auto"/>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SUMMARY OF SAMPLING FRAMEWORK:</w:t>
            </w:r>
            <w:r w:rsidRPr="659F1764" w:rsidR="659F1764">
              <w:rPr>
                <w:rFonts w:ascii="Arial" w:hAnsi="Arial" w:eastAsia="Arial" w:cs="Arial"/>
                <w:b w:val="0"/>
                <w:bCs w:val="0"/>
                <w:i w:val="0"/>
                <w:iCs w:val="0"/>
                <w:sz w:val="24"/>
                <w:szCs w:val="24"/>
                <w:lang w:val="en-GB"/>
              </w:rPr>
              <w:t xml:space="preserve"> </w:t>
            </w:r>
          </w:p>
          <w:p w:rsidR="659F1764" w:rsidP="659F1764" w:rsidRDefault="659F1764" w14:paraId="180A5BC7" w14:textId="41CF167E">
            <w:pPr>
              <w:spacing w:line="360" w:lineRule="auto"/>
              <w:jc w:val="both"/>
              <w:rPr>
                <w:rFonts w:ascii="Arial" w:hAnsi="Arial" w:eastAsia="Arial" w:cs="Arial"/>
                <w:b w:val="0"/>
                <w:bCs w:val="0"/>
                <w:i w:val="0"/>
                <w:iCs w:val="0"/>
                <w:sz w:val="24"/>
                <w:szCs w:val="24"/>
                <w:lang w:val="en-GB"/>
              </w:rPr>
            </w:pPr>
            <w:r w:rsidRPr="659F1764" w:rsidR="659F1764">
              <w:rPr>
                <w:rFonts w:ascii="Arial" w:hAnsi="Arial" w:eastAsia="Arial" w:cs="Arial"/>
                <w:b w:val="0"/>
                <w:bCs w:val="0"/>
                <w:i w:val="0"/>
                <w:iCs w:val="0"/>
                <w:sz w:val="24"/>
                <w:szCs w:val="24"/>
                <w:lang w:val="en-GB"/>
              </w:rPr>
              <w:t xml:space="preserve">The intended participants for this research will be the </w:t>
            </w:r>
            <w:r w:rsidRPr="659F1764" w:rsidR="659F1764">
              <w:rPr>
                <w:rFonts w:ascii="Arial" w:hAnsi="Arial" w:eastAsia="Arial" w:cs="Arial"/>
                <w:b w:val="0"/>
                <w:bCs w:val="0"/>
                <w:i w:val="0"/>
                <w:iCs w:val="0"/>
                <w:sz w:val="24"/>
                <w:szCs w:val="24"/>
                <w:lang w:val="en-GB"/>
              </w:rPr>
              <w:t>general public</w:t>
            </w:r>
            <w:r w:rsidRPr="659F1764" w:rsidR="659F1764">
              <w:rPr>
                <w:rFonts w:ascii="Arial" w:hAnsi="Arial" w:eastAsia="Arial" w:cs="Arial"/>
                <w:b w:val="0"/>
                <w:bCs w:val="0"/>
                <w:i w:val="0"/>
                <w:iCs w:val="0"/>
                <w:sz w:val="24"/>
                <w:szCs w:val="24"/>
                <w:lang w:val="en-GB"/>
              </w:rPr>
              <w:t>. As it will be an online questionnaire, it will be able to reach many people, ideally at least one hundred participants</w:t>
            </w:r>
            <w:r w:rsidRPr="659F1764" w:rsidR="3BF210F1">
              <w:rPr>
                <w:rFonts w:ascii="Arial" w:hAnsi="Arial" w:eastAsia="Arial" w:cs="Arial"/>
                <w:b w:val="0"/>
                <w:bCs w:val="0"/>
                <w:i w:val="0"/>
                <w:iCs w:val="0"/>
                <w:sz w:val="24"/>
                <w:szCs w:val="24"/>
                <w:lang w:val="en-GB"/>
              </w:rPr>
              <w:t>, making this a non-probability convenience sampling method</w:t>
            </w:r>
            <w:r w:rsidRPr="659F1764" w:rsidR="659F1764">
              <w:rPr>
                <w:rFonts w:ascii="Arial" w:hAnsi="Arial" w:eastAsia="Arial" w:cs="Arial"/>
                <w:b w:val="0"/>
                <w:bCs w:val="0"/>
                <w:i w:val="0"/>
                <w:iCs w:val="0"/>
                <w:sz w:val="24"/>
                <w:szCs w:val="24"/>
                <w:lang w:val="en-GB"/>
              </w:rPr>
              <w:t xml:space="preserve">. The questionnaire will aim to collect perspectives and perceptions of domestic abuse from the public, coming from students </w:t>
            </w:r>
            <w:r w:rsidRPr="659F1764" w:rsidR="5767669C">
              <w:rPr>
                <w:rFonts w:ascii="Arial" w:hAnsi="Arial" w:eastAsia="Arial" w:cs="Arial"/>
                <w:b w:val="0"/>
                <w:bCs w:val="0"/>
                <w:i w:val="0"/>
                <w:iCs w:val="0"/>
                <w:sz w:val="24"/>
                <w:szCs w:val="24"/>
                <w:lang w:val="en-GB"/>
              </w:rPr>
              <w:t>at</w:t>
            </w:r>
            <w:r w:rsidRPr="659F1764" w:rsidR="659F1764">
              <w:rPr>
                <w:rFonts w:ascii="Arial" w:hAnsi="Arial" w:eastAsia="Arial" w:cs="Arial"/>
                <w:b w:val="0"/>
                <w:bCs w:val="0"/>
                <w:i w:val="0"/>
                <w:iCs w:val="0"/>
                <w:sz w:val="24"/>
                <w:szCs w:val="24"/>
                <w:lang w:val="en-GB"/>
              </w:rPr>
              <w:t xml:space="preserve"> the university, posted on</w:t>
            </w:r>
            <w:r w:rsidRPr="659F1764" w:rsidR="0D46FE4E">
              <w:rPr>
                <w:rFonts w:ascii="Arial" w:hAnsi="Arial" w:eastAsia="Arial" w:cs="Arial"/>
                <w:b w:val="0"/>
                <w:bCs w:val="0"/>
                <w:i w:val="0"/>
                <w:iCs w:val="0"/>
                <w:sz w:val="24"/>
                <w:szCs w:val="24"/>
                <w:lang w:val="en-GB"/>
              </w:rPr>
              <w:t xml:space="preserve"> the researcher's</w:t>
            </w:r>
            <w:r w:rsidRPr="659F1764" w:rsidR="659F1764">
              <w:rPr>
                <w:rFonts w:ascii="Arial" w:hAnsi="Arial" w:eastAsia="Arial" w:cs="Arial"/>
                <w:b w:val="0"/>
                <w:bCs w:val="0"/>
                <w:i w:val="0"/>
                <w:iCs w:val="0"/>
                <w:sz w:val="24"/>
                <w:szCs w:val="24"/>
                <w:lang w:val="en-GB"/>
              </w:rPr>
              <w:t xml:space="preserve"> </w:t>
            </w:r>
            <w:r w:rsidRPr="659F1764" w:rsidR="6EAB5A12">
              <w:rPr>
                <w:rFonts w:ascii="Arial" w:hAnsi="Arial" w:eastAsia="Arial" w:cs="Arial"/>
                <w:b w:val="0"/>
                <w:bCs w:val="0"/>
                <w:i w:val="0"/>
                <w:iCs w:val="0"/>
                <w:sz w:val="24"/>
                <w:szCs w:val="24"/>
                <w:lang w:val="en-GB"/>
              </w:rPr>
              <w:t xml:space="preserve">existing </w:t>
            </w:r>
            <w:r w:rsidRPr="659F1764" w:rsidR="659F1764">
              <w:rPr>
                <w:rFonts w:ascii="Arial" w:hAnsi="Arial" w:eastAsia="Arial" w:cs="Arial"/>
                <w:b w:val="0"/>
                <w:bCs w:val="0"/>
                <w:i w:val="0"/>
                <w:iCs w:val="0"/>
                <w:sz w:val="24"/>
                <w:szCs w:val="24"/>
                <w:lang w:val="en-GB"/>
              </w:rPr>
              <w:t>social media</w:t>
            </w:r>
            <w:r w:rsidRPr="659F1764" w:rsidR="18A86416">
              <w:rPr>
                <w:rFonts w:ascii="Arial" w:hAnsi="Arial" w:eastAsia="Arial" w:cs="Arial"/>
                <w:b w:val="0"/>
                <w:bCs w:val="0"/>
                <w:i w:val="0"/>
                <w:iCs w:val="0"/>
                <w:sz w:val="24"/>
                <w:szCs w:val="24"/>
                <w:lang w:val="en-GB"/>
              </w:rPr>
              <w:t xml:space="preserve"> accounts</w:t>
            </w:r>
            <w:r w:rsidRPr="659F1764" w:rsidR="659F1764">
              <w:rPr>
                <w:rFonts w:ascii="Arial" w:hAnsi="Arial" w:eastAsia="Arial" w:cs="Arial"/>
                <w:b w:val="0"/>
                <w:bCs w:val="0"/>
                <w:i w:val="0"/>
                <w:iCs w:val="0"/>
                <w:sz w:val="24"/>
                <w:szCs w:val="24"/>
                <w:lang w:val="en-GB"/>
              </w:rPr>
              <w:t>, and sending to friends and family personally, who can then send it to other people to reach an even wider population.</w:t>
            </w:r>
          </w:p>
          <w:p w:rsidR="659F1764" w:rsidP="659F1764" w:rsidRDefault="659F1764" w14:paraId="3964BF22" w14:textId="6C77DF0F">
            <w:pPr>
              <w:spacing w:line="360" w:lineRule="auto"/>
              <w:jc w:val="both"/>
              <w:rPr>
                <w:rFonts w:ascii="Arial" w:hAnsi="Arial" w:eastAsia="Arial" w:cs="Arial"/>
                <w:b w:val="0"/>
                <w:bCs w:val="0"/>
                <w:i w:val="0"/>
                <w:iCs w:val="0"/>
                <w:sz w:val="24"/>
                <w:szCs w:val="24"/>
              </w:rPr>
            </w:pPr>
          </w:p>
        </w:tc>
      </w:tr>
      <w:tr w:rsidR="659F1764" w:rsidTr="659F1764" w14:paraId="7887A37A">
        <w:trPr>
          <w:trHeight w:val="1830"/>
        </w:trPr>
        <w:tc>
          <w:tcPr>
            <w:tcW w:w="10455" w:type="dxa"/>
            <w:gridSpan w:val="2"/>
            <w:tcBorders>
              <w:top w:val="single" w:sz="6"/>
              <w:left w:val="single" w:sz="6"/>
              <w:bottom w:val="single" w:sz="6"/>
              <w:right w:val="single" w:sz="6"/>
            </w:tcBorders>
            <w:tcMar>
              <w:left w:w="105" w:type="dxa"/>
              <w:right w:w="105" w:type="dxa"/>
            </w:tcMar>
            <w:vAlign w:val="top"/>
          </w:tcPr>
          <w:p w:rsidR="659F1764" w:rsidP="659F1764" w:rsidRDefault="659F1764" w14:paraId="3576DAAC" w14:textId="62B13844">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1"/>
                <w:bCs w:val="1"/>
                <w:i w:val="0"/>
                <w:iCs w:val="0"/>
                <w:sz w:val="24"/>
                <w:szCs w:val="24"/>
                <w:lang w:val="en-GB"/>
              </w:rPr>
              <w:t>INITIAL REFERENCE LIST:</w:t>
            </w:r>
          </w:p>
          <w:p w:rsidR="659F1764" w:rsidP="659F1764" w:rsidRDefault="659F1764" w14:paraId="153F9B3F" w14:textId="77068DDC">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Cunha, O., Pererra, B., Cruz, A. R., Goncalves, R. and Rodrigues, A. D. C. (2022) ‘Intimate Partner Violence: Perceptions and Attributions of Male Perpetrators’, </w:t>
            </w:r>
            <w:r w:rsidRPr="659F1764" w:rsidR="659F1764">
              <w:rPr>
                <w:rFonts w:ascii="Arial" w:hAnsi="Arial" w:eastAsia="Arial" w:cs="Arial"/>
                <w:b w:val="0"/>
                <w:bCs w:val="0"/>
                <w:i w:val="1"/>
                <w:iCs w:val="1"/>
                <w:sz w:val="24"/>
                <w:szCs w:val="24"/>
                <w:lang w:val="en-GB"/>
              </w:rPr>
              <w:t xml:space="preserve">Journal of Forensic Psychology Research and Practice, </w:t>
            </w:r>
            <w:r w:rsidRPr="659F1764" w:rsidR="659F1764">
              <w:rPr>
                <w:rFonts w:ascii="Arial" w:hAnsi="Arial" w:eastAsia="Arial" w:cs="Arial"/>
                <w:b w:val="0"/>
                <w:bCs w:val="0"/>
                <w:i w:val="0"/>
                <w:iCs w:val="0"/>
                <w:sz w:val="24"/>
                <w:szCs w:val="24"/>
                <w:lang w:val="en-GB"/>
              </w:rPr>
              <w:t xml:space="preserve">24(3), pp. 338-358. Available at: </w:t>
            </w:r>
            <w:hyperlink r:id="R272c1e6527a147ed">
              <w:r w:rsidRPr="659F1764" w:rsidR="659F1764">
                <w:rPr>
                  <w:rStyle w:val="Hyperlink"/>
                  <w:b w:val="0"/>
                  <w:bCs w:val="0"/>
                  <w:i w:val="0"/>
                  <w:iCs w:val="0"/>
                  <w:strike w:val="0"/>
                  <w:dstrike w:val="0"/>
                  <w:lang w:val="en-GB"/>
                </w:rPr>
                <w:t>https://doi-org.uwtsd.idm.oclc.org/10.1080/24732850.2022.2133663</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62BF91B0" w14:textId="218F80A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Cunningham, M. and Anderson, K. L. (2023) ‘Women Experience More Intimate Partner Violence than Men over the Life Course: Evidence for Gender Asymmetry at all Ages in a National Sample’, </w:t>
            </w:r>
            <w:r w:rsidRPr="659F1764" w:rsidR="659F1764">
              <w:rPr>
                <w:rFonts w:ascii="Arial" w:hAnsi="Arial" w:eastAsia="Arial" w:cs="Arial"/>
                <w:b w:val="0"/>
                <w:bCs w:val="0"/>
                <w:i w:val="1"/>
                <w:iCs w:val="1"/>
                <w:sz w:val="24"/>
                <w:szCs w:val="24"/>
                <w:lang w:val="en-GB"/>
              </w:rPr>
              <w:t xml:space="preserve">Sex Roles, </w:t>
            </w:r>
            <w:r w:rsidRPr="659F1764" w:rsidR="659F1764">
              <w:rPr>
                <w:rFonts w:ascii="Arial" w:hAnsi="Arial" w:eastAsia="Arial" w:cs="Arial"/>
                <w:b w:val="0"/>
                <w:bCs w:val="0"/>
                <w:i w:val="0"/>
                <w:iCs w:val="0"/>
                <w:sz w:val="24"/>
                <w:szCs w:val="24"/>
                <w:lang w:val="en-GB"/>
              </w:rPr>
              <w:t xml:space="preserve">89(11-12), pp. 702-717. Available at: </w:t>
            </w:r>
            <w:hyperlink r:id="R232b420f14e74dde">
              <w:r w:rsidRPr="659F1764" w:rsidR="659F1764">
                <w:rPr>
                  <w:rStyle w:val="Hyperlink"/>
                  <w:b w:val="0"/>
                  <w:bCs w:val="0"/>
                  <w:i w:val="0"/>
                  <w:iCs w:val="0"/>
                  <w:strike w:val="0"/>
                  <w:dstrike w:val="0"/>
                  <w:lang w:val="en-GB"/>
                </w:rPr>
                <w:t>https://www.proquest.com/docview/2895064828?accountid=130472&amp;parentSessionId=iPzUzffM9Qjqxc3Vri7PmWXS5yY67%2FWpk1LLvtH9hI8%3D&amp;pq-origsite=primo&amp;sourcetype=Scholarly%20Journals</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55BDADC5" w14:textId="6E9B008D">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1"/>
                <w:iCs w:val="1"/>
                <w:sz w:val="24"/>
                <w:szCs w:val="24"/>
                <w:lang w:val="en-GB"/>
              </w:rPr>
              <w:t xml:space="preserve">Domestic Abuse Act 2021, c.17. </w:t>
            </w:r>
            <w:r w:rsidRPr="659F1764" w:rsidR="659F1764">
              <w:rPr>
                <w:rFonts w:ascii="Arial" w:hAnsi="Arial" w:eastAsia="Arial" w:cs="Arial"/>
                <w:b w:val="0"/>
                <w:bCs w:val="0"/>
                <w:i w:val="0"/>
                <w:iCs w:val="0"/>
                <w:sz w:val="24"/>
                <w:szCs w:val="24"/>
                <w:lang w:val="en-GB"/>
              </w:rPr>
              <w:t xml:space="preserve">Available at: </w:t>
            </w:r>
            <w:hyperlink r:id="Ra011172827d84462">
              <w:r w:rsidRPr="659F1764" w:rsidR="659F1764">
                <w:rPr>
                  <w:rStyle w:val="Hyperlink"/>
                  <w:b w:val="0"/>
                  <w:bCs w:val="0"/>
                  <w:i w:val="0"/>
                  <w:iCs w:val="0"/>
                  <w:strike w:val="0"/>
                  <w:dstrike w:val="0"/>
                  <w:lang w:val="en-GB"/>
                </w:rPr>
                <w:t>https://www.legislation.gov.uk/ukpga/2021/17/section/1</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5E7AA58B" w14:textId="1F5080D3">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Garret, R. (2025) ‘Home is where the hate is: gender, race, class and the domestic abuse plotline in fiction and on screen’, </w:t>
            </w:r>
            <w:r w:rsidRPr="659F1764" w:rsidR="659F1764">
              <w:rPr>
                <w:rFonts w:ascii="Arial" w:hAnsi="Arial" w:eastAsia="Arial" w:cs="Arial"/>
                <w:b w:val="0"/>
                <w:bCs w:val="0"/>
                <w:i w:val="1"/>
                <w:iCs w:val="1"/>
                <w:sz w:val="24"/>
                <w:szCs w:val="24"/>
                <w:lang w:val="en-GB"/>
              </w:rPr>
              <w:t xml:space="preserve">Feminist Media Studies, </w:t>
            </w:r>
            <w:r w:rsidRPr="659F1764" w:rsidR="659F1764">
              <w:rPr>
                <w:rFonts w:ascii="Arial" w:hAnsi="Arial" w:eastAsia="Arial" w:cs="Arial"/>
                <w:b w:val="0"/>
                <w:bCs w:val="0"/>
                <w:i w:val="0"/>
                <w:iCs w:val="0"/>
                <w:sz w:val="24"/>
                <w:szCs w:val="24"/>
                <w:lang w:val="en-GB"/>
              </w:rPr>
              <w:t xml:space="preserve">23(8), pp. 4170-4186. Available at: </w:t>
            </w:r>
            <w:hyperlink r:id="R9d13190ec817441a">
              <w:r w:rsidRPr="659F1764" w:rsidR="659F1764">
                <w:rPr>
                  <w:rStyle w:val="Hyperlink"/>
                  <w:b w:val="0"/>
                  <w:bCs w:val="0"/>
                  <w:i w:val="0"/>
                  <w:iCs w:val="0"/>
                  <w:strike w:val="0"/>
                  <w:dstrike w:val="0"/>
                  <w:lang w:val="en-GB"/>
                </w:rPr>
                <w:t>https://doi-org.uwtsd.idm.oclc.org/10.1080/14680777.2022.2155861</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19F4B73F" w14:textId="268BCA97">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Hine, B., Bates, E. A. and Wallace S. (2020) ‘”I Have Guys Call Me and Say ‘I Can’t Be the Victim of Domestic Abuse’”: Exploring the Experiences of Telephone Support Providers for Male Victims of Domestic Violence and Abuse’, </w:t>
            </w:r>
            <w:r w:rsidRPr="659F1764" w:rsidR="659F1764">
              <w:rPr>
                <w:rFonts w:ascii="Arial" w:hAnsi="Arial" w:eastAsia="Arial" w:cs="Arial"/>
                <w:b w:val="0"/>
                <w:bCs w:val="0"/>
                <w:i w:val="1"/>
                <w:iCs w:val="1"/>
                <w:sz w:val="24"/>
                <w:szCs w:val="24"/>
                <w:lang w:val="en-GB"/>
              </w:rPr>
              <w:t xml:space="preserve">Journal of Interpersonal Violence, </w:t>
            </w:r>
            <w:r w:rsidRPr="659F1764" w:rsidR="659F1764">
              <w:rPr>
                <w:rFonts w:ascii="Arial" w:hAnsi="Arial" w:eastAsia="Arial" w:cs="Arial"/>
                <w:b w:val="0"/>
                <w:bCs w:val="0"/>
                <w:i w:val="0"/>
                <w:iCs w:val="0"/>
                <w:sz w:val="24"/>
                <w:szCs w:val="24"/>
                <w:lang w:val="en-GB"/>
              </w:rPr>
              <w:t xml:space="preserve">37(7-8). Available at: </w:t>
            </w:r>
            <w:hyperlink r:id="R8ee8b2c70c144ef4">
              <w:r w:rsidRPr="659F1764" w:rsidR="659F1764">
                <w:rPr>
                  <w:rStyle w:val="Hyperlink"/>
                  <w:b w:val="0"/>
                  <w:bCs w:val="0"/>
                  <w:i w:val="0"/>
                  <w:iCs w:val="0"/>
                  <w:strike w:val="0"/>
                  <w:dstrike w:val="0"/>
                  <w:lang w:val="en-GB"/>
                </w:rPr>
                <w:t>https://doi.org/10.1177/0886260520944551</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0E2BB498" w14:textId="7057358E">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Karlsson, L. C., Malen, T., Kaakinen, J. K. and Antfolk, J. (2018) ‘The Effect of Sex and Perpetrator-Victim Relationship on Perceptions of Domestic Homicide’, </w:t>
            </w:r>
            <w:r w:rsidRPr="659F1764" w:rsidR="659F1764">
              <w:rPr>
                <w:rFonts w:ascii="Arial" w:hAnsi="Arial" w:eastAsia="Arial" w:cs="Arial"/>
                <w:b w:val="0"/>
                <w:bCs w:val="0"/>
                <w:i w:val="1"/>
                <w:iCs w:val="1"/>
                <w:sz w:val="24"/>
                <w:szCs w:val="24"/>
                <w:lang w:val="en-GB"/>
              </w:rPr>
              <w:t xml:space="preserve">Journal of Interpersonal Violence, </w:t>
            </w:r>
            <w:r w:rsidRPr="659F1764" w:rsidR="659F1764">
              <w:rPr>
                <w:rFonts w:ascii="Arial" w:hAnsi="Arial" w:eastAsia="Arial" w:cs="Arial"/>
                <w:b w:val="0"/>
                <w:bCs w:val="0"/>
                <w:i w:val="0"/>
                <w:iCs w:val="0"/>
                <w:sz w:val="24"/>
                <w:szCs w:val="24"/>
                <w:lang w:val="en-GB"/>
              </w:rPr>
              <w:t xml:space="preserve">36(7-8). Available at: </w:t>
            </w:r>
            <w:hyperlink r:id="R8b30c8f52ebb4e11">
              <w:r w:rsidRPr="659F1764" w:rsidR="659F1764">
                <w:rPr>
                  <w:rStyle w:val="Hyperlink"/>
                  <w:b w:val="0"/>
                  <w:bCs w:val="0"/>
                  <w:i w:val="0"/>
                  <w:iCs w:val="0"/>
                  <w:strike w:val="0"/>
                  <w:dstrike w:val="0"/>
                  <w:lang w:val="en-GB"/>
                </w:rPr>
                <w:t>https://doi-org.uwtsd.idm.oclc.org/10.1177/0886260518775162</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25163D63" w14:textId="4A9E89FD">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Morgan, K., Man, M. S., Bloomer, R., Cochrane, M., Cole, M., Dheensa, S., Eisenstodt, N., Feder, G., Gaunt, D. M. and Leach, R. (2023) ‘The effectiveness and cost-effectiveness of a group domestic abuse perpetrator programme: protocol for a randomised controlled trial’, </w:t>
            </w:r>
            <w:r w:rsidRPr="659F1764" w:rsidR="659F1764">
              <w:rPr>
                <w:rFonts w:ascii="Arial" w:hAnsi="Arial" w:eastAsia="Arial" w:cs="Arial"/>
                <w:b w:val="0"/>
                <w:bCs w:val="0"/>
                <w:i w:val="1"/>
                <w:iCs w:val="1"/>
                <w:sz w:val="24"/>
                <w:szCs w:val="24"/>
                <w:lang w:val="en-GB"/>
              </w:rPr>
              <w:t xml:space="preserve">Trials, </w:t>
            </w:r>
            <w:r w:rsidRPr="659F1764" w:rsidR="659F1764">
              <w:rPr>
                <w:rFonts w:ascii="Arial" w:hAnsi="Arial" w:eastAsia="Arial" w:cs="Arial"/>
                <w:b w:val="0"/>
                <w:bCs w:val="0"/>
                <w:i w:val="0"/>
                <w:iCs w:val="0"/>
                <w:sz w:val="24"/>
                <w:szCs w:val="24"/>
                <w:lang w:val="en-GB"/>
              </w:rPr>
              <w:t xml:space="preserve">24(1), p. 617. Available at: </w:t>
            </w:r>
            <w:hyperlink r:id="Rcc1be964671a4548">
              <w:r w:rsidRPr="659F1764" w:rsidR="659F1764">
                <w:rPr>
                  <w:rStyle w:val="Hyperlink"/>
                  <w:b w:val="0"/>
                  <w:bCs w:val="0"/>
                  <w:i w:val="0"/>
                  <w:iCs w:val="0"/>
                  <w:strike w:val="0"/>
                  <w:dstrike w:val="0"/>
                  <w:lang w:val="en-GB"/>
                </w:rPr>
                <w:t>https://www.proquest.com/docview/2869800836/abstract?accountid=130472&amp;scrollToView=Author&amp;sourcetype=Scholarly%20Journals</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5F8AFA0D" w14:textId="04DD5B9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Moro, C., Scaccia, M., Camellini, T., Luger, L., Marrow, E. and Turchi, G. P. (2025) ‘Stigma and Emotion Regulation in Intimate Partner Violence: A Pilot Exploratory Study with Victims, Offenders and Experts’, </w:t>
            </w:r>
            <w:r w:rsidRPr="659F1764" w:rsidR="659F1764">
              <w:rPr>
                <w:rFonts w:ascii="Arial" w:hAnsi="Arial" w:eastAsia="Arial" w:cs="Arial"/>
                <w:b w:val="0"/>
                <w:bCs w:val="0"/>
                <w:i w:val="1"/>
                <w:iCs w:val="1"/>
                <w:sz w:val="24"/>
                <w:szCs w:val="24"/>
                <w:lang w:val="en-GB"/>
              </w:rPr>
              <w:t xml:space="preserve">Behavioural Sciences, </w:t>
            </w:r>
            <w:r w:rsidRPr="659F1764" w:rsidR="659F1764">
              <w:rPr>
                <w:rFonts w:ascii="Arial" w:hAnsi="Arial" w:eastAsia="Arial" w:cs="Arial"/>
                <w:b w:val="0"/>
                <w:bCs w:val="0"/>
                <w:i w:val="0"/>
                <w:iCs w:val="0"/>
                <w:sz w:val="24"/>
                <w:szCs w:val="24"/>
                <w:lang w:val="en-GB"/>
              </w:rPr>
              <w:t xml:space="preserve">15(9), p. 1229. Available at: </w:t>
            </w:r>
            <w:hyperlink r:id="Rab690b4aee664dbe">
              <w:r w:rsidRPr="659F1764" w:rsidR="659F1764">
                <w:rPr>
                  <w:rStyle w:val="Hyperlink"/>
                  <w:b w:val="0"/>
                  <w:bCs w:val="0"/>
                  <w:i w:val="0"/>
                  <w:iCs w:val="0"/>
                  <w:strike w:val="0"/>
                  <w:dstrike w:val="0"/>
                  <w:lang w:val="en-GB"/>
                </w:rPr>
                <w:t>https://www.proquest.com/docview/3254466772?pq-origsite=primo_ra&amp;accountid=130472&amp;sourcetype=Scholarly%20Journals#</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7DC98D91" w14:textId="47832A8F">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Pisano, G., Widanaralalage, K. B. and Willmott, D. (2025) ‘”We have to fight for our existence in the system”: exploring service providers’ experiences with male victims and female perpetrators of intimate partner violence’, </w:t>
            </w:r>
            <w:r w:rsidRPr="659F1764" w:rsidR="659F1764">
              <w:rPr>
                <w:rFonts w:ascii="Arial" w:hAnsi="Arial" w:eastAsia="Arial" w:cs="Arial"/>
                <w:b w:val="0"/>
                <w:bCs w:val="0"/>
                <w:i w:val="1"/>
                <w:iCs w:val="1"/>
                <w:sz w:val="24"/>
                <w:szCs w:val="24"/>
                <w:lang w:val="en-GB"/>
              </w:rPr>
              <w:t xml:space="preserve">Journal of Criminal Psychology, </w:t>
            </w:r>
            <w:r w:rsidRPr="659F1764" w:rsidR="659F1764">
              <w:rPr>
                <w:rFonts w:ascii="Arial" w:hAnsi="Arial" w:eastAsia="Arial" w:cs="Arial"/>
                <w:b w:val="0"/>
                <w:bCs w:val="0"/>
                <w:i w:val="0"/>
                <w:iCs w:val="0"/>
                <w:sz w:val="24"/>
                <w:szCs w:val="24"/>
                <w:lang w:val="en-GB"/>
              </w:rPr>
              <w:t xml:space="preserve">15(1), pp. 17-36. Available at: </w:t>
            </w:r>
            <w:hyperlink r:id="Rd116a6d587074cd3">
              <w:r w:rsidRPr="659F1764" w:rsidR="659F1764">
                <w:rPr>
                  <w:rStyle w:val="Hyperlink"/>
                  <w:b w:val="0"/>
                  <w:bCs w:val="0"/>
                  <w:i w:val="0"/>
                  <w:iCs w:val="0"/>
                  <w:strike w:val="0"/>
                  <w:dstrike w:val="0"/>
                  <w:lang w:val="en-GB"/>
                </w:rPr>
                <w:t>https://www.proquest.com/docview/3150563023?accountid=130472&amp;parentSessionId=Wnu6pTXTyvcnr0wfNIs4MX01xjDSWhtEk%2FcFr7unMFU%3D&amp;pq-origsite=primo_ra&amp;sourcetype=Scholarly%20Journals</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62F3FD16" w14:textId="1A33B931">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Reidy, K., Abbott, K. and Parker, S. (2023) ‘’So they hit each other’: gendered constructions of domestic abuse in the YouTube commentary of the Depp v Heard trial’, </w:t>
            </w:r>
            <w:r w:rsidRPr="659F1764" w:rsidR="659F1764">
              <w:rPr>
                <w:rFonts w:ascii="Arial" w:hAnsi="Arial" w:eastAsia="Arial" w:cs="Arial"/>
                <w:b w:val="0"/>
                <w:bCs w:val="0"/>
                <w:i w:val="1"/>
                <w:iCs w:val="1"/>
                <w:sz w:val="24"/>
                <w:szCs w:val="24"/>
                <w:lang w:val="en-GB"/>
              </w:rPr>
              <w:t xml:space="preserve">Critical Discourse Studies, </w:t>
            </w:r>
            <w:r w:rsidRPr="659F1764" w:rsidR="659F1764">
              <w:rPr>
                <w:rFonts w:ascii="Arial" w:hAnsi="Arial" w:eastAsia="Arial" w:cs="Arial"/>
                <w:b w:val="0"/>
                <w:bCs w:val="0"/>
                <w:i w:val="0"/>
                <w:iCs w:val="0"/>
                <w:sz w:val="24"/>
                <w:szCs w:val="24"/>
                <w:lang w:val="en-GB"/>
              </w:rPr>
              <w:t xml:space="preserve">22(3), pp. 281-298. Available at: </w:t>
            </w:r>
            <w:hyperlink r:id="Rbdfd5e2c58704ec6">
              <w:r w:rsidRPr="659F1764" w:rsidR="659F1764">
                <w:rPr>
                  <w:rStyle w:val="Hyperlink"/>
                  <w:b w:val="0"/>
                  <w:bCs w:val="0"/>
                  <w:i w:val="0"/>
                  <w:iCs w:val="0"/>
                  <w:strike w:val="0"/>
                  <w:dstrike w:val="0"/>
                  <w:lang w:val="en-GB"/>
                </w:rPr>
                <w:t>https://doi-org.uwtsd.idm.oclc.org/10.1080/17405904.2023.2291130</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55162706" w14:textId="17F3D952">
            <w:pPr>
              <w:spacing w:line="360" w:lineRule="auto"/>
              <w:jc w:val="both"/>
              <w:rPr>
                <w:rFonts w:ascii="Arial" w:hAnsi="Arial" w:eastAsia="Arial" w:cs="Arial"/>
                <w:b w:val="0"/>
                <w:bCs w:val="0"/>
                <w:i w:val="0"/>
                <w:iCs w:val="0"/>
                <w:sz w:val="24"/>
                <w:szCs w:val="24"/>
              </w:rPr>
            </w:pPr>
            <w:r w:rsidRPr="659F1764" w:rsidR="659F1764">
              <w:rPr>
                <w:rFonts w:ascii="Arial" w:hAnsi="Arial" w:eastAsia="Arial" w:cs="Arial"/>
                <w:b w:val="0"/>
                <w:bCs w:val="0"/>
                <w:i w:val="0"/>
                <w:iCs w:val="0"/>
                <w:sz w:val="24"/>
                <w:szCs w:val="24"/>
                <w:lang w:val="en-GB"/>
              </w:rPr>
              <w:t xml:space="preserve">Westmarland, N. and Burrell, S. R. (2023) ‘’I’m a red-blooded male’: Understanding men’s experiences of domestic abuse through a feminist lens’, </w:t>
            </w:r>
            <w:r w:rsidRPr="659F1764" w:rsidR="659F1764">
              <w:rPr>
                <w:rFonts w:ascii="Arial" w:hAnsi="Arial" w:eastAsia="Arial" w:cs="Arial"/>
                <w:b w:val="0"/>
                <w:bCs w:val="0"/>
                <w:i w:val="1"/>
                <w:iCs w:val="1"/>
                <w:sz w:val="24"/>
                <w:szCs w:val="24"/>
                <w:lang w:val="en-GB"/>
              </w:rPr>
              <w:t xml:space="preserve">Criminology &amp; Criminal Justice, </w:t>
            </w:r>
            <w:r w:rsidRPr="659F1764" w:rsidR="659F1764">
              <w:rPr>
                <w:rFonts w:ascii="Arial" w:hAnsi="Arial" w:eastAsia="Arial" w:cs="Arial"/>
                <w:b w:val="0"/>
                <w:bCs w:val="0"/>
                <w:i w:val="0"/>
                <w:iCs w:val="0"/>
                <w:sz w:val="24"/>
                <w:szCs w:val="24"/>
                <w:lang w:val="en-GB"/>
              </w:rPr>
              <w:t xml:space="preserve">25(5). Available at: </w:t>
            </w:r>
            <w:hyperlink r:id="R7b827141ff9d437b">
              <w:r w:rsidRPr="659F1764" w:rsidR="659F1764">
                <w:rPr>
                  <w:rStyle w:val="Hyperlink"/>
                  <w:b w:val="0"/>
                  <w:bCs w:val="0"/>
                  <w:i w:val="0"/>
                  <w:iCs w:val="0"/>
                  <w:strike w:val="0"/>
                  <w:dstrike w:val="0"/>
                  <w:lang w:val="en-GB"/>
                </w:rPr>
                <w:t>https://doi.org/10.1177/17488958231210985</w:t>
              </w:r>
            </w:hyperlink>
            <w:r w:rsidRPr="659F1764" w:rsidR="659F1764">
              <w:rPr>
                <w:rFonts w:ascii="Arial" w:hAnsi="Arial" w:eastAsia="Arial" w:cs="Arial"/>
                <w:b w:val="0"/>
                <w:bCs w:val="0"/>
                <w:i w:val="0"/>
                <w:iCs w:val="0"/>
                <w:sz w:val="24"/>
                <w:szCs w:val="24"/>
                <w:lang w:val="en-GB"/>
              </w:rPr>
              <w:t xml:space="preserve"> </w:t>
            </w:r>
          </w:p>
          <w:p w:rsidR="659F1764" w:rsidP="659F1764" w:rsidRDefault="659F1764" w14:paraId="60E905D1" w14:textId="79B3ABD8">
            <w:pPr>
              <w:spacing w:line="360" w:lineRule="auto"/>
              <w:jc w:val="both"/>
              <w:rPr>
                <w:rFonts w:ascii="Arial" w:hAnsi="Arial" w:eastAsia="Arial" w:cs="Arial"/>
                <w:b w:val="0"/>
                <w:bCs w:val="0"/>
                <w:i w:val="0"/>
                <w:iCs w:val="0"/>
                <w:sz w:val="24"/>
                <w:szCs w:val="24"/>
              </w:rPr>
            </w:pPr>
          </w:p>
        </w:tc>
      </w:tr>
    </w:tbl>
    <w:p xmlns:wp14="http://schemas.microsoft.com/office/word/2010/wordml" wp14:paraId="2C078E63" wp14:textId="111753E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785c4c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fe0fe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15551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6D8CE"/>
    <w:rsid w:val="0383B684"/>
    <w:rsid w:val="04552FBB"/>
    <w:rsid w:val="0602C042"/>
    <w:rsid w:val="0D46FE4E"/>
    <w:rsid w:val="0E6E3831"/>
    <w:rsid w:val="18A86416"/>
    <w:rsid w:val="23EB1B7B"/>
    <w:rsid w:val="23EB1B7B"/>
    <w:rsid w:val="3BF210F1"/>
    <w:rsid w:val="4329DCC0"/>
    <w:rsid w:val="486017B8"/>
    <w:rsid w:val="4AD6D8CE"/>
    <w:rsid w:val="5767669C"/>
    <w:rsid w:val="608F73A4"/>
    <w:rsid w:val="659F1764"/>
    <w:rsid w:val="6EAB5A12"/>
    <w:rsid w:val="7729A91A"/>
    <w:rsid w:val="7FC03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E2AF"/>
  <w15:chartTrackingRefBased/>
  <w15:docId w15:val="{B16E12D4-B9E9-4A3D-B1B8-3B6D81B351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59F1764"/>
    <w:pPr>
      <w:spacing/>
      <w:ind w:left="720"/>
      <w:contextualSpacing/>
    </w:pPr>
  </w:style>
  <w:style w:type="character" w:styleId="Hyperlink">
    <w:uiPriority w:val="99"/>
    <w:name w:val="Hyperlink"/>
    <w:basedOn w:val="DefaultParagraphFont"/>
    <w:unhideWhenUsed/>
    <w:rsid w:val="659F1764"/>
    <w:rPr>
      <w:color w:val="467886"/>
      <w:u w:val="single"/>
    </w:rPr>
  </w:style>
  <w:style w:type="paragraph" w:styleId="BodyText">
    <w:uiPriority w:val="99"/>
    <w:name w:val="Body Text"/>
    <w:basedOn w:val="Normal"/>
    <w:unhideWhenUsed/>
    <w:rsid w:val="659F1764"/>
    <w:pPr>
      <w:spacing w:after="120"/>
    </w:pPr>
  </w:style>
  <w:style w:type="character" w:styleId="lookup-resultcontent" w:customStyle="true">
    <w:uiPriority w:val="1"/>
    <w:name w:val="lookup-result__content"/>
    <w:basedOn w:val="DefaultParagraphFont"/>
    <w:rsid w:val="659F1764"/>
    <w:rPr>
      <w:rFonts w:ascii="Calibri" w:hAnsi="Calibri" w:eastAsia="Calibri" w:cs="Arial" w:asciiTheme="minorAscii" w:hAnsiTheme="minorAscii" w:eastAsiaTheme="minorAscii" w:cstheme="minorBidi"/>
      <w:sz w:val="22"/>
      <w:szCs w:val="2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62616971" /><Relationship Type="http://schemas.openxmlformats.org/officeDocument/2006/relationships/hyperlink" Target="https://doi-org.uwtsd.idm.oclc.org/10.1080/24732850.2022.2133663" TargetMode="External" Id="R272c1e6527a147ed" /><Relationship Type="http://schemas.openxmlformats.org/officeDocument/2006/relationships/hyperlink" Target="https://www.proquest.com/docview/2895064828?accountid=130472&amp;parentSessionId=iPzUzffM9Qjqxc3Vri7PmWXS5yY67%2FWpk1LLvtH9hI8%3D&amp;pq-origsite=primo&amp;sourcetype=Scholarly%20Journals" TargetMode="External" Id="R232b420f14e74dde" /><Relationship Type="http://schemas.openxmlformats.org/officeDocument/2006/relationships/hyperlink" Target="https://www.legislation.gov.uk/ukpga/2021/17/section/1" TargetMode="External" Id="Ra011172827d84462" /><Relationship Type="http://schemas.openxmlformats.org/officeDocument/2006/relationships/hyperlink" Target="https://doi-org.uwtsd.idm.oclc.org/10.1080/14680777.2022.2155861" TargetMode="External" Id="R9d13190ec817441a" /><Relationship Type="http://schemas.openxmlformats.org/officeDocument/2006/relationships/hyperlink" Target="https://doi.org/10.1177/0886260520944551" TargetMode="External" Id="R8ee8b2c70c144ef4" /><Relationship Type="http://schemas.openxmlformats.org/officeDocument/2006/relationships/hyperlink" Target="https://doi-org.uwtsd.idm.oclc.org/10.1177/0886260518775162" TargetMode="External" Id="R8b30c8f52ebb4e11" /><Relationship Type="http://schemas.openxmlformats.org/officeDocument/2006/relationships/hyperlink" Target="https://www.proquest.com/docview/2869800836/abstract?accountid=130472&amp;scrollToView=Author&amp;sourcetype=Scholarly%20Journals" TargetMode="External" Id="Rcc1be964671a4548" /><Relationship Type="http://schemas.openxmlformats.org/officeDocument/2006/relationships/hyperlink" Target="https://www.proquest.com/docview/3254466772?pq-origsite=primo_ra&amp;accountid=130472&amp;sourcetype=Scholarly%20Journals" TargetMode="External" Id="Rab690b4aee664dbe" /><Relationship Type="http://schemas.openxmlformats.org/officeDocument/2006/relationships/hyperlink" Target="https://www.proquest.com/docview/3150563023?accountid=130472&amp;parentSessionId=Wnu6pTXTyvcnr0wfNIs4MX01xjDSWhtEk%2FcFr7unMFU%3D&amp;pq-origsite=primo_ra&amp;sourcetype=Scholarly%20Journals" TargetMode="External" Id="Rd116a6d587074cd3" /><Relationship Type="http://schemas.openxmlformats.org/officeDocument/2006/relationships/hyperlink" Target="https://doi-org.uwtsd.idm.oclc.org/10.1080/17405904.2023.2291130" TargetMode="External" Id="Rbdfd5e2c58704ec6" /><Relationship Type="http://schemas.openxmlformats.org/officeDocument/2006/relationships/hyperlink" Target="https://doi.org/10.1177/17488958231210985" TargetMode="External" Id="R7b827141ff9d437b" /><Relationship Type="http://schemas.openxmlformats.org/officeDocument/2006/relationships/numbering" Target="numbering.xml" Id="R4953660dbae14f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2026-10-01T14:14:46.5724002Z</dcterms:created>
  <dcterms:modified xsi:type="dcterms:W3CDTF">2026-10-01T14:22:00.6550638Z</dcterms:modified>
  <dc:creator>Calan Wilkins (2400656)</dc:creator>
  <lastModifiedBy>Calan Wilkins (2400656)</lastModifiedBy>
</coreProperties>
</file>