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818FB" w14:textId="77777777" w:rsidR="00861D4C" w:rsidRDefault="00861D4C" w:rsidP="00861D4C">
      <w:pPr>
        <w:rPr>
          <w:u w:val="single"/>
        </w:rPr>
      </w:pPr>
      <w:r>
        <w:rPr>
          <w:u w:val="single"/>
        </w:rPr>
        <w:t>“Discuss the reasons why successive Governments in Northern Ireland failed to establish political stability, noting the extent of discrimination against the Catholic community”.</w:t>
      </w:r>
    </w:p>
    <w:p w14:paraId="3683018B" w14:textId="77777777" w:rsidR="00861D4C" w:rsidRDefault="00861D4C" w:rsidP="00861D4C">
      <w:r>
        <w:rPr>
          <w:u w:val="single"/>
        </w:rPr>
        <w:t>By Tobias Theodore Olds</w:t>
      </w:r>
      <w:r>
        <w:t xml:space="preserve">                                           </w:t>
      </w:r>
      <w:r>
        <w:rPr>
          <w:u w:val="single"/>
        </w:rPr>
        <w:t>13/06/2021</w:t>
      </w:r>
    </w:p>
    <w:p w14:paraId="5ADEF95A" w14:textId="77777777" w:rsidR="00861D4C" w:rsidRDefault="00861D4C" w:rsidP="00861D4C"/>
    <w:p w14:paraId="3710D2F4" w14:textId="04C0E29C" w:rsidR="00861D4C" w:rsidRDefault="00861D4C" w:rsidP="00861D4C">
      <w:r>
        <w:t xml:space="preserve">The topic of this essay is concerned with exploring the state of affairs in Northern Ireland following the Government of Ireland Act (1920), which proposed two states in Ireland, one for the six North-Eastern counties and one for the remainder of Ireland, as the British government had thought that it was the only way of reconciling the rival aspirations of the two Irish main political movements, that of the nationalists and the unionists (Darby, 1983, p. 19-20). (The somewhat cynical reason the particular six that were chosen were chosen is described by Darby to be the combination that gave the greatest ratio of Protestants to Catholics in favour of the protestants) (1983, p. 20). Some anthropological scholars have noted however it would be mistaken to assume that the existence of a border would not prevent an ongoing social dynamism and contestation of culture and identity and that in the mind of many citizens one that involves constant re-negotiation (McCormack, 2017, p. 60). Nonetheless the majority of the protestant and unionist cause did have a distinguished influence on Northern Irish society. In a review of the work by Darby, Tomlinson has several critical and also approving comments on Darby’s book – he highlights that Bill Rolston’s chapter on Reformism and Sectarianism directly tackled the role of how the state mediated sectarianism and also its failures, such as that of the Fair Employment Agency (1984, p. 506). Tomlinson also states that Paddy Hillyard’s Chapter analysis of the state of law and order, how the state strategies were technocratic procedures involving the civil institutions such as the army, police, and judiciary – such strategies were detached to that of public opinion (1984, p. 505). Darby’s Book is described to be underlaid with a particular “conflict studies” approach – that studying the degree of “warring truces within different spheres of daily life” one would understand gradually “the basis for modest experiments in reconciliation” (Tomlinson, 1984, p. 505). </w:t>
      </w:r>
    </w:p>
    <w:p w14:paraId="1B79ABA4" w14:textId="77777777" w:rsidR="00861D4C" w:rsidRDefault="00861D4C" w:rsidP="00861D4C">
      <w:r>
        <w:t xml:space="preserve">Scholars and Historians have also noted how the mechanisms of state power and control further cemented Catholics into a marginalised position (until the 1960s at least, when there were greater reforms of the local government franchise for instance (Darby, 1983, p. 21)) within Northern Irish society (McCormack, 2017, p. 52). The fact that many of the state and civil and institutions in the Northern Irish state were largely imbued with impartiality to the Protestant majority was a key reason why sectarians tensions and grievances would continue to persevere following its formation. Darby states that historically the period between 1800 and 1830 was the beginning of serious urban competition between Catholics and Protestants, as the percentage of Catholics rose and there was greater competition for jobs and for houses (Darby, 1983, p. 17). </w:t>
      </w:r>
    </w:p>
    <w:p w14:paraId="25BA739E" w14:textId="0E45080F" w:rsidR="00861D4C" w:rsidRDefault="00861D4C" w:rsidP="00861D4C">
      <w:r>
        <w:t xml:space="preserve">One means of disenfranchising the Catholic population of suffrage, Darby notes, was how the local government franchise (at least until 1969) reflecting that of property rather than that of population – thus housing allocation and the gerrymandering of constituency boundaries were actively used to maintain Unionists majorities, particularly Derry city (1983, p. 21). As another example of how institution would lean protestant, one means by which the British Government tried to contend with sectarian violence that was persisting within Northern Ireland, from groups such as the Irish Republican Army (IRA) was to set up the Royal Irish Constabulary (RIC) and the Ulster Special Constabulary (USC) – however highlighting the issue was that the USC had been largely based and drawn upon the pre-existing Ulster Volunteer Force (UVF) (with tacit approval from the British government) – and thus was a predominantly protestant outfit from the start (Hillyard, 1983, p. 33). Other notable instances include the Northern Ireland Judiciary, which throughout its history has </w:t>
      </w:r>
      <w:r>
        <w:lastRenderedPageBreak/>
        <w:t>been mainly composed of individuals who had been openly associated with the Unionist Party (Hillyard, 1983, p. 35) and also due to rules on the composition of juries, wherein property qualification being necessary for jury service meant that the composition of juries was mainly protestant (Hillyard, 1983, p. 35)</w:t>
      </w:r>
      <w:r w:rsidR="00EA01E2">
        <w:t xml:space="preserve"> and also the education system which Darby (1983, p. 21-22) states was tailored by protestant pressure to produce a system reflecting the preferences as such</w:t>
      </w:r>
      <w:r>
        <w:t xml:space="preserve">. </w:t>
      </w:r>
      <w:r w:rsidR="007C6EAF">
        <w:t xml:space="preserve">Rolston compared sectarianism of this type to several definitions of racism that had emerged from scholarly literature, describing the community relations within Northern Ireland was akin to the term structural racism, as materially the levels of institutions and policies were designed by and for the protestant majority (1983, p. 206).   </w:t>
      </w:r>
      <w:r>
        <w:t xml:space="preserve">   </w:t>
      </w:r>
    </w:p>
    <w:p w14:paraId="7CF24159" w14:textId="77777777" w:rsidR="00861D4C" w:rsidRDefault="00861D4C" w:rsidP="00861D4C">
      <w:r>
        <w:t xml:space="preserve">Following the Civil Rights struggle in Northern during the 60s parts of the challenge for the government rested on the fact that for Ministers’ failing to meet the increasing demands coming from the republicans would lead to an increase in its escalation – yet they simultaneously needed to avoid conceding too much to the demands to jeopardize their places in the Unionist leadership (Rolston, 1983, p. 197-198). There was a “tight-rope task” of First Ministers such as Terence O’Neill to get the right balance of “reform and repression” – and him and several others failed to find an appropriate balance (Rolston, 1983, p. 198). It also seemed to be a case that even after many reforms had been passed, the escalation of violence in Northern Ireland did not necessarily subside – which in of itself has several explanations (Rolston, 1983, p. 200). It may have been that much of the violence itself did not originate from the merely the Civil Rights activists, and also would cast doubt on too direct a link between violence and the demands of the Civil Rights activists (Rolston, 1983, p. 200). </w:t>
      </w:r>
    </w:p>
    <w:p w14:paraId="74C1E213" w14:textId="19703911" w:rsidR="00861D4C" w:rsidRDefault="00EA01E2" w:rsidP="00861D4C">
      <w:r>
        <w:t>T</w:t>
      </w:r>
      <w:r w:rsidR="00861D4C">
        <w:t>here were</w:t>
      </w:r>
      <w:r>
        <w:t xml:space="preserve"> also</w:t>
      </w:r>
      <w:r w:rsidR="00861D4C">
        <w:t xml:space="preserve"> other factors that affected political stability in Northern Ireland. It saw higher than average unemployment than the rest of the United Kingdom resulting from cuts implemented by the external coalition of Government and the outdoor relief rates for couples with children were also lower (Hennessey, 1997, p. 59-60). Hennessey quotes Tommy Graham of the Workers Group stating that “We saw Roman Catholic and Protestant workers marching together and… fighting together. As a result, poverty and destitution have been swept away and homes will be made brighter for many of the unfortunate workers (1997, p. 61), indicating that sectarian divisions in Northern Ireland were not necessarily absolute. </w:t>
      </w:r>
    </w:p>
    <w:p w14:paraId="33328C4B" w14:textId="1093AEFC" w:rsidR="00515B73" w:rsidRDefault="00861D4C" w:rsidP="00861D4C">
      <w:r>
        <w:t xml:space="preserve">Criticisms of Darby’s work was that it neglected two important features of discussion – A) how class could have potentially played a role in the out-play (thus Hennessey’s work is a useful accompanying piece of work) and B) considering the British state to be an external factor and not as central as the book assumed it was to shape “protestant supremacy and catholic subordination” (Tomlinson, 2009, p. 505). (There is also criticism about the depth of literature and reading from the authors of the other chapters by Tomlinson (2009, p. 506)). </w:t>
      </w:r>
      <w:r w:rsidR="00EA01E2">
        <w:t>However, Darby in contrast did state that Northern Irelands dependency on exports made it vulnerable to external world trends (1983, p. 22)</w:t>
      </w:r>
      <w:r w:rsidR="00515B73">
        <w:t xml:space="preserve">. Related to this it was not an entirely bleak picture for Northern Ireland following the creation of the border following 1922 – during the 1950s and 1960s was defined by improvements in the regards to prosperity, with shipbuilding, </w:t>
      </w:r>
      <w:proofErr w:type="gramStart"/>
      <w:r w:rsidR="00515B73">
        <w:t>engineering</w:t>
      </w:r>
      <w:proofErr w:type="gramEnd"/>
      <w:r w:rsidR="00515B73">
        <w:t xml:space="preserve"> and aircraft production booming, with agricultural production shooting up and a greater </w:t>
      </w:r>
      <w:r w:rsidR="007C6EAF">
        <w:t>number</w:t>
      </w:r>
      <w:r w:rsidR="00515B73">
        <w:t xml:space="preserve"> of jobs and employment opening up (Darby, 1983, p. 23). </w:t>
      </w:r>
    </w:p>
    <w:p w14:paraId="4D0ADEB9" w14:textId="1B3370E7" w:rsidR="00861D4C" w:rsidRPr="00AC14A3" w:rsidRDefault="00515B73" w:rsidP="00861D4C">
      <w:r>
        <w:t xml:space="preserve">Thus, at some various points in its timeline Northern Ireland was characterised by greater communal peace (Darby, 1983, p. 23). Nonetheless some scholars would criticise this reading of social relations – one of the other </w:t>
      </w:r>
      <w:r w:rsidR="00861D4C">
        <w:t>criticism</w:t>
      </w:r>
      <w:r>
        <w:t>s</w:t>
      </w:r>
      <w:r w:rsidR="00861D4C">
        <w:t xml:space="preserve"> also levelled at Darby was that his work focused too largely on the theme and topic of violence in Northern Ireland as though that was the only thing that had made it interesting – which Tomlinson describes as largely superficial (1984, p. 505). In contrast to this, much </w:t>
      </w:r>
      <w:r w:rsidR="00861D4C">
        <w:lastRenderedPageBreak/>
        <w:t>of McCormack’s anthropological investigations go in deeper into how much of the trauma of violence persisted through what she describes in her ethnographic study as “silence” – how the memories of conflict remain conveyed without always being spoken in Northern Irish life</w:t>
      </w:r>
      <w:r w:rsidR="00861D4C">
        <w:t xml:space="preserve"> (silence is defined as “</w:t>
      </w:r>
      <w:r w:rsidR="00861D4C">
        <w:t>coercion, cultural censorship, embodied, and an integral component of identity and consciousness affected by a diaspora</w:t>
      </w:r>
      <w:r w:rsidR="00861D4C">
        <w:t>” (McCormack, 2017, p. 50))</w:t>
      </w:r>
      <w:r w:rsidR="00861D4C">
        <w:t xml:space="preserve">, which she maintains is part of a social survival strategy for that of the subjugated Catholic minority </w:t>
      </w:r>
      <w:r w:rsidR="00861D4C" w:rsidRPr="00861D4C">
        <w:t xml:space="preserve">(2017, p. </w:t>
      </w:r>
      <w:r w:rsidR="00861D4C" w:rsidRPr="00861D4C">
        <w:t>50</w:t>
      </w:r>
      <w:r w:rsidR="00861D4C" w:rsidRPr="00861D4C">
        <w:t>)</w:t>
      </w:r>
      <w:r w:rsidR="00861D4C">
        <w:t>.</w:t>
      </w:r>
      <w:r>
        <w:t xml:space="preserve"> Thus</w:t>
      </w:r>
      <w:r w:rsidR="00AC14A3">
        <w:t>,</w:t>
      </w:r>
      <w:r>
        <w:t xml:space="preserve"> while there may had been the absence of overt conflict</w:t>
      </w:r>
      <w:r w:rsidR="00AC14A3">
        <w:t xml:space="preserve">, McCormack describes how state measures of surveillance as a way that communities were morally demoralised and also something that could bring about an all-encompassing fear – a more “privatised” silence (2017, pp. 53-54). </w:t>
      </w:r>
    </w:p>
    <w:p w14:paraId="350F47BC" w14:textId="3D4B3BCD" w:rsidR="00861D4C" w:rsidRDefault="00861D4C" w:rsidP="00861D4C">
      <w:r>
        <w:t xml:space="preserve">In conclusion however the failure to bring peace to Norther Ireland could be described as that wherein the technocratic means by which governance not just within the Northern Irish state, but that of the wider United Kingdom, was administered did not meet the cultural expectations of the different sub-groups. </w:t>
      </w:r>
    </w:p>
    <w:p w14:paraId="263FB9AF" w14:textId="77777777" w:rsidR="00861D4C" w:rsidRDefault="00861D4C" w:rsidP="00861D4C"/>
    <w:p w14:paraId="75C345DD" w14:textId="77777777" w:rsidR="00861D4C" w:rsidRDefault="00861D4C" w:rsidP="00861D4C">
      <w:pPr>
        <w:rPr>
          <w:u w:val="single"/>
        </w:rPr>
      </w:pPr>
      <w:r>
        <w:rPr>
          <w:u w:val="single"/>
        </w:rPr>
        <w:t>Bibliography:</w:t>
      </w:r>
    </w:p>
    <w:p w14:paraId="5F5C2093" w14:textId="77777777" w:rsidR="00861D4C" w:rsidRDefault="00861D4C" w:rsidP="00861D4C">
      <w:pPr>
        <w:pStyle w:val="ListParagraph"/>
        <w:numPr>
          <w:ilvl w:val="0"/>
          <w:numId w:val="1"/>
        </w:numPr>
      </w:pPr>
      <w:r>
        <w:t xml:space="preserve">Darby, J. (1983) `The Historical Background` </w:t>
      </w:r>
      <w:bookmarkStart w:id="0" w:name="_Hlk74483684"/>
      <w:bookmarkStart w:id="1" w:name="_Hlk74483883"/>
      <w:r>
        <w:t xml:space="preserve">in </w:t>
      </w:r>
      <w:r>
        <w:rPr>
          <w:i/>
          <w:iCs/>
        </w:rPr>
        <w:t>Northern Ireland: The Background to the Conflict</w:t>
      </w:r>
      <w:r>
        <w:t xml:space="preserve">. </w:t>
      </w:r>
      <w:bookmarkEnd w:id="0"/>
      <w:r>
        <w:t>7 James Street South Belfast BT2 8DL, Northern Ireland: The Appletree Press Ltd.</w:t>
      </w:r>
      <w:bookmarkEnd w:id="1"/>
    </w:p>
    <w:p w14:paraId="6C5A99D1" w14:textId="77777777" w:rsidR="00861D4C" w:rsidRDefault="00861D4C" w:rsidP="00861D4C">
      <w:pPr>
        <w:pStyle w:val="ListParagraph"/>
        <w:numPr>
          <w:ilvl w:val="0"/>
          <w:numId w:val="1"/>
        </w:numPr>
      </w:pPr>
      <w:r>
        <w:t xml:space="preserve">Hennessey, T. (1997) </w:t>
      </w:r>
      <w:r>
        <w:rPr>
          <w:i/>
          <w:iCs/>
        </w:rPr>
        <w:t xml:space="preserve">A History of Northern Ireland 1920-1966. </w:t>
      </w:r>
      <w:r>
        <w:t xml:space="preserve">Houndmills, Basingstoke, Hampshire RG21 6XS and London: MacMillan Press Ltd.  </w:t>
      </w:r>
    </w:p>
    <w:p w14:paraId="6ACBCEC6" w14:textId="77777777" w:rsidR="00861D4C" w:rsidRDefault="00861D4C" w:rsidP="00861D4C">
      <w:pPr>
        <w:pStyle w:val="ListParagraph"/>
        <w:numPr>
          <w:ilvl w:val="0"/>
          <w:numId w:val="1"/>
        </w:numPr>
      </w:pPr>
      <w:r>
        <w:t xml:space="preserve">Hillyard, P (1983) `Law and Order` </w:t>
      </w:r>
      <w:bookmarkStart w:id="2" w:name="_Hlk74484105"/>
      <w:r>
        <w:t xml:space="preserve">in </w:t>
      </w:r>
      <w:r>
        <w:rPr>
          <w:i/>
          <w:iCs/>
        </w:rPr>
        <w:t>Northern Ireland: The Background to the Conflict</w:t>
      </w:r>
      <w:r>
        <w:t>. 7 James Street South Belfast BT2 8DL, Northern Ireland: The Appletree Press Ltd.</w:t>
      </w:r>
      <w:bookmarkEnd w:id="2"/>
    </w:p>
    <w:p w14:paraId="27C878D8" w14:textId="77777777" w:rsidR="00861D4C" w:rsidRDefault="00861D4C" w:rsidP="00861D4C">
      <w:pPr>
        <w:pStyle w:val="ListParagraph"/>
        <w:numPr>
          <w:ilvl w:val="0"/>
          <w:numId w:val="1"/>
        </w:numPr>
      </w:pPr>
      <w:r>
        <w:t xml:space="preserve">McCormack, F. E. (2017) “Fear, Silence, and Telling: Catholic Identity in Northern Ireland” in </w:t>
      </w:r>
      <w:r>
        <w:rPr>
          <w:i/>
          <w:iCs/>
        </w:rPr>
        <w:t>Anthropology and Humanism</w:t>
      </w:r>
      <w:r>
        <w:t>, 42 (1), pp. 50-71</w:t>
      </w:r>
    </w:p>
    <w:p w14:paraId="50D0B422" w14:textId="77777777" w:rsidR="00861D4C" w:rsidRDefault="00861D4C" w:rsidP="00861D4C">
      <w:pPr>
        <w:pStyle w:val="ListParagraph"/>
        <w:numPr>
          <w:ilvl w:val="0"/>
          <w:numId w:val="1"/>
        </w:numPr>
      </w:pPr>
      <w:r>
        <w:t xml:space="preserve">Rolston, B. (1983) ` Reformism and Sectarianism: The State and the Union after Civil Right` in </w:t>
      </w:r>
      <w:r>
        <w:rPr>
          <w:i/>
          <w:iCs/>
        </w:rPr>
        <w:t>Northern Ireland: The Background to the Conflict</w:t>
      </w:r>
      <w:r>
        <w:t>. 7 James Street South Belfast BT2 8DL, Northern Ireland: The Appletree Press Ltd.</w:t>
      </w:r>
    </w:p>
    <w:p w14:paraId="719B68FF" w14:textId="77777777" w:rsidR="00861D4C" w:rsidRDefault="00861D4C" w:rsidP="00861D4C">
      <w:pPr>
        <w:pStyle w:val="ListParagraph"/>
        <w:numPr>
          <w:ilvl w:val="0"/>
          <w:numId w:val="1"/>
        </w:numPr>
      </w:pPr>
      <w:r>
        <w:t xml:space="preserve">Tomlinson, M. (1984) “J. Darby (ed.), Northern Ireland: The Background to the Conflict, Appletree Press and Syracuse University Press, Belfast and New York, 1983. 272 pp. $32.00, paper £4.95” in </w:t>
      </w:r>
      <w:r>
        <w:rPr>
          <w:i/>
          <w:iCs/>
        </w:rPr>
        <w:t>Journal of Social Policy,</w:t>
      </w:r>
      <w:r>
        <w:t xml:space="preserve"> 13 (4), pp. 505-506. </w:t>
      </w:r>
    </w:p>
    <w:p w14:paraId="163D193F" w14:textId="77777777" w:rsidR="002408D3" w:rsidRDefault="002408D3"/>
    <w:sectPr w:rsidR="002408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C03F66"/>
    <w:multiLevelType w:val="hybridMultilevel"/>
    <w:tmpl w:val="9202012C"/>
    <w:lvl w:ilvl="0" w:tplc="69347F84">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D4C"/>
    <w:rsid w:val="001E2220"/>
    <w:rsid w:val="002408D3"/>
    <w:rsid w:val="00515B73"/>
    <w:rsid w:val="007C6EAF"/>
    <w:rsid w:val="00861D4C"/>
    <w:rsid w:val="008A46B4"/>
    <w:rsid w:val="00AC14A3"/>
    <w:rsid w:val="00B24783"/>
    <w:rsid w:val="00EA0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E81D6"/>
  <w15:chartTrackingRefBased/>
  <w15:docId w15:val="{692CAD1B-CCE2-42D4-859B-39684D075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D4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D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33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Pages>
  <Words>1596</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Olds</dc:creator>
  <cp:keywords/>
  <dc:description/>
  <cp:lastModifiedBy>Tobias Olds</cp:lastModifiedBy>
  <cp:revision>4</cp:revision>
  <dcterms:created xsi:type="dcterms:W3CDTF">2021-06-13T18:00:00Z</dcterms:created>
  <dcterms:modified xsi:type="dcterms:W3CDTF">2021-06-13T21:44:00Z</dcterms:modified>
</cp:coreProperties>
</file>