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123255" w14:textId="77777777" w:rsidR="005202D0" w:rsidRPr="006A36B4" w:rsidRDefault="005202D0" w:rsidP="005202D0">
      <w:pPr>
        <w:spacing w:after="160" w:line="278" w:lineRule="auto"/>
        <w:jc w:val="center"/>
        <w:rPr>
          <w:rFonts w:eastAsia="DengXian"/>
          <w:kern w:val="2"/>
          <w:sz w:val="32"/>
          <w:szCs w:val="32"/>
          <w:lang w:val="en-GB" w:eastAsia="zh-CN"/>
        </w:rPr>
      </w:pPr>
      <w:r w:rsidRPr="006A36B4">
        <w:rPr>
          <w:rFonts w:eastAsia="DengXian"/>
          <w:b/>
          <w:bCs/>
          <w:kern w:val="2"/>
          <w:sz w:val="32"/>
          <w:szCs w:val="32"/>
          <w:lang w:val="en-GB" w:eastAsia="zh-CN"/>
        </w:rPr>
        <w:t>Student name:</w:t>
      </w:r>
      <w:r w:rsidRPr="006A36B4">
        <w:rPr>
          <w:rFonts w:eastAsia="DengXian"/>
          <w:kern w:val="2"/>
          <w:sz w:val="32"/>
          <w:szCs w:val="32"/>
          <w:lang w:val="en-GB" w:eastAsia="zh-CN"/>
        </w:rPr>
        <w:t xml:space="preserve"> Nuro Aligas </w:t>
      </w:r>
    </w:p>
    <w:p w14:paraId="0F2191F7" w14:textId="77777777" w:rsidR="005202D0" w:rsidRPr="006A36B4" w:rsidRDefault="005202D0" w:rsidP="005202D0">
      <w:pPr>
        <w:spacing w:after="160" w:line="278" w:lineRule="auto"/>
        <w:jc w:val="center"/>
        <w:rPr>
          <w:rFonts w:eastAsia="DengXian"/>
          <w:kern w:val="2"/>
          <w:sz w:val="32"/>
          <w:szCs w:val="32"/>
          <w:lang w:val="en-GB" w:eastAsia="zh-CN"/>
        </w:rPr>
      </w:pPr>
      <w:r w:rsidRPr="006A36B4">
        <w:rPr>
          <w:rFonts w:eastAsia="DengXian"/>
          <w:b/>
          <w:bCs/>
          <w:kern w:val="2"/>
          <w:sz w:val="32"/>
          <w:szCs w:val="32"/>
          <w:lang w:val="en-GB" w:eastAsia="zh-CN"/>
        </w:rPr>
        <w:t>Student number:</w:t>
      </w:r>
      <w:r w:rsidRPr="006A36B4">
        <w:rPr>
          <w:rFonts w:eastAsia="DengXian"/>
          <w:kern w:val="2"/>
          <w:sz w:val="32"/>
          <w:szCs w:val="32"/>
          <w:lang w:val="en-GB" w:eastAsia="zh-CN"/>
        </w:rPr>
        <w:t>2131283</w:t>
      </w:r>
    </w:p>
    <w:p w14:paraId="15E97538" w14:textId="77777777" w:rsidR="005202D0" w:rsidRPr="006A36B4" w:rsidRDefault="005202D0" w:rsidP="005202D0">
      <w:pPr>
        <w:spacing w:after="160" w:line="278" w:lineRule="auto"/>
        <w:jc w:val="center"/>
        <w:rPr>
          <w:rFonts w:eastAsia="DengXian"/>
          <w:kern w:val="2"/>
          <w:sz w:val="32"/>
          <w:szCs w:val="32"/>
          <w:lang w:val="en-GB" w:eastAsia="zh-CN"/>
        </w:rPr>
      </w:pPr>
      <w:r w:rsidRPr="006A36B4">
        <w:rPr>
          <w:rFonts w:eastAsia="DengXian"/>
          <w:b/>
          <w:bCs/>
          <w:kern w:val="2"/>
          <w:sz w:val="32"/>
          <w:szCs w:val="32"/>
          <w:lang w:val="en-GB" w:eastAsia="zh-CN"/>
        </w:rPr>
        <w:t>Lecturer name:</w:t>
      </w:r>
      <w:r w:rsidRPr="006A36B4">
        <w:rPr>
          <w:rFonts w:eastAsia="DengXian"/>
          <w:kern w:val="2"/>
          <w:sz w:val="32"/>
          <w:szCs w:val="32"/>
          <w:lang w:val="en-GB" w:eastAsia="zh-CN"/>
        </w:rPr>
        <w:t xml:space="preserve"> Shepherd Ziko </w:t>
      </w:r>
    </w:p>
    <w:p w14:paraId="3842B093" w14:textId="77777777" w:rsidR="005202D0" w:rsidRPr="006A36B4" w:rsidRDefault="005202D0" w:rsidP="005202D0">
      <w:pPr>
        <w:spacing w:after="160" w:line="278" w:lineRule="auto"/>
        <w:jc w:val="center"/>
        <w:rPr>
          <w:rFonts w:eastAsia="DengXian"/>
          <w:kern w:val="2"/>
          <w:sz w:val="32"/>
          <w:szCs w:val="32"/>
          <w:lang w:val="en-GB" w:eastAsia="zh-CN"/>
        </w:rPr>
      </w:pPr>
      <w:r w:rsidRPr="006A36B4">
        <w:rPr>
          <w:rFonts w:eastAsia="DengXian"/>
          <w:b/>
          <w:bCs/>
          <w:kern w:val="2"/>
          <w:sz w:val="32"/>
          <w:szCs w:val="32"/>
          <w:lang w:val="en-GB" w:eastAsia="zh-CN"/>
        </w:rPr>
        <w:t>Word count:</w:t>
      </w:r>
      <w:r w:rsidRPr="006A36B4">
        <w:rPr>
          <w:rFonts w:eastAsia="DengXian"/>
          <w:kern w:val="2"/>
          <w:sz w:val="32"/>
          <w:szCs w:val="32"/>
          <w:lang w:val="en-GB" w:eastAsia="zh-CN"/>
        </w:rPr>
        <w:t xml:space="preserve"> 2000 </w:t>
      </w:r>
    </w:p>
    <w:p w14:paraId="717CB8F6" w14:textId="77777777" w:rsidR="005202D0" w:rsidRPr="006A36B4" w:rsidRDefault="005202D0" w:rsidP="005202D0">
      <w:pPr>
        <w:spacing w:after="160" w:line="278" w:lineRule="auto"/>
        <w:jc w:val="center"/>
        <w:rPr>
          <w:rFonts w:eastAsia="DengXian"/>
          <w:kern w:val="2"/>
          <w:sz w:val="24"/>
          <w:szCs w:val="24"/>
          <w:lang w:val="en-GB" w:eastAsia="zh-CN"/>
        </w:rPr>
      </w:pPr>
    </w:p>
    <w:p w14:paraId="58D0B318" w14:textId="77777777" w:rsidR="005202D0" w:rsidRPr="006A36B4" w:rsidRDefault="005202D0" w:rsidP="005202D0">
      <w:pPr>
        <w:spacing w:after="160" w:line="278" w:lineRule="auto"/>
        <w:jc w:val="center"/>
        <w:rPr>
          <w:rFonts w:eastAsia="DengXian"/>
          <w:kern w:val="2"/>
          <w:sz w:val="24"/>
          <w:szCs w:val="24"/>
          <w:lang w:val="en-GB" w:eastAsia="zh-CN"/>
        </w:rPr>
      </w:pPr>
    </w:p>
    <w:p w14:paraId="59739821" w14:textId="77777777" w:rsidR="005202D0" w:rsidRPr="006A36B4" w:rsidRDefault="005202D0" w:rsidP="005202D0">
      <w:pPr>
        <w:spacing w:after="160" w:line="278" w:lineRule="auto"/>
        <w:jc w:val="center"/>
        <w:rPr>
          <w:rFonts w:eastAsia="DengXian"/>
          <w:kern w:val="2"/>
          <w:sz w:val="24"/>
          <w:szCs w:val="24"/>
          <w:lang w:val="en-GB" w:eastAsia="zh-CN"/>
        </w:rPr>
      </w:pPr>
    </w:p>
    <w:p w14:paraId="429FFFDB" w14:textId="77777777" w:rsidR="005202D0" w:rsidRPr="006A36B4" w:rsidRDefault="005202D0" w:rsidP="005202D0">
      <w:pPr>
        <w:spacing w:after="160" w:line="278" w:lineRule="auto"/>
        <w:jc w:val="center"/>
        <w:rPr>
          <w:rFonts w:eastAsia="DengXian"/>
          <w:kern w:val="2"/>
          <w:sz w:val="24"/>
          <w:szCs w:val="24"/>
          <w:lang w:val="en-GB" w:eastAsia="zh-CN"/>
        </w:rPr>
      </w:pPr>
    </w:p>
    <w:p w14:paraId="0F27548C" w14:textId="77777777" w:rsidR="005202D0" w:rsidRPr="006A36B4" w:rsidRDefault="005202D0" w:rsidP="005202D0">
      <w:pPr>
        <w:spacing w:after="160" w:line="278" w:lineRule="auto"/>
        <w:jc w:val="center"/>
        <w:rPr>
          <w:rFonts w:eastAsia="DengXian"/>
          <w:b/>
          <w:bCs/>
          <w:kern w:val="2"/>
          <w:sz w:val="24"/>
          <w:szCs w:val="24"/>
          <w:lang w:val="en-GB" w:eastAsia="zh-CN"/>
        </w:rPr>
      </w:pPr>
    </w:p>
    <w:p w14:paraId="72E3261E" w14:textId="77777777" w:rsidR="005202D0" w:rsidRPr="006A36B4" w:rsidRDefault="005202D0" w:rsidP="005202D0">
      <w:pPr>
        <w:spacing w:after="160" w:line="360" w:lineRule="auto"/>
        <w:jc w:val="center"/>
        <w:rPr>
          <w:rFonts w:eastAsia="DengXian"/>
          <w:b/>
          <w:bCs/>
          <w:kern w:val="2"/>
          <w:sz w:val="24"/>
          <w:szCs w:val="24"/>
          <w:lang w:val="en-GB" w:eastAsia="zh-CN"/>
        </w:rPr>
      </w:pPr>
      <w:r w:rsidRPr="006A36B4">
        <w:rPr>
          <w:rFonts w:eastAsia="DengXian"/>
          <w:b/>
          <w:bCs/>
          <w:kern w:val="2"/>
          <w:sz w:val="24"/>
          <w:szCs w:val="24"/>
          <w:lang w:val="en-GB" w:eastAsia="zh-CN"/>
        </w:rPr>
        <w:t xml:space="preserve">Al Acknowledgement: </w:t>
      </w:r>
    </w:p>
    <w:p w14:paraId="0F3A53FF" w14:textId="77777777" w:rsidR="005202D0" w:rsidRPr="006A36B4" w:rsidRDefault="005202D0" w:rsidP="005202D0">
      <w:pPr>
        <w:kinsoku w:val="0"/>
        <w:overflowPunct w:val="0"/>
        <w:spacing w:before="200" w:line="360" w:lineRule="auto"/>
        <w:jc w:val="center"/>
        <w:textAlignment w:val="baseline"/>
        <w:rPr>
          <w:rFonts w:eastAsia="Times New Roman"/>
          <w:sz w:val="24"/>
          <w:szCs w:val="24"/>
          <w:lang w:val="en-GB" w:eastAsia="en-GB"/>
        </w:rPr>
      </w:pPr>
      <w:r w:rsidRPr="006A36B4">
        <w:rPr>
          <w:rFonts w:eastAsia="+mn-ea"/>
          <w:kern w:val="24"/>
          <w:sz w:val="24"/>
          <w:szCs w:val="24"/>
          <w:lang w:val="en-IN" w:eastAsia="en-GB"/>
        </w:rPr>
        <w:t>“I confirm that I have not used any Al tools in the research and creation of this assignment. I confirm that I have not presented any Al generated materials as my own work. I confirm I have copies of my drafts, notes, and other resources I used, which I may be asked to provide in evidence”</w:t>
      </w:r>
    </w:p>
    <w:p w14:paraId="4BB5244B" w14:textId="77777777" w:rsidR="005202D0" w:rsidRPr="006A36B4" w:rsidRDefault="005202D0" w:rsidP="005202D0">
      <w:pPr>
        <w:spacing w:after="160" w:line="278" w:lineRule="auto"/>
        <w:jc w:val="center"/>
        <w:rPr>
          <w:rFonts w:eastAsia="DengXian"/>
          <w:b/>
          <w:bCs/>
          <w:kern w:val="2"/>
          <w:sz w:val="24"/>
          <w:szCs w:val="24"/>
          <w:lang w:val="en-GB" w:eastAsia="zh-CN"/>
        </w:rPr>
      </w:pPr>
    </w:p>
    <w:p w14:paraId="7F3E3619" w14:textId="77777777" w:rsidR="005202D0" w:rsidRPr="006A36B4" w:rsidRDefault="005202D0">
      <w:pPr>
        <w:rPr>
          <w:b/>
          <w:sz w:val="24"/>
          <w:szCs w:val="24"/>
        </w:rPr>
      </w:pPr>
      <w:r w:rsidRPr="006A36B4">
        <w:rPr>
          <w:b/>
          <w:sz w:val="24"/>
          <w:szCs w:val="24"/>
        </w:rPr>
        <w:br w:type="page"/>
      </w:r>
    </w:p>
    <w:p w14:paraId="10AE49A8" w14:textId="77777777" w:rsidR="005202D0" w:rsidRPr="006A36B4" w:rsidRDefault="005202D0" w:rsidP="005202D0">
      <w:pPr>
        <w:spacing w:line="360" w:lineRule="auto"/>
        <w:jc w:val="center"/>
        <w:rPr>
          <w:b/>
          <w:sz w:val="24"/>
          <w:szCs w:val="24"/>
        </w:rPr>
      </w:pPr>
      <w:r w:rsidRPr="006A36B4">
        <w:rPr>
          <w:b/>
          <w:sz w:val="24"/>
          <w:szCs w:val="24"/>
        </w:rPr>
        <w:lastRenderedPageBreak/>
        <w:t>Table of Contents</w:t>
      </w:r>
    </w:p>
    <w:sdt>
      <w:sdtPr>
        <w:rPr>
          <w:rFonts w:ascii="Arial" w:eastAsia="Arial" w:hAnsi="Arial" w:cs="Arial"/>
          <w:b w:val="0"/>
          <w:bCs w:val="0"/>
          <w:color w:val="auto"/>
          <w:sz w:val="22"/>
          <w:szCs w:val="22"/>
        </w:rPr>
        <w:id w:val="353983860"/>
        <w:docPartObj>
          <w:docPartGallery w:val="Table of Contents"/>
          <w:docPartUnique/>
        </w:docPartObj>
      </w:sdtPr>
      <w:sdtContent>
        <w:p w14:paraId="094C6D27" w14:textId="77777777" w:rsidR="005202D0" w:rsidRPr="006A36B4" w:rsidRDefault="005202D0">
          <w:pPr>
            <w:pStyle w:val="TOCHeading"/>
            <w:rPr>
              <w:rFonts w:ascii="Arial" w:hAnsi="Arial" w:cs="Arial"/>
              <w:color w:val="auto"/>
            </w:rPr>
          </w:pPr>
        </w:p>
        <w:p w14:paraId="540430B5" w14:textId="77777777" w:rsidR="005202D0" w:rsidRPr="006A36B4" w:rsidRDefault="003C11EB" w:rsidP="005202D0">
          <w:pPr>
            <w:pStyle w:val="TOC1"/>
            <w:tabs>
              <w:tab w:val="right" w:leader="dot" w:pos="9350"/>
            </w:tabs>
            <w:spacing w:line="360" w:lineRule="auto"/>
            <w:jc w:val="both"/>
            <w:rPr>
              <w:noProof/>
              <w:sz w:val="24"/>
              <w:szCs w:val="24"/>
            </w:rPr>
          </w:pPr>
          <w:r w:rsidRPr="006A36B4">
            <w:fldChar w:fldCharType="begin"/>
          </w:r>
          <w:r w:rsidR="005202D0" w:rsidRPr="006A36B4">
            <w:instrText xml:space="preserve"> TOC \o "1-3" \h \z \u </w:instrText>
          </w:r>
          <w:r w:rsidRPr="006A36B4">
            <w:fldChar w:fldCharType="separate"/>
          </w:r>
          <w:hyperlink w:anchor="_Toc213869369" w:history="1">
            <w:r w:rsidR="005202D0" w:rsidRPr="006A36B4">
              <w:rPr>
                <w:rStyle w:val="Hyperlink"/>
                <w:noProof/>
                <w:color w:val="auto"/>
                <w:sz w:val="24"/>
                <w:szCs w:val="24"/>
              </w:rPr>
              <w:t>Introduction</w:t>
            </w:r>
            <w:r w:rsidR="005202D0" w:rsidRPr="006A36B4">
              <w:rPr>
                <w:noProof/>
                <w:webHidden/>
                <w:sz w:val="24"/>
                <w:szCs w:val="24"/>
              </w:rPr>
              <w:tab/>
            </w:r>
            <w:r w:rsidRPr="006A36B4">
              <w:rPr>
                <w:noProof/>
                <w:webHidden/>
                <w:sz w:val="24"/>
                <w:szCs w:val="24"/>
              </w:rPr>
              <w:fldChar w:fldCharType="begin"/>
            </w:r>
            <w:r w:rsidR="005202D0" w:rsidRPr="006A36B4">
              <w:rPr>
                <w:noProof/>
                <w:webHidden/>
                <w:sz w:val="24"/>
                <w:szCs w:val="24"/>
              </w:rPr>
              <w:instrText xml:space="preserve"> PAGEREF _Toc213869369 \h </w:instrText>
            </w:r>
            <w:r w:rsidRPr="006A36B4">
              <w:rPr>
                <w:noProof/>
                <w:webHidden/>
                <w:sz w:val="24"/>
                <w:szCs w:val="24"/>
              </w:rPr>
            </w:r>
            <w:r w:rsidRPr="006A36B4">
              <w:rPr>
                <w:noProof/>
                <w:webHidden/>
                <w:sz w:val="24"/>
                <w:szCs w:val="24"/>
              </w:rPr>
              <w:fldChar w:fldCharType="separate"/>
            </w:r>
            <w:r w:rsidR="005202D0" w:rsidRPr="006A36B4">
              <w:rPr>
                <w:noProof/>
                <w:webHidden/>
                <w:sz w:val="24"/>
                <w:szCs w:val="24"/>
              </w:rPr>
              <w:t>2</w:t>
            </w:r>
            <w:r w:rsidRPr="006A36B4">
              <w:rPr>
                <w:noProof/>
                <w:webHidden/>
                <w:sz w:val="24"/>
                <w:szCs w:val="24"/>
              </w:rPr>
              <w:fldChar w:fldCharType="end"/>
            </w:r>
          </w:hyperlink>
        </w:p>
        <w:p w14:paraId="3FCD6ACB" w14:textId="77777777" w:rsidR="005202D0" w:rsidRPr="006A36B4" w:rsidRDefault="005202D0" w:rsidP="005202D0">
          <w:pPr>
            <w:pStyle w:val="TOC1"/>
            <w:tabs>
              <w:tab w:val="right" w:leader="dot" w:pos="9350"/>
            </w:tabs>
            <w:spacing w:line="360" w:lineRule="auto"/>
            <w:jc w:val="both"/>
            <w:rPr>
              <w:noProof/>
              <w:sz w:val="24"/>
              <w:szCs w:val="24"/>
            </w:rPr>
          </w:pPr>
          <w:hyperlink w:anchor="_Toc213869370" w:history="1">
            <w:r w:rsidRPr="006A36B4">
              <w:rPr>
                <w:rStyle w:val="Hyperlink"/>
                <w:noProof/>
                <w:color w:val="auto"/>
                <w:sz w:val="24"/>
                <w:szCs w:val="24"/>
              </w:rPr>
              <w:t>Sustainable Development Goal 3</w:t>
            </w:r>
            <w:r w:rsidRPr="006A36B4">
              <w:rPr>
                <w:noProof/>
                <w:webHidden/>
                <w:sz w:val="24"/>
                <w:szCs w:val="24"/>
              </w:rPr>
              <w:tab/>
            </w:r>
            <w:r w:rsidR="003C11EB" w:rsidRPr="006A36B4">
              <w:rPr>
                <w:noProof/>
                <w:webHidden/>
                <w:sz w:val="24"/>
                <w:szCs w:val="24"/>
              </w:rPr>
              <w:fldChar w:fldCharType="begin"/>
            </w:r>
            <w:r w:rsidRPr="006A36B4">
              <w:rPr>
                <w:noProof/>
                <w:webHidden/>
                <w:sz w:val="24"/>
                <w:szCs w:val="24"/>
              </w:rPr>
              <w:instrText xml:space="preserve"> PAGEREF _Toc213869370 \h </w:instrText>
            </w:r>
            <w:r w:rsidR="003C11EB" w:rsidRPr="006A36B4">
              <w:rPr>
                <w:noProof/>
                <w:webHidden/>
                <w:sz w:val="24"/>
                <w:szCs w:val="24"/>
              </w:rPr>
            </w:r>
            <w:r w:rsidR="003C11EB" w:rsidRPr="006A36B4">
              <w:rPr>
                <w:noProof/>
                <w:webHidden/>
                <w:sz w:val="24"/>
                <w:szCs w:val="24"/>
              </w:rPr>
              <w:fldChar w:fldCharType="separate"/>
            </w:r>
            <w:r w:rsidRPr="006A36B4">
              <w:rPr>
                <w:noProof/>
                <w:webHidden/>
                <w:sz w:val="24"/>
                <w:szCs w:val="24"/>
              </w:rPr>
              <w:t>2</w:t>
            </w:r>
            <w:r w:rsidR="003C11EB" w:rsidRPr="006A36B4">
              <w:rPr>
                <w:noProof/>
                <w:webHidden/>
                <w:sz w:val="24"/>
                <w:szCs w:val="24"/>
              </w:rPr>
              <w:fldChar w:fldCharType="end"/>
            </w:r>
          </w:hyperlink>
        </w:p>
        <w:p w14:paraId="4686BBD2" w14:textId="77777777" w:rsidR="005202D0" w:rsidRPr="006A36B4" w:rsidRDefault="005202D0" w:rsidP="005202D0">
          <w:pPr>
            <w:pStyle w:val="TOC1"/>
            <w:tabs>
              <w:tab w:val="right" w:leader="dot" w:pos="9350"/>
            </w:tabs>
            <w:spacing w:line="360" w:lineRule="auto"/>
            <w:jc w:val="both"/>
            <w:rPr>
              <w:noProof/>
              <w:sz w:val="24"/>
              <w:szCs w:val="24"/>
            </w:rPr>
          </w:pPr>
          <w:hyperlink w:anchor="_Toc213869371" w:history="1">
            <w:r w:rsidRPr="006A36B4">
              <w:rPr>
                <w:rStyle w:val="Hyperlink"/>
                <w:noProof/>
                <w:color w:val="auto"/>
                <w:sz w:val="24"/>
                <w:szCs w:val="24"/>
              </w:rPr>
              <w:t>Any Other Sustainable Development Goal of my choice</w:t>
            </w:r>
            <w:r w:rsidRPr="006A36B4">
              <w:rPr>
                <w:noProof/>
                <w:webHidden/>
                <w:sz w:val="24"/>
                <w:szCs w:val="24"/>
              </w:rPr>
              <w:tab/>
            </w:r>
            <w:r w:rsidR="003C11EB" w:rsidRPr="006A36B4">
              <w:rPr>
                <w:noProof/>
                <w:webHidden/>
                <w:sz w:val="24"/>
                <w:szCs w:val="24"/>
              </w:rPr>
              <w:fldChar w:fldCharType="begin"/>
            </w:r>
            <w:r w:rsidRPr="006A36B4">
              <w:rPr>
                <w:noProof/>
                <w:webHidden/>
                <w:sz w:val="24"/>
                <w:szCs w:val="24"/>
              </w:rPr>
              <w:instrText xml:space="preserve"> PAGEREF _Toc213869371 \h </w:instrText>
            </w:r>
            <w:r w:rsidR="003C11EB" w:rsidRPr="006A36B4">
              <w:rPr>
                <w:noProof/>
                <w:webHidden/>
                <w:sz w:val="24"/>
                <w:szCs w:val="24"/>
              </w:rPr>
            </w:r>
            <w:r w:rsidR="003C11EB" w:rsidRPr="006A36B4">
              <w:rPr>
                <w:noProof/>
                <w:webHidden/>
                <w:sz w:val="24"/>
                <w:szCs w:val="24"/>
              </w:rPr>
              <w:fldChar w:fldCharType="separate"/>
            </w:r>
            <w:r w:rsidRPr="006A36B4">
              <w:rPr>
                <w:noProof/>
                <w:webHidden/>
                <w:sz w:val="24"/>
                <w:szCs w:val="24"/>
              </w:rPr>
              <w:t>3</w:t>
            </w:r>
            <w:r w:rsidR="003C11EB" w:rsidRPr="006A36B4">
              <w:rPr>
                <w:noProof/>
                <w:webHidden/>
                <w:sz w:val="24"/>
                <w:szCs w:val="24"/>
              </w:rPr>
              <w:fldChar w:fldCharType="end"/>
            </w:r>
          </w:hyperlink>
        </w:p>
        <w:p w14:paraId="39E04B78" w14:textId="77777777" w:rsidR="005202D0" w:rsidRPr="006A36B4" w:rsidRDefault="005202D0" w:rsidP="005202D0">
          <w:pPr>
            <w:pStyle w:val="TOC1"/>
            <w:tabs>
              <w:tab w:val="right" w:leader="dot" w:pos="9350"/>
            </w:tabs>
            <w:spacing w:line="360" w:lineRule="auto"/>
            <w:jc w:val="both"/>
            <w:rPr>
              <w:noProof/>
              <w:sz w:val="24"/>
              <w:szCs w:val="24"/>
            </w:rPr>
          </w:pPr>
          <w:hyperlink w:anchor="_Toc213869372" w:history="1">
            <w:r w:rsidRPr="006A36B4">
              <w:rPr>
                <w:rStyle w:val="Hyperlink"/>
                <w:noProof/>
                <w:color w:val="auto"/>
                <w:sz w:val="24"/>
                <w:szCs w:val="24"/>
              </w:rPr>
              <w:t>National Wellbeing Initiatives</w:t>
            </w:r>
            <w:r w:rsidRPr="006A36B4">
              <w:rPr>
                <w:noProof/>
                <w:webHidden/>
                <w:sz w:val="24"/>
                <w:szCs w:val="24"/>
              </w:rPr>
              <w:tab/>
            </w:r>
            <w:r w:rsidR="003C11EB" w:rsidRPr="006A36B4">
              <w:rPr>
                <w:noProof/>
                <w:webHidden/>
                <w:sz w:val="24"/>
                <w:szCs w:val="24"/>
              </w:rPr>
              <w:fldChar w:fldCharType="begin"/>
            </w:r>
            <w:r w:rsidRPr="006A36B4">
              <w:rPr>
                <w:noProof/>
                <w:webHidden/>
                <w:sz w:val="24"/>
                <w:szCs w:val="24"/>
              </w:rPr>
              <w:instrText xml:space="preserve"> PAGEREF _Toc213869372 \h </w:instrText>
            </w:r>
            <w:r w:rsidR="003C11EB" w:rsidRPr="006A36B4">
              <w:rPr>
                <w:noProof/>
                <w:webHidden/>
                <w:sz w:val="24"/>
                <w:szCs w:val="24"/>
              </w:rPr>
            </w:r>
            <w:r w:rsidR="003C11EB" w:rsidRPr="006A36B4">
              <w:rPr>
                <w:noProof/>
                <w:webHidden/>
                <w:sz w:val="24"/>
                <w:szCs w:val="24"/>
              </w:rPr>
              <w:fldChar w:fldCharType="separate"/>
            </w:r>
            <w:r w:rsidRPr="006A36B4">
              <w:rPr>
                <w:noProof/>
                <w:webHidden/>
                <w:sz w:val="24"/>
                <w:szCs w:val="24"/>
              </w:rPr>
              <w:t>4</w:t>
            </w:r>
            <w:r w:rsidR="003C11EB" w:rsidRPr="006A36B4">
              <w:rPr>
                <w:noProof/>
                <w:webHidden/>
                <w:sz w:val="24"/>
                <w:szCs w:val="24"/>
              </w:rPr>
              <w:fldChar w:fldCharType="end"/>
            </w:r>
          </w:hyperlink>
        </w:p>
        <w:p w14:paraId="6CBC0ED0" w14:textId="77777777" w:rsidR="005202D0" w:rsidRPr="006A36B4" w:rsidRDefault="005202D0" w:rsidP="005202D0">
          <w:pPr>
            <w:pStyle w:val="TOC1"/>
            <w:tabs>
              <w:tab w:val="right" w:leader="dot" w:pos="9350"/>
            </w:tabs>
            <w:spacing w:line="360" w:lineRule="auto"/>
            <w:jc w:val="both"/>
            <w:rPr>
              <w:noProof/>
              <w:sz w:val="24"/>
              <w:szCs w:val="24"/>
            </w:rPr>
          </w:pPr>
          <w:hyperlink w:anchor="_Toc213869373" w:history="1">
            <w:r w:rsidRPr="006A36B4">
              <w:rPr>
                <w:rStyle w:val="Hyperlink"/>
                <w:noProof/>
                <w:color w:val="auto"/>
                <w:sz w:val="24"/>
                <w:szCs w:val="24"/>
              </w:rPr>
              <w:t>Local wellbeing Initiatives</w:t>
            </w:r>
            <w:r w:rsidRPr="006A36B4">
              <w:rPr>
                <w:noProof/>
                <w:webHidden/>
                <w:sz w:val="24"/>
                <w:szCs w:val="24"/>
              </w:rPr>
              <w:tab/>
            </w:r>
            <w:r w:rsidR="003C11EB" w:rsidRPr="006A36B4">
              <w:rPr>
                <w:noProof/>
                <w:webHidden/>
                <w:sz w:val="24"/>
                <w:szCs w:val="24"/>
              </w:rPr>
              <w:fldChar w:fldCharType="begin"/>
            </w:r>
            <w:r w:rsidRPr="006A36B4">
              <w:rPr>
                <w:noProof/>
                <w:webHidden/>
                <w:sz w:val="24"/>
                <w:szCs w:val="24"/>
              </w:rPr>
              <w:instrText xml:space="preserve"> PAGEREF _Toc213869373 \h </w:instrText>
            </w:r>
            <w:r w:rsidR="003C11EB" w:rsidRPr="006A36B4">
              <w:rPr>
                <w:noProof/>
                <w:webHidden/>
                <w:sz w:val="24"/>
                <w:szCs w:val="24"/>
              </w:rPr>
            </w:r>
            <w:r w:rsidR="003C11EB" w:rsidRPr="006A36B4">
              <w:rPr>
                <w:noProof/>
                <w:webHidden/>
                <w:sz w:val="24"/>
                <w:szCs w:val="24"/>
              </w:rPr>
              <w:fldChar w:fldCharType="separate"/>
            </w:r>
            <w:r w:rsidRPr="006A36B4">
              <w:rPr>
                <w:noProof/>
                <w:webHidden/>
                <w:sz w:val="24"/>
                <w:szCs w:val="24"/>
              </w:rPr>
              <w:t>6</w:t>
            </w:r>
            <w:r w:rsidR="003C11EB" w:rsidRPr="006A36B4">
              <w:rPr>
                <w:noProof/>
                <w:webHidden/>
                <w:sz w:val="24"/>
                <w:szCs w:val="24"/>
              </w:rPr>
              <w:fldChar w:fldCharType="end"/>
            </w:r>
          </w:hyperlink>
        </w:p>
        <w:p w14:paraId="059121B3" w14:textId="77777777" w:rsidR="005202D0" w:rsidRPr="006A36B4" w:rsidRDefault="005202D0" w:rsidP="005202D0">
          <w:pPr>
            <w:pStyle w:val="TOC1"/>
            <w:tabs>
              <w:tab w:val="right" w:leader="dot" w:pos="9350"/>
            </w:tabs>
            <w:spacing w:line="360" w:lineRule="auto"/>
            <w:jc w:val="both"/>
            <w:rPr>
              <w:noProof/>
              <w:sz w:val="24"/>
              <w:szCs w:val="24"/>
            </w:rPr>
          </w:pPr>
          <w:hyperlink w:anchor="_Toc213869374" w:history="1">
            <w:r w:rsidRPr="006A36B4">
              <w:rPr>
                <w:rStyle w:val="Hyperlink"/>
                <w:noProof/>
                <w:color w:val="auto"/>
                <w:sz w:val="24"/>
                <w:szCs w:val="24"/>
              </w:rPr>
              <w:t>Conclusion</w:t>
            </w:r>
            <w:r w:rsidRPr="006A36B4">
              <w:rPr>
                <w:noProof/>
                <w:webHidden/>
                <w:sz w:val="24"/>
                <w:szCs w:val="24"/>
              </w:rPr>
              <w:tab/>
            </w:r>
            <w:r w:rsidR="003C11EB" w:rsidRPr="006A36B4">
              <w:rPr>
                <w:noProof/>
                <w:webHidden/>
                <w:sz w:val="24"/>
                <w:szCs w:val="24"/>
              </w:rPr>
              <w:fldChar w:fldCharType="begin"/>
            </w:r>
            <w:r w:rsidRPr="006A36B4">
              <w:rPr>
                <w:noProof/>
                <w:webHidden/>
                <w:sz w:val="24"/>
                <w:szCs w:val="24"/>
              </w:rPr>
              <w:instrText xml:space="preserve"> PAGEREF _Toc213869374 \h </w:instrText>
            </w:r>
            <w:r w:rsidR="003C11EB" w:rsidRPr="006A36B4">
              <w:rPr>
                <w:noProof/>
                <w:webHidden/>
                <w:sz w:val="24"/>
                <w:szCs w:val="24"/>
              </w:rPr>
            </w:r>
            <w:r w:rsidR="003C11EB" w:rsidRPr="006A36B4">
              <w:rPr>
                <w:noProof/>
                <w:webHidden/>
                <w:sz w:val="24"/>
                <w:szCs w:val="24"/>
              </w:rPr>
              <w:fldChar w:fldCharType="separate"/>
            </w:r>
            <w:r w:rsidRPr="006A36B4">
              <w:rPr>
                <w:noProof/>
                <w:webHidden/>
                <w:sz w:val="24"/>
                <w:szCs w:val="24"/>
              </w:rPr>
              <w:t>6</w:t>
            </w:r>
            <w:r w:rsidR="003C11EB" w:rsidRPr="006A36B4">
              <w:rPr>
                <w:noProof/>
                <w:webHidden/>
                <w:sz w:val="24"/>
                <w:szCs w:val="24"/>
              </w:rPr>
              <w:fldChar w:fldCharType="end"/>
            </w:r>
          </w:hyperlink>
        </w:p>
        <w:p w14:paraId="2BC6854E" w14:textId="77777777" w:rsidR="005202D0" w:rsidRPr="006A36B4" w:rsidRDefault="005202D0" w:rsidP="005202D0">
          <w:pPr>
            <w:pStyle w:val="TOC1"/>
            <w:tabs>
              <w:tab w:val="right" w:leader="dot" w:pos="9350"/>
            </w:tabs>
            <w:spacing w:line="360" w:lineRule="auto"/>
            <w:jc w:val="both"/>
            <w:rPr>
              <w:noProof/>
            </w:rPr>
          </w:pPr>
          <w:hyperlink w:anchor="_Toc213869375" w:history="1">
            <w:r w:rsidRPr="006A36B4">
              <w:rPr>
                <w:rStyle w:val="Hyperlink"/>
                <w:noProof/>
                <w:color w:val="auto"/>
                <w:sz w:val="24"/>
                <w:szCs w:val="24"/>
              </w:rPr>
              <w:t>References</w:t>
            </w:r>
            <w:r w:rsidRPr="006A36B4">
              <w:rPr>
                <w:noProof/>
                <w:webHidden/>
                <w:sz w:val="24"/>
                <w:szCs w:val="24"/>
              </w:rPr>
              <w:tab/>
            </w:r>
            <w:r w:rsidR="003C11EB" w:rsidRPr="006A36B4">
              <w:rPr>
                <w:noProof/>
                <w:webHidden/>
                <w:sz w:val="24"/>
                <w:szCs w:val="24"/>
              </w:rPr>
              <w:fldChar w:fldCharType="begin"/>
            </w:r>
            <w:r w:rsidRPr="006A36B4">
              <w:rPr>
                <w:noProof/>
                <w:webHidden/>
                <w:sz w:val="24"/>
                <w:szCs w:val="24"/>
              </w:rPr>
              <w:instrText xml:space="preserve"> PAGEREF _Toc213869375 \h </w:instrText>
            </w:r>
            <w:r w:rsidR="003C11EB" w:rsidRPr="006A36B4">
              <w:rPr>
                <w:noProof/>
                <w:webHidden/>
                <w:sz w:val="24"/>
                <w:szCs w:val="24"/>
              </w:rPr>
            </w:r>
            <w:r w:rsidR="003C11EB" w:rsidRPr="006A36B4">
              <w:rPr>
                <w:noProof/>
                <w:webHidden/>
                <w:sz w:val="24"/>
                <w:szCs w:val="24"/>
              </w:rPr>
              <w:fldChar w:fldCharType="separate"/>
            </w:r>
            <w:r w:rsidRPr="006A36B4">
              <w:rPr>
                <w:noProof/>
                <w:webHidden/>
                <w:sz w:val="24"/>
                <w:szCs w:val="24"/>
              </w:rPr>
              <w:t>8</w:t>
            </w:r>
            <w:r w:rsidR="003C11EB" w:rsidRPr="006A36B4">
              <w:rPr>
                <w:noProof/>
                <w:webHidden/>
                <w:sz w:val="24"/>
                <w:szCs w:val="24"/>
              </w:rPr>
              <w:fldChar w:fldCharType="end"/>
            </w:r>
          </w:hyperlink>
        </w:p>
        <w:p w14:paraId="79F4BA6E" w14:textId="77777777" w:rsidR="005202D0" w:rsidRPr="006A36B4" w:rsidRDefault="003C11EB">
          <w:r w:rsidRPr="006A36B4">
            <w:fldChar w:fldCharType="end"/>
          </w:r>
        </w:p>
      </w:sdtContent>
    </w:sdt>
    <w:p w14:paraId="3CA0F789" w14:textId="77777777" w:rsidR="005202D0" w:rsidRDefault="005202D0" w:rsidP="005202D0">
      <w:pPr>
        <w:spacing w:line="360" w:lineRule="auto"/>
        <w:jc w:val="center"/>
        <w:rPr>
          <w:b/>
          <w:sz w:val="24"/>
          <w:szCs w:val="24"/>
        </w:rPr>
      </w:pPr>
      <w:r w:rsidRPr="006A36B4">
        <w:rPr>
          <w:b/>
          <w:sz w:val="24"/>
          <w:szCs w:val="24"/>
        </w:rPr>
        <w:br w:type="page"/>
      </w:r>
    </w:p>
    <w:p w14:paraId="312196FF" w14:textId="77777777" w:rsidR="00D32C54" w:rsidRPr="006A36B4" w:rsidRDefault="00D32C54" w:rsidP="005202D0">
      <w:pPr>
        <w:spacing w:line="360" w:lineRule="auto"/>
        <w:jc w:val="center"/>
        <w:rPr>
          <w:rFonts w:eastAsia="Times New Roman"/>
          <w:b/>
          <w:bCs/>
          <w:sz w:val="24"/>
          <w:szCs w:val="24"/>
        </w:rPr>
      </w:pPr>
    </w:p>
    <w:p w14:paraId="06451A11" w14:textId="77777777" w:rsidR="00F6138C" w:rsidRPr="006A36B4" w:rsidRDefault="00EB6A39" w:rsidP="005202D0">
      <w:pPr>
        <w:pStyle w:val="Heading1"/>
        <w:rPr>
          <w:rFonts w:ascii="Arial" w:hAnsi="Arial" w:cs="Arial"/>
        </w:rPr>
      </w:pPr>
      <w:bookmarkStart w:id="0" w:name="_Toc213869369"/>
      <w:r w:rsidRPr="006A36B4">
        <w:rPr>
          <w:rFonts w:ascii="Arial" w:hAnsi="Arial" w:cs="Arial"/>
        </w:rPr>
        <w:t>Introduction</w:t>
      </w:r>
      <w:bookmarkEnd w:id="0"/>
    </w:p>
    <w:p w14:paraId="2405A2BE" w14:textId="77777777" w:rsidR="00F6138C" w:rsidRPr="006A36B4" w:rsidRDefault="00EB6A39">
      <w:pPr>
        <w:pStyle w:val="Normal1"/>
        <w:spacing w:before="200" w:after="200" w:line="360" w:lineRule="auto"/>
        <w:jc w:val="both"/>
        <w:rPr>
          <w:rFonts w:eastAsia="Times New Roman"/>
          <w:sz w:val="24"/>
          <w:szCs w:val="24"/>
        </w:rPr>
      </w:pPr>
      <w:r w:rsidRPr="006A36B4">
        <w:rPr>
          <w:rFonts w:eastAsia="Times New Roman"/>
          <w:sz w:val="24"/>
          <w:szCs w:val="24"/>
        </w:rPr>
        <w:t xml:space="preserve">United Nations Sustainable Development Goal 3 directly aims at enhancing health and overall wellbeing of human beings while other sustainable development goals like climate action, responsible consumption, reducing inequalities also aims at enhancing the quality of lives of people. However, the SDG 3 and other SDGs cannot directly </w:t>
      </w:r>
      <w:proofErr w:type="gramStart"/>
      <w:r w:rsidRPr="006A36B4">
        <w:rPr>
          <w:rFonts w:eastAsia="Times New Roman"/>
          <w:sz w:val="24"/>
          <w:szCs w:val="24"/>
        </w:rPr>
        <w:t>impact</w:t>
      </w:r>
      <w:proofErr w:type="gramEnd"/>
      <w:r w:rsidRPr="006A36B4">
        <w:rPr>
          <w:rFonts w:eastAsia="Times New Roman"/>
          <w:sz w:val="24"/>
          <w:szCs w:val="24"/>
        </w:rPr>
        <w:t xml:space="preserve"> the health of human </w:t>
      </w:r>
      <w:proofErr w:type="gramStart"/>
      <w:r w:rsidRPr="006A36B4">
        <w:rPr>
          <w:rFonts w:eastAsia="Times New Roman"/>
          <w:sz w:val="24"/>
          <w:szCs w:val="24"/>
        </w:rPr>
        <w:t>beings</w:t>
      </w:r>
      <w:proofErr w:type="gramEnd"/>
      <w:r w:rsidRPr="006A36B4">
        <w:rPr>
          <w:rFonts w:eastAsia="Times New Roman"/>
          <w:sz w:val="24"/>
          <w:szCs w:val="24"/>
        </w:rPr>
        <w:t xml:space="preserve"> but the governments need to develop appropriate policies for protecting health and enhancing health outcomes of people. The main purpose of the report is to critically evaluate the impact of SDG 3 and SDG 10 </w:t>
      </w:r>
      <w:r w:rsidR="005202D0" w:rsidRPr="006A36B4">
        <w:rPr>
          <w:rFonts w:eastAsia="Times New Roman"/>
          <w:sz w:val="24"/>
          <w:szCs w:val="24"/>
        </w:rPr>
        <w:t>on the</w:t>
      </w:r>
      <w:r w:rsidRPr="006A36B4">
        <w:rPr>
          <w:rFonts w:eastAsia="Times New Roman"/>
          <w:sz w:val="24"/>
          <w:szCs w:val="24"/>
        </w:rPr>
        <w:t xml:space="preserve"> health and wellbeing of people on the global, national and local levels. Moreover, the study also discusses the impact of </w:t>
      </w:r>
      <w:proofErr w:type="gramStart"/>
      <w:r w:rsidRPr="006A36B4">
        <w:rPr>
          <w:rFonts w:eastAsia="Times New Roman"/>
          <w:sz w:val="24"/>
          <w:szCs w:val="24"/>
        </w:rPr>
        <w:t>wellbeing</w:t>
      </w:r>
      <w:proofErr w:type="gramEnd"/>
      <w:r w:rsidRPr="006A36B4">
        <w:rPr>
          <w:rFonts w:eastAsia="Times New Roman"/>
          <w:sz w:val="24"/>
          <w:szCs w:val="24"/>
        </w:rPr>
        <w:t xml:space="preserve"> policies and initiatives on the health and </w:t>
      </w:r>
      <w:proofErr w:type="gramStart"/>
      <w:r w:rsidRPr="006A36B4">
        <w:rPr>
          <w:rFonts w:eastAsia="Times New Roman"/>
          <w:sz w:val="24"/>
          <w:szCs w:val="24"/>
        </w:rPr>
        <w:t>wellbeing</w:t>
      </w:r>
      <w:proofErr w:type="gramEnd"/>
      <w:r w:rsidRPr="006A36B4">
        <w:rPr>
          <w:rFonts w:eastAsia="Times New Roman"/>
          <w:sz w:val="24"/>
          <w:szCs w:val="24"/>
        </w:rPr>
        <w:t xml:space="preserve"> of citizens. </w:t>
      </w:r>
    </w:p>
    <w:p w14:paraId="07411F14" w14:textId="77777777" w:rsidR="00F6138C" w:rsidRPr="006A36B4" w:rsidRDefault="00EB6A39" w:rsidP="005202D0">
      <w:pPr>
        <w:pStyle w:val="Heading1"/>
        <w:rPr>
          <w:rFonts w:ascii="Arial" w:hAnsi="Arial" w:cs="Arial"/>
        </w:rPr>
      </w:pPr>
      <w:bookmarkStart w:id="1" w:name="_Toc213869370"/>
      <w:r w:rsidRPr="006A36B4">
        <w:rPr>
          <w:rFonts w:ascii="Arial" w:hAnsi="Arial" w:cs="Arial"/>
        </w:rPr>
        <w:t>Sustainable Development Goal 3</w:t>
      </w:r>
      <w:bookmarkEnd w:id="1"/>
    </w:p>
    <w:p w14:paraId="685203C0" w14:textId="77777777" w:rsidR="00F6138C" w:rsidRPr="006A36B4" w:rsidRDefault="00EB6A39">
      <w:pPr>
        <w:pStyle w:val="Normal1"/>
        <w:spacing w:before="200" w:after="200" w:line="360" w:lineRule="auto"/>
        <w:jc w:val="both"/>
        <w:rPr>
          <w:rFonts w:eastAsia="Times New Roman"/>
          <w:sz w:val="24"/>
          <w:szCs w:val="24"/>
        </w:rPr>
      </w:pPr>
      <w:r w:rsidRPr="006A36B4">
        <w:rPr>
          <w:rFonts w:eastAsia="Times New Roman"/>
          <w:sz w:val="24"/>
          <w:szCs w:val="24"/>
        </w:rPr>
        <w:t xml:space="preserve">The third SDG is Good Health and </w:t>
      </w:r>
      <w:proofErr w:type="gramStart"/>
      <w:r w:rsidRPr="006A36B4">
        <w:rPr>
          <w:rFonts w:eastAsia="Times New Roman"/>
          <w:sz w:val="24"/>
          <w:szCs w:val="24"/>
        </w:rPr>
        <w:t>Wellbeing</w:t>
      </w:r>
      <w:proofErr w:type="gramEnd"/>
      <w:r w:rsidRPr="006A36B4">
        <w:rPr>
          <w:rFonts w:eastAsia="Times New Roman"/>
          <w:sz w:val="24"/>
          <w:szCs w:val="24"/>
        </w:rPr>
        <w:t xml:space="preserve"> and the main purpose of this Sustainable Development Goal is to ensure healthy lives and to promote wellbeing of all at all ages (United Nations, 2015). The SDG 3 has inspired the governments of different countries to develop effective policies for reducing maternal and child mortality rates, reducing risks of epidemics and improving the overall quality and efficiency of national health systems. As a result, it has become possible for </w:t>
      </w:r>
      <w:proofErr w:type="gramStart"/>
      <w:r w:rsidRPr="006A36B4">
        <w:rPr>
          <w:rFonts w:eastAsia="Times New Roman"/>
          <w:sz w:val="24"/>
          <w:szCs w:val="24"/>
        </w:rPr>
        <w:t>the people</w:t>
      </w:r>
      <w:proofErr w:type="gramEnd"/>
      <w:r w:rsidRPr="006A36B4">
        <w:rPr>
          <w:rFonts w:eastAsia="Times New Roman"/>
          <w:sz w:val="24"/>
          <w:szCs w:val="24"/>
        </w:rPr>
        <w:t xml:space="preserve"> in different countries to easily access health care services for treating their diseases. Moreover, the maternity mortality rate has been reduced by 14% and there has been a 16% decline in the rate of child death under the age of 5 years (United Nations, 2025). According to the United Nations, the decline in the rate of maternal deaths and child death under 5 years can be considered global health gains. As the SDG 3 is aimed at ending epidemics like AIDS, tuberculosis, malaria, dengue and various communicable and non communicable diseases, the countries who are the members of the United Nations have tried to invest on health awareness campaigns and programs to enhance public awareness regarding the causes and symptoms of the diseases and the ways of </w:t>
      </w:r>
      <w:r w:rsidR="005202D0" w:rsidRPr="006A36B4">
        <w:rPr>
          <w:rFonts w:eastAsia="Times New Roman"/>
          <w:sz w:val="24"/>
          <w:szCs w:val="24"/>
        </w:rPr>
        <w:t>preventing the</w:t>
      </w:r>
      <w:r w:rsidRPr="006A36B4">
        <w:rPr>
          <w:rFonts w:eastAsia="Times New Roman"/>
          <w:sz w:val="24"/>
          <w:szCs w:val="24"/>
        </w:rPr>
        <w:t xml:space="preserve"> spread of these diseases</w:t>
      </w:r>
      <w:r w:rsidR="00B2067C" w:rsidRPr="006A36B4">
        <w:rPr>
          <w:rFonts w:eastAsia="Times New Roman"/>
          <w:sz w:val="24"/>
          <w:szCs w:val="24"/>
        </w:rPr>
        <w:t xml:space="preserve"> (</w:t>
      </w:r>
      <w:proofErr w:type="spellStart"/>
      <w:r w:rsidR="00B2067C" w:rsidRPr="006A36B4">
        <w:rPr>
          <w:sz w:val="24"/>
          <w:szCs w:val="24"/>
        </w:rPr>
        <w:t>Cernev</w:t>
      </w:r>
      <w:proofErr w:type="spellEnd"/>
      <w:r w:rsidR="00B2067C" w:rsidRPr="006A36B4">
        <w:rPr>
          <w:sz w:val="24"/>
          <w:szCs w:val="24"/>
        </w:rPr>
        <w:t xml:space="preserve"> and Fenner, 2020, p. 102492</w:t>
      </w:r>
      <w:r w:rsidR="00B2067C" w:rsidRPr="006A36B4">
        <w:rPr>
          <w:rFonts w:eastAsia="Times New Roman"/>
          <w:sz w:val="24"/>
          <w:szCs w:val="24"/>
        </w:rPr>
        <w:t>)</w:t>
      </w:r>
      <w:r w:rsidRPr="006A36B4">
        <w:rPr>
          <w:rFonts w:eastAsia="Times New Roman"/>
          <w:sz w:val="24"/>
          <w:szCs w:val="24"/>
        </w:rPr>
        <w:t xml:space="preserve">. The </w:t>
      </w:r>
      <w:r w:rsidR="005202D0" w:rsidRPr="006A36B4">
        <w:rPr>
          <w:rFonts w:eastAsia="Times New Roman"/>
          <w:sz w:val="24"/>
          <w:szCs w:val="24"/>
        </w:rPr>
        <w:t xml:space="preserve">enhancement of public </w:t>
      </w:r>
      <w:r w:rsidR="005202D0" w:rsidRPr="006A36B4">
        <w:rPr>
          <w:rFonts w:eastAsia="Times New Roman"/>
          <w:sz w:val="24"/>
          <w:szCs w:val="24"/>
        </w:rPr>
        <w:lastRenderedPageBreak/>
        <w:t>awareness regarding various infectious diseases has</w:t>
      </w:r>
      <w:r w:rsidRPr="006A36B4">
        <w:rPr>
          <w:rFonts w:eastAsia="Times New Roman"/>
          <w:sz w:val="24"/>
          <w:szCs w:val="24"/>
        </w:rPr>
        <w:t xml:space="preserve"> helped reduce the epidemics of diseases like malaria, dengue, cholera and others. </w:t>
      </w:r>
    </w:p>
    <w:p w14:paraId="2D66D383" w14:textId="77777777" w:rsidR="00F6138C" w:rsidRPr="006A36B4" w:rsidRDefault="00EB6A39">
      <w:pPr>
        <w:pStyle w:val="Normal1"/>
        <w:spacing w:before="200" w:after="200" w:line="360" w:lineRule="auto"/>
        <w:jc w:val="both"/>
        <w:rPr>
          <w:rFonts w:eastAsia="Times New Roman"/>
          <w:sz w:val="24"/>
          <w:szCs w:val="24"/>
        </w:rPr>
      </w:pPr>
      <w:r w:rsidRPr="006A36B4">
        <w:rPr>
          <w:rFonts w:eastAsia="Times New Roman"/>
          <w:sz w:val="24"/>
          <w:szCs w:val="24"/>
        </w:rPr>
        <w:t xml:space="preserve">Similarly in the case of the United Kingdom also, the UK government has tried to integrate health and social care policies with the third sustainable development goal. For example, the NHS </w:t>
      </w:r>
      <w:proofErr w:type="gramStart"/>
      <w:r w:rsidRPr="006A36B4">
        <w:rPr>
          <w:rFonts w:eastAsia="Times New Roman"/>
          <w:sz w:val="24"/>
          <w:szCs w:val="24"/>
        </w:rPr>
        <w:t>long term</w:t>
      </w:r>
      <w:proofErr w:type="gramEnd"/>
      <w:r w:rsidRPr="006A36B4">
        <w:rPr>
          <w:rFonts w:eastAsia="Times New Roman"/>
          <w:sz w:val="24"/>
          <w:szCs w:val="24"/>
        </w:rPr>
        <w:t xml:space="preserve"> plan </w:t>
      </w:r>
      <w:proofErr w:type="gramStart"/>
      <w:r w:rsidRPr="006A36B4">
        <w:rPr>
          <w:rFonts w:eastAsia="Times New Roman"/>
          <w:sz w:val="24"/>
          <w:szCs w:val="24"/>
        </w:rPr>
        <w:t>has covered</w:t>
      </w:r>
      <w:proofErr w:type="gramEnd"/>
      <w:r w:rsidRPr="006A36B4">
        <w:rPr>
          <w:rFonts w:eastAsia="Times New Roman"/>
          <w:sz w:val="24"/>
          <w:szCs w:val="24"/>
        </w:rPr>
        <w:t xml:space="preserve"> areas like disease prevention and early interventions. Moreover, by implementing the National Healthcare System (NHS), the United Kingdom has made it easy for people belonging to diverse socioeconomic backgrounds to access healthcare and social care services easily within an affordable cost (Ashton, 2019, p.90). </w:t>
      </w:r>
      <w:r w:rsidR="00B2067C" w:rsidRPr="006A36B4">
        <w:rPr>
          <w:rFonts w:eastAsia="Times New Roman"/>
          <w:sz w:val="24"/>
          <w:szCs w:val="24"/>
        </w:rPr>
        <w:t xml:space="preserve">Poverty and low socioeconomic status can create difficulties for people to access good quality health services. However, </w:t>
      </w:r>
      <w:r w:rsidRPr="006A36B4">
        <w:rPr>
          <w:rFonts w:eastAsia="Times New Roman"/>
          <w:sz w:val="24"/>
          <w:szCs w:val="24"/>
        </w:rPr>
        <w:t xml:space="preserve">the economically disadvantaged people in different cities of the United Kingdom can access person </w:t>
      </w:r>
      <w:proofErr w:type="spellStart"/>
      <w:r w:rsidRPr="006A36B4">
        <w:rPr>
          <w:rFonts w:eastAsia="Times New Roman"/>
          <w:sz w:val="24"/>
          <w:szCs w:val="24"/>
        </w:rPr>
        <w:t>centred</w:t>
      </w:r>
      <w:proofErr w:type="spellEnd"/>
      <w:r w:rsidRPr="006A36B4">
        <w:rPr>
          <w:rFonts w:eastAsia="Times New Roman"/>
          <w:sz w:val="24"/>
          <w:szCs w:val="24"/>
        </w:rPr>
        <w:t xml:space="preserve"> and integrated care services free of cost from the NHS hospitals and the local ICS (integrated care systems)</w:t>
      </w:r>
      <w:r w:rsidR="00B2067C" w:rsidRPr="006A36B4">
        <w:rPr>
          <w:rFonts w:eastAsia="Times New Roman"/>
          <w:sz w:val="24"/>
          <w:szCs w:val="24"/>
        </w:rPr>
        <w:t xml:space="preserve"> (</w:t>
      </w:r>
      <w:r w:rsidR="00B2067C" w:rsidRPr="006A36B4">
        <w:rPr>
          <w:sz w:val="24"/>
          <w:szCs w:val="24"/>
        </w:rPr>
        <w:t>Cerf, 2019, p. 1900021</w:t>
      </w:r>
      <w:r w:rsidR="00B2067C" w:rsidRPr="006A36B4">
        <w:rPr>
          <w:rFonts w:eastAsia="Times New Roman"/>
          <w:sz w:val="24"/>
          <w:szCs w:val="24"/>
        </w:rPr>
        <w:t>)</w:t>
      </w:r>
      <w:r w:rsidRPr="006A36B4">
        <w:rPr>
          <w:rFonts w:eastAsia="Times New Roman"/>
          <w:sz w:val="24"/>
          <w:szCs w:val="24"/>
        </w:rPr>
        <w:t xml:space="preserve">. Along with that, the SDG 3 has also inspired the United Kingdom to </w:t>
      </w:r>
      <w:proofErr w:type="spellStart"/>
      <w:r w:rsidRPr="006A36B4">
        <w:rPr>
          <w:rFonts w:eastAsia="Times New Roman"/>
          <w:sz w:val="24"/>
          <w:szCs w:val="24"/>
        </w:rPr>
        <w:t>organise</w:t>
      </w:r>
      <w:proofErr w:type="spellEnd"/>
      <w:r w:rsidRPr="006A36B4">
        <w:rPr>
          <w:rFonts w:eastAsia="Times New Roman"/>
          <w:sz w:val="24"/>
          <w:szCs w:val="24"/>
        </w:rPr>
        <w:t xml:space="preserve"> health promotion campaigns </w:t>
      </w:r>
      <w:proofErr w:type="gramStart"/>
      <w:r w:rsidRPr="006A36B4">
        <w:rPr>
          <w:rFonts w:eastAsia="Times New Roman"/>
          <w:sz w:val="24"/>
          <w:szCs w:val="24"/>
        </w:rPr>
        <w:t>in order to</w:t>
      </w:r>
      <w:proofErr w:type="gramEnd"/>
      <w:r w:rsidRPr="006A36B4">
        <w:rPr>
          <w:rFonts w:eastAsia="Times New Roman"/>
          <w:sz w:val="24"/>
          <w:szCs w:val="24"/>
        </w:rPr>
        <w:t xml:space="preserve"> enhance public awareness regarding healthy lifestyle, healthy diet and ways of preventing chronic diseases so that the prevalence of chronic diseases can be reduced in the country. Public Health England has led campaigns like Change4Life and </w:t>
      </w:r>
      <w:proofErr w:type="spellStart"/>
      <w:r w:rsidRPr="006A36B4">
        <w:rPr>
          <w:rFonts w:eastAsia="Times New Roman"/>
          <w:sz w:val="24"/>
          <w:szCs w:val="24"/>
        </w:rPr>
        <w:t>Stopber</w:t>
      </w:r>
      <w:proofErr w:type="spellEnd"/>
      <w:r w:rsidRPr="006A36B4">
        <w:rPr>
          <w:rFonts w:eastAsia="Times New Roman"/>
          <w:sz w:val="24"/>
          <w:szCs w:val="24"/>
        </w:rPr>
        <w:t xml:space="preserve"> </w:t>
      </w:r>
      <w:proofErr w:type="gramStart"/>
      <w:r w:rsidRPr="006A36B4">
        <w:rPr>
          <w:rFonts w:eastAsia="Times New Roman"/>
          <w:sz w:val="24"/>
          <w:szCs w:val="24"/>
        </w:rPr>
        <w:t>in order to</w:t>
      </w:r>
      <w:proofErr w:type="gramEnd"/>
      <w:r w:rsidRPr="006A36B4">
        <w:rPr>
          <w:rFonts w:eastAsia="Times New Roman"/>
          <w:sz w:val="24"/>
          <w:szCs w:val="24"/>
        </w:rPr>
        <w:t xml:space="preserve"> prevent long term conditions like obesity and Smoking (Lamport </w:t>
      </w:r>
      <w:r w:rsidRPr="006A36B4">
        <w:rPr>
          <w:rFonts w:eastAsia="Times New Roman"/>
          <w:i/>
          <w:iCs/>
          <w:sz w:val="24"/>
          <w:szCs w:val="24"/>
        </w:rPr>
        <w:t>et al.,</w:t>
      </w:r>
      <w:r w:rsidRPr="006A36B4">
        <w:rPr>
          <w:rFonts w:eastAsia="Times New Roman"/>
          <w:sz w:val="24"/>
          <w:szCs w:val="24"/>
        </w:rPr>
        <w:t xml:space="preserve"> 2021, p.68). These types of health promotion campaigns have contributed to the reduction of premature deaths from cardiovascular diseases, cancer, kidney disease and various other non communicable diseases. The UK government has also invested in enhancing the quality of mental health services and mental health interventions </w:t>
      </w:r>
      <w:proofErr w:type="gramStart"/>
      <w:r w:rsidRPr="006A36B4">
        <w:rPr>
          <w:rFonts w:eastAsia="Times New Roman"/>
          <w:sz w:val="24"/>
          <w:szCs w:val="24"/>
        </w:rPr>
        <w:t>in order to</w:t>
      </w:r>
      <w:proofErr w:type="gramEnd"/>
      <w:r w:rsidRPr="006A36B4">
        <w:rPr>
          <w:rFonts w:eastAsia="Times New Roman"/>
          <w:sz w:val="24"/>
          <w:szCs w:val="24"/>
        </w:rPr>
        <w:t xml:space="preserve"> improve the mental health and emotional wellbeing of people. </w:t>
      </w:r>
    </w:p>
    <w:p w14:paraId="5CCD1E9B" w14:textId="77777777" w:rsidR="00F6138C" w:rsidRPr="006A36B4" w:rsidRDefault="00EB6A39" w:rsidP="005202D0">
      <w:pPr>
        <w:pStyle w:val="Heading1"/>
        <w:rPr>
          <w:rFonts w:ascii="Arial" w:hAnsi="Arial" w:cs="Arial"/>
        </w:rPr>
      </w:pPr>
      <w:bookmarkStart w:id="2" w:name="_Toc213869371"/>
      <w:r w:rsidRPr="006A36B4">
        <w:rPr>
          <w:rFonts w:ascii="Arial" w:hAnsi="Arial" w:cs="Arial"/>
        </w:rPr>
        <w:t>Any Other Sustainable Development Goal of my choice</w:t>
      </w:r>
      <w:bookmarkEnd w:id="2"/>
    </w:p>
    <w:p w14:paraId="441C0E3A" w14:textId="77777777" w:rsidR="00F6138C" w:rsidRPr="006A36B4" w:rsidRDefault="00EB6A39">
      <w:pPr>
        <w:pStyle w:val="Normal1"/>
        <w:spacing w:before="200" w:after="200" w:line="360" w:lineRule="auto"/>
        <w:jc w:val="both"/>
        <w:rPr>
          <w:rFonts w:eastAsia="Times New Roman"/>
          <w:sz w:val="24"/>
          <w:szCs w:val="24"/>
        </w:rPr>
      </w:pPr>
      <w:r w:rsidRPr="006A36B4">
        <w:rPr>
          <w:rFonts w:eastAsia="Times New Roman"/>
          <w:sz w:val="24"/>
          <w:szCs w:val="24"/>
        </w:rPr>
        <w:t xml:space="preserve">‘Reducing Inequalities’ is the 10th SDG of the United Nations and it aims at reducing within and among countries (United Nations, 2015). </w:t>
      </w:r>
      <w:r w:rsidR="00B2067C" w:rsidRPr="006A36B4">
        <w:rPr>
          <w:rFonts w:eastAsia="Times New Roman"/>
          <w:sz w:val="24"/>
          <w:szCs w:val="24"/>
        </w:rPr>
        <w:t xml:space="preserve">According to </w:t>
      </w:r>
      <w:r w:rsidR="00B2067C" w:rsidRPr="006A36B4">
        <w:rPr>
          <w:sz w:val="24"/>
          <w:szCs w:val="24"/>
        </w:rPr>
        <w:t xml:space="preserve">Palmer </w:t>
      </w:r>
      <w:r w:rsidR="00B2067C" w:rsidRPr="006A36B4">
        <w:rPr>
          <w:i/>
          <w:sz w:val="24"/>
          <w:szCs w:val="24"/>
        </w:rPr>
        <w:t>et al.</w:t>
      </w:r>
      <w:r w:rsidR="00B2067C" w:rsidRPr="006A36B4">
        <w:rPr>
          <w:sz w:val="24"/>
          <w:szCs w:val="24"/>
        </w:rPr>
        <w:t xml:space="preserve"> (2019, 71</w:t>
      </w:r>
      <w:r w:rsidR="00B2067C" w:rsidRPr="006A36B4">
        <w:rPr>
          <w:rFonts w:eastAsia="Times New Roman"/>
          <w:sz w:val="24"/>
          <w:szCs w:val="24"/>
        </w:rPr>
        <w:t xml:space="preserve">), income inequalities, social inclusion and exclusion, peer support, popular health beliefs in </w:t>
      </w:r>
      <w:proofErr w:type="gramStart"/>
      <w:r w:rsidR="00B2067C" w:rsidRPr="006A36B4">
        <w:rPr>
          <w:rFonts w:eastAsia="Times New Roman"/>
          <w:sz w:val="24"/>
          <w:szCs w:val="24"/>
        </w:rPr>
        <w:t>the society</w:t>
      </w:r>
      <w:proofErr w:type="gramEnd"/>
      <w:r w:rsidR="00B2067C" w:rsidRPr="006A36B4">
        <w:rPr>
          <w:rFonts w:eastAsia="Times New Roman"/>
          <w:sz w:val="24"/>
          <w:szCs w:val="24"/>
        </w:rPr>
        <w:t xml:space="preserve"> are some social determinants of health. </w:t>
      </w:r>
      <w:r w:rsidRPr="006A36B4">
        <w:rPr>
          <w:rFonts w:eastAsia="Times New Roman"/>
          <w:sz w:val="24"/>
          <w:szCs w:val="24"/>
        </w:rPr>
        <w:t xml:space="preserve">The main purpose of this SDG is to reduce disparities in income, opportunities and access to social capital, essential services and various other types of resources. Increasing income inequalities </w:t>
      </w:r>
      <w:r w:rsidRPr="006A36B4">
        <w:rPr>
          <w:rFonts w:eastAsia="Times New Roman"/>
          <w:sz w:val="24"/>
          <w:szCs w:val="24"/>
        </w:rPr>
        <w:lastRenderedPageBreak/>
        <w:t>can reduce the abilities of human beings to access healthy food, clothes, housing and essential services like healthcare services, education services and others. As a result, increasing income inequalities can adversely affect the overall health and wellbeing of people in countries</w:t>
      </w:r>
      <w:r w:rsidR="00325620" w:rsidRPr="006A36B4">
        <w:rPr>
          <w:rFonts w:eastAsia="Times New Roman"/>
          <w:sz w:val="24"/>
          <w:szCs w:val="24"/>
        </w:rPr>
        <w:t xml:space="preserve"> (</w:t>
      </w:r>
      <w:proofErr w:type="spellStart"/>
      <w:r w:rsidR="00325620" w:rsidRPr="006A36B4">
        <w:rPr>
          <w:sz w:val="24"/>
          <w:szCs w:val="24"/>
        </w:rPr>
        <w:t>Tibber</w:t>
      </w:r>
      <w:proofErr w:type="spellEnd"/>
      <w:r w:rsidR="00325620" w:rsidRPr="006A36B4">
        <w:rPr>
          <w:sz w:val="24"/>
          <w:szCs w:val="24"/>
        </w:rPr>
        <w:t xml:space="preserve"> </w:t>
      </w:r>
      <w:r w:rsidR="00325620" w:rsidRPr="006A36B4">
        <w:rPr>
          <w:i/>
          <w:sz w:val="24"/>
          <w:szCs w:val="24"/>
        </w:rPr>
        <w:t>et al.,</w:t>
      </w:r>
      <w:r w:rsidR="00325620" w:rsidRPr="006A36B4">
        <w:rPr>
          <w:sz w:val="24"/>
          <w:szCs w:val="24"/>
        </w:rPr>
        <w:t xml:space="preserve"> 2022, p. 20</w:t>
      </w:r>
      <w:r w:rsidR="00325620" w:rsidRPr="006A36B4">
        <w:rPr>
          <w:rFonts w:eastAsia="Times New Roman"/>
          <w:sz w:val="24"/>
          <w:szCs w:val="24"/>
        </w:rPr>
        <w:t>)</w:t>
      </w:r>
      <w:r w:rsidRPr="006A36B4">
        <w:rPr>
          <w:rFonts w:eastAsia="Times New Roman"/>
          <w:sz w:val="24"/>
          <w:szCs w:val="24"/>
        </w:rPr>
        <w:t>. On the other hand, social inequalities</w:t>
      </w:r>
      <w:r w:rsidR="00B2067C" w:rsidRPr="006A36B4">
        <w:rPr>
          <w:rFonts w:eastAsia="Times New Roman"/>
          <w:sz w:val="24"/>
          <w:szCs w:val="24"/>
        </w:rPr>
        <w:t>, social exclusions</w:t>
      </w:r>
      <w:r w:rsidRPr="006A36B4">
        <w:rPr>
          <w:rFonts w:eastAsia="Times New Roman"/>
          <w:sz w:val="24"/>
          <w:szCs w:val="24"/>
        </w:rPr>
        <w:t xml:space="preserve"> and lack of social support can lead to difficulties related to accessing social capital and essential services for disease prevention and treatment of existing conditions (McCartney </w:t>
      </w:r>
      <w:r w:rsidRPr="006A36B4">
        <w:rPr>
          <w:rFonts w:eastAsia="Times New Roman"/>
          <w:i/>
          <w:iCs/>
          <w:sz w:val="24"/>
          <w:szCs w:val="24"/>
        </w:rPr>
        <w:t>et al.,</w:t>
      </w:r>
      <w:r w:rsidRPr="006A36B4">
        <w:rPr>
          <w:rFonts w:eastAsia="Times New Roman"/>
          <w:sz w:val="24"/>
          <w:szCs w:val="24"/>
        </w:rPr>
        <w:t xml:space="preserve"> 2019, p.24). For example, social stigma, lack of social support and low socioeconomic status often become barriers to accessing mental health services for people and in such cases, it becomes difficult for the people with some mental health illnesses to recover from their mental health issues. For this reason, it has become important for governments to take steps for reducing income inequalities, social inequalities and health inequalities in countries to enhance the overall health and wellbeing of the citizens. </w:t>
      </w:r>
    </w:p>
    <w:p w14:paraId="035AB2D2" w14:textId="77777777" w:rsidR="00F6138C" w:rsidRPr="006A36B4" w:rsidRDefault="00EB6A39">
      <w:pPr>
        <w:pStyle w:val="Normal1"/>
        <w:spacing w:before="200" w:after="200" w:line="360" w:lineRule="auto"/>
        <w:jc w:val="both"/>
        <w:rPr>
          <w:rFonts w:eastAsia="Times New Roman"/>
          <w:sz w:val="24"/>
          <w:szCs w:val="24"/>
        </w:rPr>
      </w:pPr>
      <w:r w:rsidRPr="006A36B4">
        <w:rPr>
          <w:rFonts w:eastAsia="Times New Roman"/>
          <w:sz w:val="24"/>
          <w:szCs w:val="24"/>
        </w:rPr>
        <w:t>The target 10.2 related to the SDG 10 is to promote social, economic and political inclusion of all irrespective of age, gender, ethnicity and other individual factors. On the other hand, 10.7 is about facilitating safe and legal migration (United Nations, 2025b). Social and economic inclusion of all has inspired the UK government and the governments of different countries to provide equal opportunities of education and employment to all so that everyone gets equal opportunities of financial growth and can access essential services, good quality food and can meet the basic needs for life</w:t>
      </w:r>
      <w:r w:rsidR="001E1C4F" w:rsidRPr="006A36B4">
        <w:rPr>
          <w:rFonts w:eastAsia="Times New Roman"/>
          <w:sz w:val="24"/>
          <w:szCs w:val="24"/>
        </w:rPr>
        <w:t xml:space="preserve"> (</w:t>
      </w:r>
      <w:r w:rsidR="001E1C4F" w:rsidRPr="006A36B4">
        <w:rPr>
          <w:sz w:val="24"/>
          <w:szCs w:val="24"/>
        </w:rPr>
        <w:t xml:space="preserve">McCartney </w:t>
      </w:r>
      <w:r w:rsidR="001E1C4F" w:rsidRPr="006A36B4">
        <w:rPr>
          <w:i/>
          <w:sz w:val="24"/>
          <w:szCs w:val="24"/>
        </w:rPr>
        <w:t>et al.,</w:t>
      </w:r>
      <w:r w:rsidR="001E1C4F" w:rsidRPr="006A36B4">
        <w:rPr>
          <w:sz w:val="24"/>
          <w:szCs w:val="24"/>
        </w:rPr>
        <w:t xml:space="preserve"> 2019, p.22</w:t>
      </w:r>
      <w:r w:rsidR="001E1C4F" w:rsidRPr="006A36B4">
        <w:rPr>
          <w:rFonts w:eastAsia="Times New Roman"/>
          <w:sz w:val="24"/>
          <w:szCs w:val="24"/>
        </w:rPr>
        <w:t>)</w:t>
      </w:r>
      <w:r w:rsidRPr="006A36B4">
        <w:rPr>
          <w:rFonts w:eastAsia="Times New Roman"/>
          <w:sz w:val="24"/>
          <w:szCs w:val="24"/>
        </w:rPr>
        <w:t xml:space="preserve">. On the other hand, the UK government has taken initiatives for implementing The Levelling Up agenda </w:t>
      </w:r>
      <w:proofErr w:type="gramStart"/>
      <w:r w:rsidRPr="006A36B4">
        <w:rPr>
          <w:rFonts w:eastAsia="Times New Roman"/>
          <w:sz w:val="24"/>
          <w:szCs w:val="24"/>
        </w:rPr>
        <w:t>in order to</w:t>
      </w:r>
      <w:proofErr w:type="gramEnd"/>
      <w:r w:rsidRPr="006A36B4">
        <w:rPr>
          <w:rFonts w:eastAsia="Times New Roman"/>
          <w:sz w:val="24"/>
          <w:szCs w:val="24"/>
        </w:rPr>
        <w:t xml:space="preserve"> spread economic opportunities in the economically disadvantaged areas (Department for Levelling Up, Housing and Communities, 2022). The agenda has helped reduce disparities of income and education to ensure that people belonging to the deprived areas can live healthy lives, can access healthy food, water, housing and other basic facilities required for living a healthy life. </w:t>
      </w:r>
    </w:p>
    <w:p w14:paraId="498ADD68" w14:textId="77777777" w:rsidR="00F6138C" w:rsidRPr="006A36B4" w:rsidRDefault="00EB6A39">
      <w:pPr>
        <w:pStyle w:val="Normal1"/>
        <w:spacing w:before="200" w:after="200" w:line="360" w:lineRule="auto"/>
        <w:jc w:val="both"/>
        <w:rPr>
          <w:rFonts w:eastAsia="Times New Roman"/>
          <w:sz w:val="24"/>
          <w:szCs w:val="24"/>
        </w:rPr>
      </w:pPr>
      <w:r w:rsidRPr="006A36B4">
        <w:rPr>
          <w:rFonts w:eastAsia="Times New Roman"/>
          <w:sz w:val="24"/>
          <w:szCs w:val="24"/>
        </w:rPr>
        <w:t xml:space="preserve">The NHS Core20PLUS5 framework is mainly aimed at reducing health inequalities and to reduce the prevalence of diseases like Cancer, respiratory diseases, mental health disorder and maternity related problems. The framework has helped reduce the </w:t>
      </w:r>
      <w:r w:rsidRPr="006A36B4">
        <w:rPr>
          <w:rFonts w:eastAsia="Times New Roman"/>
          <w:sz w:val="24"/>
          <w:szCs w:val="24"/>
        </w:rPr>
        <w:lastRenderedPageBreak/>
        <w:t xml:space="preserve">prevalence of diseases among 20% of the people living in the most deprived areas of the United Kingdom (NHS England, 2021). Moreover, considering the impact of social inequalities on the mental health and wellbeing of people, the NHS UK has </w:t>
      </w:r>
      <w:proofErr w:type="spellStart"/>
      <w:r w:rsidRPr="006A36B4">
        <w:rPr>
          <w:rFonts w:eastAsia="Times New Roman"/>
          <w:sz w:val="24"/>
          <w:szCs w:val="24"/>
        </w:rPr>
        <w:t>organised</w:t>
      </w:r>
      <w:proofErr w:type="spellEnd"/>
      <w:r w:rsidRPr="006A36B4">
        <w:rPr>
          <w:rFonts w:eastAsia="Times New Roman"/>
          <w:sz w:val="24"/>
          <w:szCs w:val="24"/>
        </w:rPr>
        <w:t xml:space="preserve"> campaigns for enhancing public awareness regarding mental health and the importance of social support for enhancing the mental health and wellb</w:t>
      </w:r>
      <w:r w:rsidR="005202D0" w:rsidRPr="006A36B4">
        <w:rPr>
          <w:rFonts w:eastAsia="Times New Roman"/>
          <w:sz w:val="24"/>
          <w:szCs w:val="24"/>
        </w:rPr>
        <w:t>eing of people</w:t>
      </w:r>
      <w:r w:rsidR="004F713B" w:rsidRPr="006A36B4">
        <w:rPr>
          <w:rFonts w:eastAsia="Times New Roman"/>
          <w:sz w:val="24"/>
          <w:szCs w:val="24"/>
        </w:rPr>
        <w:t xml:space="preserve"> (</w:t>
      </w:r>
      <w:r w:rsidR="004F713B" w:rsidRPr="006A36B4">
        <w:rPr>
          <w:sz w:val="24"/>
          <w:szCs w:val="24"/>
        </w:rPr>
        <w:t xml:space="preserve">Stuart </w:t>
      </w:r>
      <w:r w:rsidR="004F713B" w:rsidRPr="006A36B4">
        <w:rPr>
          <w:i/>
          <w:sz w:val="24"/>
          <w:szCs w:val="24"/>
        </w:rPr>
        <w:t>et al.,</w:t>
      </w:r>
      <w:r w:rsidR="004F713B" w:rsidRPr="006A36B4">
        <w:rPr>
          <w:sz w:val="24"/>
          <w:szCs w:val="24"/>
        </w:rPr>
        <w:t xml:space="preserve"> 2023</w:t>
      </w:r>
      <w:r w:rsidR="001E1C4F" w:rsidRPr="006A36B4">
        <w:rPr>
          <w:sz w:val="24"/>
          <w:szCs w:val="24"/>
        </w:rPr>
        <w:t>, p. 398</w:t>
      </w:r>
      <w:r w:rsidR="004F713B" w:rsidRPr="006A36B4">
        <w:rPr>
          <w:rFonts w:eastAsia="Times New Roman"/>
          <w:sz w:val="24"/>
          <w:szCs w:val="24"/>
        </w:rPr>
        <w:t>)</w:t>
      </w:r>
      <w:r w:rsidR="005202D0" w:rsidRPr="006A36B4">
        <w:rPr>
          <w:rFonts w:eastAsia="Times New Roman"/>
          <w:sz w:val="24"/>
          <w:szCs w:val="24"/>
        </w:rPr>
        <w:t>. The Integrated Care S</w:t>
      </w:r>
      <w:r w:rsidRPr="006A36B4">
        <w:rPr>
          <w:rFonts w:eastAsia="Times New Roman"/>
          <w:sz w:val="24"/>
          <w:szCs w:val="24"/>
        </w:rPr>
        <w:t>ervices</w:t>
      </w:r>
      <w:r w:rsidR="005202D0" w:rsidRPr="006A36B4">
        <w:rPr>
          <w:rFonts w:eastAsia="Times New Roman"/>
          <w:sz w:val="24"/>
          <w:szCs w:val="24"/>
        </w:rPr>
        <w:t xml:space="preserve"> (ICS)</w:t>
      </w:r>
      <w:r w:rsidRPr="006A36B4">
        <w:rPr>
          <w:rFonts w:eastAsia="Times New Roman"/>
          <w:sz w:val="24"/>
          <w:szCs w:val="24"/>
        </w:rPr>
        <w:t xml:space="preserve"> in different are</w:t>
      </w:r>
      <w:r w:rsidR="005202D0" w:rsidRPr="006A36B4">
        <w:rPr>
          <w:rFonts w:eastAsia="Times New Roman"/>
          <w:sz w:val="24"/>
          <w:szCs w:val="24"/>
        </w:rPr>
        <w:t>as of the United Kingdom focus</w:t>
      </w:r>
      <w:r w:rsidRPr="006A36B4">
        <w:rPr>
          <w:rFonts w:eastAsia="Times New Roman"/>
          <w:sz w:val="24"/>
          <w:szCs w:val="24"/>
        </w:rPr>
        <w:t xml:space="preserve"> on providing required mental health support and social support to people suffering from various chronic diseases and </w:t>
      </w:r>
      <w:proofErr w:type="gramStart"/>
      <w:r w:rsidRPr="006A36B4">
        <w:rPr>
          <w:rFonts w:eastAsia="Times New Roman"/>
          <w:sz w:val="24"/>
          <w:szCs w:val="24"/>
        </w:rPr>
        <w:t>long term</w:t>
      </w:r>
      <w:proofErr w:type="gramEnd"/>
      <w:r w:rsidRPr="006A36B4">
        <w:rPr>
          <w:rFonts w:eastAsia="Times New Roman"/>
          <w:sz w:val="24"/>
          <w:szCs w:val="24"/>
        </w:rPr>
        <w:t xml:space="preserve"> conditions</w:t>
      </w:r>
      <w:r w:rsidR="001E1C4F" w:rsidRPr="006A36B4">
        <w:rPr>
          <w:rFonts w:eastAsia="Times New Roman"/>
          <w:sz w:val="24"/>
          <w:szCs w:val="24"/>
        </w:rPr>
        <w:t xml:space="preserve"> (</w:t>
      </w:r>
      <w:r w:rsidR="001E1C4F" w:rsidRPr="006A36B4">
        <w:rPr>
          <w:sz w:val="24"/>
          <w:szCs w:val="24"/>
        </w:rPr>
        <w:t xml:space="preserve">Mansour </w:t>
      </w:r>
      <w:r w:rsidR="001E1C4F" w:rsidRPr="006A36B4">
        <w:rPr>
          <w:i/>
          <w:sz w:val="24"/>
          <w:szCs w:val="24"/>
        </w:rPr>
        <w:t>et al.,</w:t>
      </w:r>
      <w:r w:rsidR="001E1C4F" w:rsidRPr="006A36B4">
        <w:rPr>
          <w:sz w:val="24"/>
          <w:szCs w:val="24"/>
        </w:rPr>
        <w:t xml:space="preserve"> 2022, p. 83</w:t>
      </w:r>
      <w:r w:rsidR="001E1C4F" w:rsidRPr="006A36B4">
        <w:rPr>
          <w:rFonts w:eastAsia="Times New Roman"/>
          <w:sz w:val="24"/>
          <w:szCs w:val="24"/>
        </w:rPr>
        <w:t>)</w:t>
      </w:r>
      <w:r w:rsidRPr="006A36B4">
        <w:rPr>
          <w:rFonts w:eastAsia="Times New Roman"/>
          <w:sz w:val="24"/>
          <w:szCs w:val="24"/>
        </w:rPr>
        <w:t xml:space="preserve">. In this way, SDG 10 has contributed to the development of policies and practices which can eventually help improve the health and wellbeing of people in the UK. </w:t>
      </w:r>
    </w:p>
    <w:p w14:paraId="6F5CC4AE" w14:textId="77777777" w:rsidR="00F6138C" w:rsidRPr="006A36B4" w:rsidRDefault="00EB6A39" w:rsidP="005202D0">
      <w:pPr>
        <w:pStyle w:val="Heading1"/>
        <w:rPr>
          <w:rFonts w:ascii="Arial" w:hAnsi="Arial" w:cs="Arial"/>
        </w:rPr>
      </w:pPr>
      <w:bookmarkStart w:id="3" w:name="_Toc213869372"/>
      <w:r w:rsidRPr="006A36B4">
        <w:rPr>
          <w:rFonts w:ascii="Arial" w:hAnsi="Arial" w:cs="Arial"/>
        </w:rPr>
        <w:t>National Wellbeing Initiatives</w:t>
      </w:r>
      <w:bookmarkEnd w:id="3"/>
    </w:p>
    <w:p w14:paraId="54F2489C" w14:textId="77777777" w:rsidR="00F6138C" w:rsidRPr="006A36B4" w:rsidRDefault="00EB6A39">
      <w:pPr>
        <w:pStyle w:val="Normal1"/>
        <w:spacing w:before="200" w:after="200" w:line="360" w:lineRule="auto"/>
        <w:jc w:val="both"/>
        <w:rPr>
          <w:rFonts w:eastAsia="Times New Roman"/>
          <w:sz w:val="24"/>
          <w:szCs w:val="24"/>
        </w:rPr>
      </w:pPr>
      <w:r w:rsidRPr="006A36B4">
        <w:rPr>
          <w:rFonts w:eastAsia="Times New Roman"/>
          <w:b/>
          <w:bCs/>
          <w:i/>
          <w:iCs/>
          <w:sz w:val="24"/>
          <w:szCs w:val="24"/>
        </w:rPr>
        <w:t>NHS Core20PLUS5 framework</w:t>
      </w:r>
      <w:r w:rsidRPr="006A36B4">
        <w:rPr>
          <w:rFonts w:eastAsia="Times New Roman"/>
          <w:sz w:val="24"/>
          <w:szCs w:val="24"/>
        </w:rPr>
        <w:t xml:space="preserve"> is a national wellbeing initiative taken by the UK government. The initiative is mainly focused on reducing health inequalities and enhancing the health and wellbeing of 20% of the UK population from the most deprived areas of the United Kingdom and some </w:t>
      </w:r>
      <w:proofErr w:type="spellStart"/>
      <w:r w:rsidRPr="006A36B4">
        <w:rPr>
          <w:rFonts w:eastAsia="Times New Roman"/>
          <w:sz w:val="24"/>
          <w:szCs w:val="24"/>
        </w:rPr>
        <w:t>marginalised</w:t>
      </w:r>
      <w:proofErr w:type="spellEnd"/>
      <w:r w:rsidRPr="006A36B4">
        <w:rPr>
          <w:rFonts w:eastAsia="Times New Roman"/>
          <w:sz w:val="24"/>
          <w:szCs w:val="24"/>
        </w:rPr>
        <w:t xml:space="preserve"> groups (NHS England, 2021). Along with that, the initiative was also focused on improving healthcare quality in five clinical areas, namely, maternity care, chronic respiratory diseases, Cancer, Cardiovascular diseases and severe mental illness</w:t>
      </w:r>
      <w:r w:rsidR="00900F1C" w:rsidRPr="006A36B4">
        <w:rPr>
          <w:rFonts w:eastAsia="Times New Roman"/>
          <w:sz w:val="24"/>
          <w:szCs w:val="24"/>
        </w:rPr>
        <w:t xml:space="preserve"> (</w:t>
      </w:r>
      <w:r w:rsidR="001E1C4F" w:rsidRPr="006A36B4">
        <w:rPr>
          <w:sz w:val="24"/>
          <w:szCs w:val="24"/>
        </w:rPr>
        <w:t xml:space="preserve">Treharne </w:t>
      </w:r>
      <w:r w:rsidR="001E1C4F" w:rsidRPr="006A36B4">
        <w:rPr>
          <w:i/>
          <w:sz w:val="24"/>
          <w:szCs w:val="24"/>
        </w:rPr>
        <w:t>et al.,</w:t>
      </w:r>
      <w:r w:rsidR="001E1C4F" w:rsidRPr="006A36B4">
        <w:rPr>
          <w:sz w:val="24"/>
          <w:szCs w:val="24"/>
        </w:rPr>
        <w:t xml:space="preserve"> 2023, p. 356</w:t>
      </w:r>
      <w:r w:rsidR="00900F1C" w:rsidRPr="006A36B4">
        <w:rPr>
          <w:sz w:val="24"/>
          <w:szCs w:val="24"/>
        </w:rPr>
        <w:t>)</w:t>
      </w:r>
      <w:r w:rsidRPr="006A36B4">
        <w:rPr>
          <w:rFonts w:eastAsia="Times New Roman"/>
          <w:sz w:val="24"/>
          <w:szCs w:val="24"/>
        </w:rPr>
        <w:t xml:space="preserve">. The implementation of this initiative has made it easier for </w:t>
      </w:r>
      <w:proofErr w:type="spellStart"/>
      <w:r w:rsidRPr="006A36B4">
        <w:rPr>
          <w:rFonts w:eastAsia="Times New Roman"/>
          <w:sz w:val="24"/>
          <w:szCs w:val="24"/>
        </w:rPr>
        <w:t>marginalised</w:t>
      </w:r>
      <w:proofErr w:type="spellEnd"/>
      <w:r w:rsidRPr="006A36B4">
        <w:rPr>
          <w:rFonts w:eastAsia="Times New Roman"/>
          <w:sz w:val="24"/>
          <w:szCs w:val="24"/>
        </w:rPr>
        <w:t xml:space="preserve"> groups and people belonging to the deprived areas to access high quality healthcare and social care services. </w:t>
      </w:r>
    </w:p>
    <w:p w14:paraId="6DD87D2F" w14:textId="77777777" w:rsidR="00F6138C" w:rsidRPr="006A36B4" w:rsidRDefault="00EB6A39">
      <w:pPr>
        <w:pStyle w:val="Normal1"/>
        <w:spacing w:before="200" w:after="200" w:line="360" w:lineRule="auto"/>
        <w:jc w:val="both"/>
        <w:rPr>
          <w:rFonts w:eastAsia="Times New Roman"/>
          <w:sz w:val="24"/>
          <w:szCs w:val="24"/>
        </w:rPr>
      </w:pPr>
      <w:r w:rsidRPr="006A36B4">
        <w:rPr>
          <w:rFonts w:eastAsia="Times New Roman"/>
          <w:sz w:val="24"/>
          <w:szCs w:val="24"/>
        </w:rPr>
        <w:t xml:space="preserve">The national wellbeing initiative by the UK government has helped reduce the prevalence and incidence rates of neonatal birth, stillbirth and pre-term births among the ethnic minority groups of the United Kingdom (Brennan, 2024, p. 223). The Core20PLUS5 initiative also inspired the NHS and public health practitioners to </w:t>
      </w:r>
      <w:proofErr w:type="spellStart"/>
      <w:r w:rsidRPr="006A36B4">
        <w:rPr>
          <w:rFonts w:eastAsia="Times New Roman"/>
          <w:sz w:val="24"/>
          <w:szCs w:val="24"/>
        </w:rPr>
        <w:t>organise</w:t>
      </w:r>
      <w:proofErr w:type="spellEnd"/>
      <w:r w:rsidRPr="006A36B4">
        <w:rPr>
          <w:rFonts w:eastAsia="Times New Roman"/>
          <w:sz w:val="24"/>
          <w:szCs w:val="24"/>
        </w:rPr>
        <w:t xml:space="preserve"> targeted health promotion campaigns for the targeted groups and as a result, the people belonging to ethnically minor groups and </w:t>
      </w:r>
      <w:proofErr w:type="spellStart"/>
      <w:r w:rsidRPr="006A36B4">
        <w:rPr>
          <w:rFonts w:eastAsia="Times New Roman"/>
          <w:sz w:val="24"/>
          <w:szCs w:val="24"/>
        </w:rPr>
        <w:t>marginalised</w:t>
      </w:r>
      <w:proofErr w:type="spellEnd"/>
      <w:r w:rsidRPr="006A36B4">
        <w:rPr>
          <w:rFonts w:eastAsia="Times New Roman"/>
          <w:sz w:val="24"/>
          <w:szCs w:val="24"/>
        </w:rPr>
        <w:t xml:space="preserve"> groups became more health conscious which helped improve their health </w:t>
      </w:r>
      <w:proofErr w:type="spellStart"/>
      <w:r w:rsidRPr="006A36B4">
        <w:rPr>
          <w:rFonts w:eastAsia="Times New Roman"/>
          <w:sz w:val="24"/>
          <w:szCs w:val="24"/>
        </w:rPr>
        <w:t>behaviour</w:t>
      </w:r>
      <w:proofErr w:type="spellEnd"/>
      <w:r w:rsidRPr="006A36B4">
        <w:rPr>
          <w:rFonts w:eastAsia="Times New Roman"/>
          <w:sz w:val="24"/>
          <w:szCs w:val="24"/>
        </w:rPr>
        <w:t xml:space="preserve"> (Treharne </w:t>
      </w:r>
      <w:r w:rsidRPr="006A36B4">
        <w:rPr>
          <w:rFonts w:eastAsia="Times New Roman"/>
          <w:i/>
          <w:iCs/>
          <w:sz w:val="24"/>
          <w:szCs w:val="24"/>
        </w:rPr>
        <w:t>et al.,</w:t>
      </w:r>
      <w:r w:rsidRPr="006A36B4">
        <w:rPr>
          <w:rFonts w:eastAsia="Times New Roman"/>
          <w:sz w:val="24"/>
          <w:szCs w:val="24"/>
        </w:rPr>
        <w:t xml:space="preserve"> 2023, p. 356). The enhancement of health awareness also inspired them to adopt a healthy lifestyle which reduces their chances to develop respiratory diseases, cancer and </w:t>
      </w:r>
      <w:r w:rsidRPr="006A36B4">
        <w:rPr>
          <w:rFonts w:eastAsia="Times New Roman"/>
          <w:sz w:val="24"/>
          <w:szCs w:val="24"/>
        </w:rPr>
        <w:lastRenderedPageBreak/>
        <w:t xml:space="preserve">various chronic diseases. However, </w:t>
      </w:r>
      <w:proofErr w:type="gramStart"/>
      <w:r w:rsidRPr="006A36B4">
        <w:rPr>
          <w:rFonts w:eastAsia="Times New Roman"/>
          <w:sz w:val="24"/>
          <w:szCs w:val="24"/>
        </w:rPr>
        <w:t>in order to</w:t>
      </w:r>
      <w:proofErr w:type="gramEnd"/>
      <w:r w:rsidRPr="006A36B4">
        <w:rPr>
          <w:rFonts w:eastAsia="Times New Roman"/>
          <w:sz w:val="24"/>
          <w:szCs w:val="24"/>
        </w:rPr>
        <w:t xml:space="preserve"> improve the outcomes of Core20PLUS5, the government needs to increase funds to enhance social support and community airport to the </w:t>
      </w:r>
      <w:proofErr w:type="spellStart"/>
      <w:r w:rsidRPr="006A36B4">
        <w:rPr>
          <w:rFonts w:eastAsia="Times New Roman"/>
          <w:sz w:val="24"/>
          <w:szCs w:val="24"/>
        </w:rPr>
        <w:t>marginalised</w:t>
      </w:r>
      <w:proofErr w:type="spellEnd"/>
      <w:r w:rsidRPr="006A36B4">
        <w:rPr>
          <w:rFonts w:eastAsia="Times New Roman"/>
          <w:sz w:val="24"/>
          <w:szCs w:val="24"/>
        </w:rPr>
        <w:t xml:space="preserve"> groups</w:t>
      </w:r>
      <w:r w:rsidR="00325620" w:rsidRPr="006A36B4">
        <w:rPr>
          <w:rFonts w:eastAsia="Times New Roman"/>
          <w:sz w:val="24"/>
          <w:szCs w:val="24"/>
        </w:rPr>
        <w:t xml:space="preserve"> (</w:t>
      </w:r>
      <w:r w:rsidR="00325620" w:rsidRPr="006A36B4">
        <w:rPr>
          <w:sz w:val="24"/>
          <w:szCs w:val="24"/>
        </w:rPr>
        <w:t xml:space="preserve">Stewart </w:t>
      </w:r>
      <w:r w:rsidR="00325620" w:rsidRPr="006A36B4">
        <w:rPr>
          <w:i/>
          <w:sz w:val="24"/>
          <w:szCs w:val="24"/>
        </w:rPr>
        <w:t>et al.,</w:t>
      </w:r>
      <w:r w:rsidR="00325620" w:rsidRPr="006A36B4">
        <w:rPr>
          <w:sz w:val="24"/>
          <w:szCs w:val="24"/>
        </w:rPr>
        <w:t xml:space="preserve"> 2024, p. 960</w:t>
      </w:r>
      <w:r w:rsidR="00325620" w:rsidRPr="006A36B4">
        <w:rPr>
          <w:rFonts w:eastAsia="Times New Roman"/>
          <w:sz w:val="24"/>
          <w:szCs w:val="24"/>
        </w:rPr>
        <w:t>)</w:t>
      </w:r>
      <w:r w:rsidRPr="006A36B4">
        <w:rPr>
          <w:rFonts w:eastAsia="Times New Roman"/>
          <w:sz w:val="24"/>
          <w:szCs w:val="24"/>
        </w:rPr>
        <w:t xml:space="preserve">. Moreover, national outcome dashboards need to be published to maintain public transparency regarding the improvement in 5 clinical areas. </w:t>
      </w:r>
    </w:p>
    <w:p w14:paraId="25475F39" w14:textId="77777777" w:rsidR="00F6138C" w:rsidRPr="006A36B4" w:rsidRDefault="00EB6A39">
      <w:pPr>
        <w:pStyle w:val="Normal1"/>
        <w:spacing w:before="200" w:after="200" w:line="360" w:lineRule="auto"/>
        <w:jc w:val="both"/>
        <w:rPr>
          <w:rFonts w:eastAsia="Times New Roman"/>
          <w:sz w:val="24"/>
          <w:szCs w:val="24"/>
        </w:rPr>
      </w:pPr>
      <w:r w:rsidRPr="006A36B4">
        <w:rPr>
          <w:rFonts w:eastAsia="Times New Roman"/>
          <w:b/>
          <w:bCs/>
          <w:i/>
          <w:iCs/>
          <w:sz w:val="24"/>
          <w:szCs w:val="24"/>
        </w:rPr>
        <w:t>The 25 Year Environment Plan</w:t>
      </w:r>
      <w:r w:rsidRPr="006A36B4">
        <w:rPr>
          <w:rFonts w:eastAsia="Times New Roman"/>
          <w:sz w:val="24"/>
          <w:szCs w:val="24"/>
        </w:rPr>
        <w:t xml:space="preserve"> is another wellbeing initiative taken by the UK government. The main purpose of the initiative is to enhance the health and wellbeing of UK citizens by improving air and water quality and boating human contact with nature (Department for Environment, food and Rural Affairs, 2021). Studies reveal that air pollution can increase the risks of respiratory issues among people. Moreover, poor air quality often increases the chances of cardiovascular diseases and mental </w:t>
      </w:r>
      <w:proofErr w:type="gramStart"/>
      <w:r w:rsidRPr="006A36B4">
        <w:rPr>
          <w:rFonts w:eastAsia="Times New Roman"/>
          <w:sz w:val="24"/>
          <w:szCs w:val="24"/>
        </w:rPr>
        <w:t>health  issues</w:t>
      </w:r>
      <w:proofErr w:type="gramEnd"/>
      <w:r w:rsidRPr="006A36B4">
        <w:rPr>
          <w:rFonts w:eastAsia="Times New Roman"/>
          <w:sz w:val="24"/>
          <w:szCs w:val="24"/>
        </w:rPr>
        <w:t xml:space="preserve">. For this reason, the 25 Year Environment Plan involves initiatives like Clear Air Zones by visiting the Clear </w:t>
      </w:r>
      <w:proofErr w:type="spellStart"/>
      <w:r w:rsidRPr="006A36B4">
        <w:rPr>
          <w:rFonts w:eastAsia="Times New Roman"/>
          <w:sz w:val="24"/>
          <w:szCs w:val="24"/>
        </w:rPr>
        <w:t>AIr</w:t>
      </w:r>
      <w:proofErr w:type="spellEnd"/>
      <w:r w:rsidRPr="006A36B4">
        <w:rPr>
          <w:rFonts w:eastAsia="Times New Roman"/>
          <w:sz w:val="24"/>
          <w:szCs w:val="24"/>
        </w:rPr>
        <w:t xml:space="preserve"> Zones, the UK citizens can take breath in fresh air which reduces their chances of developing respiratory diseases. Moreover, the </w:t>
      </w:r>
      <w:proofErr w:type="spellStart"/>
      <w:r w:rsidRPr="006A36B4">
        <w:rPr>
          <w:rFonts w:eastAsia="Times New Roman"/>
          <w:sz w:val="24"/>
          <w:szCs w:val="24"/>
        </w:rPr>
        <w:t>CLean</w:t>
      </w:r>
      <w:proofErr w:type="spellEnd"/>
      <w:r w:rsidRPr="006A36B4">
        <w:rPr>
          <w:rFonts w:eastAsia="Times New Roman"/>
          <w:sz w:val="24"/>
          <w:szCs w:val="24"/>
        </w:rPr>
        <w:t xml:space="preserve"> air zones also focus on reducing air pollution to reduce prevalence of respiratory diseases like asthma and COPD in the UK (Brummitt and Araujo, 2024, p.2975). Access to green spaces also can help improve the mental health and overall wellbeing of people. However, in this context, it is also true that some green spaces cannot help </w:t>
      </w:r>
      <w:proofErr w:type="gramStart"/>
      <w:r w:rsidRPr="006A36B4">
        <w:rPr>
          <w:rFonts w:eastAsia="Times New Roman"/>
          <w:sz w:val="24"/>
          <w:szCs w:val="24"/>
        </w:rPr>
        <w:t>improve</w:t>
      </w:r>
      <w:proofErr w:type="gramEnd"/>
      <w:r w:rsidRPr="006A36B4">
        <w:rPr>
          <w:rFonts w:eastAsia="Times New Roman"/>
          <w:sz w:val="24"/>
          <w:szCs w:val="24"/>
        </w:rPr>
        <w:t xml:space="preserve"> the health outcomes of people in different cities and for this reason, the UK government needs to </w:t>
      </w:r>
      <w:proofErr w:type="spellStart"/>
      <w:r w:rsidRPr="006A36B4">
        <w:rPr>
          <w:rFonts w:eastAsia="Times New Roman"/>
          <w:sz w:val="24"/>
          <w:szCs w:val="24"/>
        </w:rPr>
        <w:t>emphasise</w:t>
      </w:r>
      <w:proofErr w:type="spellEnd"/>
      <w:r w:rsidRPr="006A36B4">
        <w:rPr>
          <w:rFonts w:eastAsia="Times New Roman"/>
          <w:sz w:val="24"/>
          <w:szCs w:val="24"/>
        </w:rPr>
        <w:t xml:space="preserve"> on local level implementation of pollution management strategies and nature recovery strategies so that a larger number of people can </w:t>
      </w:r>
      <w:proofErr w:type="gramStart"/>
      <w:r w:rsidRPr="006A36B4">
        <w:rPr>
          <w:rFonts w:eastAsia="Times New Roman"/>
          <w:sz w:val="24"/>
          <w:szCs w:val="24"/>
        </w:rPr>
        <w:t>be benefitted</w:t>
      </w:r>
      <w:proofErr w:type="gramEnd"/>
      <w:r w:rsidRPr="006A36B4">
        <w:rPr>
          <w:rFonts w:eastAsia="Times New Roman"/>
          <w:sz w:val="24"/>
          <w:szCs w:val="24"/>
        </w:rPr>
        <w:t xml:space="preserve"> from the initiative. </w:t>
      </w:r>
    </w:p>
    <w:p w14:paraId="3E1CDDF5" w14:textId="77777777" w:rsidR="00F6138C" w:rsidRPr="006A36B4" w:rsidRDefault="00EB6A39" w:rsidP="005202D0">
      <w:pPr>
        <w:pStyle w:val="Heading1"/>
        <w:rPr>
          <w:rFonts w:ascii="Arial" w:hAnsi="Arial" w:cs="Arial"/>
        </w:rPr>
      </w:pPr>
      <w:bookmarkStart w:id="4" w:name="_Toc213869373"/>
      <w:r w:rsidRPr="006A36B4">
        <w:rPr>
          <w:rFonts w:ascii="Arial" w:hAnsi="Arial" w:cs="Arial"/>
        </w:rPr>
        <w:t>Local wellbeing Initiatives</w:t>
      </w:r>
      <w:bookmarkEnd w:id="4"/>
    </w:p>
    <w:p w14:paraId="747BC815" w14:textId="77777777" w:rsidR="00F6138C" w:rsidRPr="006A36B4" w:rsidRDefault="00EB6A39">
      <w:pPr>
        <w:pStyle w:val="Normal1"/>
        <w:spacing w:before="200" w:after="200" w:line="360" w:lineRule="auto"/>
        <w:jc w:val="both"/>
        <w:rPr>
          <w:rFonts w:eastAsia="Times New Roman"/>
          <w:sz w:val="24"/>
          <w:szCs w:val="24"/>
        </w:rPr>
      </w:pPr>
      <w:r w:rsidRPr="006A36B4">
        <w:rPr>
          <w:rFonts w:eastAsia="Times New Roman"/>
          <w:sz w:val="24"/>
          <w:szCs w:val="24"/>
        </w:rPr>
        <w:t xml:space="preserve">NHS England has taken a </w:t>
      </w:r>
      <w:proofErr w:type="gramStart"/>
      <w:r w:rsidRPr="006A36B4">
        <w:rPr>
          <w:rFonts w:eastAsia="Times New Roman"/>
          <w:sz w:val="24"/>
          <w:szCs w:val="24"/>
        </w:rPr>
        <w:t>wellbeing</w:t>
      </w:r>
      <w:proofErr w:type="gramEnd"/>
      <w:r w:rsidRPr="006A36B4">
        <w:rPr>
          <w:rFonts w:eastAsia="Times New Roman"/>
          <w:sz w:val="24"/>
          <w:szCs w:val="24"/>
        </w:rPr>
        <w:t xml:space="preserve"> initiative named Social Prescribing </w:t>
      </w:r>
      <w:proofErr w:type="gramStart"/>
      <w:r w:rsidRPr="006A36B4">
        <w:rPr>
          <w:rFonts w:eastAsia="Times New Roman"/>
          <w:sz w:val="24"/>
          <w:szCs w:val="24"/>
        </w:rPr>
        <w:t>in order to</w:t>
      </w:r>
      <w:proofErr w:type="gramEnd"/>
      <w:r w:rsidRPr="006A36B4">
        <w:rPr>
          <w:rFonts w:eastAsia="Times New Roman"/>
          <w:sz w:val="24"/>
          <w:szCs w:val="24"/>
        </w:rPr>
        <w:t xml:space="preserve"> manage social determinants of health. Social Prescribing Initiative involves connecting human beings to some non-clinical community support providers </w:t>
      </w:r>
      <w:proofErr w:type="gramStart"/>
      <w:r w:rsidRPr="006A36B4">
        <w:rPr>
          <w:rFonts w:eastAsia="Times New Roman"/>
          <w:sz w:val="24"/>
          <w:szCs w:val="24"/>
        </w:rPr>
        <w:t>in order to</w:t>
      </w:r>
      <w:proofErr w:type="gramEnd"/>
      <w:r w:rsidRPr="006A36B4">
        <w:rPr>
          <w:rFonts w:eastAsia="Times New Roman"/>
          <w:sz w:val="24"/>
          <w:szCs w:val="24"/>
        </w:rPr>
        <w:t xml:space="preserve"> reduce their loneliness and to provide required emotional and social support to people </w:t>
      </w:r>
      <w:proofErr w:type="gramStart"/>
      <w:r w:rsidRPr="006A36B4">
        <w:rPr>
          <w:rFonts w:eastAsia="Times New Roman"/>
          <w:sz w:val="24"/>
          <w:szCs w:val="24"/>
        </w:rPr>
        <w:t>in order to</w:t>
      </w:r>
      <w:proofErr w:type="gramEnd"/>
      <w:r w:rsidRPr="006A36B4">
        <w:rPr>
          <w:rFonts w:eastAsia="Times New Roman"/>
          <w:sz w:val="24"/>
          <w:szCs w:val="24"/>
        </w:rPr>
        <w:t xml:space="preserve"> tackle the social drivers of poor health (Cooper </w:t>
      </w:r>
      <w:r w:rsidRPr="006A36B4">
        <w:rPr>
          <w:rFonts w:eastAsia="Times New Roman"/>
          <w:i/>
          <w:iCs/>
          <w:sz w:val="24"/>
          <w:szCs w:val="24"/>
        </w:rPr>
        <w:t xml:space="preserve">et al., </w:t>
      </w:r>
      <w:r w:rsidRPr="006A36B4">
        <w:rPr>
          <w:rFonts w:eastAsia="Times New Roman"/>
          <w:sz w:val="24"/>
          <w:szCs w:val="24"/>
        </w:rPr>
        <w:t xml:space="preserve">2022, p. 21). Social isolation and loneliness often can adversely affect mental health and emotional wellbeing of people but </w:t>
      </w:r>
      <w:proofErr w:type="gramStart"/>
      <w:r w:rsidRPr="006A36B4">
        <w:rPr>
          <w:rFonts w:eastAsia="Times New Roman"/>
          <w:sz w:val="24"/>
          <w:szCs w:val="24"/>
        </w:rPr>
        <w:t>the initiatives</w:t>
      </w:r>
      <w:proofErr w:type="gramEnd"/>
      <w:r w:rsidRPr="006A36B4">
        <w:rPr>
          <w:rFonts w:eastAsia="Times New Roman"/>
          <w:sz w:val="24"/>
          <w:szCs w:val="24"/>
        </w:rPr>
        <w:t xml:space="preserve"> like Social Prescribing can help reduce the loneliness of people and </w:t>
      </w:r>
      <w:r w:rsidRPr="006A36B4">
        <w:rPr>
          <w:rFonts w:eastAsia="Times New Roman"/>
          <w:sz w:val="24"/>
          <w:szCs w:val="24"/>
        </w:rPr>
        <w:lastRenderedPageBreak/>
        <w:t>can help them to better social connections and to recover from depression and anxiety (Dayson</w:t>
      </w:r>
      <w:r w:rsidRPr="006A36B4">
        <w:rPr>
          <w:rFonts w:eastAsia="Times New Roman"/>
          <w:i/>
          <w:iCs/>
          <w:sz w:val="24"/>
          <w:szCs w:val="24"/>
        </w:rPr>
        <w:t xml:space="preserve"> et al., </w:t>
      </w:r>
      <w:r w:rsidRPr="006A36B4">
        <w:rPr>
          <w:rFonts w:eastAsia="Times New Roman"/>
          <w:sz w:val="24"/>
          <w:szCs w:val="24"/>
        </w:rPr>
        <w:t xml:space="preserve">2020, p.272). However, the UK government needs to provide proper training to the link workers to enhance their capabilities to provide better quality mental support to people and to enable them to handle service users with complex mental health disorders. Some monetary and </w:t>
      </w:r>
      <w:proofErr w:type="gramStart"/>
      <w:r w:rsidRPr="006A36B4">
        <w:rPr>
          <w:rFonts w:eastAsia="Times New Roman"/>
          <w:sz w:val="24"/>
          <w:szCs w:val="24"/>
        </w:rPr>
        <w:t>non monetary</w:t>
      </w:r>
      <w:proofErr w:type="gramEnd"/>
      <w:r w:rsidRPr="006A36B4">
        <w:rPr>
          <w:rFonts w:eastAsia="Times New Roman"/>
          <w:sz w:val="24"/>
          <w:szCs w:val="24"/>
        </w:rPr>
        <w:t xml:space="preserve"> rewards can also be provided to the link workers </w:t>
      </w:r>
      <w:proofErr w:type="gramStart"/>
      <w:r w:rsidRPr="006A36B4">
        <w:rPr>
          <w:rFonts w:eastAsia="Times New Roman"/>
          <w:sz w:val="24"/>
          <w:szCs w:val="24"/>
        </w:rPr>
        <w:t>in order to</w:t>
      </w:r>
      <w:proofErr w:type="gramEnd"/>
      <w:r w:rsidRPr="006A36B4">
        <w:rPr>
          <w:rFonts w:eastAsia="Times New Roman"/>
          <w:sz w:val="24"/>
          <w:szCs w:val="24"/>
        </w:rPr>
        <w:t xml:space="preserve"> motivate them to enhance their skills and performance and to retain skilled workers. </w:t>
      </w:r>
    </w:p>
    <w:p w14:paraId="4BB7C3CA" w14:textId="77777777" w:rsidR="00F6138C" w:rsidRPr="006A36B4" w:rsidRDefault="00EB6A39">
      <w:pPr>
        <w:pStyle w:val="Normal1"/>
        <w:spacing w:before="200" w:after="200" w:line="360" w:lineRule="auto"/>
        <w:jc w:val="both"/>
        <w:rPr>
          <w:rFonts w:eastAsia="Times New Roman"/>
          <w:sz w:val="24"/>
          <w:szCs w:val="24"/>
        </w:rPr>
      </w:pPr>
      <w:r w:rsidRPr="006A36B4">
        <w:rPr>
          <w:rFonts w:eastAsia="Times New Roman"/>
          <w:sz w:val="24"/>
          <w:szCs w:val="24"/>
        </w:rPr>
        <w:t xml:space="preserve">Healthy New Towns </w:t>
      </w:r>
      <w:proofErr w:type="spellStart"/>
      <w:r w:rsidRPr="006A36B4">
        <w:rPr>
          <w:rFonts w:eastAsia="Times New Roman"/>
          <w:sz w:val="24"/>
          <w:szCs w:val="24"/>
        </w:rPr>
        <w:t>Programmes</w:t>
      </w:r>
      <w:proofErr w:type="spellEnd"/>
      <w:r w:rsidRPr="006A36B4">
        <w:rPr>
          <w:rFonts w:eastAsia="Times New Roman"/>
          <w:sz w:val="24"/>
          <w:szCs w:val="24"/>
        </w:rPr>
        <w:t xml:space="preserve"> are initiatives taken by NHS England in partnerships with ten house developers and the main purpose of the HNT initiatives is to provide healthier living environments </w:t>
      </w:r>
      <w:proofErr w:type="gramStart"/>
      <w:r w:rsidRPr="006A36B4">
        <w:rPr>
          <w:rFonts w:eastAsia="Times New Roman"/>
          <w:sz w:val="24"/>
          <w:szCs w:val="24"/>
        </w:rPr>
        <w:t>to</w:t>
      </w:r>
      <w:proofErr w:type="gramEnd"/>
      <w:r w:rsidRPr="006A36B4">
        <w:rPr>
          <w:rFonts w:eastAsia="Times New Roman"/>
          <w:sz w:val="24"/>
          <w:szCs w:val="24"/>
        </w:rPr>
        <w:t xml:space="preserve"> the citizens of England </w:t>
      </w:r>
      <w:proofErr w:type="gramStart"/>
      <w:r w:rsidRPr="006A36B4">
        <w:rPr>
          <w:rFonts w:eastAsia="Times New Roman"/>
          <w:sz w:val="24"/>
          <w:szCs w:val="24"/>
        </w:rPr>
        <w:t>in order to</w:t>
      </w:r>
      <w:proofErr w:type="gramEnd"/>
      <w:r w:rsidRPr="006A36B4">
        <w:rPr>
          <w:rFonts w:eastAsia="Times New Roman"/>
          <w:sz w:val="24"/>
          <w:szCs w:val="24"/>
        </w:rPr>
        <w:t xml:space="preserve"> make it easier for them to access resources for living healthier lives (NHS England, 2022). For example, access to areas for engaging in physical activities, dementia friendly homes can help enhance the health and overall wellbeing of people of all ages. Besides implementing HNT projects, the UK government also needs to focus on monitoring the success of the HNT </w:t>
      </w:r>
      <w:proofErr w:type="spellStart"/>
      <w:r w:rsidRPr="006A36B4">
        <w:rPr>
          <w:rFonts w:eastAsia="Times New Roman"/>
          <w:sz w:val="24"/>
          <w:szCs w:val="24"/>
        </w:rPr>
        <w:t>programmes</w:t>
      </w:r>
      <w:proofErr w:type="spellEnd"/>
      <w:r w:rsidRPr="006A36B4">
        <w:rPr>
          <w:rFonts w:eastAsia="Times New Roman"/>
          <w:sz w:val="24"/>
          <w:szCs w:val="24"/>
        </w:rPr>
        <w:t xml:space="preserve"> and need to publish data related to its impact on public health to take initiatives for continuously enhancing the quality of HNT projects. </w:t>
      </w:r>
    </w:p>
    <w:p w14:paraId="63DF0774" w14:textId="77777777" w:rsidR="00F6138C" w:rsidRPr="006A36B4" w:rsidRDefault="00EB6A39" w:rsidP="005202D0">
      <w:pPr>
        <w:pStyle w:val="Heading1"/>
        <w:rPr>
          <w:rFonts w:ascii="Arial" w:hAnsi="Arial" w:cs="Arial"/>
        </w:rPr>
      </w:pPr>
      <w:bookmarkStart w:id="5" w:name="_Toc213869374"/>
      <w:r w:rsidRPr="006A36B4">
        <w:rPr>
          <w:rFonts w:ascii="Arial" w:hAnsi="Arial" w:cs="Arial"/>
        </w:rPr>
        <w:t>Conclusion</w:t>
      </w:r>
      <w:bookmarkEnd w:id="5"/>
      <w:r w:rsidRPr="006A36B4">
        <w:rPr>
          <w:rFonts w:ascii="Arial" w:hAnsi="Arial" w:cs="Arial"/>
        </w:rPr>
        <w:t xml:space="preserve"> </w:t>
      </w:r>
    </w:p>
    <w:p w14:paraId="7E2DDCA1" w14:textId="77777777" w:rsidR="00F6138C" w:rsidRPr="006A36B4" w:rsidRDefault="00EB6A39">
      <w:pPr>
        <w:pStyle w:val="Normal1"/>
        <w:spacing w:before="200" w:after="200" w:line="360" w:lineRule="auto"/>
        <w:jc w:val="both"/>
        <w:rPr>
          <w:rFonts w:eastAsia="Times New Roman"/>
          <w:sz w:val="24"/>
          <w:szCs w:val="24"/>
        </w:rPr>
      </w:pPr>
      <w:r w:rsidRPr="006A36B4">
        <w:rPr>
          <w:rFonts w:eastAsia="Times New Roman"/>
          <w:sz w:val="24"/>
          <w:szCs w:val="24"/>
        </w:rPr>
        <w:t>On a concluding note, it can be said that the S</w:t>
      </w:r>
      <w:r w:rsidR="00900F1C" w:rsidRPr="006A36B4">
        <w:rPr>
          <w:rFonts w:eastAsia="Times New Roman"/>
          <w:sz w:val="24"/>
          <w:szCs w:val="24"/>
        </w:rPr>
        <w:t>D</w:t>
      </w:r>
      <w:r w:rsidRPr="006A36B4">
        <w:rPr>
          <w:rFonts w:eastAsia="Times New Roman"/>
          <w:sz w:val="24"/>
          <w:szCs w:val="24"/>
        </w:rPr>
        <w:t xml:space="preserve">G 3 and SDG 4 can have significant influence on the development of health policies in different countries including the United Kingdom. The NHS Long term plan and NHS Core20PLUS5 initiatives are some important initiatives which are highly influenced by the SDG 3 and SDG 10. These health policies and initiatives have significantly contributed to the reduction of health inequalities and to the enhancement of quality of healthcare services across the United Kingdom. The local government in England has also taken </w:t>
      </w:r>
      <w:proofErr w:type="gramStart"/>
      <w:r w:rsidRPr="006A36B4">
        <w:rPr>
          <w:rFonts w:eastAsia="Times New Roman"/>
          <w:sz w:val="24"/>
          <w:szCs w:val="24"/>
        </w:rPr>
        <w:t>wellbeing</w:t>
      </w:r>
      <w:proofErr w:type="gramEnd"/>
      <w:r w:rsidRPr="006A36B4">
        <w:rPr>
          <w:rFonts w:eastAsia="Times New Roman"/>
          <w:sz w:val="24"/>
          <w:szCs w:val="24"/>
        </w:rPr>
        <w:t xml:space="preserve"> initiatives like social prescribing and HNT </w:t>
      </w:r>
      <w:proofErr w:type="spellStart"/>
      <w:r w:rsidRPr="006A36B4">
        <w:rPr>
          <w:rFonts w:eastAsia="Times New Roman"/>
          <w:sz w:val="24"/>
          <w:szCs w:val="24"/>
        </w:rPr>
        <w:t>programmes</w:t>
      </w:r>
      <w:proofErr w:type="spellEnd"/>
      <w:r w:rsidRPr="006A36B4">
        <w:rPr>
          <w:rFonts w:eastAsia="Times New Roman"/>
          <w:sz w:val="24"/>
          <w:szCs w:val="24"/>
        </w:rPr>
        <w:t xml:space="preserve"> </w:t>
      </w:r>
      <w:proofErr w:type="gramStart"/>
      <w:r w:rsidRPr="006A36B4">
        <w:rPr>
          <w:rFonts w:eastAsia="Times New Roman"/>
          <w:sz w:val="24"/>
          <w:szCs w:val="24"/>
        </w:rPr>
        <w:t>in order to</w:t>
      </w:r>
      <w:proofErr w:type="gramEnd"/>
      <w:r w:rsidRPr="006A36B4">
        <w:rPr>
          <w:rFonts w:eastAsia="Times New Roman"/>
          <w:sz w:val="24"/>
          <w:szCs w:val="24"/>
        </w:rPr>
        <w:t xml:space="preserve"> enhance the physical health, mental health and overall </w:t>
      </w:r>
      <w:proofErr w:type="gramStart"/>
      <w:r w:rsidRPr="006A36B4">
        <w:rPr>
          <w:rFonts w:eastAsia="Times New Roman"/>
          <w:sz w:val="24"/>
          <w:szCs w:val="24"/>
        </w:rPr>
        <w:t>wellbeing</w:t>
      </w:r>
      <w:proofErr w:type="gramEnd"/>
      <w:r w:rsidRPr="006A36B4">
        <w:rPr>
          <w:rFonts w:eastAsia="Times New Roman"/>
          <w:sz w:val="24"/>
          <w:szCs w:val="24"/>
        </w:rPr>
        <w:t xml:space="preserve"> of citizens. </w:t>
      </w:r>
    </w:p>
    <w:p w14:paraId="4076177B" w14:textId="77777777" w:rsidR="005202D0" w:rsidRPr="006A36B4" w:rsidRDefault="005202D0">
      <w:pPr>
        <w:rPr>
          <w:rFonts w:eastAsia="Times New Roman"/>
          <w:sz w:val="24"/>
          <w:szCs w:val="24"/>
        </w:rPr>
      </w:pPr>
      <w:r w:rsidRPr="006A36B4">
        <w:rPr>
          <w:rFonts w:eastAsia="Times New Roman"/>
          <w:sz w:val="24"/>
          <w:szCs w:val="24"/>
        </w:rPr>
        <w:br w:type="page"/>
      </w:r>
    </w:p>
    <w:p w14:paraId="0D6FA16E" w14:textId="77777777" w:rsidR="005202D0" w:rsidRPr="006A36B4" w:rsidRDefault="005202D0" w:rsidP="005202D0">
      <w:pPr>
        <w:pStyle w:val="Heading1"/>
        <w:rPr>
          <w:rFonts w:ascii="Arial" w:hAnsi="Arial" w:cs="Arial"/>
        </w:rPr>
      </w:pPr>
      <w:bookmarkStart w:id="6" w:name="_Toc213869375"/>
      <w:r w:rsidRPr="006A36B4">
        <w:rPr>
          <w:rFonts w:ascii="Arial" w:hAnsi="Arial" w:cs="Arial"/>
        </w:rPr>
        <w:lastRenderedPageBreak/>
        <w:t>References</w:t>
      </w:r>
      <w:bookmarkEnd w:id="6"/>
      <w:r w:rsidRPr="006A36B4">
        <w:rPr>
          <w:rFonts w:ascii="Arial" w:hAnsi="Arial" w:cs="Arial"/>
        </w:rPr>
        <w:t xml:space="preserve"> </w:t>
      </w:r>
    </w:p>
    <w:p w14:paraId="0E90A0FA"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t>Ashton, J.R., (2019). Public health and the NHS long-term plan. </w:t>
      </w:r>
      <w:r w:rsidRPr="006A36B4">
        <w:rPr>
          <w:i/>
          <w:iCs/>
          <w:sz w:val="24"/>
          <w:szCs w:val="24"/>
        </w:rPr>
        <w:t>Journal of the Royal Society of Medicine</w:t>
      </w:r>
      <w:r w:rsidRPr="006A36B4">
        <w:rPr>
          <w:sz w:val="24"/>
          <w:szCs w:val="24"/>
        </w:rPr>
        <w:t>, </w:t>
      </w:r>
      <w:r w:rsidRPr="006A36B4">
        <w:rPr>
          <w:i/>
          <w:iCs/>
          <w:sz w:val="24"/>
          <w:szCs w:val="24"/>
        </w:rPr>
        <w:t>112</w:t>
      </w:r>
      <w:r w:rsidRPr="006A36B4">
        <w:rPr>
          <w:sz w:val="24"/>
          <w:szCs w:val="24"/>
        </w:rPr>
        <w:t>(3), pp.89-90.</w:t>
      </w:r>
    </w:p>
    <w:p w14:paraId="5D7C4A25"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t>Brennan, A., (2024). Applying the CORE20PLUS5 to Address Health Inequalities for Patients Under the Rehabilitation and Recovery Service in the London Borough of Hackney. </w:t>
      </w:r>
      <w:proofErr w:type="spellStart"/>
      <w:r w:rsidRPr="006A36B4">
        <w:rPr>
          <w:i/>
          <w:iCs/>
          <w:sz w:val="24"/>
          <w:szCs w:val="24"/>
        </w:rPr>
        <w:t>BJPsych</w:t>
      </w:r>
      <w:proofErr w:type="spellEnd"/>
      <w:r w:rsidRPr="006A36B4">
        <w:rPr>
          <w:i/>
          <w:iCs/>
          <w:sz w:val="24"/>
          <w:szCs w:val="24"/>
        </w:rPr>
        <w:t xml:space="preserve"> Open</w:t>
      </w:r>
      <w:r w:rsidRPr="006A36B4">
        <w:rPr>
          <w:sz w:val="24"/>
          <w:szCs w:val="24"/>
        </w:rPr>
        <w:t>, </w:t>
      </w:r>
      <w:r w:rsidRPr="006A36B4">
        <w:rPr>
          <w:i/>
          <w:iCs/>
          <w:sz w:val="24"/>
          <w:szCs w:val="24"/>
        </w:rPr>
        <w:t>10</w:t>
      </w:r>
      <w:r w:rsidRPr="006A36B4">
        <w:rPr>
          <w:sz w:val="24"/>
          <w:szCs w:val="24"/>
        </w:rPr>
        <w:t xml:space="preserve">(S1), </w:t>
      </w:r>
      <w:proofErr w:type="gramStart"/>
      <w:r w:rsidRPr="006A36B4">
        <w:rPr>
          <w:sz w:val="24"/>
          <w:szCs w:val="24"/>
        </w:rPr>
        <w:t>pp.S</w:t>
      </w:r>
      <w:proofErr w:type="gramEnd"/>
      <w:r w:rsidRPr="006A36B4">
        <w:rPr>
          <w:sz w:val="24"/>
          <w:szCs w:val="24"/>
        </w:rPr>
        <w:t>223-S223.</w:t>
      </w:r>
    </w:p>
    <w:p w14:paraId="0435578B"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t>Brummitt, N.A. and Araujo, A.C., (2024). The UK’s 25 Year plan for the environment and the convention on biological diversity: gaps, synergies and opportunities. </w:t>
      </w:r>
      <w:r w:rsidRPr="006A36B4">
        <w:rPr>
          <w:i/>
          <w:iCs/>
          <w:sz w:val="24"/>
          <w:szCs w:val="24"/>
        </w:rPr>
        <w:t>Sustainability</w:t>
      </w:r>
      <w:r w:rsidRPr="006A36B4">
        <w:rPr>
          <w:sz w:val="24"/>
          <w:szCs w:val="24"/>
        </w:rPr>
        <w:t>, </w:t>
      </w:r>
      <w:r w:rsidRPr="006A36B4">
        <w:rPr>
          <w:i/>
          <w:iCs/>
          <w:sz w:val="24"/>
          <w:szCs w:val="24"/>
        </w:rPr>
        <w:t>16</w:t>
      </w:r>
      <w:r w:rsidRPr="006A36B4">
        <w:rPr>
          <w:sz w:val="24"/>
          <w:szCs w:val="24"/>
        </w:rPr>
        <w:t>(7), p.2975.</w:t>
      </w:r>
    </w:p>
    <w:p w14:paraId="0D6C2AC5" w14:textId="77777777" w:rsidR="00B2067C" w:rsidRPr="006A36B4" w:rsidRDefault="00B2067C" w:rsidP="00B2067C">
      <w:pPr>
        <w:spacing w:after="160" w:line="360" w:lineRule="auto"/>
        <w:jc w:val="both"/>
        <w:rPr>
          <w:rFonts w:eastAsia="Calibri"/>
          <w:sz w:val="24"/>
          <w:szCs w:val="24"/>
        </w:rPr>
      </w:pPr>
      <w:r w:rsidRPr="006A36B4">
        <w:rPr>
          <w:rFonts w:eastAsia="Calibri"/>
          <w:sz w:val="24"/>
          <w:szCs w:val="24"/>
        </w:rPr>
        <w:t>Cerf, M.E., (2019). Sustainable development goal integration, interdependence, and implementation: The environment–economic–health nexus and universal health coverage. </w:t>
      </w:r>
      <w:r w:rsidRPr="006A36B4">
        <w:rPr>
          <w:rFonts w:eastAsia="Calibri"/>
          <w:i/>
          <w:iCs/>
          <w:sz w:val="24"/>
          <w:szCs w:val="24"/>
        </w:rPr>
        <w:t>Global Challenges</w:t>
      </w:r>
      <w:r w:rsidRPr="006A36B4">
        <w:rPr>
          <w:rFonts w:eastAsia="Calibri"/>
          <w:sz w:val="24"/>
          <w:szCs w:val="24"/>
        </w:rPr>
        <w:t>, </w:t>
      </w:r>
      <w:r w:rsidRPr="006A36B4">
        <w:rPr>
          <w:rFonts w:eastAsia="Calibri"/>
          <w:i/>
          <w:iCs/>
          <w:sz w:val="24"/>
          <w:szCs w:val="24"/>
        </w:rPr>
        <w:t>3</w:t>
      </w:r>
      <w:r w:rsidRPr="006A36B4">
        <w:rPr>
          <w:rFonts w:eastAsia="Calibri"/>
          <w:sz w:val="24"/>
          <w:szCs w:val="24"/>
        </w:rPr>
        <w:t>(9), p.1900021.</w:t>
      </w:r>
    </w:p>
    <w:p w14:paraId="09B16EAF" w14:textId="77777777" w:rsidR="00B2067C" w:rsidRPr="006A36B4" w:rsidRDefault="00B2067C" w:rsidP="00B2067C">
      <w:pPr>
        <w:spacing w:after="160" w:line="360" w:lineRule="auto"/>
        <w:jc w:val="both"/>
        <w:rPr>
          <w:rFonts w:eastAsia="Calibri"/>
          <w:sz w:val="24"/>
          <w:szCs w:val="24"/>
        </w:rPr>
      </w:pPr>
      <w:r w:rsidRPr="006A36B4">
        <w:rPr>
          <w:rFonts w:eastAsia="Calibri"/>
          <w:sz w:val="24"/>
          <w:szCs w:val="24"/>
        </w:rPr>
        <w:t>Cernev, T. and Fenner, R., (2020). The importance of achieving foundational Sustainable Development Goals in reducing global risk. </w:t>
      </w:r>
      <w:r w:rsidRPr="006A36B4">
        <w:rPr>
          <w:rFonts w:eastAsia="Calibri"/>
          <w:i/>
          <w:iCs/>
          <w:sz w:val="24"/>
          <w:szCs w:val="24"/>
        </w:rPr>
        <w:t>Futures</w:t>
      </w:r>
      <w:r w:rsidRPr="006A36B4">
        <w:rPr>
          <w:rFonts w:eastAsia="Calibri"/>
          <w:sz w:val="24"/>
          <w:szCs w:val="24"/>
        </w:rPr>
        <w:t>, </w:t>
      </w:r>
      <w:r w:rsidRPr="006A36B4">
        <w:rPr>
          <w:rFonts w:eastAsia="Calibri"/>
          <w:i/>
          <w:iCs/>
          <w:sz w:val="24"/>
          <w:szCs w:val="24"/>
        </w:rPr>
        <w:t>115</w:t>
      </w:r>
      <w:r w:rsidRPr="006A36B4">
        <w:rPr>
          <w:rFonts w:eastAsia="Calibri"/>
          <w:sz w:val="24"/>
          <w:szCs w:val="24"/>
        </w:rPr>
        <w:t>, p.102492.</w:t>
      </w:r>
    </w:p>
    <w:p w14:paraId="76EFDC01"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t>Cooper, M., Avery, L., Scott, J., Ashley, K., Jordan, C., Errington, L. and Flynn, D., (2022). Effectiveness and active ingredients of social prescribing interventions targeting mental health: a systematic review. </w:t>
      </w:r>
      <w:r w:rsidRPr="006A36B4">
        <w:rPr>
          <w:i/>
          <w:iCs/>
          <w:sz w:val="24"/>
          <w:szCs w:val="24"/>
        </w:rPr>
        <w:t>BMJ open</w:t>
      </w:r>
      <w:r w:rsidRPr="006A36B4">
        <w:rPr>
          <w:sz w:val="24"/>
          <w:szCs w:val="24"/>
        </w:rPr>
        <w:t>, </w:t>
      </w:r>
      <w:r w:rsidRPr="006A36B4">
        <w:rPr>
          <w:i/>
          <w:iCs/>
          <w:sz w:val="24"/>
          <w:szCs w:val="24"/>
        </w:rPr>
        <w:t>12</w:t>
      </w:r>
      <w:r w:rsidRPr="006A36B4">
        <w:rPr>
          <w:sz w:val="24"/>
          <w:szCs w:val="24"/>
        </w:rPr>
        <w:t>(7), p.e060214.</w:t>
      </w:r>
    </w:p>
    <w:p w14:paraId="6AD8078D"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t>Dayson, C., Painter, J. and Bennett, E., (2020). Social prescribing for patients of secondary mental health services: emotional, psychological and social well-being outcomes. </w:t>
      </w:r>
      <w:r w:rsidRPr="006A36B4">
        <w:rPr>
          <w:i/>
          <w:iCs/>
          <w:sz w:val="24"/>
          <w:szCs w:val="24"/>
        </w:rPr>
        <w:t>Journal of Public Mental Health</w:t>
      </w:r>
      <w:r w:rsidRPr="006A36B4">
        <w:rPr>
          <w:sz w:val="24"/>
          <w:szCs w:val="24"/>
        </w:rPr>
        <w:t>, </w:t>
      </w:r>
      <w:r w:rsidRPr="006A36B4">
        <w:rPr>
          <w:i/>
          <w:iCs/>
          <w:sz w:val="24"/>
          <w:szCs w:val="24"/>
        </w:rPr>
        <w:t>19</w:t>
      </w:r>
      <w:r w:rsidRPr="006A36B4">
        <w:rPr>
          <w:sz w:val="24"/>
          <w:szCs w:val="24"/>
        </w:rPr>
        <w:t>(4), pp.271-279.</w:t>
      </w:r>
    </w:p>
    <w:p w14:paraId="7CA6895B"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t xml:space="preserve">Department for Environment, food and Rural Affairs (2021). </w:t>
      </w:r>
      <w:r w:rsidRPr="006A36B4">
        <w:rPr>
          <w:i/>
          <w:iCs/>
          <w:sz w:val="24"/>
          <w:szCs w:val="24"/>
        </w:rPr>
        <w:t>25 Year Environment Plan Annual Progress Report</w:t>
      </w:r>
      <w:r w:rsidRPr="006A36B4">
        <w:rPr>
          <w:sz w:val="24"/>
          <w:szCs w:val="24"/>
        </w:rPr>
        <w:t xml:space="preserve">. [online] Available at: </w:t>
      </w:r>
      <w:hyperlink r:id="rId5" w:history="1">
        <w:r w:rsidRPr="006A36B4">
          <w:rPr>
            <w:sz w:val="24"/>
            <w:szCs w:val="24"/>
          </w:rPr>
          <w:t>https://assets.publishing.service.gov.uk/media/62d7d236e90e071e81480858/25yep-annual-progress-report-2022.pdf</w:t>
        </w:r>
      </w:hyperlink>
      <w:r w:rsidRPr="006A36B4">
        <w:rPr>
          <w:sz w:val="24"/>
          <w:szCs w:val="24"/>
        </w:rPr>
        <w:t xml:space="preserve"> [Accessed 12 Nov. 2025].</w:t>
      </w:r>
    </w:p>
    <w:p w14:paraId="1BF05FDF"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t xml:space="preserve">Department for Levelling Up, Housing and Communities (2022). </w:t>
      </w:r>
      <w:r w:rsidRPr="006A36B4">
        <w:rPr>
          <w:i/>
          <w:iCs/>
          <w:sz w:val="24"/>
          <w:szCs w:val="24"/>
        </w:rPr>
        <w:t>Levelling Up the United Kingdom</w:t>
      </w:r>
      <w:r w:rsidRPr="006A36B4">
        <w:rPr>
          <w:sz w:val="24"/>
          <w:szCs w:val="24"/>
        </w:rPr>
        <w:t xml:space="preserve">. [online] GOV.UK. Available at: </w:t>
      </w:r>
      <w:hyperlink r:id="rId6" w:history="1">
        <w:r w:rsidRPr="006A36B4">
          <w:rPr>
            <w:sz w:val="24"/>
            <w:szCs w:val="24"/>
          </w:rPr>
          <w:t>https://www.gov.uk/government/publications/levelling-up-the-united-kingdom</w:t>
        </w:r>
      </w:hyperlink>
      <w:r w:rsidRPr="006A36B4">
        <w:rPr>
          <w:sz w:val="24"/>
          <w:szCs w:val="24"/>
        </w:rPr>
        <w:t xml:space="preserve"> [Accessed 12 Nov. 2025].</w:t>
      </w:r>
    </w:p>
    <w:p w14:paraId="6F9AB292"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t xml:space="preserve">Lamport, D.J., Wu, S.Y., Drever-Heaps, J., </w:t>
      </w:r>
      <w:proofErr w:type="spellStart"/>
      <w:r w:rsidRPr="006A36B4">
        <w:rPr>
          <w:sz w:val="24"/>
          <w:szCs w:val="24"/>
        </w:rPr>
        <w:t>Hugueniot</w:t>
      </w:r>
      <w:proofErr w:type="spellEnd"/>
      <w:r w:rsidRPr="006A36B4">
        <w:rPr>
          <w:sz w:val="24"/>
          <w:szCs w:val="24"/>
        </w:rPr>
        <w:t xml:space="preserve">, O., Jones, D.J., Kennedy, O.B., Williams, C.M. and Butler, L.T., (2021). Can public health interventions change immediate and long-term dietary </w:t>
      </w:r>
      <w:proofErr w:type="spellStart"/>
      <w:r w:rsidRPr="006A36B4">
        <w:rPr>
          <w:sz w:val="24"/>
          <w:szCs w:val="24"/>
        </w:rPr>
        <w:t>behaviours</w:t>
      </w:r>
      <w:proofErr w:type="spellEnd"/>
      <w:r w:rsidRPr="006A36B4">
        <w:rPr>
          <w:sz w:val="24"/>
          <w:szCs w:val="24"/>
        </w:rPr>
        <w:t>? Encouraging evidence from a pilot study of the UK Change4Life sugar swaps campaign. </w:t>
      </w:r>
      <w:r w:rsidRPr="006A36B4">
        <w:rPr>
          <w:i/>
          <w:iCs/>
          <w:sz w:val="24"/>
          <w:szCs w:val="24"/>
        </w:rPr>
        <w:t>Nutrients</w:t>
      </w:r>
      <w:r w:rsidRPr="006A36B4">
        <w:rPr>
          <w:sz w:val="24"/>
          <w:szCs w:val="24"/>
        </w:rPr>
        <w:t>, </w:t>
      </w:r>
      <w:r w:rsidRPr="006A36B4">
        <w:rPr>
          <w:i/>
          <w:iCs/>
          <w:sz w:val="24"/>
          <w:szCs w:val="24"/>
        </w:rPr>
        <w:t>14</w:t>
      </w:r>
      <w:r w:rsidRPr="006A36B4">
        <w:rPr>
          <w:sz w:val="24"/>
          <w:szCs w:val="24"/>
        </w:rPr>
        <w:t>(1), p.68.</w:t>
      </w:r>
    </w:p>
    <w:p w14:paraId="1CC16C99" w14:textId="77777777" w:rsidR="001E1C4F" w:rsidRPr="006A36B4" w:rsidRDefault="001E1C4F" w:rsidP="001E1C4F">
      <w:pPr>
        <w:spacing w:after="160" w:line="360" w:lineRule="auto"/>
        <w:jc w:val="both"/>
        <w:rPr>
          <w:rFonts w:eastAsia="Calibri"/>
          <w:sz w:val="24"/>
          <w:szCs w:val="24"/>
        </w:rPr>
      </w:pPr>
      <w:r w:rsidRPr="006A36B4">
        <w:rPr>
          <w:rFonts w:eastAsia="Calibri"/>
          <w:sz w:val="24"/>
          <w:szCs w:val="24"/>
        </w:rPr>
        <w:t xml:space="preserve">Mansour, M.H.H., Pokhrel, S. and Anokye, N., </w:t>
      </w:r>
      <w:r w:rsidR="00325620" w:rsidRPr="006A36B4">
        <w:rPr>
          <w:rFonts w:eastAsia="Calibri"/>
          <w:sz w:val="24"/>
          <w:szCs w:val="24"/>
        </w:rPr>
        <w:t>(</w:t>
      </w:r>
      <w:r w:rsidRPr="006A36B4">
        <w:rPr>
          <w:rFonts w:eastAsia="Calibri"/>
          <w:sz w:val="24"/>
          <w:szCs w:val="24"/>
        </w:rPr>
        <w:t>2022</w:t>
      </w:r>
      <w:r w:rsidR="00325620" w:rsidRPr="006A36B4">
        <w:rPr>
          <w:rFonts w:eastAsia="Calibri"/>
          <w:sz w:val="24"/>
          <w:szCs w:val="24"/>
        </w:rPr>
        <w:t>)</w:t>
      </w:r>
      <w:r w:rsidRPr="006A36B4">
        <w:rPr>
          <w:rFonts w:eastAsia="Calibri"/>
          <w:sz w:val="24"/>
          <w:szCs w:val="24"/>
        </w:rPr>
        <w:t>. Effectiveness of integrated care interventions for patients with long-term conditions: a review of systematic reviews. </w:t>
      </w:r>
      <w:r w:rsidRPr="006A36B4">
        <w:rPr>
          <w:rFonts w:eastAsia="Calibri"/>
          <w:i/>
          <w:iCs/>
          <w:sz w:val="24"/>
          <w:szCs w:val="24"/>
        </w:rPr>
        <w:t>Integrated Healthcare Journal</w:t>
      </w:r>
      <w:r w:rsidRPr="006A36B4">
        <w:rPr>
          <w:rFonts w:eastAsia="Calibri"/>
          <w:sz w:val="24"/>
          <w:szCs w:val="24"/>
        </w:rPr>
        <w:t>, </w:t>
      </w:r>
      <w:r w:rsidRPr="006A36B4">
        <w:rPr>
          <w:rFonts w:eastAsia="Calibri"/>
          <w:i/>
          <w:iCs/>
          <w:sz w:val="24"/>
          <w:szCs w:val="24"/>
        </w:rPr>
        <w:t>4</w:t>
      </w:r>
      <w:r w:rsidRPr="006A36B4">
        <w:rPr>
          <w:rFonts w:eastAsia="Calibri"/>
          <w:sz w:val="24"/>
          <w:szCs w:val="24"/>
        </w:rPr>
        <w:t>(1), p.e000083.</w:t>
      </w:r>
    </w:p>
    <w:p w14:paraId="436FF03D"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t>McCartney, G., Popham, F., McMaster, R. and Cumbers, A., (2019). Defining health and health inequalities. </w:t>
      </w:r>
      <w:r w:rsidRPr="006A36B4">
        <w:rPr>
          <w:i/>
          <w:iCs/>
          <w:sz w:val="24"/>
          <w:szCs w:val="24"/>
        </w:rPr>
        <w:t>Public health</w:t>
      </w:r>
      <w:r w:rsidRPr="006A36B4">
        <w:rPr>
          <w:sz w:val="24"/>
          <w:szCs w:val="24"/>
        </w:rPr>
        <w:t>, </w:t>
      </w:r>
      <w:r w:rsidRPr="006A36B4">
        <w:rPr>
          <w:i/>
          <w:iCs/>
          <w:sz w:val="24"/>
          <w:szCs w:val="24"/>
        </w:rPr>
        <w:t>172</w:t>
      </w:r>
      <w:r w:rsidRPr="006A36B4">
        <w:rPr>
          <w:sz w:val="24"/>
          <w:szCs w:val="24"/>
        </w:rPr>
        <w:t>, pp.22-30.</w:t>
      </w:r>
    </w:p>
    <w:p w14:paraId="38603904"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t xml:space="preserve">NHS England (2021). </w:t>
      </w:r>
      <w:r w:rsidRPr="006A36B4">
        <w:rPr>
          <w:i/>
          <w:iCs/>
          <w:sz w:val="24"/>
          <w:szCs w:val="24"/>
        </w:rPr>
        <w:t>Core20PLUS5 an Approach to Reducing Health Inequalities</w:t>
      </w:r>
      <w:r w:rsidRPr="006A36B4">
        <w:rPr>
          <w:sz w:val="24"/>
          <w:szCs w:val="24"/>
        </w:rPr>
        <w:t xml:space="preserve">. [online] www.england.nhs.uk. Available at: </w:t>
      </w:r>
      <w:hyperlink r:id="rId7" w:history="1">
        <w:r w:rsidRPr="006A36B4">
          <w:rPr>
            <w:sz w:val="24"/>
            <w:szCs w:val="24"/>
          </w:rPr>
          <w:t>https://www.england.nhs.uk/about/equality/equality-hub/national-healthcare-inequalities-improvement-programme/core20plus5/</w:t>
        </w:r>
      </w:hyperlink>
      <w:r w:rsidRPr="006A36B4">
        <w:rPr>
          <w:sz w:val="24"/>
          <w:szCs w:val="24"/>
        </w:rPr>
        <w:t xml:space="preserve"> [Accessed 12 Nov. 2025].</w:t>
      </w:r>
    </w:p>
    <w:p w14:paraId="5E7814A9"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t xml:space="preserve">NHS England (2022). </w:t>
      </w:r>
      <w:r w:rsidRPr="006A36B4">
        <w:rPr>
          <w:i/>
          <w:iCs/>
          <w:sz w:val="24"/>
          <w:szCs w:val="24"/>
        </w:rPr>
        <w:t>NHS England» Healthy New Towns</w:t>
      </w:r>
      <w:r w:rsidRPr="006A36B4">
        <w:rPr>
          <w:sz w:val="24"/>
          <w:szCs w:val="24"/>
        </w:rPr>
        <w:t>. [online] www.england.nhs.uk. Available at: https://www.england.nhs.uk/ourwork/innovation/healthy-new-towns/ [Accessed 12 Nov. 2025].</w:t>
      </w:r>
    </w:p>
    <w:p w14:paraId="3FBD78CD" w14:textId="77777777" w:rsidR="0060385F" w:rsidRPr="006A36B4" w:rsidRDefault="0060385F" w:rsidP="0060385F">
      <w:pPr>
        <w:spacing w:after="160" w:line="360" w:lineRule="auto"/>
        <w:jc w:val="both"/>
        <w:rPr>
          <w:rFonts w:eastAsia="Calibri"/>
          <w:sz w:val="24"/>
          <w:szCs w:val="24"/>
        </w:rPr>
      </w:pPr>
      <w:r w:rsidRPr="006A36B4">
        <w:rPr>
          <w:rFonts w:eastAsia="Calibri"/>
          <w:sz w:val="24"/>
          <w:szCs w:val="24"/>
        </w:rPr>
        <w:t xml:space="preserve">Palmer, R.C., </w:t>
      </w:r>
      <w:proofErr w:type="spellStart"/>
      <w:r w:rsidRPr="006A36B4">
        <w:rPr>
          <w:rFonts w:eastAsia="Calibri"/>
          <w:sz w:val="24"/>
          <w:szCs w:val="24"/>
        </w:rPr>
        <w:t>Ismond</w:t>
      </w:r>
      <w:proofErr w:type="spellEnd"/>
      <w:r w:rsidRPr="006A36B4">
        <w:rPr>
          <w:rFonts w:eastAsia="Calibri"/>
          <w:sz w:val="24"/>
          <w:szCs w:val="24"/>
        </w:rPr>
        <w:t>, D., Rodriquez, E.J. and Kaufman, J.S., (2019). Social determinants of health: future directions for health disparities research. </w:t>
      </w:r>
      <w:r w:rsidRPr="006A36B4">
        <w:rPr>
          <w:rFonts w:eastAsia="Calibri"/>
          <w:i/>
          <w:iCs/>
          <w:sz w:val="24"/>
          <w:szCs w:val="24"/>
        </w:rPr>
        <w:t>American journal of public health</w:t>
      </w:r>
      <w:r w:rsidRPr="006A36B4">
        <w:rPr>
          <w:rFonts w:eastAsia="Calibri"/>
          <w:sz w:val="24"/>
          <w:szCs w:val="24"/>
        </w:rPr>
        <w:t>, </w:t>
      </w:r>
      <w:r w:rsidRPr="006A36B4">
        <w:rPr>
          <w:rFonts w:eastAsia="Calibri"/>
          <w:i/>
          <w:iCs/>
          <w:sz w:val="24"/>
          <w:szCs w:val="24"/>
        </w:rPr>
        <w:t>109</w:t>
      </w:r>
      <w:r w:rsidRPr="006A36B4">
        <w:rPr>
          <w:rFonts w:eastAsia="Calibri"/>
          <w:sz w:val="24"/>
          <w:szCs w:val="24"/>
        </w:rPr>
        <w:t xml:space="preserve">(S1), </w:t>
      </w:r>
      <w:proofErr w:type="gramStart"/>
      <w:r w:rsidRPr="006A36B4">
        <w:rPr>
          <w:rFonts w:eastAsia="Calibri"/>
          <w:sz w:val="24"/>
          <w:szCs w:val="24"/>
        </w:rPr>
        <w:t>pp.S</w:t>
      </w:r>
      <w:proofErr w:type="gramEnd"/>
      <w:r w:rsidRPr="006A36B4">
        <w:rPr>
          <w:rFonts w:eastAsia="Calibri"/>
          <w:sz w:val="24"/>
          <w:szCs w:val="24"/>
        </w:rPr>
        <w:t>70-S71.</w:t>
      </w:r>
    </w:p>
    <w:p w14:paraId="62D02F68" w14:textId="77777777" w:rsidR="001E1C4F" w:rsidRPr="006A36B4" w:rsidRDefault="001E1C4F" w:rsidP="001E1C4F">
      <w:pPr>
        <w:spacing w:after="160" w:line="360" w:lineRule="auto"/>
        <w:jc w:val="both"/>
        <w:rPr>
          <w:rFonts w:eastAsia="Calibri"/>
          <w:sz w:val="24"/>
          <w:szCs w:val="24"/>
        </w:rPr>
      </w:pPr>
      <w:r w:rsidRPr="006A36B4">
        <w:rPr>
          <w:rFonts w:eastAsia="Calibri"/>
          <w:sz w:val="24"/>
          <w:szCs w:val="24"/>
        </w:rPr>
        <w:t xml:space="preserve">Stuart, R., Shah, P., Olive, R.R., Trevillion, K. and Henderson, C., </w:t>
      </w:r>
      <w:r w:rsidR="00325620" w:rsidRPr="006A36B4">
        <w:rPr>
          <w:rFonts w:eastAsia="Calibri"/>
          <w:sz w:val="24"/>
          <w:szCs w:val="24"/>
        </w:rPr>
        <w:t>(</w:t>
      </w:r>
      <w:r w:rsidRPr="006A36B4">
        <w:rPr>
          <w:rFonts w:eastAsia="Calibri"/>
          <w:sz w:val="24"/>
          <w:szCs w:val="24"/>
        </w:rPr>
        <w:t>2023</w:t>
      </w:r>
      <w:r w:rsidR="00325620" w:rsidRPr="006A36B4">
        <w:rPr>
          <w:rFonts w:eastAsia="Calibri"/>
          <w:sz w:val="24"/>
          <w:szCs w:val="24"/>
        </w:rPr>
        <w:t>)</w:t>
      </w:r>
      <w:r w:rsidRPr="006A36B4">
        <w:rPr>
          <w:rFonts w:eastAsia="Calibri"/>
          <w:sz w:val="24"/>
          <w:szCs w:val="24"/>
        </w:rPr>
        <w:t>. Experiences of Every Mind Matters, Public Health England’s adult mental health literacy campaign: a qualitative interview study. </w:t>
      </w:r>
      <w:r w:rsidRPr="006A36B4">
        <w:rPr>
          <w:rFonts w:eastAsia="Calibri"/>
          <w:i/>
          <w:iCs/>
          <w:sz w:val="24"/>
          <w:szCs w:val="24"/>
        </w:rPr>
        <w:t>BMC Public Health</w:t>
      </w:r>
      <w:r w:rsidRPr="006A36B4">
        <w:rPr>
          <w:rFonts w:eastAsia="Calibri"/>
          <w:sz w:val="24"/>
          <w:szCs w:val="24"/>
        </w:rPr>
        <w:t>, </w:t>
      </w:r>
      <w:r w:rsidRPr="006A36B4">
        <w:rPr>
          <w:rFonts w:eastAsia="Calibri"/>
          <w:i/>
          <w:iCs/>
          <w:sz w:val="24"/>
          <w:szCs w:val="24"/>
        </w:rPr>
        <w:t>23</w:t>
      </w:r>
      <w:r w:rsidRPr="006A36B4">
        <w:rPr>
          <w:rFonts w:eastAsia="Calibri"/>
          <w:sz w:val="24"/>
          <w:szCs w:val="24"/>
        </w:rPr>
        <w:t>(1), p.398.</w:t>
      </w:r>
    </w:p>
    <w:p w14:paraId="67B787F0" w14:textId="77777777" w:rsidR="00325620" w:rsidRPr="006A36B4" w:rsidRDefault="00325620" w:rsidP="001E1C4F">
      <w:pPr>
        <w:spacing w:after="160" w:line="360" w:lineRule="auto"/>
        <w:jc w:val="both"/>
        <w:rPr>
          <w:rFonts w:eastAsia="Calibri"/>
          <w:sz w:val="24"/>
          <w:szCs w:val="24"/>
        </w:rPr>
      </w:pPr>
      <w:r w:rsidRPr="006A36B4">
        <w:rPr>
          <w:rFonts w:eastAsia="Calibri"/>
          <w:sz w:val="24"/>
          <w:szCs w:val="24"/>
        </w:rPr>
        <w:t>Stewart, E., Cresswell, R. and Möller, C., (2024). National charitable fundraising for the NHS, 1948–2023. </w:t>
      </w:r>
      <w:r w:rsidRPr="006A36B4">
        <w:rPr>
          <w:rFonts w:eastAsia="Calibri"/>
          <w:i/>
          <w:iCs/>
          <w:sz w:val="24"/>
          <w:szCs w:val="24"/>
        </w:rPr>
        <w:t>Social Policy &amp; Administration</w:t>
      </w:r>
      <w:r w:rsidRPr="006A36B4">
        <w:rPr>
          <w:rFonts w:eastAsia="Calibri"/>
          <w:sz w:val="24"/>
          <w:szCs w:val="24"/>
        </w:rPr>
        <w:t>, </w:t>
      </w:r>
      <w:r w:rsidRPr="006A36B4">
        <w:rPr>
          <w:rFonts w:eastAsia="Calibri"/>
          <w:i/>
          <w:iCs/>
          <w:sz w:val="24"/>
          <w:szCs w:val="24"/>
        </w:rPr>
        <w:t>58</w:t>
      </w:r>
      <w:r w:rsidRPr="006A36B4">
        <w:rPr>
          <w:rFonts w:eastAsia="Calibri"/>
          <w:sz w:val="24"/>
          <w:szCs w:val="24"/>
        </w:rPr>
        <w:t>(6), pp.960-972.</w:t>
      </w:r>
    </w:p>
    <w:p w14:paraId="06E6F641"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lastRenderedPageBreak/>
        <w:t>Treharne, C., Beattie, A., Mitchell, G. and Chan, M., (2023). HTA191 discussion of health inequalities in the NICE single technology appraisal process: a review of recent submissions in NHS England Core20PLUS5 focus clinical areas. </w:t>
      </w:r>
      <w:r w:rsidRPr="006A36B4">
        <w:rPr>
          <w:i/>
          <w:iCs/>
          <w:sz w:val="24"/>
          <w:szCs w:val="24"/>
        </w:rPr>
        <w:t>Value in Health</w:t>
      </w:r>
      <w:r w:rsidRPr="006A36B4">
        <w:rPr>
          <w:sz w:val="24"/>
          <w:szCs w:val="24"/>
        </w:rPr>
        <w:t>, </w:t>
      </w:r>
      <w:r w:rsidRPr="006A36B4">
        <w:rPr>
          <w:i/>
          <w:iCs/>
          <w:sz w:val="24"/>
          <w:szCs w:val="24"/>
        </w:rPr>
        <w:t>26</w:t>
      </w:r>
      <w:r w:rsidRPr="006A36B4">
        <w:rPr>
          <w:sz w:val="24"/>
          <w:szCs w:val="24"/>
        </w:rPr>
        <w:t>(12), p.S356.</w:t>
      </w:r>
    </w:p>
    <w:p w14:paraId="6581DCF3" w14:textId="77777777" w:rsidR="00325620" w:rsidRPr="006A36B4" w:rsidRDefault="00325620" w:rsidP="00325620">
      <w:pPr>
        <w:spacing w:after="160" w:line="360" w:lineRule="auto"/>
        <w:jc w:val="both"/>
        <w:rPr>
          <w:rFonts w:eastAsia="Calibri"/>
          <w:sz w:val="24"/>
          <w:szCs w:val="24"/>
        </w:rPr>
      </w:pPr>
      <w:proofErr w:type="spellStart"/>
      <w:r w:rsidRPr="006A36B4">
        <w:rPr>
          <w:rFonts w:eastAsia="Calibri"/>
          <w:sz w:val="24"/>
          <w:szCs w:val="24"/>
        </w:rPr>
        <w:t>Tibber</w:t>
      </w:r>
      <w:proofErr w:type="spellEnd"/>
      <w:r w:rsidRPr="006A36B4">
        <w:rPr>
          <w:rFonts w:eastAsia="Calibri"/>
          <w:sz w:val="24"/>
          <w:szCs w:val="24"/>
        </w:rPr>
        <w:t>, M.S., Walji, F., Kirkbride, J.B. and Huddy, V., (2022). The association between income inequality and adult mental health at the subnational level—a systematic review. </w:t>
      </w:r>
      <w:r w:rsidRPr="006A36B4">
        <w:rPr>
          <w:rFonts w:eastAsia="Calibri"/>
          <w:i/>
          <w:iCs/>
          <w:sz w:val="24"/>
          <w:szCs w:val="24"/>
        </w:rPr>
        <w:t>Social Psychiatry and Psychiatric Epidemiology</w:t>
      </w:r>
      <w:r w:rsidRPr="006A36B4">
        <w:rPr>
          <w:rFonts w:eastAsia="Calibri"/>
          <w:sz w:val="24"/>
          <w:szCs w:val="24"/>
        </w:rPr>
        <w:t>, </w:t>
      </w:r>
      <w:r w:rsidRPr="006A36B4">
        <w:rPr>
          <w:rFonts w:eastAsia="Calibri"/>
          <w:i/>
          <w:iCs/>
          <w:sz w:val="24"/>
          <w:szCs w:val="24"/>
        </w:rPr>
        <w:t>57</w:t>
      </w:r>
      <w:r w:rsidRPr="006A36B4">
        <w:rPr>
          <w:rFonts w:eastAsia="Calibri"/>
          <w:sz w:val="24"/>
          <w:szCs w:val="24"/>
        </w:rPr>
        <w:t>(1), pp.1-24.</w:t>
      </w:r>
    </w:p>
    <w:p w14:paraId="42063F1A"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t xml:space="preserve">United Nations (2015). </w:t>
      </w:r>
      <w:r w:rsidRPr="006A36B4">
        <w:rPr>
          <w:i/>
          <w:iCs/>
          <w:sz w:val="24"/>
          <w:szCs w:val="24"/>
        </w:rPr>
        <w:t>The 17 sustainable development goals</w:t>
      </w:r>
      <w:r w:rsidRPr="006A36B4">
        <w:rPr>
          <w:sz w:val="24"/>
          <w:szCs w:val="24"/>
        </w:rPr>
        <w:t xml:space="preserve">. [online] United Nations. Available at: </w:t>
      </w:r>
      <w:hyperlink r:id="rId8" w:history="1">
        <w:r w:rsidRPr="006A36B4">
          <w:rPr>
            <w:sz w:val="24"/>
            <w:szCs w:val="24"/>
          </w:rPr>
          <w:t>https://sdgs.un.org/goals</w:t>
        </w:r>
      </w:hyperlink>
      <w:r w:rsidRPr="006A36B4">
        <w:rPr>
          <w:sz w:val="24"/>
          <w:szCs w:val="24"/>
        </w:rPr>
        <w:t xml:space="preserve"> [Accessed 12 Nov. 2025].</w:t>
      </w:r>
    </w:p>
    <w:p w14:paraId="04AFA6B6"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t xml:space="preserve">United Nations (2025a). </w:t>
      </w:r>
      <w:r w:rsidRPr="006A36B4">
        <w:rPr>
          <w:i/>
          <w:iCs/>
          <w:sz w:val="24"/>
          <w:szCs w:val="24"/>
        </w:rPr>
        <w:t xml:space="preserve">Goal 3: Ensure healthy lives and promote well-being </w:t>
      </w:r>
      <w:proofErr w:type="gramStart"/>
      <w:r w:rsidRPr="006A36B4">
        <w:rPr>
          <w:i/>
          <w:iCs/>
          <w:sz w:val="24"/>
          <w:szCs w:val="24"/>
        </w:rPr>
        <w:t>for all at</w:t>
      </w:r>
      <w:proofErr w:type="gramEnd"/>
      <w:r w:rsidRPr="006A36B4">
        <w:rPr>
          <w:i/>
          <w:iCs/>
          <w:sz w:val="24"/>
          <w:szCs w:val="24"/>
        </w:rPr>
        <w:t xml:space="preserve"> all ages</w:t>
      </w:r>
      <w:r w:rsidRPr="006A36B4">
        <w:rPr>
          <w:sz w:val="24"/>
          <w:szCs w:val="24"/>
        </w:rPr>
        <w:t xml:space="preserve">. [online] United Nations. Available at: </w:t>
      </w:r>
      <w:hyperlink r:id="rId9" w:history="1">
        <w:r w:rsidRPr="006A36B4">
          <w:rPr>
            <w:sz w:val="24"/>
            <w:szCs w:val="24"/>
          </w:rPr>
          <w:t>https://sdgs.un.org/goals/goal3</w:t>
        </w:r>
      </w:hyperlink>
      <w:r w:rsidRPr="006A36B4">
        <w:rPr>
          <w:sz w:val="24"/>
          <w:szCs w:val="24"/>
        </w:rPr>
        <w:t xml:space="preserve"> [Accessed 12 Nov. 2025].</w:t>
      </w:r>
    </w:p>
    <w:p w14:paraId="619B348F" w14:textId="77777777" w:rsidR="001E1C4F" w:rsidRPr="006A36B4" w:rsidRDefault="001E1C4F" w:rsidP="005202D0">
      <w:pPr>
        <w:widowControl w:val="0"/>
        <w:autoSpaceDE w:val="0"/>
        <w:autoSpaceDN w:val="0"/>
        <w:adjustRightInd w:val="0"/>
        <w:spacing w:after="240" w:line="360" w:lineRule="auto"/>
        <w:jc w:val="both"/>
        <w:rPr>
          <w:sz w:val="24"/>
          <w:szCs w:val="24"/>
        </w:rPr>
      </w:pPr>
      <w:r w:rsidRPr="006A36B4">
        <w:rPr>
          <w:sz w:val="24"/>
          <w:szCs w:val="24"/>
        </w:rPr>
        <w:t xml:space="preserve">United Nations (2025b). </w:t>
      </w:r>
      <w:r w:rsidRPr="006A36B4">
        <w:rPr>
          <w:i/>
          <w:iCs/>
          <w:sz w:val="24"/>
          <w:szCs w:val="24"/>
        </w:rPr>
        <w:t>Goal 10 | Reduce Inequality within and among Countries</w:t>
      </w:r>
      <w:r w:rsidRPr="006A36B4">
        <w:rPr>
          <w:sz w:val="24"/>
          <w:szCs w:val="24"/>
        </w:rPr>
        <w:t xml:space="preserve">. [online] United </w:t>
      </w:r>
      <w:proofErr w:type="gramStart"/>
      <w:r w:rsidRPr="006A36B4">
        <w:rPr>
          <w:sz w:val="24"/>
          <w:szCs w:val="24"/>
        </w:rPr>
        <w:t>nations</w:t>
      </w:r>
      <w:proofErr w:type="gramEnd"/>
      <w:r w:rsidRPr="006A36B4">
        <w:rPr>
          <w:sz w:val="24"/>
          <w:szCs w:val="24"/>
        </w:rPr>
        <w:t xml:space="preserve">. Available at: </w:t>
      </w:r>
      <w:hyperlink r:id="rId10" w:history="1">
        <w:r w:rsidRPr="006A36B4">
          <w:rPr>
            <w:sz w:val="24"/>
            <w:szCs w:val="24"/>
          </w:rPr>
          <w:t>https://sdgs.un.org/goals/goal10</w:t>
        </w:r>
      </w:hyperlink>
      <w:r w:rsidRPr="006A36B4">
        <w:rPr>
          <w:sz w:val="24"/>
          <w:szCs w:val="24"/>
        </w:rPr>
        <w:t xml:space="preserve"> [Accessed 12 Nov. 2025].</w:t>
      </w:r>
    </w:p>
    <w:p w14:paraId="1A3C44BE" w14:textId="77777777" w:rsidR="005202D0" w:rsidRPr="006A36B4" w:rsidRDefault="005202D0">
      <w:pPr>
        <w:pStyle w:val="Normal1"/>
        <w:spacing w:before="200" w:after="200" w:line="360" w:lineRule="auto"/>
        <w:jc w:val="both"/>
        <w:rPr>
          <w:rFonts w:eastAsia="Times New Roman"/>
          <w:sz w:val="24"/>
          <w:szCs w:val="24"/>
        </w:rPr>
      </w:pPr>
    </w:p>
    <w:sectPr w:rsidR="005202D0" w:rsidRPr="006A36B4" w:rsidSect="00F6138C">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36D0D30-D381-4CD3-BFAA-EE0A6AE2748B}"/>
    <w:embedBold r:id="rId2" w:fontKey="{C4237D28-CD84-43BB-930B-1ED29A33678D}"/>
    <w:embedItalic r:id="rId3" w:fontKey="{12850535-D9C3-4192-970D-AB585F4A6719}"/>
  </w:font>
  <w:font w:name="Tahoma">
    <w:panose1 w:val="020B0604030504040204"/>
    <w:charset w:val="00"/>
    <w:family w:val="swiss"/>
    <w:pitch w:val="variable"/>
    <w:sig w:usb0="E1002EFF" w:usb1="C000605B" w:usb2="00000029" w:usb3="00000000" w:csb0="000101FF" w:csb1="00000000"/>
    <w:embedRegular r:id="rId4" w:fontKey="{94E7334D-C97D-4C32-A04D-1FAA138A7326}"/>
  </w:font>
  <w:font w:name="DengXian">
    <w:altName w:val="等线"/>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embedRegular r:id="rId5" w:fontKey="{46DC3411-93A9-4BF2-9090-846E6148DF4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6138C"/>
    <w:rsid w:val="00096391"/>
    <w:rsid w:val="00173786"/>
    <w:rsid w:val="001E1C4F"/>
    <w:rsid w:val="00325620"/>
    <w:rsid w:val="00326DE6"/>
    <w:rsid w:val="003C11EB"/>
    <w:rsid w:val="004F713B"/>
    <w:rsid w:val="005202D0"/>
    <w:rsid w:val="0060385F"/>
    <w:rsid w:val="006A36B4"/>
    <w:rsid w:val="00900F1C"/>
    <w:rsid w:val="00B2067C"/>
    <w:rsid w:val="00D32C54"/>
    <w:rsid w:val="00EB6A39"/>
    <w:rsid w:val="00F6138C"/>
    <w:rsid w:val="00FE5E6F"/>
    <w:rsid w:val="00FF09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A7A7D"/>
  <w15:docId w15:val="{6884BE36-933E-4EED-BD48-5A85AC758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1EB"/>
  </w:style>
  <w:style w:type="paragraph" w:styleId="Heading1">
    <w:name w:val="heading 1"/>
    <w:basedOn w:val="Normal1"/>
    <w:next w:val="Normal1"/>
    <w:rsid w:val="005202D0"/>
    <w:pPr>
      <w:spacing w:before="200"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1"/>
    <w:next w:val="Normal1"/>
    <w:rsid w:val="00F6138C"/>
    <w:pPr>
      <w:keepNext/>
      <w:keepLines/>
      <w:spacing w:before="360" w:after="120"/>
      <w:outlineLvl w:val="1"/>
    </w:pPr>
    <w:rPr>
      <w:sz w:val="32"/>
      <w:szCs w:val="32"/>
    </w:rPr>
  </w:style>
  <w:style w:type="paragraph" w:styleId="Heading3">
    <w:name w:val="heading 3"/>
    <w:basedOn w:val="Normal1"/>
    <w:next w:val="Normal1"/>
    <w:rsid w:val="00F6138C"/>
    <w:pPr>
      <w:keepNext/>
      <w:keepLines/>
      <w:spacing w:before="320" w:after="80"/>
      <w:outlineLvl w:val="2"/>
    </w:pPr>
    <w:rPr>
      <w:color w:val="434343"/>
      <w:sz w:val="28"/>
      <w:szCs w:val="28"/>
    </w:rPr>
  </w:style>
  <w:style w:type="paragraph" w:styleId="Heading4">
    <w:name w:val="heading 4"/>
    <w:basedOn w:val="Normal1"/>
    <w:next w:val="Normal1"/>
    <w:rsid w:val="00F6138C"/>
    <w:pPr>
      <w:keepNext/>
      <w:keepLines/>
      <w:spacing w:before="280" w:after="80"/>
      <w:outlineLvl w:val="3"/>
    </w:pPr>
    <w:rPr>
      <w:color w:val="666666"/>
      <w:sz w:val="24"/>
      <w:szCs w:val="24"/>
    </w:rPr>
  </w:style>
  <w:style w:type="paragraph" w:styleId="Heading5">
    <w:name w:val="heading 5"/>
    <w:basedOn w:val="Normal1"/>
    <w:next w:val="Normal1"/>
    <w:rsid w:val="00F6138C"/>
    <w:pPr>
      <w:keepNext/>
      <w:keepLines/>
      <w:spacing w:before="240" w:after="80"/>
      <w:outlineLvl w:val="4"/>
    </w:pPr>
    <w:rPr>
      <w:color w:val="666666"/>
    </w:rPr>
  </w:style>
  <w:style w:type="paragraph" w:styleId="Heading6">
    <w:name w:val="heading 6"/>
    <w:basedOn w:val="Normal1"/>
    <w:next w:val="Normal1"/>
    <w:rsid w:val="00F6138C"/>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F6138C"/>
    <w:tblPr>
      <w:tblCellMar>
        <w:top w:w="100" w:type="dxa"/>
        <w:left w:w="100" w:type="dxa"/>
        <w:bottom w:w="100" w:type="dxa"/>
        <w:right w:w="100" w:type="dxa"/>
      </w:tblCellMar>
    </w:tblPr>
  </w:style>
  <w:style w:type="paragraph" w:customStyle="1" w:styleId="Normal1">
    <w:name w:val="Normal1"/>
    <w:rsid w:val="00F6138C"/>
  </w:style>
  <w:style w:type="paragraph" w:styleId="Title">
    <w:name w:val="Title"/>
    <w:basedOn w:val="Normal1"/>
    <w:next w:val="Normal1"/>
    <w:rsid w:val="00F6138C"/>
    <w:pPr>
      <w:keepNext/>
      <w:keepLines/>
      <w:spacing w:after="60"/>
    </w:pPr>
    <w:rPr>
      <w:sz w:val="52"/>
      <w:szCs w:val="52"/>
    </w:rPr>
  </w:style>
  <w:style w:type="paragraph" w:styleId="Subtitle">
    <w:name w:val="Subtitle"/>
    <w:basedOn w:val="Normal1"/>
    <w:next w:val="Normal1"/>
    <w:rsid w:val="00F6138C"/>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5202D0"/>
    <w:pPr>
      <w:keepNext/>
      <w:keepLines/>
      <w:spacing w:before="480" w:after="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5202D0"/>
    <w:pPr>
      <w:spacing w:after="100"/>
    </w:pPr>
  </w:style>
  <w:style w:type="character" w:styleId="Hyperlink">
    <w:name w:val="Hyperlink"/>
    <w:basedOn w:val="DefaultParagraphFont"/>
    <w:uiPriority w:val="99"/>
    <w:unhideWhenUsed/>
    <w:rsid w:val="005202D0"/>
    <w:rPr>
      <w:color w:val="0000FF" w:themeColor="hyperlink"/>
      <w:u w:val="single"/>
    </w:rPr>
  </w:style>
  <w:style w:type="paragraph" w:styleId="BalloonText">
    <w:name w:val="Balloon Text"/>
    <w:basedOn w:val="Normal"/>
    <w:link w:val="BalloonTextChar"/>
    <w:uiPriority w:val="99"/>
    <w:semiHidden/>
    <w:unhideWhenUsed/>
    <w:rsid w:val="005202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02D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dgs.un.org/goals" TargetMode="External"/><Relationship Id="rId3" Type="http://schemas.openxmlformats.org/officeDocument/2006/relationships/settings" Target="settings.xml"/><Relationship Id="rId7" Type="http://schemas.openxmlformats.org/officeDocument/2006/relationships/hyperlink" Target="https://www.england.nhs.uk/about/equality/equality-hub/national-healthcare-inequalities-improvement-programme/core20plus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ov.uk/government/publications/levelling-up-the-united-kingdom" TargetMode="External"/><Relationship Id="rId11" Type="http://schemas.openxmlformats.org/officeDocument/2006/relationships/fontTable" Target="fontTable.xml"/><Relationship Id="rId5" Type="http://schemas.openxmlformats.org/officeDocument/2006/relationships/hyperlink" Target="https://assets.publishing.service.gov.uk/media/62d7d236e90e071e81480858/25yep-annual-progress-report-2022.pdf" TargetMode="External"/><Relationship Id="rId10" Type="http://schemas.openxmlformats.org/officeDocument/2006/relationships/hyperlink" Target="https://sdgs.un.org/goals/goal10" TargetMode="External"/><Relationship Id="rId4" Type="http://schemas.openxmlformats.org/officeDocument/2006/relationships/webSettings" Target="webSettings.xml"/><Relationship Id="rId9" Type="http://schemas.openxmlformats.org/officeDocument/2006/relationships/hyperlink" Target="https://sdgs.un.org/goals/goal3"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7E75E64-5EB7-4FD0-800D-B9F69C089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2993</Words>
  <Characters>17065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Nuro Aligas</cp:lastModifiedBy>
  <cp:revision>4</cp:revision>
  <dcterms:created xsi:type="dcterms:W3CDTF">2025-12-25T12:23:00Z</dcterms:created>
  <dcterms:modified xsi:type="dcterms:W3CDTF">2025-12-25T12:49:00Z</dcterms:modified>
</cp:coreProperties>
</file>