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5F40" w14:textId="77777777" w:rsidR="005C1C88" w:rsidRDefault="005C1C88" w:rsidP="005C1C88">
      <w:pPr>
        <w:widowControl/>
        <w:jc w:val="right"/>
        <w:rPr>
          <w:sz w:val="28"/>
          <w:szCs w:val="28"/>
        </w:rPr>
      </w:pPr>
      <w:r>
        <w:rPr>
          <w:rFonts w:ascii="Times New Roman" w:hAnsi="Times New Roman" w:cs="Times New Roman"/>
          <w:b/>
          <w:noProof/>
          <w:color w:val="44546A" w:themeColor="text2"/>
          <w:sz w:val="28"/>
          <w:szCs w:val="28"/>
        </w:rPr>
        <w:drawing>
          <wp:inline distT="0" distB="0" distL="0" distR="0" wp14:anchorId="6C14763D" wp14:editId="680905A8">
            <wp:extent cx="2977515" cy="1111250"/>
            <wp:effectExtent l="0" t="0" r="19685" b="6350"/>
            <wp:docPr id="3" name="Picture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文本&#10;&#10;描述已自动生成"/>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14:paraId="58426CA0" w14:textId="77777777" w:rsidR="005C1C88" w:rsidRDefault="005C1C88" w:rsidP="005C1C88">
      <w:pPr>
        <w:widowControl/>
        <w:jc w:val="right"/>
        <w:rPr>
          <w:sz w:val="28"/>
          <w:szCs w:val="28"/>
        </w:rPr>
      </w:pPr>
    </w:p>
    <w:p w14:paraId="57164D27" w14:textId="77777777" w:rsidR="005C1C88" w:rsidRDefault="005C1C88" w:rsidP="005C1C88">
      <w:pPr>
        <w:widowControl/>
        <w:jc w:val="center"/>
        <w:rPr>
          <w:sz w:val="48"/>
          <w:szCs w:val="48"/>
        </w:rPr>
      </w:pPr>
      <w:r w:rsidRPr="005C1C88">
        <w:rPr>
          <w:sz w:val="48"/>
          <w:szCs w:val="48"/>
        </w:rPr>
        <w:t>Doctor of Business Administration</w:t>
      </w:r>
    </w:p>
    <w:p w14:paraId="70160DA6" w14:textId="77777777" w:rsidR="005C1C88" w:rsidRPr="00EB34E2" w:rsidRDefault="005C1C88" w:rsidP="005C1C88">
      <w:pPr>
        <w:jc w:val="center"/>
        <w:rPr>
          <w:sz w:val="48"/>
          <w:szCs w:val="48"/>
        </w:rPr>
      </w:pPr>
      <w:r w:rsidRPr="00EB34E2">
        <w:rPr>
          <w:sz w:val="48"/>
          <w:szCs w:val="48"/>
        </w:rPr>
        <w:t>Assignment</w:t>
      </w:r>
    </w:p>
    <w:p w14:paraId="01253E60" w14:textId="77777777" w:rsidR="005C1C88" w:rsidRDefault="005C1C88" w:rsidP="005C1C88">
      <w:pPr>
        <w:jc w:val="center"/>
        <w:rPr>
          <w:sz w:val="48"/>
          <w:szCs w:val="48"/>
        </w:rPr>
      </w:pPr>
      <w:r>
        <w:rPr>
          <w:sz w:val="48"/>
          <w:szCs w:val="48"/>
        </w:rPr>
        <w:t>Research Principles and Philosophy</w:t>
      </w:r>
    </w:p>
    <w:p w14:paraId="0FE42664" w14:textId="7FD71BDF" w:rsidR="005C1C88" w:rsidRDefault="005C1C88" w:rsidP="005C1C88">
      <w:pPr>
        <w:jc w:val="center"/>
        <w:rPr>
          <w:sz w:val="48"/>
          <w:szCs w:val="48"/>
        </w:rPr>
      </w:pPr>
      <w:r>
        <w:rPr>
          <w:sz w:val="48"/>
          <w:szCs w:val="48"/>
        </w:rPr>
        <w:t>LCDB7007</w:t>
      </w:r>
    </w:p>
    <w:p w14:paraId="7A552561" w14:textId="77777777" w:rsidR="005C1C88" w:rsidRDefault="005C1C88" w:rsidP="005C1C88">
      <w:pPr>
        <w:jc w:val="center"/>
        <w:rPr>
          <w:sz w:val="48"/>
          <w:szCs w:val="48"/>
        </w:rPr>
      </w:pPr>
    </w:p>
    <w:p w14:paraId="6D762689" w14:textId="399E28F5" w:rsidR="005C1C88" w:rsidRDefault="005C1C88" w:rsidP="005C1C88">
      <w:pPr>
        <w:jc w:val="center"/>
        <w:rPr>
          <w:sz w:val="48"/>
          <w:szCs w:val="48"/>
        </w:rPr>
      </w:pPr>
      <w:r>
        <w:rPr>
          <w:sz w:val="48"/>
          <w:szCs w:val="48"/>
        </w:rPr>
        <w:t xml:space="preserve">Evaluation of Professional Identity of </w:t>
      </w:r>
      <w:r w:rsidR="000622E1">
        <w:rPr>
          <w:sz w:val="48"/>
          <w:szCs w:val="48"/>
        </w:rPr>
        <w:t>r</w:t>
      </w:r>
      <w:r>
        <w:rPr>
          <w:sz w:val="48"/>
          <w:szCs w:val="48"/>
        </w:rPr>
        <w:t xml:space="preserve">eal </w:t>
      </w:r>
      <w:r w:rsidR="000622E1">
        <w:rPr>
          <w:sz w:val="48"/>
          <w:szCs w:val="48"/>
        </w:rPr>
        <w:t>e</w:t>
      </w:r>
      <w:r>
        <w:rPr>
          <w:sz w:val="48"/>
          <w:szCs w:val="48"/>
        </w:rPr>
        <w:t>state brokers in China</w:t>
      </w:r>
    </w:p>
    <w:p w14:paraId="4ECBE9D9" w14:textId="2F8805AE" w:rsidR="005C1C88" w:rsidRDefault="005C1C88" w:rsidP="005C1C88">
      <w:pPr>
        <w:jc w:val="center"/>
        <w:rPr>
          <w:sz w:val="48"/>
          <w:szCs w:val="48"/>
        </w:rPr>
      </w:pPr>
    </w:p>
    <w:p w14:paraId="104EBF67" w14:textId="59F7E728" w:rsidR="005C1C88" w:rsidRDefault="005C1C88" w:rsidP="005C1C88">
      <w:pPr>
        <w:jc w:val="center"/>
        <w:rPr>
          <w:sz w:val="48"/>
          <w:szCs w:val="48"/>
        </w:rPr>
      </w:pPr>
      <w:r>
        <w:rPr>
          <w:sz w:val="48"/>
          <w:szCs w:val="48"/>
        </w:rPr>
        <w:t>Ruixin Wang, Student Number:2130119</w:t>
      </w:r>
    </w:p>
    <w:p w14:paraId="166BCEC3" w14:textId="40E7D187" w:rsidR="005C1C88" w:rsidRDefault="005C1C88" w:rsidP="005C1C88">
      <w:pPr>
        <w:jc w:val="center"/>
        <w:rPr>
          <w:sz w:val="48"/>
          <w:szCs w:val="48"/>
        </w:rPr>
      </w:pPr>
    </w:p>
    <w:p w14:paraId="185DF4D9" w14:textId="35D9A914" w:rsidR="005C1C88" w:rsidRDefault="005C1C88" w:rsidP="005C1C88">
      <w:pPr>
        <w:jc w:val="center"/>
        <w:rPr>
          <w:sz w:val="48"/>
          <w:szCs w:val="48"/>
        </w:rPr>
      </w:pPr>
      <w:r>
        <w:rPr>
          <w:sz w:val="48"/>
          <w:szCs w:val="48"/>
        </w:rPr>
        <w:t>Module Manager: Caroline Jawad</w:t>
      </w:r>
    </w:p>
    <w:p w14:paraId="3F7506CD" w14:textId="77777777" w:rsidR="005C1C88" w:rsidRPr="00EB34E2" w:rsidRDefault="005C1C88" w:rsidP="005C1C88">
      <w:pPr>
        <w:jc w:val="center"/>
        <w:rPr>
          <w:sz w:val="48"/>
          <w:szCs w:val="48"/>
        </w:rPr>
      </w:pPr>
    </w:p>
    <w:p w14:paraId="061393B2" w14:textId="25FF8822" w:rsidR="005E76BF" w:rsidRPr="005C1C88" w:rsidRDefault="005E76BF" w:rsidP="005C1C88">
      <w:pPr>
        <w:widowControl/>
        <w:jc w:val="center"/>
        <w:rPr>
          <w:sz w:val="48"/>
          <w:szCs w:val="48"/>
        </w:rPr>
        <w:sectPr w:rsidR="005E76BF" w:rsidRPr="005C1C88" w:rsidSect="005E76BF">
          <w:footerReference w:type="default" r:id="rId9"/>
          <w:pgSz w:w="11906" w:h="16838"/>
          <w:pgMar w:top="1440" w:right="1800" w:bottom="1440" w:left="1800" w:header="851" w:footer="992" w:gutter="0"/>
          <w:cols w:space="425"/>
          <w:titlePg/>
          <w:docGrid w:linePitch="360"/>
        </w:sectPr>
      </w:pPr>
      <w:r w:rsidRPr="005C1C88">
        <w:rPr>
          <w:sz w:val="48"/>
          <w:szCs w:val="48"/>
        </w:rPr>
        <w:br w:type="page"/>
      </w:r>
    </w:p>
    <w:p w14:paraId="6C8BED1F" w14:textId="77777777" w:rsidR="005E76BF" w:rsidRDefault="005E76BF">
      <w:pPr>
        <w:widowControl/>
        <w:jc w:val="left"/>
        <w:rPr>
          <w:sz w:val="28"/>
          <w:szCs w:val="28"/>
        </w:rPr>
      </w:pPr>
    </w:p>
    <w:p w14:paraId="7CCCB833" w14:textId="77777777" w:rsidR="00B32557" w:rsidRDefault="00B32557" w:rsidP="00E44F38">
      <w:pPr>
        <w:jc w:val="center"/>
        <w:rPr>
          <w:sz w:val="28"/>
          <w:szCs w:val="28"/>
        </w:rPr>
      </w:pPr>
    </w:p>
    <w:p w14:paraId="2F0E71EB" w14:textId="5BF6051A" w:rsidR="009810F7" w:rsidRDefault="009810F7" w:rsidP="00E44F38">
      <w:pPr>
        <w:jc w:val="center"/>
        <w:rPr>
          <w:sz w:val="28"/>
          <w:szCs w:val="28"/>
        </w:rPr>
      </w:pPr>
    </w:p>
    <w:p w14:paraId="082E9C80" w14:textId="77777777" w:rsidR="009810F7" w:rsidRDefault="009810F7" w:rsidP="00E44F38">
      <w:pPr>
        <w:jc w:val="center"/>
        <w:rPr>
          <w:sz w:val="28"/>
          <w:szCs w:val="28"/>
        </w:rPr>
      </w:pPr>
    </w:p>
    <w:sdt>
      <w:sdtPr>
        <w:rPr>
          <w:rFonts w:asciiTheme="minorHAnsi" w:eastAsiaTheme="minorEastAsia" w:hAnsiTheme="minorHAnsi" w:cstheme="minorBidi"/>
          <w:color w:val="auto"/>
          <w:sz w:val="22"/>
          <w:szCs w:val="22"/>
          <w:lang w:val="zh-CN"/>
        </w:rPr>
        <w:id w:val="-683049262"/>
        <w:docPartObj>
          <w:docPartGallery w:val="Table of Contents"/>
          <w:docPartUnique/>
        </w:docPartObj>
      </w:sdtPr>
      <w:sdtEndPr>
        <w:rPr>
          <w:b/>
          <w:bCs/>
        </w:rPr>
      </w:sdtEndPr>
      <w:sdtContent>
        <w:p w14:paraId="03DBBC91" w14:textId="5209464A" w:rsidR="00F90CE0" w:rsidRDefault="005E76BF" w:rsidP="005E76BF">
          <w:pPr>
            <w:pStyle w:val="TOC"/>
            <w:jc w:val="center"/>
          </w:pPr>
          <w:r w:rsidRPr="005E76BF">
            <w:t>Table of Contents</w:t>
          </w:r>
        </w:p>
        <w:p w14:paraId="6E8A27B0" w14:textId="2E8C609B" w:rsidR="00655460" w:rsidRDefault="00F90CE0">
          <w:pPr>
            <w:pStyle w:val="TOC1"/>
            <w:tabs>
              <w:tab w:val="left" w:pos="440"/>
              <w:tab w:val="right" w:leader="dot" w:pos="8296"/>
            </w:tabs>
            <w:rPr>
              <w:noProof/>
            </w:rPr>
          </w:pPr>
          <w:r>
            <w:fldChar w:fldCharType="begin"/>
          </w:r>
          <w:r>
            <w:instrText xml:space="preserve"> TOC \o "1-3" \h \z \u </w:instrText>
          </w:r>
          <w:r>
            <w:fldChar w:fldCharType="separate"/>
          </w:r>
          <w:hyperlink w:anchor="_Toc124422976" w:history="1">
            <w:r w:rsidR="00655460" w:rsidRPr="000A2CF2">
              <w:rPr>
                <w:rStyle w:val="a3"/>
                <w:noProof/>
              </w:rPr>
              <w:t>1.</w:t>
            </w:r>
            <w:r w:rsidR="00655460">
              <w:rPr>
                <w:noProof/>
              </w:rPr>
              <w:tab/>
            </w:r>
            <w:r w:rsidR="00655460" w:rsidRPr="000A2CF2">
              <w:rPr>
                <w:rStyle w:val="a3"/>
                <w:noProof/>
              </w:rPr>
              <w:t>Introduction</w:t>
            </w:r>
            <w:r w:rsidR="00655460">
              <w:rPr>
                <w:noProof/>
                <w:webHidden/>
              </w:rPr>
              <w:tab/>
            </w:r>
            <w:r w:rsidR="00655460">
              <w:rPr>
                <w:noProof/>
                <w:webHidden/>
              </w:rPr>
              <w:fldChar w:fldCharType="begin"/>
            </w:r>
            <w:r w:rsidR="00655460">
              <w:rPr>
                <w:noProof/>
                <w:webHidden/>
              </w:rPr>
              <w:instrText xml:space="preserve"> PAGEREF _Toc124422976 \h </w:instrText>
            </w:r>
            <w:r w:rsidR="00655460">
              <w:rPr>
                <w:noProof/>
                <w:webHidden/>
              </w:rPr>
            </w:r>
            <w:r w:rsidR="00655460">
              <w:rPr>
                <w:noProof/>
                <w:webHidden/>
              </w:rPr>
              <w:fldChar w:fldCharType="separate"/>
            </w:r>
            <w:r w:rsidR="00655460">
              <w:rPr>
                <w:noProof/>
                <w:webHidden/>
              </w:rPr>
              <w:t>1</w:t>
            </w:r>
            <w:r w:rsidR="00655460">
              <w:rPr>
                <w:noProof/>
                <w:webHidden/>
              </w:rPr>
              <w:fldChar w:fldCharType="end"/>
            </w:r>
          </w:hyperlink>
        </w:p>
        <w:p w14:paraId="452177E2" w14:textId="0CF38A63" w:rsidR="00655460" w:rsidRDefault="00655460">
          <w:pPr>
            <w:pStyle w:val="TOC2"/>
            <w:tabs>
              <w:tab w:val="right" w:leader="dot" w:pos="8296"/>
            </w:tabs>
            <w:rPr>
              <w:noProof/>
            </w:rPr>
          </w:pPr>
          <w:hyperlink w:anchor="_Toc124422977" w:history="1">
            <w:r w:rsidRPr="000A2CF2">
              <w:rPr>
                <w:rStyle w:val="a3"/>
                <w:noProof/>
              </w:rPr>
              <w:t>1.1 Background of the topic</w:t>
            </w:r>
            <w:r>
              <w:rPr>
                <w:noProof/>
                <w:webHidden/>
              </w:rPr>
              <w:tab/>
            </w:r>
            <w:r>
              <w:rPr>
                <w:noProof/>
                <w:webHidden/>
              </w:rPr>
              <w:fldChar w:fldCharType="begin"/>
            </w:r>
            <w:r>
              <w:rPr>
                <w:noProof/>
                <w:webHidden/>
              </w:rPr>
              <w:instrText xml:space="preserve"> PAGEREF _Toc124422977 \h </w:instrText>
            </w:r>
            <w:r>
              <w:rPr>
                <w:noProof/>
                <w:webHidden/>
              </w:rPr>
            </w:r>
            <w:r>
              <w:rPr>
                <w:noProof/>
                <w:webHidden/>
              </w:rPr>
              <w:fldChar w:fldCharType="separate"/>
            </w:r>
            <w:r>
              <w:rPr>
                <w:noProof/>
                <w:webHidden/>
              </w:rPr>
              <w:t>1</w:t>
            </w:r>
            <w:r>
              <w:rPr>
                <w:noProof/>
                <w:webHidden/>
              </w:rPr>
              <w:fldChar w:fldCharType="end"/>
            </w:r>
          </w:hyperlink>
        </w:p>
        <w:p w14:paraId="3000F723" w14:textId="274AAD0E" w:rsidR="00655460" w:rsidRDefault="00655460">
          <w:pPr>
            <w:pStyle w:val="TOC2"/>
            <w:tabs>
              <w:tab w:val="right" w:leader="dot" w:pos="8296"/>
            </w:tabs>
            <w:rPr>
              <w:noProof/>
            </w:rPr>
          </w:pPr>
          <w:hyperlink w:anchor="_Toc124422978" w:history="1">
            <w:r w:rsidRPr="000A2CF2">
              <w:rPr>
                <w:rStyle w:val="a3"/>
                <w:noProof/>
              </w:rPr>
              <w:t>1.3 Background of the researcher</w:t>
            </w:r>
            <w:r>
              <w:rPr>
                <w:noProof/>
                <w:webHidden/>
              </w:rPr>
              <w:tab/>
            </w:r>
            <w:r>
              <w:rPr>
                <w:noProof/>
                <w:webHidden/>
              </w:rPr>
              <w:fldChar w:fldCharType="begin"/>
            </w:r>
            <w:r>
              <w:rPr>
                <w:noProof/>
                <w:webHidden/>
              </w:rPr>
              <w:instrText xml:space="preserve"> PAGEREF _Toc124422978 \h </w:instrText>
            </w:r>
            <w:r>
              <w:rPr>
                <w:noProof/>
                <w:webHidden/>
              </w:rPr>
            </w:r>
            <w:r>
              <w:rPr>
                <w:noProof/>
                <w:webHidden/>
              </w:rPr>
              <w:fldChar w:fldCharType="separate"/>
            </w:r>
            <w:r>
              <w:rPr>
                <w:noProof/>
                <w:webHidden/>
              </w:rPr>
              <w:t>1</w:t>
            </w:r>
            <w:r>
              <w:rPr>
                <w:noProof/>
                <w:webHidden/>
              </w:rPr>
              <w:fldChar w:fldCharType="end"/>
            </w:r>
          </w:hyperlink>
        </w:p>
        <w:p w14:paraId="3015D1FB" w14:textId="7D721C29" w:rsidR="00655460" w:rsidRDefault="00655460">
          <w:pPr>
            <w:pStyle w:val="TOC2"/>
            <w:tabs>
              <w:tab w:val="right" w:leader="dot" w:pos="8296"/>
            </w:tabs>
            <w:rPr>
              <w:noProof/>
            </w:rPr>
          </w:pPr>
          <w:hyperlink w:anchor="_Toc124422979" w:history="1">
            <w:r w:rsidRPr="000A2CF2">
              <w:rPr>
                <w:rStyle w:val="a3"/>
                <w:noProof/>
              </w:rPr>
              <w:t>1.4 Aim and objectives</w:t>
            </w:r>
            <w:r>
              <w:rPr>
                <w:noProof/>
                <w:webHidden/>
              </w:rPr>
              <w:tab/>
            </w:r>
            <w:r>
              <w:rPr>
                <w:noProof/>
                <w:webHidden/>
              </w:rPr>
              <w:fldChar w:fldCharType="begin"/>
            </w:r>
            <w:r>
              <w:rPr>
                <w:noProof/>
                <w:webHidden/>
              </w:rPr>
              <w:instrText xml:space="preserve"> PAGEREF _Toc124422979 \h </w:instrText>
            </w:r>
            <w:r>
              <w:rPr>
                <w:noProof/>
                <w:webHidden/>
              </w:rPr>
            </w:r>
            <w:r>
              <w:rPr>
                <w:noProof/>
                <w:webHidden/>
              </w:rPr>
              <w:fldChar w:fldCharType="separate"/>
            </w:r>
            <w:r>
              <w:rPr>
                <w:noProof/>
                <w:webHidden/>
              </w:rPr>
              <w:t>1</w:t>
            </w:r>
            <w:r>
              <w:rPr>
                <w:noProof/>
                <w:webHidden/>
              </w:rPr>
              <w:fldChar w:fldCharType="end"/>
            </w:r>
          </w:hyperlink>
        </w:p>
        <w:p w14:paraId="502562F9" w14:textId="7AD76627" w:rsidR="00655460" w:rsidRDefault="00655460">
          <w:pPr>
            <w:pStyle w:val="TOC2"/>
            <w:tabs>
              <w:tab w:val="right" w:leader="dot" w:pos="8296"/>
            </w:tabs>
            <w:rPr>
              <w:noProof/>
            </w:rPr>
          </w:pPr>
          <w:hyperlink w:anchor="_Toc124422980" w:history="1">
            <w:r w:rsidRPr="000A2CF2">
              <w:rPr>
                <w:rStyle w:val="a3"/>
                <w:noProof/>
              </w:rPr>
              <w:t>1.5 Rationale</w:t>
            </w:r>
            <w:r>
              <w:rPr>
                <w:noProof/>
                <w:webHidden/>
              </w:rPr>
              <w:tab/>
            </w:r>
            <w:r>
              <w:rPr>
                <w:noProof/>
                <w:webHidden/>
              </w:rPr>
              <w:fldChar w:fldCharType="begin"/>
            </w:r>
            <w:r>
              <w:rPr>
                <w:noProof/>
                <w:webHidden/>
              </w:rPr>
              <w:instrText xml:space="preserve"> PAGEREF _Toc124422980 \h </w:instrText>
            </w:r>
            <w:r>
              <w:rPr>
                <w:noProof/>
                <w:webHidden/>
              </w:rPr>
            </w:r>
            <w:r>
              <w:rPr>
                <w:noProof/>
                <w:webHidden/>
              </w:rPr>
              <w:fldChar w:fldCharType="separate"/>
            </w:r>
            <w:r>
              <w:rPr>
                <w:noProof/>
                <w:webHidden/>
              </w:rPr>
              <w:t>2</w:t>
            </w:r>
            <w:r>
              <w:rPr>
                <w:noProof/>
                <w:webHidden/>
              </w:rPr>
              <w:fldChar w:fldCharType="end"/>
            </w:r>
          </w:hyperlink>
        </w:p>
        <w:p w14:paraId="4552CDA9" w14:textId="16CF02EF" w:rsidR="00655460" w:rsidRDefault="00655460">
          <w:pPr>
            <w:pStyle w:val="TOC1"/>
            <w:tabs>
              <w:tab w:val="left" w:pos="440"/>
              <w:tab w:val="right" w:leader="dot" w:pos="8296"/>
            </w:tabs>
            <w:rPr>
              <w:noProof/>
            </w:rPr>
          </w:pPr>
          <w:hyperlink w:anchor="_Toc124422981" w:history="1">
            <w:r w:rsidRPr="000A2CF2">
              <w:rPr>
                <w:rStyle w:val="a3"/>
                <w:noProof/>
              </w:rPr>
              <w:t>2.</w:t>
            </w:r>
            <w:r>
              <w:rPr>
                <w:noProof/>
              </w:rPr>
              <w:tab/>
            </w:r>
            <w:r w:rsidRPr="000A2CF2">
              <w:rPr>
                <w:rStyle w:val="a3"/>
                <w:noProof/>
              </w:rPr>
              <w:t>The conceptual framework and literature Review</w:t>
            </w:r>
            <w:r>
              <w:rPr>
                <w:noProof/>
                <w:webHidden/>
              </w:rPr>
              <w:tab/>
            </w:r>
            <w:r>
              <w:rPr>
                <w:noProof/>
                <w:webHidden/>
              </w:rPr>
              <w:fldChar w:fldCharType="begin"/>
            </w:r>
            <w:r>
              <w:rPr>
                <w:noProof/>
                <w:webHidden/>
              </w:rPr>
              <w:instrText xml:space="preserve"> PAGEREF _Toc124422981 \h </w:instrText>
            </w:r>
            <w:r>
              <w:rPr>
                <w:noProof/>
                <w:webHidden/>
              </w:rPr>
            </w:r>
            <w:r>
              <w:rPr>
                <w:noProof/>
                <w:webHidden/>
              </w:rPr>
              <w:fldChar w:fldCharType="separate"/>
            </w:r>
            <w:r>
              <w:rPr>
                <w:noProof/>
                <w:webHidden/>
              </w:rPr>
              <w:t>3</w:t>
            </w:r>
            <w:r>
              <w:rPr>
                <w:noProof/>
                <w:webHidden/>
              </w:rPr>
              <w:fldChar w:fldCharType="end"/>
            </w:r>
          </w:hyperlink>
        </w:p>
        <w:p w14:paraId="14A8B91E" w14:textId="4D2A5047" w:rsidR="00655460" w:rsidRDefault="00655460">
          <w:pPr>
            <w:pStyle w:val="TOC3"/>
            <w:tabs>
              <w:tab w:val="right" w:leader="dot" w:pos="8296"/>
            </w:tabs>
            <w:rPr>
              <w:noProof/>
            </w:rPr>
          </w:pPr>
          <w:hyperlink w:anchor="_Toc124422982" w:history="1">
            <w:r w:rsidRPr="000A2CF2">
              <w:rPr>
                <w:rStyle w:val="a3"/>
                <w:noProof/>
              </w:rPr>
              <w:t>2.1 Discussion of conceptual framework and theoretical framework</w:t>
            </w:r>
            <w:r>
              <w:rPr>
                <w:noProof/>
                <w:webHidden/>
              </w:rPr>
              <w:tab/>
            </w:r>
            <w:r>
              <w:rPr>
                <w:noProof/>
                <w:webHidden/>
              </w:rPr>
              <w:fldChar w:fldCharType="begin"/>
            </w:r>
            <w:r>
              <w:rPr>
                <w:noProof/>
                <w:webHidden/>
              </w:rPr>
              <w:instrText xml:space="preserve"> PAGEREF _Toc124422982 \h </w:instrText>
            </w:r>
            <w:r>
              <w:rPr>
                <w:noProof/>
                <w:webHidden/>
              </w:rPr>
            </w:r>
            <w:r>
              <w:rPr>
                <w:noProof/>
                <w:webHidden/>
              </w:rPr>
              <w:fldChar w:fldCharType="separate"/>
            </w:r>
            <w:r>
              <w:rPr>
                <w:noProof/>
                <w:webHidden/>
              </w:rPr>
              <w:t>3</w:t>
            </w:r>
            <w:r>
              <w:rPr>
                <w:noProof/>
                <w:webHidden/>
              </w:rPr>
              <w:fldChar w:fldCharType="end"/>
            </w:r>
          </w:hyperlink>
        </w:p>
        <w:p w14:paraId="27D27CE1" w14:textId="3FC41799" w:rsidR="00655460" w:rsidRDefault="00655460">
          <w:pPr>
            <w:pStyle w:val="TOC3"/>
            <w:tabs>
              <w:tab w:val="right" w:leader="dot" w:pos="8296"/>
            </w:tabs>
            <w:rPr>
              <w:noProof/>
            </w:rPr>
          </w:pPr>
          <w:hyperlink w:anchor="_Toc124422983" w:history="1">
            <w:r w:rsidRPr="000A2CF2">
              <w:rPr>
                <w:rStyle w:val="a3"/>
                <w:noProof/>
              </w:rPr>
              <w:t>2.2 The conceptual framework and literature review of this research</w:t>
            </w:r>
            <w:r>
              <w:rPr>
                <w:noProof/>
                <w:webHidden/>
              </w:rPr>
              <w:tab/>
            </w:r>
            <w:r>
              <w:rPr>
                <w:noProof/>
                <w:webHidden/>
              </w:rPr>
              <w:fldChar w:fldCharType="begin"/>
            </w:r>
            <w:r>
              <w:rPr>
                <w:noProof/>
                <w:webHidden/>
              </w:rPr>
              <w:instrText xml:space="preserve"> PAGEREF _Toc124422983 \h </w:instrText>
            </w:r>
            <w:r>
              <w:rPr>
                <w:noProof/>
                <w:webHidden/>
              </w:rPr>
            </w:r>
            <w:r>
              <w:rPr>
                <w:noProof/>
                <w:webHidden/>
              </w:rPr>
              <w:fldChar w:fldCharType="separate"/>
            </w:r>
            <w:r>
              <w:rPr>
                <w:noProof/>
                <w:webHidden/>
              </w:rPr>
              <w:t>4</w:t>
            </w:r>
            <w:r>
              <w:rPr>
                <w:noProof/>
                <w:webHidden/>
              </w:rPr>
              <w:fldChar w:fldCharType="end"/>
            </w:r>
          </w:hyperlink>
        </w:p>
        <w:p w14:paraId="510D9A6E" w14:textId="11BA132C" w:rsidR="00655460" w:rsidRDefault="00655460">
          <w:pPr>
            <w:pStyle w:val="TOC1"/>
            <w:tabs>
              <w:tab w:val="left" w:pos="440"/>
              <w:tab w:val="right" w:leader="dot" w:pos="8296"/>
            </w:tabs>
            <w:rPr>
              <w:noProof/>
            </w:rPr>
          </w:pPr>
          <w:hyperlink w:anchor="_Toc124422984" w:history="1">
            <w:r w:rsidRPr="000A2CF2">
              <w:rPr>
                <w:rStyle w:val="a3"/>
                <w:noProof/>
              </w:rPr>
              <w:t>3.</w:t>
            </w:r>
            <w:r>
              <w:rPr>
                <w:noProof/>
              </w:rPr>
              <w:tab/>
            </w:r>
            <w:r w:rsidRPr="000A2CF2">
              <w:rPr>
                <w:rStyle w:val="a3"/>
                <w:noProof/>
              </w:rPr>
              <w:t>Axiology, ontology, epistemology and paradigm</w:t>
            </w:r>
            <w:r>
              <w:rPr>
                <w:noProof/>
                <w:webHidden/>
              </w:rPr>
              <w:tab/>
            </w:r>
            <w:r>
              <w:rPr>
                <w:noProof/>
                <w:webHidden/>
              </w:rPr>
              <w:fldChar w:fldCharType="begin"/>
            </w:r>
            <w:r>
              <w:rPr>
                <w:noProof/>
                <w:webHidden/>
              </w:rPr>
              <w:instrText xml:space="preserve"> PAGEREF _Toc124422984 \h </w:instrText>
            </w:r>
            <w:r>
              <w:rPr>
                <w:noProof/>
                <w:webHidden/>
              </w:rPr>
            </w:r>
            <w:r>
              <w:rPr>
                <w:noProof/>
                <w:webHidden/>
              </w:rPr>
              <w:fldChar w:fldCharType="separate"/>
            </w:r>
            <w:r>
              <w:rPr>
                <w:noProof/>
                <w:webHidden/>
              </w:rPr>
              <w:t>7</w:t>
            </w:r>
            <w:r>
              <w:rPr>
                <w:noProof/>
                <w:webHidden/>
              </w:rPr>
              <w:fldChar w:fldCharType="end"/>
            </w:r>
          </w:hyperlink>
        </w:p>
        <w:p w14:paraId="11EA4DDF" w14:textId="2E64C5FC" w:rsidR="00655460" w:rsidRDefault="00655460">
          <w:pPr>
            <w:pStyle w:val="TOC1"/>
            <w:tabs>
              <w:tab w:val="left" w:pos="440"/>
              <w:tab w:val="right" w:leader="dot" w:pos="8296"/>
            </w:tabs>
            <w:rPr>
              <w:noProof/>
            </w:rPr>
          </w:pPr>
          <w:hyperlink w:anchor="_Toc124422985" w:history="1">
            <w:r w:rsidRPr="000A2CF2">
              <w:rPr>
                <w:rStyle w:val="a3"/>
                <w:noProof/>
              </w:rPr>
              <w:t>4.</w:t>
            </w:r>
            <w:r>
              <w:rPr>
                <w:noProof/>
              </w:rPr>
              <w:tab/>
            </w:r>
            <w:r w:rsidRPr="000A2CF2">
              <w:rPr>
                <w:rStyle w:val="a3"/>
                <w:noProof/>
              </w:rPr>
              <w:t>Methodology</w:t>
            </w:r>
            <w:r>
              <w:rPr>
                <w:noProof/>
                <w:webHidden/>
              </w:rPr>
              <w:tab/>
            </w:r>
            <w:r>
              <w:rPr>
                <w:noProof/>
                <w:webHidden/>
              </w:rPr>
              <w:fldChar w:fldCharType="begin"/>
            </w:r>
            <w:r>
              <w:rPr>
                <w:noProof/>
                <w:webHidden/>
              </w:rPr>
              <w:instrText xml:space="preserve"> PAGEREF _Toc124422985 \h </w:instrText>
            </w:r>
            <w:r>
              <w:rPr>
                <w:noProof/>
                <w:webHidden/>
              </w:rPr>
            </w:r>
            <w:r>
              <w:rPr>
                <w:noProof/>
                <w:webHidden/>
              </w:rPr>
              <w:fldChar w:fldCharType="separate"/>
            </w:r>
            <w:r>
              <w:rPr>
                <w:noProof/>
                <w:webHidden/>
              </w:rPr>
              <w:t>7</w:t>
            </w:r>
            <w:r>
              <w:rPr>
                <w:noProof/>
                <w:webHidden/>
              </w:rPr>
              <w:fldChar w:fldCharType="end"/>
            </w:r>
          </w:hyperlink>
        </w:p>
        <w:p w14:paraId="64BA2AAB" w14:textId="5A24D0D0" w:rsidR="00655460" w:rsidRDefault="00655460">
          <w:pPr>
            <w:pStyle w:val="TOC2"/>
            <w:tabs>
              <w:tab w:val="right" w:leader="dot" w:pos="8296"/>
            </w:tabs>
            <w:rPr>
              <w:noProof/>
            </w:rPr>
          </w:pPr>
          <w:hyperlink w:anchor="_Toc124422986" w:history="1">
            <w:r w:rsidRPr="000A2CF2">
              <w:rPr>
                <w:rStyle w:val="a3"/>
                <w:noProof/>
              </w:rPr>
              <w:t>4.1 Qualitative vs Quantitative</w:t>
            </w:r>
            <w:r>
              <w:rPr>
                <w:noProof/>
                <w:webHidden/>
              </w:rPr>
              <w:tab/>
            </w:r>
            <w:r>
              <w:rPr>
                <w:noProof/>
                <w:webHidden/>
              </w:rPr>
              <w:fldChar w:fldCharType="begin"/>
            </w:r>
            <w:r>
              <w:rPr>
                <w:noProof/>
                <w:webHidden/>
              </w:rPr>
              <w:instrText xml:space="preserve"> PAGEREF _Toc124422986 \h </w:instrText>
            </w:r>
            <w:r>
              <w:rPr>
                <w:noProof/>
                <w:webHidden/>
              </w:rPr>
            </w:r>
            <w:r>
              <w:rPr>
                <w:noProof/>
                <w:webHidden/>
              </w:rPr>
              <w:fldChar w:fldCharType="separate"/>
            </w:r>
            <w:r>
              <w:rPr>
                <w:noProof/>
                <w:webHidden/>
              </w:rPr>
              <w:t>7</w:t>
            </w:r>
            <w:r>
              <w:rPr>
                <w:noProof/>
                <w:webHidden/>
              </w:rPr>
              <w:fldChar w:fldCharType="end"/>
            </w:r>
          </w:hyperlink>
        </w:p>
        <w:p w14:paraId="5503C6F9" w14:textId="367EE6CF" w:rsidR="00655460" w:rsidRDefault="00655460">
          <w:pPr>
            <w:pStyle w:val="TOC2"/>
            <w:tabs>
              <w:tab w:val="right" w:leader="dot" w:pos="8296"/>
            </w:tabs>
            <w:rPr>
              <w:noProof/>
            </w:rPr>
          </w:pPr>
          <w:hyperlink w:anchor="_Toc124422987" w:history="1">
            <w:r w:rsidRPr="000A2CF2">
              <w:rPr>
                <w:rStyle w:val="a3"/>
                <w:noProof/>
              </w:rPr>
              <w:t>4.2 Selection from five qualitative approaches</w:t>
            </w:r>
            <w:r>
              <w:rPr>
                <w:noProof/>
                <w:webHidden/>
              </w:rPr>
              <w:tab/>
            </w:r>
            <w:r>
              <w:rPr>
                <w:noProof/>
                <w:webHidden/>
              </w:rPr>
              <w:fldChar w:fldCharType="begin"/>
            </w:r>
            <w:r>
              <w:rPr>
                <w:noProof/>
                <w:webHidden/>
              </w:rPr>
              <w:instrText xml:space="preserve"> PAGEREF _Toc124422987 \h </w:instrText>
            </w:r>
            <w:r>
              <w:rPr>
                <w:noProof/>
                <w:webHidden/>
              </w:rPr>
            </w:r>
            <w:r>
              <w:rPr>
                <w:noProof/>
                <w:webHidden/>
              </w:rPr>
              <w:fldChar w:fldCharType="separate"/>
            </w:r>
            <w:r>
              <w:rPr>
                <w:noProof/>
                <w:webHidden/>
              </w:rPr>
              <w:t>9</w:t>
            </w:r>
            <w:r>
              <w:rPr>
                <w:noProof/>
                <w:webHidden/>
              </w:rPr>
              <w:fldChar w:fldCharType="end"/>
            </w:r>
          </w:hyperlink>
        </w:p>
        <w:p w14:paraId="0CF52B08" w14:textId="2EDC53E9" w:rsidR="00655460" w:rsidRDefault="00655460">
          <w:pPr>
            <w:pStyle w:val="TOC2"/>
            <w:tabs>
              <w:tab w:val="right" w:leader="dot" w:pos="8296"/>
            </w:tabs>
            <w:rPr>
              <w:noProof/>
            </w:rPr>
          </w:pPr>
          <w:hyperlink w:anchor="_Toc124422988" w:history="1">
            <w:r w:rsidRPr="000A2CF2">
              <w:rPr>
                <w:rStyle w:val="a3"/>
                <w:noProof/>
              </w:rPr>
              <w:t>4.3 Brief introduction of data collection and analysing in this research</w:t>
            </w:r>
            <w:r>
              <w:rPr>
                <w:noProof/>
                <w:webHidden/>
              </w:rPr>
              <w:tab/>
            </w:r>
            <w:r>
              <w:rPr>
                <w:noProof/>
                <w:webHidden/>
              </w:rPr>
              <w:fldChar w:fldCharType="begin"/>
            </w:r>
            <w:r>
              <w:rPr>
                <w:noProof/>
                <w:webHidden/>
              </w:rPr>
              <w:instrText xml:space="preserve"> PAGEREF _Toc124422988 \h </w:instrText>
            </w:r>
            <w:r>
              <w:rPr>
                <w:noProof/>
                <w:webHidden/>
              </w:rPr>
            </w:r>
            <w:r>
              <w:rPr>
                <w:noProof/>
                <w:webHidden/>
              </w:rPr>
              <w:fldChar w:fldCharType="separate"/>
            </w:r>
            <w:r>
              <w:rPr>
                <w:noProof/>
                <w:webHidden/>
              </w:rPr>
              <w:t>13</w:t>
            </w:r>
            <w:r>
              <w:rPr>
                <w:noProof/>
                <w:webHidden/>
              </w:rPr>
              <w:fldChar w:fldCharType="end"/>
            </w:r>
          </w:hyperlink>
        </w:p>
        <w:p w14:paraId="34808CF3" w14:textId="6FB6911B" w:rsidR="00655460" w:rsidRDefault="00655460">
          <w:pPr>
            <w:pStyle w:val="TOC1"/>
            <w:tabs>
              <w:tab w:val="left" w:pos="440"/>
              <w:tab w:val="right" w:leader="dot" w:pos="8296"/>
            </w:tabs>
            <w:rPr>
              <w:noProof/>
            </w:rPr>
          </w:pPr>
          <w:hyperlink w:anchor="_Toc124422989" w:history="1">
            <w:r w:rsidRPr="000A2CF2">
              <w:rPr>
                <w:rStyle w:val="a3"/>
                <w:noProof/>
              </w:rPr>
              <w:t>5.</w:t>
            </w:r>
            <w:r>
              <w:rPr>
                <w:noProof/>
              </w:rPr>
              <w:tab/>
            </w:r>
            <w:r w:rsidRPr="000A2CF2">
              <w:rPr>
                <w:rStyle w:val="a3"/>
                <w:noProof/>
              </w:rPr>
              <w:t>Validity and reliability</w:t>
            </w:r>
            <w:r>
              <w:rPr>
                <w:noProof/>
                <w:webHidden/>
              </w:rPr>
              <w:tab/>
            </w:r>
            <w:r>
              <w:rPr>
                <w:noProof/>
                <w:webHidden/>
              </w:rPr>
              <w:fldChar w:fldCharType="begin"/>
            </w:r>
            <w:r>
              <w:rPr>
                <w:noProof/>
                <w:webHidden/>
              </w:rPr>
              <w:instrText xml:space="preserve"> PAGEREF _Toc124422989 \h </w:instrText>
            </w:r>
            <w:r>
              <w:rPr>
                <w:noProof/>
                <w:webHidden/>
              </w:rPr>
            </w:r>
            <w:r>
              <w:rPr>
                <w:noProof/>
                <w:webHidden/>
              </w:rPr>
              <w:fldChar w:fldCharType="separate"/>
            </w:r>
            <w:r>
              <w:rPr>
                <w:noProof/>
                <w:webHidden/>
              </w:rPr>
              <w:t>14</w:t>
            </w:r>
            <w:r>
              <w:rPr>
                <w:noProof/>
                <w:webHidden/>
              </w:rPr>
              <w:fldChar w:fldCharType="end"/>
            </w:r>
          </w:hyperlink>
        </w:p>
        <w:p w14:paraId="42AC2536" w14:textId="66ADA149" w:rsidR="00655460" w:rsidRDefault="00655460">
          <w:pPr>
            <w:pStyle w:val="TOC1"/>
            <w:tabs>
              <w:tab w:val="left" w:pos="440"/>
              <w:tab w:val="right" w:leader="dot" w:pos="8296"/>
            </w:tabs>
            <w:rPr>
              <w:noProof/>
            </w:rPr>
          </w:pPr>
          <w:hyperlink w:anchor="_Toc124422990" w:history="1">
            <w:r w:rsidRPr="000A2CF2">
              <w:rPr>
                <w:rStyle w:val="a3"/>
                <w:noProof/>
              </w:rPr>
              <w:t>6.</w:t>
            </w:r>
            <w:r>
              <w:rPr>
                <w:noProof/>
              </w:rPr>
              <w:tab/>
            </w:r>
            <w:r w:rsidRPr="000A2CF2">
              <w:rPr>
                <w:rStyle w:val="a3"/>
                <w:noProof/>
              </w:rPr>
              <w:t>Research ethics</w:t>
            </w:r>
            <w:r>
              <w:rPr>
                <w:noProof/>
                <w:webHidden/>
              </w:rPr>
              <w:tab/>
            </w:r>
            <w:r>
              <w:rPr>
                <w:noProof/>
                <w:webHidden/>
              </w:rPr>
              <w:fldChar w:fldCharType="begin"/>
            </w:r>
            <w:r>
              <w:rPr>
                <w:noProof/>
                <w:webHidden/>
              </w:rPr>
              <w:instrText xml:space="preserve"> PAGEREF _Toc124422990 \h </w:instrText>
            </w:r>
            <w:r>
              <w:rPr>
                <w:noProof/>
                <w:webHidden/>
              </w:rPr>
            </w:r>
            <w:r>
              <w:rPr>
                <w:noProof/>
                <w:webHidden/>
              </w:rPr>
              <w:fldChar w:fldCharType="separate"/>
            </w:r>
            <w:r>
              <w:rPr>
                <w:noProof/>
                <w:webHidden/>
              </w:rPr>
              <w:t>16</w:t>
            </w:r>
            <w:r>
              <w:rPr>
                <w:noProof/>
                <w:webHidden/>
              </w:rPr>
              <w:fldChar w:fldCharType="end"/>
            </w:r>
          </w:hyperlink>
        </w:p>
        <w:p w14:paraId="611C67C6" w14:textId="50480E06" w:rsidR="00655460" w:rsidRDefault="00655460">
          <w:pPr>
            <w:pStyle w:val="TOC1"/>
            <w:tabs>
              <w:tab w:val="left" w:pos="440"/>
              <w:tab w:val="right" w:leader="dot" w:pos="8296"/>
            </w:tabs>
            <w:rPr>
              <w:noProof/>
            </w:rPr>
          </w:pPr>
          <w:hyperlink w:anchor="_Toc124422991" w:history="1">
            <w:r w:rsidRPr="000A2CF2">
              <w:rPr>
                <w:rStyle w:val="a3"/>
                <w:noProof/>
              </w:rPr>
              <w:t>7.</w:t>
            </w:r>
            <w:r>
              <w:rPr>
                <w:noProof/>
              </w:rPr>
              <w:tab/>
            </w:r>
            <w:r w:rsidRPr="000A2CF2">
              <w:rPr>
                <w:rStyle w:val="a3"/>
                <w:noProof/>
              </w:rPr>
              <w:t>Impact of the research</w:t>
            </w:r>
            <w:r>
              <w:rPr>
                <w:noProof/>
                <w:webHidden/>
              </w:rPr>
              <w:tab/>
            </w:r>
            <w:r>
              <w:rPr>
                <w:noProof/>
                <w:webHidden/>
              </w:rPr>
              <w:fldChar w:fldCharType="begin"/>
            </w:r>
            <w:r>
              <w:rPr>
                <w:noProof/>
                <w:webHidden/>
              </w:rPr>
              <w:instrText xml:space="preserve"> PAGEREF _Toc124422991 \h </w:instrText>
            </w:r>
            <w:r>
              <w:rPr>
                <w:noProof/>
                <w:webHidden/>
              </w:rPr>
            </w:r>
            <w:r>
              <w:rPr>
                <w:noProof/>
                <w:webHidden/>
              </w:rPr>
              <w:fldChar w:fldCharType="separate"/>
            </w:r>
            <w:r>
              <w:rPr>
                <w:noProof/>
                <w:webHidden/>
              </w:rPr>
              <w:t>18</w:t>
            </w:r>
            <w:r>
              <w:rPr>
                <w:noProof/>
                <w:webHidden/>
              </w:rPr>
              <w:fldChar w:fldCharType="end"/>
            </w:r>
          </w:hyperlink>
        </w:p>
        <w:p w14:paraId="19C60AFF" w14:textId="30FB605B" w:rsidR="00655460" w:rsidRDefault="00655460">
          <w:pPr>
            <w:pStyle w:val="TOC2"/>
            <w:tabs>
              <w:tab w:val="right" w:leader="dot" w:pos="8296"/>
            </w:tabs>
            <w:rPr>
              <w:noProof/>
            </w:rPr>
          </w:pPr>
          <w:hyperlink w:anchor="_Toc124422992" w:history="1">
            <w:r w:rsidRPr="000A2CF2">
              <w:rPr>
                <w:rStyle w:val="a3"/>
                <w:rFonts w:ascii="Arial" w:hAnsi="Arial" w:cs="Arial"/>
                <w:noProof/>
                <w:shd w:val="clear" w:color="auto" w:fill="FFFFFF"/>
              </w:rPr>
              <w:t>Bibliography</w:t>
            </w:r>
            <w:r>
              <w:rPr>
                <w:noProof/>
                <w:webHidden/>
              </w:rPr>
              <w:tab/>
            </w:r>
            <w:r>
              <w:rPr>
                <w:noProof/>
                <w:webHidden/>
              </w:rPr>
              <w:fldChar w:fldCharType="begin"/>
            </w:r>
            <w:r>
              <w:rPr>
                <w:noProof/>
                <w:webHidden/>
              </w:rPr>
              <w:instrText xml:space="preserve"> PAGEREF _Toc124422992 \h </w:instrText>
            </w:r>
            <w:r>
              <w:rPr>
                <w:noProof/>
                <w:webHidden/>
              </w:rPr>
            </w:r>
            <w:r>
              <w:rPr>
                <w:noProof/>
                <w:webHidden/>
              </w:rPr>
              <w:fldChar w:fldCharType="separate"/>
            </w:r>
            <w:r>
              <w:rPr>
                <w:noProof/>
                <w:webHidden/>
              </w:rPr>
              <w:t>20</w:t>
            </w:r>
            <w:r>
              <w:rPr>
                <w:noProof/>
                <w:webHidden/>
              </w:rPr>
              <w:fldChar w:fldCharType="end"/>
            </w:r>
          </w:hyperlink>
        </w:p>
        <w:p w14:paraId="1FDDBC67" w14:textId="5DA099F9" w:rsidR="00F90CE0" w:rsidRDefault="00F90CE0">
          <w:r>
            <w:rPr>
              <w:b/>
              <w:bCs/>
              <w:lang w:val="zh-CN"/>
            </w:rPr>
            <w:fldChar w:fldCharType="end"/>
          </w:r>
        </w:p>
      </w:sdtContent>
    </w:sdt>
    <w:p w14:paraId="2EECF719" w14:textId="7BD2A236" w:rsidR="00F90CE0" w:rsidRDefault="00F90CE0" w:rsidP="00E44F38">
      <w:pPr>
        <w:jc w:val="center"/>
        <w:rPr>
          <w:sz w:val="28"/>
          <w:szCs w:val="28"/>
        </w:rPr>
      </w:pPr>
    </w:p>
    <w:p w14:paraId="5AA5E588" w14:textId="29636C3F" w:rsidR="00F90CE0" w:rsidRDefault="00F90CE0" w:rsidP="00E44F38">
      <w:pPr>
        <w:jc w:val="center"/>
        <w:rPr>
          <w:sz w:val="28"/>
          <w:szCs w:val="28"/>
        </w:rPr>
      </w:pPr>
    </w:p>
    <w:p w14:paraId="663C7E8E" w14:textId="39D00D57" w:rsidR="00F90CE0" w:rsidRDefault="00F90CE0" w:rsidP="00E44F38">
      <w:pPr>
        <w:jc w:val="center"/>
        <w:rPr>
          <w:sz w:val="28"/>
          <w:szCs w:val="28"/>
        </w:rPr>
      </w:pPr>
    </w:p>
    <w:p w14:paraId="7D9C90D4" w14:textId="7A6D0721" w:rsidR="00F90CE0" w:rsidRDefault="00F90CE0" w:rsidP="00E44F38">
      <w:pPr>
        <w:jc w:val="center"/>
        <w:rPr>
          <w:sz w:val="28"/>
          <w:szCs w:val="28"/>
        </w:rPr>
      </w:pPr>
    </w:p>
    <w:p w14:paraId="43B76F67" w14:textId="77777777" w:rsidR="00F90CE0" w:rsidRDefault="00F90CE0" w:rsidP="00E44F38">
      <w:pPr>
        <w:jc w:val="center"/>
        <w:rPr>
          <w:sz w:val="28"/>
          <w:szCs w:val="28"/>
        </w:rPr>
      </w:pPr>
    </w:p>
    <w:p w14:paraId="3815BB4D" w14:textId="77777777" w:rsidR="005E76BF" w:rsidRDefault="005E76BF" w:rsidP="00E44F38">
      <w:pPr>
        <w:jc w:val="center"/>
        <w:rPr>
          <w:sz w:val="28"/>
          <w:szCs w:val="28"/>
        </w:rPr>
        <w:sectPr w:rsidR="005E76BF" w:rsidSect="005E76BF">
          <w:pgSz w:w="11906" w:h="16838"/>
          <w:pgMar w:top="1440" w:right="1800" w:bottom="1440" w:left="1800" w:header="851" w:footer="992" w:gutter="0"/>
          <w:pgNumType w:fmt="upperRoman" w:start="1"/>
          <w:cols w:space="425"/>
          <w:docGrid w:linePitch="360"/>
        </w:sectPr>
      </w:pPr>
    </w:p>
    <w:p w14:paraId="7AC8AF8C" w14:textId="51FF1CAB" w:rsidR="00F90CE0" w:rsidRDefault="00F90CE0" w:rsidP="00E44F38">
      <w:pPr>
        <w:jc w:val="center"/>
        <w:rPr>
          <w:sz w:val="28"/>
          <w:szCs w:val="28"/>
        </w:rPr>
      </w:pPr>
    </w:p>
    <w:p w14:paraId="42FBB223" w14:textId="314F5D69" w:rsidR="00F90CE0" w:rsidRDefault="00F90CE0" w:rsidP="00E44F38">
      <w:pPr>
        <w:jc w:val="center"/>
        <w:rPr>
          <w:sz w:val="28"/>
          <w:szCs w:val="28"/>
        </w:rPr>
      </w:pPr>
    </w:p>
    <w:p w14:paraId="3E771F2B" w14:textId="0D27EE17" w:rsidR="00012893" w:rsidRDefault="00F103F9" w:rsidP="00341EAE">
      <w:pPr>
        <w:pStyle w:val="1"/>
        <w:numPr>
          <w:ilvl w:val="0"/>
          <w:numId w:val="7"/>
        </w:numPr>
      </w:pPr>
      <w:bookmarkStart w:id="0" w:name="_Toc121692844"/>
      <w:bookmarkStart w:id="1" w:name="_Toc124422976"/>
      <w:r>
        <w:t>Introduction</w:t>
      </w:r>
      <w:bookmarkEnd w:id="0"/>
      <w:bookmarkEnd w:id="1"/>
    </w:p>
    <w:p w14:paraId="27B64547" w14:textId="77777777" w:rsidR="00B87D81" w:rsidRDefault="00B87D81" w:rsidP="00E44F38">
      <w:pPr>
        <w:pStyle w:val="2"/>
      </w:pPr>
    </w:p>
    <w:p w14:paraId="6FBE0ADB" w14:textId="3987BEFA" w:rsidR="00E44F38" w:rsidRPr="00E44F38" w:rsidRDefault="00E44F38" w:rsidP="00E44F38">
      <w:pPr>
        <w:pStyle w:val="2"/>
      </w:pPr>
      <w:bookmarkStart w:id="2" w:name="_Toc121692845"/>
      <w:bookmarkStart w:id="3" w:name="_Toc124422977"/>
      <w:r>
        <w:t>1.1 Background of the topic</w:t>
      </w:r>
      <w:bookmarkEnd w:id="2"/>
      <w:bookmarkEnd w:id="3"/>
    </w:p>
    <w:p w14:paraId="77DECDBD" w14:textId="77777777" w:rsidR="00B87D81" w:rsidRDefault="00B87D81"/>
    <w:p w14:paraId="60347880" w14:textId="183C6C78" w:rsidR="00F103F9" w:rsidRDefault="00F103F9">
      <w:r>
        <w:t xml:space="preserve">This </w:t>
      </w:r>
      <w:r w:rsidR="007F3AEF">
        <w:t>research</w:t>
      </w:r>
      <w:r>
        <w:t xml:space="preserve"> discusses the topic of real estate </w:t>
      </w:r>
      <w:r w:rsidR="00D14A43">
        <w:t>brokers’ professional identity</w:t>
      </w:r>
      <w:r>
        <w:t xml:space="preserve"> in China. </w:t>
      </w:r>
      <w:r w:rsidR="00AA667E" w:rsidRPr="00AA667E">
        <w:t xml:space="preserve">Maxwell (2020, p.40) defines the research problem as </w:t>
      </w:r>
      <w:r w:rsidR="005206FE">
        <w:t>a</w:t>
      </w:r>
      <w:r w:rsidR="00AA667E" w:rsidRPr="00AA667E">
        <w:t xml:space="preserve"> </w:t>
      </w:r>
      <w:r w:rsidR="005206FE">
        <w:t>vital</w:t>
      </w:r>
      <w:r w:rsidR="00AA667E" w:rsidRPr="00AA667E">
        <w:t xml:space="preserve"> part of the planning study. </w:t>
      </w:r>
      <w:r w:rsidR="00F465F2">
        <w:t xml:space="preserve">The real estate brokers in this research are </w:t>
      </w:r>
      <w:r w:rsidR="00637F3B">
        <w:t>professionals</w:t>
      </w:r>
      <w:r w:rsidR="00F465F2">
        <w:t xml:space="preserve"> who work as middlemen to process </w:t>
      </w:r>
      <w:r w:rsidR="00341EAE">
        <w:t>property transactions</w:t>
      </w:r>
      <w:r w:rsidR="00F465F2">
        <w:t xml:space="preserve"> in China. </w:t>
      </w:r>
      <w:r>
        <w:t>The research aims to understand the professional identity of Chinese real estate brokers</w:t>
      </w:r>
      <w:r w:rsidR="00B5259B">
        <w:rPr>
          <w:rFonts w:hint="eastAsia"/>
        </w:rPr>
        <w:t>,</w:t>
      </w:r>
      <w:r w:rsidR="00B5259B">
        <w:t xml:space="preserve"> </w:t>
      </w:r>
      <w:r w:rsidR="005206FE" w:rsidRPr="005206FE">
        <w:t>describe the essentials of this group’s professional identity, and</w:t>
      </w:r>
      <w:r>
        <w:t xml:space="preserve"> </w:t>
      </w:r>
      <w:r w:rsidR="00CB5B5D">
        <w:t>determine</w:t>
      </w:r>
      <w:r>
        <w:t xml:space="preserve"> the relationship between </w:t>
      </w:r>
      <w:r w:rsidR="005206FE">
        <w:t>critical</w:t>
      </w:r>
      <w:r>
        <w:t xml:space="preserve"> factors and their professional identity. Then try to make suggestions.</w:t>
      </w:r>
      <w:r w:rsidR="00FB6310">
        <w:t xml:space="preserve"> The rationale </w:t>
      </w:r>
      <w:r w:rsidR="007A7464">
        <w:t xml:space="preserve">will </w:t>
      </w:r>
      <w:r w:rsidR="005534F4">
        <w:t>address</w:t>
      </w:r>
      <w:r w:rsidR="00FB6310">
        <w:t xml:space="preserve"> in </w:t>
      </w:r>
      <w:r w:rsidR="007A7464">
        <w:t xml:space="preserve">the </w:t>
      </w:r>
      <w:r w:rsidR="00FB6310">
        <w:t>latter contents.</w:t>
      </w:r>
    </w:p>
    <w:p w14:paraId="0221DD24" w14:textId="682D5437" w:rsidR="005B1B8A" w:rsidRDefault="005B1B8A"/>
    <w:p w14:paraId="6A323907" w14:textId="23C2A7BF" w:rsidR="009F0432" w:rsidRDefault="009F0432" w:rsidP="003F7D54">
      <w:pPr>
        <w:jc w:val="left"/>
      </w:pPr>
    </w:p>
    <w:p w14:paraId="7DAA1AEE" w14:textId="7B4AC42E" w:rsidR="009F0432" w:rsidRDefault="009F0432" w:rsidP="009F0432">
      <w:pPr>
        <w:pStyle w:val="2"/>
      </w:pPr>
      <w:bookmarkStart w:id="4" w:name="_Toc121692846"/>
      <w:bookmarkStart w:id="5" w:name="_Toc124422978"/>
      <w:r>
        <w:t>1.3 Background of the researcher</w:t>
      </w:r>
      <w:bookmarkEnd w:id="4"/>
      <w:bookmarkEnd w:id="5"/>
    </w:p>
    <w:p w14:paraId="1494EC15" w14:textId="77777777" w:rsidR="00B87D81" w:rsidRDefault="00B87D81" w:rsidP="009F0432"/>
    <w:p w14:paraId="4F3AC40E" w14:textId="56AB8DAE" w:rsidR="009F0432" w:rsidRDefault="00514B4A" w:rsidP="009F0432">
      <w:r>
        <w:t xml:space="preserve">The </w:t>
      </w:r>
      <w:r w:rsidRPr="00514B4A">
        <w:t>researcher's background will create bias in research, and the researcher must</w:t>
      </w:r>
      <w:r>
        <w:t xml:space="preserve"> deal with the bias problem throughout the whole process of the study. </w:t>
      </w:r>
      <w:r w:rsidR="009F0432">
        <w:t xml:space="preserve">The researcher of this </w:t>
      </w:r>
      <w:r w:rsidR="00F05CAA">
        <w:t>topic</w:t>
      </w:r>
      <w:r w:rsidR="009F0432">
        <w:t xml:space="preserve"> is an early thirty age male married doctorate student studying in the UK. </w:t>
      </w:r>
      <w:r w:rsidR="00F05CAA">
        <w:t>This researcher</w:t>
      </w:r>
      <w:r w:rsidR="00CB5B5D">
        <w:t xml:space="preserve"> received</w:t>
      </w:r>
      <w:r w:rsidR="009F0432">
        <w:t xml:space="preserve"> an undergraduate degree in China and a master’s degree at the Queen Mary University of London</w:t>
      </w:r>
      <w:r w:rsidR="00CB5B5D">
        <w:t>,</w:t>
      </w:r>
      <w:r w:rsidR="009F0432">
        <w:t xml:space="preserve"> majoring in investment and finance. The researcher </w:t>
      </w:r>
      <w:r w:rsidR="00FB4CD4" w:rsidRPr="00FB4CD4">
        <w:t>worked as a banking manager for three years, as China’s state-owned developer’s</w:t>
      </w:r>
      <w:r w:rsidR="009C01CE">
        <w:t xml:space="preserve"> financing</w:t>
      </w:r>
      <w:r w:rsidR="00FB4CD4" w:rsidRPr="00FB4CD4">
        <w:t xml:space="preserve"> manager for three years and </w:t>
      </w:r>
      <w:r w:rsidR="00FB4CD4">
        <w:t xml:space="preserve">as a </w:t>
      </w:r>
      <w:r w:rsidR="009F0432">
        <w:t xml:space="preserve">college lecturer for three years. </w:t>
      </w:r>
      <w:r w:rsidR="00CB5B5D">
        <w:t>The</w:t>
      </w:r>
      <w:r w:rsidR="009F0432">
        <w:t xml:space="preserve"> researcher has deep relations with many kinds of real estate brokers due to both business and </w:t>
      </w:r>
      <w:r w:rsidR="00CB5B5D">
        <w:t>personal</w:t>
      </w:r>
      <w:r w:rsidR="009F0432">
        <w:t xml:space="preserve"> reasons.</w:t>
      </w:r>
    </w:p>
    <w:p w14:paraId="402D5D95" w14:textId="32DD9126" w:rsidR="00E44F38" w:rsidRDefault="00E44F38" w:rsidP="003F7D54">
      <w:pPr>
        <w:jc w:val="left"/>
      </w:pPr>
    </w:p>
    <w:p w14:paraId="590354F1" w14:textId="69E4B1AD" w:rsidR="006655E0" w:rsidRDefault="006655E0" w:rsidP="006655E0">
      <w:pPr>
        <w:pStyle w:val="2"/>
      </w:pPr>
      <w:bookmarkStart w:id="6" w:name="_Toc121692847"/>
      <w:bookmarkStart w:id="7" w:name="_Toc124422979"/>
      <w:r>
        <w:t>1.4 Aim and objectives</w:t>
      </w:r>
      <w:bookmarkEnd w:id="6"/>
      <w:bookmarkEnd w:id="7"/>
    </w:p>
    <w:p w14:paraId="6FDE826E" w14:textId="77777777" w:rsidR="006655E0" w:rsidRDefault="006655E0" w:rsidP="006655E0"/>
    <w:p w14:paraId="463EB0D8" w14:textId="77777777" w:rsidR="006655E0" w:rsidRDefault="006655E0" w:rsidP="006655E0">
      <w:r>
        <w:t xml:space="preserve">This research aims to understand </w:t>
      </w:r>
      <w:r w:rsidRPr="00CB5B5D">
        <w:t>the critical factors’ impact on Chinese real estate brokers' professional identity</w:t>
      </w:r>
      <w:r>
        <w:t>.</w:t>
      </w:r>
    </w:p>
    <w:p w14:paraId="6E13241C" w14:textId="435B0B01" w:rsidR="006655E0" w:rsidRDefault="006655E0" w:rsidP="006655E0">
      <w:r>
        <w:t xml:space="preserve">The study searches for the key </w:t>
      </w:r>
      <w:r w:rsidR="00F465F2">
        <w:t>elements</w:t>
      </w:r>
      <w:r w:rsidR="00850EEF">
        <w:t xml:space="preserve"> of the professional identity</w:t>
      </w:r>
      <w:r>
        <w:t xml:space="preserve"> </w:t>
      </w:r>
      <w:r w:rsidR="00850EEF">
        <w:t>of</w:t>
      </w:r>
      <w:r>
        <w:t xml:space="preserve"> the real estate brokers group.</w:t>
      </w:r>
    </w:p>
    <w:p w14:paraId="6F5D379C" w14:textId="2D0694C8" w:rsidR="006655E0" w:rsidRDefault="006655E0" w:rsidP="006655E0">
      <w:r>
        <w:t xml:space="preserve">The research evaluates </w:t>
      </w:r>
      <w:r w:rsidRPr="007F3AEF">
        <w:t>real estate brokers' professional identity and how it impacts</w:t>
      </w:r>
      <w:r>
        <w:t xml:space="preserve"> their </w:t>
      </w:r>
      <w:r>
        <w:lastRenderedPageBreak/>
        <w:t>job performance.</w:t>
      </w:r>
    </w:p>
    <w:p w14:paraId="70867539" w14:textId="56C54066" w:rsidR="005570FB" w:rsidRDefault="005570FB" w:rsidP="006655E0">
      <w:r>
        <w:t xml:space="preserve">The research seeks to find the impact of </w:t>
      </w:r>
      <w:r w:rsidR="004F74C4">
        <w:t>brokers’</w:t>
      </w:r>
      <w:r>
        <w:t xml:space="preserve"> professional identity and how it </w:t>
      </w:r>
      <w:r w:rsidR="004F74C4">
        <w:t>affects</w:t>
      </w:r>
      <w:r>
        <w:t xml:space="preserve"> the job turnover of property agent companies.</w:t>
      </w:r>
    </w:p>
    <w:p w14:paraId="662B5C2C" w14:textId="77777777" w:rsidR="006655E0" w:rsidRDefault="006655E0" w:rsidP="006655E0">
      <w:r>
        <w:t>The study explores the relationship between the different management styles of real estate companies and the level of employee brokers’ professional identity.</w:t>
      </w:r>
    </w:p>
    <w:p w14:paraId="287BF19B" w14:textId="70716F9F" w:rsidR="006655E0" w:rsidRDefault="006655E0" w:rsidP="006655E0">
      <w:r>
        <w:t xml:space="preserve">The research </w:t>
      </w:r>
      <w:r w:rsidR="000946E1">
        <w:t xml:space="preserve">will </w:t>
      </w:r>
      <w:r w:rsidR="00A46216">
        <w:t>suggest increasing</w:t>
      </w:r>
      <w:r>
        <w:t xml:space="preserve"> </w:t>
      </w:r>
      <w:r w:rsidRPr="00AC730D">
        <w:t>real estate brokers' professional identity in</w:t>
      </w:r>
      <w:r>
        <w:t xml:space="preserve"> China.</w:t>
      </w:r>
    </w:p>
    <w:p w14:paraId="17454F63" w14:textId="77777777" w:rsidR="006655E0" w:rsidRDefault="006655E0" w:rsidP="003F7D54">
      <w:pPr>
        <w:jc w:val="left"/>
      </w:pPr>
    </w:p>
    <w:p w14:paraId="6B0A00B2" w14:textId="45726660" w:rsidR="00E44F38" w:rsidRDefault="00E44F38" w:rsidP="006655E0">
      <w:pPr>
        <w:pStyle w:val="2"/>
      </w:pPr>
      <w:bookmarkStart w:id="8" w:name="_Toc121692848"/>
      <w:bookmarkStart w:id="9" w:name="_Toc124422980"/>
      <w:r>
        <w:t>1.</w:t>
      </w:r>
      <w:r w:rsidR="006655E0">
        <w:t>5</w:t>
      </w:r>
      <w:r>
        <w:t xml:space="preserve"> Rationale</w:t>
      </w:r>
      <w:bookmarkEnd w:id="8"/>
      <w:bookmarkEnd w:id="9"/>
    </w:p>
    <w:p w14:paraId="1E5C61AB" w14:textId="77777777" w:rsidR="00B87D81" w:rsidRDefault="00B87D81" w:rsidP="009F0432">
      <w:pPr>
        <w:jc w:val="left"/>
      </w:pPr>
    </w:p>
    <w:p w14:paraId="794BC65C" w14:textId="1F3401B6" w:rsidR="00F90CE0" w:rsidRDefault="009F0432" w:rsidP="006655E0">
      <w:pPr>
        <w:jc w:val="left"/>
      </w:pPr>
      <w:r>
        <w:t>E</w:t>
      </w:r>
      <w:r w:rsidR="009D50BE" w:rsidRPr="009D50BE">
        <w:t xml:space="preserve">stimates </w:t>
      </w:r>
      <w:r>
        <w:t>range</w:t>
      </w:r>
      <w:r w:rsidR="009D50BE" w:rsidRPr="009D50BE">
        <w:t xml:space="preserve"> from $2.4 trillion for the new-home </w:t>
      </w:r>
      <w:hyperlink r:id="rId10" w:tgtFrame="_blank" w:tooltip="China Rolls Out Property Policies Across Nation to Fix Slump (3)" w:history="1">
        <w:r w:rsidR="009D50BE" w:rsidRPr="009D50BE">
          <w:t>market</w:t>
        </w:r>
      </w:hyperlink>
      <w:r w:rsidR="009D50BE" w:rsidRPr="009D50BE">
        <w:t> to $52 trillion for homes and existing </w:t>
      </w:r>
      <w:hyperlink r:id="rId11" w:tgtFrame="_blank" w:tooltip="Link to AmCham report" w:history="1">
        <w:r w:rsidR="009D50BE" w:rsidRPr="009D50BE">
          <w:t>inventory</w:t>
        </w:r>
      </w:hyperlink>
      <w:r w:rsidR="009D50BE">
        <w:t>(Bloomberg, 2022), t</w:t>
      </w:r>
      <w:r w:rsidR="003F7D54">
        <w:t xml:space="preserve">he real estate market is large and significant in China, while </w:t>
      </w:r>
      <w:r w:rsidR="005206FE" w:rsidRPr="005206FE">
        <w:t>the real estate broker is a low entry-level occupation</w:t>
      </w:r>
      <w:r w:rsidR="003F7D54">
        <w:t xml:space="preserve">. </w:t>
      </w:r>
      <w:r w:rsidR="00844C7E">
        <w:t xml:space="preserve">It is statistically difficult to </w:t>
      </w:r>
      <w:r w:rsidR="00054571">
        <w:t>calculate</w:t>
      </w:r>
      <w:r w:rsidR="00844C7E">
        <w:t xml:space="preserve"> the total number </w:t>
      </w:r>
      <w:r w:rsidR="00054571">
        <w:t xml:space="preserve">of </w:t>
      </w:r>
      <w:r w:rsidR="00454815">
        <w:t xml:space="preserve">those </w:t>
      </w:r>
      <w:r w:rsidR="00844C7E">
        <w:t xml:space="preserve">who work as property brokers </w:t>
      </w:r>
      <w:r w:rsidR="000965D4" w:rsidRPr="000965D4">
        <w:t xml:space="preserve">because there are significantly large </w:t>
      </w:r>
      <w:r w:rsidR="00454815">
        <w:t>numbers</w:t>
      </w:r>
      <w:r w:rsidR="000965D4" w:rsidRPr="000965D4">
        <w:t xml:space="preserve"> </w:t>
      </w:r>
      <w:r w:rsidR="00454815">
        <w:t xml:space="preserve">of </w:t>
      </w:r>
      <w:r w:rsidR="000965D4" w:rsidRPr="000965D4">
        <w:t xml:space="preserve">privately </w:t>
      </w:r>
      <w:r w:rsidR="00454815">
        <w:t>run</w:t>
      </w:r>
      <w:r w:rsidR="000965D4" w:rsidRPr="000965D4">
        <w:t xml:space="preserve"> property agents with</w:t>
      </w:r>
      <w:r w:rsidR="00844C7E">
        <w:t xml:space="preserve"> a very high job turnover.</w:t>
      </w:r>
      <w:r w:rsidR="00E26C44">
        <w:t xml:space="preserve"> </w:t>
      </w:r>
      <w:r w:rsidR="00E26C44" w:rsidRPr="00E26C44">
        <w:t>Latham (2017) mentions that several attempts at compulsory licensing in the US have failed due to the low barrier to entry for real estate agents, which in turn was intended to enhance the professional identity of the industry.</w:t>
      </w:r>
      <w:r w:rsidR="00844C7E">
        <w:t xml:space="preserve"> In addition, </w:t>
      </w:r>
      <w:r w:rsidR="00054571">
        <w:t xml:space="preserve">the </w:t>
      </w:r>
      <w:r w:rsidR="00844C7E">
        <w:t xml:space="preserve">Chinese official authority </w:t>
      </w:r>
      <w:r w:rsidR="00054571">
        <w:t xml:space="preserve">does not consider this industry a significant sector, so the official statistical report never announces the total number of this sector’s employees. However, multi-Chinese major financial media claim </w:t>
      </w:r>
      <w:r w:rsidR="000965D4">
        <w:t xml:space="preserve">that </w:t>
      </w:r>
      <w:r w:rsidR="000965D4" w:rsidRPr="000965D4">
        <w:t xml:space="preserve">around two million full-time individuals </w:t>
      </w:r>
      <w:r w:rsidR="00454815">
        <w:t>worked</w:t>
      </w:r>
      <w:r w:rsidR="00054571">
        <w:t xml:space="preserve"> as real estate brokers in China in the second half of 2021.</w:t>
      </w:r>
      <w:r w:rsidR="00844C7E">
        <w:t xml:space="preserve"> </w:t>
      </w:r>
      <w:r w:rsidR="003F7D54">
        <w:t>The Chin</w:t>
      </w:r>
      <w:r w:rsidR="008E3E4F">
        <w:t>ese</w:t>
      </w:r>
      <w:r w:rsidR="003F7D54">
        <w:t xml:space="preserve"> society </w:t>
      </w:r>
      <w:r w:rsidR="008E3E4F">
        <w:t>regards</w:t>
      </w:r>
      <w:r w:rsidR="003F7D54">
        <w:t xml:space="preserve"> this job as labelled low social status </w:t>
      </w:r>
      <w:r w:rsidR="00614571">
        <w:t>but</w:t>
      </w:r>
      <w:r w:rsidR="003F7D54">
        <w:t xml:space="preserve"> professional. </w:t>
      </w:r>
      <w:r w:rsidR="002C446F">
        <w:t>On the one hand, society perceives the profession as low-end, barrier-</w:t>
      </w:r>
      <w:r>
        <w:t>free,</w:t>
      </w:r>
      <w:r w:rsidR="002C446F">
        <w:t xml:space="preserve"> and easy to engage in; on the other hand, </w:t>
      </w:r>
      <w:r w:rsidR="005206FE">
        <w:t xml:space="preserve">the </w:t>
      </w:r>
      <w:r w:rsidR="00951045">
        <w:t>property market</w:t>
      </w:r>
      <w:r w:rsidR="002C446F">
        <w:t xml:space="preserve"> relies heavily on the </w:t>
      </w:r>
      <w:r w:rsidR="00B136BF">
        <w:t>real estate brokers’</w:t>
      </w:r>
      <w:r w:rsidR="002C446F">
        <w:t xml:space="preserve"> </w:t>
      </w:r>
      <w:r w:rsidR="005206FE">
        <w:t>job services</w:t>
      </w:r>
      <w:r w:rsidR="002C446F">
        <w:t>, as real estate has a significant wealth effect in China</w:t>
      </w:r>
      <w:r w:rsidR="005206FE" w:rsidRPr="005206FE">
        <w:t>. Real estate brokers must be relied upon to carry out real estate transactions because the process is cumbersome and complex. Real</w:t>
      </w:r>
      <w:r w:rsidR="002C446F">
        <w:t xml:space="preserve"> estate brokers in China take on much</w:t>
      </w:r>
      <w:r w:rsidR="00544BFD">
        <w:t xml:space="preserve"> more</w:t>
      </w:r>
      <w:r w:rsidR="002C446F">
        <w:t xml:space="preserve"> of the role that real estate solicitors </w:t>
      </w:r>
      <w:r w:rsidR="005206FE">
        <w:t>play</w:t>
      </w:r>
      <w:r w:rsidR="002C446F">
        <w:t xml:space="preserve"> in the UK. </w:t>
      </w:r>
      <w:r w:rsidR="00101DE8" w:rsidRPr="00101DE8">
        <w:t xml:space="preserve">More and more prestigious university </w:t>
      </w:r>
      <w:r w:rsidR="008E3E4F">
        <w:t xml:space="preserve">graduate </w:t>
      </w:r>
      <w:r w:rsidR="00101DE8" w:rsidRPr="00101DE8">
        <w:t>students are joining the workforce along with a continuing wave of rapid job changes</w:t>
      </w:r>
      <w:r w:rsidR="00101DE8">
        <w:t>.</w:t>
      </w:r>
      <w:r>
        <w:t xml:space="preserve"> </w:t>
      </w:r>
      <w:r w:rsidR="00F575C3">
        <w:t xml:space="preserve">Professional identity </w:t>
      </w:r>
      <w:r>
        <w:t xml:space="preserve">Relating </w:t>
      </w:r>
      <w:r w:rsidR="00F575C3">
        <w:t>s</w:t>
      </w:r>
      <w:r>
        <w:t>cholars focus on</w:t>
      </w:r>
      <w:r w:rsidR="00F575C3">
        <w:t xml:space="preserve"> two extreme parts in </w:t>
      </w:r>
      <w:r w:rsidR="001B5199">
        <w:t>occupations:</w:t>
      </w:r>
      <w:r w:rsidR="00F575C3">
        <w:t xml:space="preserve"> </w:t>
      </w:r>
      <w:r>
        <w:t xml:space="preserve">highly skilled professionals such as teachers, doctors, editors </w:t>
      </w:r>
      <w:r w:rsidR="00F575C3">
        <w:t>or</w:t>
      </w:r>
      <w:r>
        <w:t xml:space="preserve"> ‘dirty job’ workers. Dirty job </w:t>
      </w:r>
      <w:r w:rsidRPr="00686404">
        <w:t>refers to the fact that some occupations are stereotyped and prejudiced by the public due to their mainly physical work content and relatively "dirty" environment</w:t>
      </w:r>
      <w:r w:rsidR="00F575C3">
        <w:t>;</w:t>
      </w:r>
      <w:r w:rsidRPr="00686404">
        <w:t xml:space="preserve"> </w:t>
      </w:r>
      <w:r w:rsidR="00F575C3">
        <w:t>t</w:t>
      </w:r>
      <w:r w:rsidRPr="00686404">
        <w:t xml:space="preserve">he </w:t>
      </w:r>
      <w:r w:rsidRPr="005206FE">
        <w:t>perceived stigma is the overall degree of negative public perception of the job</w:t>
      </w:r>
      <w:r w:rsidRPr="00686404">
        <w:t>.</w:t>
      </w:r>
      <w:r>
        <w:t xml:space="preserve"> (Zhu, Wang, and Ouyang 2022). However, real estate brokers are missing in this research field.</w:t>
      </w:r>
      <w:r w:rsidR="00F120F3">
        <w:t xml:space="preserve"> Property brokers are a </w:t>
      </w:r>
      <w:r w:rsidR="004F74C4">
        <w:t>sizeable</w:t>
      </w:r>
      <w:r w:rsidR="00F120F3">
        <w:t xml:space="preserve"> occupational group</w:t>
      </w:r>
      <w:r w:rsidR="001B5199">
        <w:t xml:space="preserve"> with diverse backgrounds employees</w:t>
      </w:r>
      <w:r w:rsidR="00F120F3">
        <w:t>; researchers should take this group into the study.</w:t>
      </w:r>
      <w:r>
        <w:t xml:space="preserve"> </w:t>
      </w:r>
      <w:r w:rsidR="00CB5B5D">
        <w:t>This creates a gap for the researcher to apply other occupations’ professional identity research paradigms and methods to real estate brokers in China.</w:t>
      </w:r>
      <w:r w:rsidR="004233FB">
        <w:t xml:space="preserve"> If this research seeks out the key factors </w:t>
      </w:r>
      <w:r w:rsidR="004233FB">
        <w:lastRenderedPageBreak/>
        <w:t>significantly affecting the professional identity of property brokers in China, the researcher would be able to make some suggestions</w:t>
      </w:r>
      <w:r w:rsidR="009810F7">
        <w:t>,</w:t>
      </w:r>
      <w:r w:rsidR="004233FB">
        <w:t xml:space="preserve"> both </w:t>
      </w:r>
      <w:r w:rsidR="00F90CE0">
        <w:t>regarding</w:t>
      </w:r>
      <w:r w:rsidR="004233FB">
        <w:t xml:space="preserve"> </w:t>
      </w:r>
      <w:r w:rsidR="009810F7">
        <w:t xml:space="preserve">the </w:t>
      </w:r>
      <w:r w:rsidR="004233FB">
        <w:t xml:space="preserve">individual level and agent company management level, to increase this professional group’s professional identity which could benefit not only the occupation but also </w:t>
      </w:r>
      <w:r w:rsidR="009810F7">
        <w:t>beneficial</w:t>
      </w:r>
      <w:r w:rsidR="004233FB">
        <w:t xml:space="preserve"> to the whole real estate</w:t>
      </w:r>
      <w:r w:rsidR="00F70105">
        <w:t xml:space="preserve"> </w:t>
      </w:r>
      <w:r w:rsidR="0011648A">
        <w:t>agency</w:t>
      </w:r>
      <w:r w:rsidR="004233FB">
        <w:t xml:space="preserve"> industry in China.</w:t>
      </w:r>
      <w:r w:rsidR="0002262C">
        <w:t xml:space="preserve">  </w:t>
      </w:r>
    </w:p>
    <w:p w14:paraId="1B310C7B" w14:textId="7CC6D603" w:rsidR="001D1A8F" w:rsidRDefault="001D1A8F" w:rsidP="004B734C">
      <w:bookmarkStart w:id="10" w:name="_Hlk120240899"/>
    </w:p>
    <w:p w14:paraId="2BEAD290" w14:textId="4C9A6AAA" w:rsidR="00831F0D" w:rsidRDefault="00831F0D" w:rsidP="00B93972">
      <w:pPr>
        <w:pStyle w:val="1"/>
        <w:numPr>
          <w:ilvl w:val="0"/>
          <w:numId w:val="7"/>
        </w:numPr>
      </w:pPr>
      <w:bookmarkStart w:id="11" w:name="_Toc121692849"/>
      <w:bookmarkStart w:id="12" w:name="_Toc124422981"/>
      <w:r>
        <w:t>The conceptual f</w:t>
      </w:r>
      <w:r w:rsidR="00982612">
        <w:t>ramework</w:t>
      </w:r>
      <w:bookmarkEnd w:id="11"/>
      <w:r>
        <w:t xml:space="preserve"> </w:t>
      </w:r>
      <w:bookmarkStart w:id="13" w:name="_Toc121692850"/>
      <w:r>
        <w:t>and literature Review</w:t>
      </w:r>
      <w:bookmarkEnd w:id="12"/>
      <w:bookmarkEnd w:id="13"/>
    </w:p>
    <w:p w14:paraId="5DBF9D84" w14:textId="54D795EA" w:rsidR="006655E0" w:rsidRDefault="006655E0" w:rsidP="004A4C83"/>
    <w:p w14:paraId="6D9F119D" w14:textId="28582402" w:rsidR="00E44CFB" w:rsidRDefault="00E44CFB" w:rsidP="00E44CFB">
      <w:pPr>
        <w:pStyle w:val="3"/>
      </w:pPr>
      <w:bookmarkStart w:id="14" w:name="_Toc124422982"/>
      <w:r>
        <w:t>2.1 Discussion of conceptual framework and theoretical framework</w:t>
      </w:r>
      <w:bookmarkEnd w:id="14"/>
    </w:p>
    <w:p w14:paraId="558E72D1" w14:textId="77777777" w:rsidR="00E44CFB" w:rsidRDefault="00E44CFB" w:rsidP="004A4C83"/>
    <w:p w14:paraId="69B3BE85" w14:textId="70BEAB54" w:rsidR="004A4C83" w:rsidRDefault="001021F1" w:rsidP="004A4C83">
      <w:r>
        <w:t>Before</w:t>
      </w:r>
      <w:r w:rsidR="001D1A8F">
        <w:t xml:space="preserve"> </w:t>
      </w:r>
      <w:r>
        <w:t>conducting</w:t>
      </w:r>
      <w:r w:rsidR="001D1A8F">
        <w:t xml:space="preserve"> the research thesis, a framework needs to </w:t>
      </w:r>
      <w:r>
        <w:t>be addressed</w:t>
      </w:r>
      <w:r w:rsidR="001D1A8F">
        <w:t xml:space="preserve">. </w:t>
      </w:r>
      <w:r w:rsidR="001D1A8F" w:rsidRPr="001D1A8F">
        <w:t xml:space="preserve">Crawford (2020, p.35) </w:t>
      </w:r>
      <w:r w:rsidR="005206FE">
        <w:t>summarises</w:t>
      </w:r>
      <w:r w:rsidR="001D1A8F" w:rsidRPr="001D1A8F">
        <w:t xml:space="preserve"> that the research framework </w:t>
      </w:r>
      <w:r w:rsidR="005206FE">
        <w:t>is</w:t>
      </w:r>
      <w:r w:rsidR="001D1A8F" w:rsidRPr="001D1A8F">
        <w:t xml:space="preserve"> a </w:t>
      </w:r>
      <w:r w:rsidR="005206FE">
        <w:t>house’s foundation</w:t>
      </w:r>
      <w:r w:rsidR="001D1A8F" w:rsidRPr="001D1A8F">
        <w:t>.</w:t>
      </w:r>
      <w:r w:rsidR="001D1A8F">
        <w:t xml:space="preserve"> There are two kinds of frameworks which are </w:t>
      </w:r>
      <w:r w:rsidR="00836321">
        <w:t xml:space="preserve">the </w:t>
      </w:r>
      <w:r w:rsidR="001D1A8F">
        <w:t>theoretical framework and</w:t>
      </w:r>
      <w:r w:rsidR="00836321">
        <w:t xml:space="preserve"> the</w:t>
      </w:r>
      <w:r w:rsidR="001D1A8F">
        <w:t xml:space="preserve"> conceptual framework. </w:t>
      </w:r>
      <w:r w:rsidR="001D1A8F" w:rsidRPr="001D1A8F">
        <w:t>Imenda (2014, p.189) shows that the theoretical framework is derived from theories</w:t>
      </w:r>
      <w:r w:rsidR="005206FE">
        <w:t>,</w:t>
      </w:r>
      <w:r w:rsidR="001D1A8F" w:rsidRPr="001D1A8F">
        <w:t xml:space="preserve"> and the conceptual framework is derived from concepts.</w:t>
      </w:r>
      <w:r w:rsidR="001D1A8F">
        <w:t xml:space="preserve"> The relevant </w:t>
      </w:r>
      <w:r w:rsidR="005206FE">
        <w:t>vital</w:t>
      </w:r>
      <w:r w:rsidR="001D1A8F">
        <w:t xml:space="preserve"> researchers</w:t>
      </w:r>
      <w:r w:rsidR="00836321">
        <w:t xml:space="preserve"> describe the role of both frameworks</w:t>
      </w:r>
      <w:r w:rsidR="004A4C83">
        <w:t xml:space="preserve"> in research</w:t>
      </w:r>
      <w:r w:rsidR="00836321">
        <w:t xml:space="preserve"> in different ways.</w:t>
      </w:r>
      <w:r w:rsidR="004A4C83" w:rsidRPr="004A4C83">
        <w:rPr>
          <w:rFonts w:ascii="Arial" w:hAnsi="Arial" w:cs="Arial"/>
          <w:color w:val="FF0000"/>
          <w:sz w:val="20"/>
          <w:szCs w:val="20"/>
          <w:shd w:val="clear" w:color="auto" w:fill="FFFFFF"/>
        </w:rPr>
        <w:t xml:space="preserve"> </w:t>
      </w:r>
      <w:r w:rsidR="004A4C83" w:rsidRPr="004A4C83">
        <w:t xml:space="preserve">Crawford (2020, p.39) expresses that in the theoretical framework, the relevant theories </w:t>
      </w:r>
      <w:r w:rsidR="005206FE">
        <w:t>must</w:t>
      </w:r>
      <w:r w:rsidR="004A4C83" w:rsidRPr="004A4C83">
        <w:t xml:space="preserve"> be detected before applying to an ongoing relationship with the study or being tested. </w:t>
      </w:r>
      <w:r w:rsidR="00836321" w:rsidRPr="00836321">
        <w:t xml:space="preserve">Maxwell (2020, p.41) describes the conceptual framework </w:t>
      </w:r>
      <w:r w:rsidR="005206FE">
        <w:t>instead</w:t>
      </w:r>
      <w:r w:rsidR="00836321" w:rsidRPr="00836321">
        <w:t xml:space="preserve"> as constructed than found. Crawford (2020, p.41) shows that the conceptual framework serves to either argue, explain, or generalise.</w:t>
      </w:r>
      <w:r w:rsidR="00836321">
        <w:t xml:space="preserve"> </w:t>
      </w:r>
    </w:p>
    <w:p w14:paraId="4A2262E6" w14:textId="77777777" w:rsidR="004A4C83" w:rsidRDefault="004A4C83" w:rsidP="004A4C83"/>
    <w:p w14:paraId="57544114" w14:textId="2DE904D4" w:rsidR="004A4C83" w:rsidRDefault="00836321" w:rsidP="004A4C83">
      <w:r>
        <w:t xml:space="preserve">The key researchers also have </w:t>
      </w:r>
      <w:r w:rsidR="001021F1">
        <w:t xml:space="preserve">a </w:t>
      </w:r>
      <w:r>
        <w:t xml:space="preserve">different understanding or </w:t>
      </w:r>
      <w:r w:rsidR="001021F1">
        <w:t>expression</w:t>
      </w:r>
      <w:r>
        <w:t xml:space="preserve"> regarding the relationship between the theoretical framework and the conceptual framework.</w:t>
      </w:r>
      <w:r w:rsidR="008C4FBA">
        <w:t xml:space="preserve"> Some view the theoretical framework as a part of the conceptual framework in </w:t>
      </w:r>
      <w:r w:rsidR="004A4C83">
        <w:t xml:space="preserve">research, while some define the two frameworks for different methodologies. </w:t>
      </w:r>
      <w:r w:rsidR="004A4C83" w:rsidRPr="00836321">
        <w:t>Crawford (2020, p.38) defines the theoretical framework as a part of the conceptual framework</w:t>
      </w:r>
      <w:r w:rsidR="004A4C83">
        <w:t xml:space="preserve">. </w:t>
      </w:r>
      <w:r w:rsidR="004A4C83" w:rsidRPr="004A4C83">
        <w:t>Imenda (2014, p.192) expresses that quantitative research problems tend to use the deductive approach</w:t>
      </w:r>
      <w:r w:rsidR="005206FE">
        <w:t>,</w:t>
      </w:r>
      <w:r w:rsidR="004A4C83" w:rsidRPr="004A4C83">
        <w:t xml:space="preserve"> which is more suitable for applying the theoretical framework</w:t>
      </w:r>
      <w:r w:rsidR="005206FE">
        <w:t>,</w:t>
      </w:r>
      <w:r w:rsidR="004A4C83" w:rsidRPr="004A4C83">
        <w:t xml:space="preserve"> while qualitative research problems tend to use the inductive </w:t>
      </w:r>
      <w:r w:rsidR="005206FE">
        <w:t>method,</w:t>
      </w:r>
      <w:r w:rsidR="004A4C83" w:rsidRPr="004A4C83">
        <w:t xml:space="preserve"> which is more </w:t>
      </w:r>
      <w:r w:rsidR="005206FE">
        <w:t>ideal</w:t>
      </w:r>
      <w:r w:rsidR="004A4C83" w:rsidRPr="004A4C83">
        <w:t xml:space="preserve"> for applying the conceptual framework. Crawford (2020, p.43) illustrates that the three courses of experience, literature and theoretical framework combine into the conceptual framework</w:t>
      </w:r>
      <w:r w:rsidR="005206FE">
        <w:t>,</w:t>
      </w:r>
      <w:r w:rsidR="004A4C83" w:rsidRPr="004A4C83">
        <w:t xml:space="preserve"> which could be presented either graphically or narratively. Maxwell (2020, p.53) shows a way of avoiding the underuse or uncritical overuse of existing theories by testing them, </w:t>
      </w:r>
      <w:r w:rsidR="005206FE">
        <w:t>mainly</w:t>
      </w:r>
      <w:r w:rsidR="004A4C83" w:rsidRPr="004A4C83">
        <w:t xml:space="preserve"> applied in the qualitative paradigm.  Imenda (2014, p.194) argues that theoretical and conceptual frameworks help researchers see the main variables and concepts, guide the proper methodology, and select the right way for data collection, interpretation, and explanation. </w:t>
      </w:r>
      <w:r w:rsidR="00951F2D">
        <w:t xml:space="preserve">It is </w:t>
      </w:r>
      <w:r w:rsidR="00341EAE">
        <w:t xml:space="preserve">challenging to decide </w:t>
      </w:r>
      <w:r w:rsidR="00951F2D">
        <w:t xml:space="preserve">which kind of framework </w:t>
      </w:r>
      <w:r w:rsidR="00341EAE">
        <w:t>to</w:t>
      </w:r>
      <w:r w:rsidR="00951F2D">
        <w:t xml:space="preserve"> research </w:t>
      </w:r>
      <w:r w:rsidR="001021F1">
        <w:t>on</w:t>
      </w:r>
      <w:r w:rsidR="00951F2D">
        <w:t xml:space="preserve"> the professional identity of real estate brokers in China. The reason is that one methodology </w:t>
      </w:r>
      <w:r w:rsidR="00951F2D">
        <w:lastRenderedPageBreak/>
        <w:t xml:space="preserve">may not well </w:t>
      </w:r>
      <w:r w:rsidR="001021F1">
        <w:t>serve</w:t>
      </w:r>
      <w:r w:rsidR="00951F2D">
        <w:t xml:space="preserve"> the conducting process </w:t>
      </w:r>
      <w:r w:rsidR="001021F1">
        <w:t>of</w:t>
      </w:r>
      <w:r w:rsidR="00951F2D">
        <w:t xml:space="preserve"> the research for </w:t>
      </w:r>
      <w:r w:rsidR="001021F1">
        <w:t xml:space="preserve">the </w:t>
      </w:r>
      <w:r w:rsidR="00951F2D">
        <w:t xml:space="preserve">thesis, </w:t>
      </w:r>
      <w:r w:rsidR="005206FE">
        <w:t xml:space="preserve">and </w:t>
      </w:r>
      <w:r w:rsidR="00951F2D">
        <w:t xml:space="preserve">qualitative and quantitative approaches may apply </w:t>
      </w:r>
      <w:r w:rsidR="001021F1">
        <w:t>at</w:t>
      </w:r>
      <w:r w:rsidR="00951F2D">
        <w:t xml:space="preserve"> different stages in the </w:t>
      </w:r>
      <w:r w:rsidR="005206FE">
        <w:t>study</w:t>
      </w:r>
      <w:r w:rsidR="00951F2D">
        <w:t xml:space="preserve">, so </w:t>
      </w:r>
      <w:r w:rsidR="005206FE">
        <w:t>viewing</w:t>
      </w:r>
      <w:r w:rsidR="00951F2D">
        <w:t xml:space="preserve"> two kinds of framework as independent </w:t>
      </w:r>
      <w:r w:rsidR="001021F1">
        <w:t>parallels</w:t>
      </w:r>
      <w:r w:rsidR="00951F2D">
        <w:t xml:space="preserve"> may cause </w:t>
      </w:r>
      <w:r w:rsidR="001021F1">
        <w:t xml:space="preserve">a </w:t>
      </w:r>
      <w:r w:rsidR="00951F2D">
        <w:t xml:space="preserve">puzzle. </w:t>
      </w:r>
      <w:r w:rsidR="005206FE">
        <w:t>Suppose</w:t>
      </w:r>
      <w:r w:rsidR="00951F2D">
        <w:t xml:space="preserve"> </w:t>
      </w:r>
      <w:r w:rsidR="005206FE">
        <w:t>using</w:t>
      </w:r>
      <w:r w:rsidR="00951F2D">
        <w:t xml:space="preserve"> the perspective of the theoretical framework </w:t>
      </w:r>
      <w:r w:rsidR="005206FE">
        <w:t xml:space="preserve">to </w:t>
      </w:r>
      <w:r w:rsidR="00951F2D">
        <w:t xml:space="preserve">one part of the conceptual framework could solve the </w:t>
      </w:r>
      <w:r w:rsidR="005206FE">
        <w:t>mystery</w:t>
      </w:r>
      <w:r w:rsidR="00951F2D">
        <w:t xml:space="preserve"> </w:t>
      </w:r>
      <w:r w:rsidR="005206FE">
        <w:t>of</w:t>
      </w:r>
      <w:r w:rsidR="00951F2D">
        <w:t xml:space="preserve"> mixed methodology. Most researchers who study the other occupation group use the </w:t>
      </w:r>
      <w:r w:rsidR="001021F1">
        <w:t>conceptual</w:t>
      </w:r>
      <w:r w:rsidR="00951F2D">
        <w:t xml:space="preserve"> framework when </w:t>
      </w:r>
      <w:r w:rsidR="001021F1">
        <w:t>applying</w:t>
      </w:r>
      <w:r w:rsidR="00951F2D">
        <w:t xml:space="preserve"> mixed </w:t>
      </w:r>
      <w:r w:rsidR="005206FE">
        <w:t>methods</w:t>
      </w:r>
      <w:r w:rsidR="00951F2D">
        <w:t>.</w:t>
      </w:r>
    </w:p>
    <w:p w14:paraId="539325E2" w14:textId="586A206A" w:rsidR="002C330F" w:rsidRDefault="002C330F" w:rsidP="004A4C83"/>
    <w:p w14:paraId="7A6A6B7B" w14:textId="7E1951D0" w:rsidR="00E44CFB" w:rsidRDefault="00E44CFB" w:rsidP="00E44CFB">
      <w:pPr>
        <w:pStyle w:val="3"/>
      </w:pPr>
      <w:bookmarkStart w:id="15" w:name="_Toc124422983"/>
      <w:r>
        <w:t>2.2 The conceptual framework and literature review of this research</w:t>
      </w:r>
      <w:bookmarkEnd w:id="15"/>
    </w:p>
    <w:p w14:paraId="207B51AB" w14:textId="77777777" w:rsidR="00E44CFB" w:rsidRDefault="00E44CFB" w:rsidP="004A4C83"/>
    <w:p w14:paraId="26C38C25" w14:textId="18221553" w:rsidR="00BF0CFF" w:rsidRDefault="00E44CFB" w:rsidP="00F465F2">
      <w:pPr>
        <w:jc w:val="left"/>
      </w:pPr>
      <w:r>
        <w:t>Key r</w:t>
      </w:r>
      <w:r w:rsidR="00D4623D">
        <w:t>esearchers</w:t>
      </w:r>
      <w:r w:rsidR="006A2EDF">
        <w:t xml:space="preserve"> from different philosophical aspects</w:t>
      </w:r>
      <w:r w:rsidR="00212BA7">
        <w:t xml:space="preserve"> </w:t>
      </w:r>
      <w:r w:rsidR="00BF0CFF">
        <w:t>have discussed</w:t>
      </w:r>
      <w:r w:rsidR="00212BA7">
        <w:t xml:space="preserve"> the concepts </w:t>
      </w:r>
      <w:r w:rsidR="00BB0EC5">
        <w:t xml:space="preserve">of professional identity for a long time. </w:t>
      </w:r>
      <w:r w:rsidR="00BB0EC5" w:rsidRPr="00474E23">
        <w:t>Miller</w:t>
      </w:r>
      <w:r w:rsidR="00BB0EC5">
        <w:t xml:space="preserve"> (1962)</w:t>
      </w:r>
      <w:r w:rsidR="00BB0EC5" w:rsidRPr="00474E23">
        <w:t xml:space="preserve"> </w:t>
      </w:r>
      <w:r w:rsidR="00BB0EC5">
        <w:t>defines</w:t>
      </w:r>
      <w:r w:rsidR="00BB0EC5" w:rsidRPr="00474E23">
        <w:t xml:space="preserve"> identity </w:t>
      </w:r>
      <w:r w:rsidR="00BB0EC5">
        <w:t>as</w:t>
      </w:r>
      <w:r w:rsidR="00BB0EC5" w:rsidRPr="00474E23">
        <w:t xml:space="preserve"> an abstract whole containing three centric regions, manifesting as an externally self-centred limbic region.</w:t>
      </w:r>
      <w:r w:rsidR="00BB0EC5">
        <w:t xml:space="preserve"> Holland, </w:t>
      </w:r>
      <w:r w:rsidR="00BB0EC5" w:rsidRPr="006A2EDF">
        <w:t>Gottfredson and Power</w:t>
      </w:r>
      <w:r w:rsidR="00BB0EC5" w:rsidRPr="00EE124C">
        <w:t xml:space="preserve"> </w:t>
      </w:r>
      <w:r w:rsidR="00BB0EC5">
        <w:t xml:space="preserve">(1980) believe that professional identity refers to an individual's </w:t>
      </w:r>
      <w:r w:rsidR="00BF0CFF">
        <w:t>precise</w:t>
      </w:r>
      <w:r w:rsidR="00BB0EC5">
        <w:t xml:space="preserve"> and stable perception of career goals, interests, personality, and talents. These are clear and stable perceptions of the individual's career goals, interests, </w:t>
      </w:r>
      <w:r w:rsidR="00BF0CFF">
        <w:t>nature</w:t>
      </w:r>
      <w:r w:rsidR="00BB0EC5">
        <w:t xml:space="preserve">, and </w:t>
      </w:r>
      <w:r w:rsidR="00BF0CFF">
        <w:t>skills</w:t>
      </w:r>
      <w:r w:rsidR="00BB0EC5">
        <w:t xml:space="preserve">. These perceptions enable the individual to develop a clear and stable identity in the face of inevitable ambiguities. They </w:t>
      </w:r>
      <w:r w:rsidR="00BF0CFF">
        <w:t>allow</w:t>
      </w:r>
      <w:r w:rsidR="00BB0EC5">
        <w:t xml:space="preserve"> individuals to make the right decisions in the face of inevitable ambiguity. Moore and </w:t>
      </w:r>
      <w:proofErr w:type="spellStart"/>
      <w:r w:rsidR="00BB0EC5">
        <w:t>Hofman</w:t>
      </w:r>
      <w:proofErr w:type="spellEnd"/>
      <w:r w:rsidR="00BB0EC5">
        <w:t xml:space="preserve"> (1988) define professional identity in terms of the extent to which an individual identifies with the role or status of </w:t>
      </w:r>
      <w:r w:rsidR="00BF0CFF">
        <w:t>their</w:t>
      </w:r>
      <w:r w:rsidR="00BB0EC5">
        <w:t xml:space="preserve"> occupation in society</w:t>
      </w:r>
      <w:r w:rsidR="00BF0CFF">
        <w:t>; professional</w:t>
      </w:r>
      <w:r w:rsidR="00BB0EC5">
        <w:t xml:space="preserve"> identity is defined in terms of the </w:t>
      </w:r>
      <w:r w:rsidR="00BF0CFF">
        <w:t>time</w:t>
      </w:r>
      <w:r w:rsidR="00BB0EC5">
        <w:t xml:space="preserve"> to which individuals perceive their </w:t>
      </w:r>
      <w:r w:rsidR="00BF0CFF">
        <w:t>work</w:t>
      </w:r>
      <w:r w:rsidR="00BB0EC5">
        <w:t xml:space="preserve"> to be. It is the extent to which individuals perceive their </w:t>
      </w:r>
      <w:r w:rsidR="00BF0CFF">
        <w:t>profession</w:t>
      </w:r>
      <w:r w:rsidR="00BB0EC5">
        <w:t xml:space="preserve"> to be attractive, </w:t>
      </w:r>
      <w:r w:rsidR="00BF0CFF">
        <w:t>meaningful</w:t>
      </w:r>
      <w:r w:rsidR="00BB0EC5">
        <w:t xml:space="preserve">, and compatible with other social roles. </w:t>
      </w:r>
      <w:proofErr w:type="spellStart"/>
      <w:r w:rsidR="00F465F2" w:rsidRPr="00D823F3">
        <w:t>Ashforth</w:t>
      </w:r>
      <w:proofErr w:type="spellEnd"/>
      <w:r w:rsidR="00F465F2" w:rsidRPr="00D823F3">
        <w:t xml:space="preserve"> &amp; </w:t>
      </w:r>
      <w:proofErr w:type="spellStart"/>
      <w:r w:rsidR="00F465F2" w:rsidRPr="00D823F3">
        <w:t>Mael</w:t>
      </w:r>
      <w:proofErr w:type="spellEnd"/>
      <w:r w:rsidR="00F465F2" w:rsidRPr="00D823F3">
        <w:t xml:space="preserve"> </w:t>
      </w:r>
      <w:r w:rsidR="00F465F2">
        <w:t>(</w:t>
      </w:r>
      <w:r w:rsidR="00F465F2" w:rsidRPr="00D823F3">
        <w:t>1989</w:t>
      </w:r>
      <w:r w:rsidR="00F465F2">
        <w:t>) define professional identity as a type of social identity and is the degree to which an individual feels a sense of oneness with an occupation and the extent to which the individual defines themself as a member of that occupation</w:t>
      </w:r>
      <w:r w:rsidR="007A3359">
        <w:t>; professional</w:t>
      </w:r>
      <w:r w:rsidR="00F465F2">
        <w:t xml:space="preserve"> identity involves an individual's adjustment of roles, responsibilities, values, and ethical standards to conform to the accepted practices of their career.</w:t>
      </w:r>
      <w:r w:rsidR="00BB0EC5">
        <w:t xml:space="preserve"> </w:t>
      </w:r>
      <w:proofErr w:type="spellStart"/>
      <w:r w:rsidR="00BB0EC5" w:rsidRPr="006A2EDF">
        <w:t>Vondracek</w:t>
      </w:r>
      <w:proofErr w:type="spellEnd"/>
      <w:r w:rsidR="00BB0EC5" w:rsidRPr="006A2EDF">
        <w:t xml:space="preserve"> (1992) sees professional identity as a structure rather than a specific concept. </w:t>
      </w:r>
      <w:r w:rsidR="00BB0EC5" w:rsidRPr="00474E23">
        <w:t>Meyer</w:t>
      </w:r>
      <w:r w:rsidR="00BB0EC5">
        <w:t xml:space="preserve">, </w:t>
      </w:r>
      <w:proofErr w:type="gramStart"/>
      <w:r w:rsidR="00BB0EC5">
        <w:t>Allen</w:t>
      </w:r>
      <w:proofErr w:type="gramEnd"/>
      <w:r w:rsidR="00BB0EC5">
        <w:t xml:space="preserve"> and Smith</w:t>
      </w:r>
      <w:r w:rsidR="00BB0EC5" w:rsidRPr="00474E23">
        <w:t xml:space="preserve"> </w:t>
      </w:r>
      <w:r w:rsidR="00BB0EC5">
        <w:t>(1993)</w:t>
      </w:r>
      <w:r w:rsidR="00BB0EC5" w:rsidRPr="00474E23">
        <w:t xml:space="preserve"> </w:t>
      </w:r>
      <w:r w:rsidR="00BB0EC5">
        <w:t>express</w:t>
      </w:r>
      <w:r w:rsidR="00BB0EC5" w:rsidRPr="00474E23">
        <w:t xml:space="preserve"> </w:t>
      </w:r>
      <w:r w:rsidR="006A2EDF">
        <w:t>professional</w:t>
      </w:r>
      <w:r w:rsidR="00BB0EC5" w:rsidRPr="00474E23">
        <w:t xml:space="preserve"> identity in terms of an individual's attitude towards an occupation, which is a positive and affirmative evaluation of a job, reflecting an individual's enjoyment of the occupation and desire to work in it.</w:t>
      </w:r>
      <w:r w:rsidR="00BB0EC5">
        <w:t xml:space="preserve"> Goodson and Colle (1994) see professional identity as a continuous dialogue or interpretation between the individual and the occupational situation, the process of interpretation. Volkmann and Anderson (1998) </w:t>
      </w:r>
      <w:r w:rsidR="006A2EDF">
        <w:t>view</w:t>
      </w:r>
      <w:r w:rsidR="00BB0EC5">
        <w:t xml:space="preserve"> </w:t>
      </w:r>
      <w:r w:rsidR="006A2EDF">
        <w:t>professional</w:t>
      </w:r>
      <w:r w:rsidR="00BB0EC5">
        <w:t xml:space="preserve"> identity as a complex process of balancing the dynamics of the individual's personality with the </w:t>
      </w:r>
      <w:r w:rsidR="00BF0CFF">
        <w:t>profession’s role; the</w:t>
      </w:r>
      <w:r w:rsidR="00BB0EC5">
        <w:t xml:space="preserve"> process is </w:t>
      </w:r>
      <w:r w:rsidR="00BF0CFF">
        <w:t>complicated</w:t>
      </w:r>
      <w:r w:rsidR="00BB0EC5">
        <w:t>.</w:t>
      </w:r>
      <w:r w:rsidR="006A2EDF">
        <w:t xml:space="preserve"> </w:t>
      </w:r>
      <w:proofErr w:type="spellStart"/>
      <w:r w:rsidR="00F465F2">
        <w:t>Meijers</w:t>
      </w:r>
      <w:proofErr w:type="spellEnd"/>
      <w:r w:rsidR="00F465F2">
        <w:t xml:space="preserve"> (1998) expresses that professional identity</w:t>
      </w:r>
      <w:r w:rsidR="00F465F2" w:rsidRPr="00893DDE">
        <w:t xml:space="preserve"> </w:t>
      </w:r>
      <w:r w:rsidR="00F465F2">
        <w:t>is</w:t>
      </w:r>
      <w:r w:rsidR="00F465F2" w:rsidRPr="00893DDE">
        <w:t xml:space="preserve"> a structure of meaning in which individuals associate their motivations, interests, and abilities with an acceptable occupational role</w:t>
      </w:r>
      <w:r w:rsidR="00F465F2">
        <w:t>—connected</w:t>
      </w:r>
      <w:r w:rsidR="00F465F2" w:rsidRPr="00893DDE">
        <w:t xml:space="preserve"> to </w:t>
      </w:r>
      <w:r w:rsidR="00F465F2">
        <w:t>an excellent</w:t>
      </w:r>
      <w:r w:rsidR="00F465F2" w:rsidRPr="00893DDE">
        <w:t xml:space="preserve"> occupational </w:t>
      </w:r>
      <w:r w:rsidR="00F465F2">
        <w:t>part</w:t>
      </w:r>
      <w:r w:rsidR="00F465F2" w:rsidRPr="00893DDE">
        <w:t>.</w:t>
      </w:r>
      <w:r w:rsidR="00BB0EC5">
        <w:t xml:space="preserve"> The Dutch scholar </w:t>
      </w:r>
      <w:proofErr w:type="spellStart"/>
      <w:r w:rsidR="00BB0EC5">
        <w:t>Kortagen</w:t>
      </w:r>
      <w:proofErr w:type="spellEnd"/>
      <w:r w:rsidR="00BB0EC5">
        <w:t xml:space="preserve"> (2004) argues that</w:t>
      </w:r>
      <w:r w:rsidR="006A2EDF">
        <w:t xml:space="preserve"> professional identity </w:t>
      </w:r>
      <w:r w:rsidR="00D4623D">
        <w:t>is</w:t>
      </w:r>
      <w:r w:rsidR="00BB0EC5">
        <w:t xml:space="preserve"> the individual's orientation towards images, feelings, needs, values, role models, own experiences</w:t>
      </w:r>
      <w:r w:rsidR="00BF0CFF">
        <w:t>,</w:t>
      </w:r>
      <w:r w:rsidR="00BB0EC5">
        <w:t xml:space="preserve"> and unconscious behaviour form a gestalt. The gestalt from which the professional identity is formed by </w:t>
      </w:r>
      <w:r w:rsidR="00BB0EC5">
        <w:lastRenderedPageBreak/>
        <w:t>the individual's own experiences and unconscious behavioural tendencies. The external dimensions of a person's abilities, behaviours and beliefs are influenced by this gestalt. The individual can become aware of this gestalt through storytelling and life paths.</w:t>
      </w:r>
      <w:r w:rsidR="006A2EDF">
        <w:t xml:space="preserve"> </w:t>
      </w:r>
    </w:p>
    <w:p w14:paraId="08171A82" w14:textId="77777777" w:rsidR="00BF0CFF" w:rsidRDefault="00BF0CFF" w:rsidP="00F465F2">
      <w:pPr>
        <w:jc w:val="left"/>
      </w:pPr>
    </w:p>
    <w:p w14:paraId="0538DEBB" w14:textId="2D74A9EE" w:rsidR="00E23BAD" w:rsidRDefault="00F465F2" w:rsidP="00F465F2">
      <w:pPr>
        <w:jc w:val="left"/>
      </w:pPr>
      <w:r w:rsidRPr="005206FE">
        <w:t>Among the critical writers in this field in China, Wei, Song, &amp; Zhang (2013)</w:t>
      </w:r>
      <w:r w:rsidRPr="007141B2">
        <w:t xml:space="preserve"> explain that professional identity </w:t>
      </w:r>
      <w:r>
        <w:t>is</w:t>
      </w:r>
      <w:r w:rsidRPr="007141B2">
        <w:t xml:space="preserve"> both a process and a state.</w:t>
      </w:r>
      <w:r w:rsidRPr="006A2EDF">
        <w:t xml:space="preserve"> </w:t>
      </w:r>
      <w:r w:rsidR="008F6101">
        <w:t>Besides the discussions on the concepts of professional identity itself, s</w:t>
      </w:r>
      <w:r>
        <w:t>cholars are</w:t>
      </w:r>
      <w:r w:rsidR="008F6101">
        <w:t xml:space="preserve"> </w:t>
      </w:r>
      <w:r w:rsidR="00956FAC">
        <w:t>researching</w:t>
      </w:r>
      <w:r w:rsidR="008F6101">
        <w:t xml:space="preserve"> </w:t>
      </w:r>
      <w:r>
        <w:t xml:space="preserve">professional identities </w:t>
      </w:r>
      <w:r w:rsidR="009A092E" w:rsidRPr="009A092E">
        <w:t xml:space="preserve">from different perspectives in </w:t>
      </w:r>
      <w:r>
        <w:t xml:space="preserve">China and overseas. </w:t>
      </w:r>
      <w:r w:rsidR="003A4589" w:rsidRPr="003A4589">
        <w:t>Brown (2014) expresses that identity or identity work which is a similar concept</w:t>
      </w:r>
      <w:r w:rsidR="00956FAC">
        <w:t>,</w:t>
      </w:r>
      <w:r w:rsidR="003A4589" w:rsidRPr="003A4589">
        <w:t xml:space="preserve"> is the self-understanding of who they are </w:t>
      </w:r>
      <w:r w:rsidR="002B71D0">
        <w:t xml:space="preserve">and </w:t>
      </w:r>
      <w:r w:rsidR="00956FAC">
        <w:t>who</w:t>
      </w:r>
      <w:r w:rsidR="003A4589" w:rsidRPr="003A4589">
        <w:t xml:space="preserve"> they desire to be and implicated</w:t>
      </w:r>
      <w:r w:rsidR="00CB36D3">
        <w:t>;</w:t>
      </w:r>
      <w:r w:rsidR="003A4589" w:rsidRPr="003A4589">
        <w:t xml:space="preserve"> </w:t>
      </w:r>
      <w:r w:rsidR="00CB36D3">
        <w:t>e</w:t>
      </w:r>
      <w:r w:rsidR="003A4589" w:rsidRPr="003A4589">
        <w:t xml:space="preserve">verything in the organisation could be affected by identity. </w:t>
      </w:r>
      <w:proofErr w:type="spellStart"/>
      <w:r w:rsidR="003A4589" w:rsidRPr="003A4589">
        <w:t>Ashforth</w:t>
      </w:r>
      <w:proofErr w:type="spellEnd"/>
      <w:r w:rsidR="003A4589" w:rsidRPr="003A4589">
        <w:t xml:space="preserve"> and </w:t>
      </w:r>
      <w:proofErr w:type="spellStart"/>
      <w:r w:rsidR="003A4589" w:rsidRPr="003A4589">
        <w:t>Schinoff</w:t>
      </w:r>
      <w:proofErr w:type="spellEnd"/>
      <w:r w:rsidR="003A4589" w:rsidRPr="003A4589">
        <w:t xml:space="preserve"> (2016) stand for a constructivist analysis of identity in organisations as a process of emotional transmission and that if organisations can provide clear directions for their members to connect the past, </w:t>
      </w:r>
      <w:proofErr w:type="gramStart"/>
      <w:r w:rsidR="000335A7" w:rsidRPr="003A4589">
        <w:t>present</w:t>
      </w:r>
      <w:proofErr w:type="gramEnd"/>
      <w:r w:rsidR="003A4589" w:rsidRPr="003A4589">
        <w:t xml:space="preserve"> and desired future, this will strengthen the feelings of the identity of the members in the organisation. By studying pharmacy students, Bloom (2022) analyses the difference between </w:t>
      </w:r>
      <w:r w:rsidR="003A4589">
        <w:t xml:space="preserve">the </w:t>
      </w:r>
      <w:r w:rsidR="003A4589" w:rsidRPr="003A4589">
        <w:t>profession’s identity, which is how a group is perceived by the whole outside the group, and professional identity, which is how members of an occupational group perceive their own occupational identity.</w:t>
      </w:r>
    </w:p>
    <w:p w14:paraId="4B8219D1" w14:textId="77777777" w:rsidR="00116D80" w:rsidRDefault="00116D80" w:rsidP="00F465F2">
      <w:pPr>
        <w:jc w:val="left"/>
      </w:pPr>
    </w:p>
    <w:p w14:paraId="6C3503B2" w14:textId="5D9625F7" w:rsidR="003E63A3" w:rsidRPr="003E63A3" w:rsidRDefault="00E23BAD" w:rsidP="003E63A3">
      <w:pPr>
        <w:jc w:val="left"/>
      </w:pPr>
      <w:r>
        <w:t xml:space="preserve">Regarding </w:t>
      </w:r>
      <w:r w:rsidR="00116D80">
        <w:t xml:space="preserve">conducting research </w:t>
      </w:r>
      <w:r w:rsidR="00D4623D">
        <w:t>in the</w:t>
      </w:r>
      <w:r w:rsidR="00CF1EAA">
        <w:t xml:space="preserve"> </w:t>
      </w:r>
      <w:r>
        <w:t>professional identity field, the dominant paradigm is mixed approach</w:t>
      </w:r>
      <w:r w:rsidR="00CF1EAA">
        <w:t>es</w:t>
      </w:r>
      <w:r>
        <w:t xml:space="preserve">. </w:t>
      </w:r>
      <w:r w:rsidR="003E63A3">
        <w:t>However, in this part, the researcher would discuss current scholars’ work standing from different perspectives in this field.</w:t>
      </w:r>
      <w:r w:rsidR="00C2007E">
        <w:t xml:space="preserve"> </w:t>
      </w:r>
      <w:r w:rsidR="00CF1EAA">
        <w:t>Scholars</w:t>
      </w:r>
      <w:r>
        <w:t xml:space="preserve"> who </w:t>
      </w:r>
      <w:r w:rsidR="00CF1EAA">
        <w:t>stand</w:t>
      </w:r>
      <w:r>
        <w:t xml:space="preserve"> on the </w:t>
      </w:r>
      <w:r w:rsidR="002E5BC4">
        <w:t>constructivist position</w:t>
      </w:r>
      <w:r>
        <w:t xml:space="preserve"> tend to use </w:t>
      </w:r>
      <w:r w:rsidR="00341EAE">
        <w:t>in-depth</w:t>
      </w:r>
      <w:r>
        <w:t xml:space="preserve"> fieldwork </w:t>
      </w:r>
      <w:r w:rsidR="00CF1EAA">
        <w:t>in</w:t>
      </w:r>
      <w:r>
        <w:t xml:space="preserve"> </w:t>
      </w:r>
      <w:r w:rsidR="00637F3B">
        <w:t>specific</w:t>
      </w:r>
      <w:r>
        <w:t xml:space="preserve"> professional </w:t>
      </w:r>
      <w:r w:rsidR="00CF1EAA">
        <w:t>groups</w:t>
      </w:r>
      <w:r>
        <w:t xml:space="preserve"> to construct </w:t>
      </w:r>
      <w:r w:rsidR="00CF1EAA">
        <w:t>a</w:t>
      </w:r>
      <w:r>
        <w:t xml:space="preserve"> professional identity. </w:t>
      </w:r>
      <w:bookmarkStart w:id="16" w:name="_Hlk120210331"/>
      <w:proofErr w:type="spellStart"/>
      <w:r w:rsidRPr="00E23BAD">
        <w:t>Lifshitz</w:t>
      </w:r>
      <w:proofErr w:type="spellEnd"/>
      <w:r w:rsidRPr="00E23BAD">
        <w:t>-Assaf. (2017)</w:t>
      </w:r>
      <w:bookmarkEnd w:id="16"/>
      <w:r>
        <w:t xml:space="preserve"> applied a </w:t>
      </w:r>
      <w:r w:rsidR="00CF1EAA">
        <w:t>purely</w:t>
      </w:r>
      <w:r>
        <w:t xml:space="preserve"> qualitative approach to construct a system between the professional identity and the knowledge boundaries in NASA</w:t>
      </w:r>
      <w:r w:rsidR="00CF1EAA">
        <w:t>; the</w:t>
      </w:r>
      <w:r>
        <w:t xml:space="preserve"> researchers </w:t>
      </w:r>
      <w:r w:rsidR="00CF1EAA">
        <w:t>used</w:t>
      </w:r>
      <w:r>
        <w:t xml:space="preserve"> </w:t>
      </w:r>
      <w:r w:rsidR="00637F3B">
        <w:t>in-depth</w:t>
      </w:r>
      <w:r>
        <w:t xml:space="preserve"> fieldwork and case study to construct the opinions. However, the deficiency of this approach is </w:t>
      </w:r>
      <w:r w:rsidR="00CF1EAA">
        <w:t xml:space="preserve">that </w:t>
      </w:r>
      <w:r>
        <w:t xml:space="preserve">the researcher may bring significant bias into the construction process, </w:t>
      </w:r>
      <w:r w:rsidR="00CF1EAA">
        <w:t>which</w:t>
      </w:r>
      <w:r>
        <w:t xml:space="preserve"> may affect the outcome.</w:t>
      </w:r>
      <w:r w:rsidR="00C42AE3">
        <w:t xml:space="preserve"> </w:t>
      </w:r>
      <w:r w:rsidR="00C42AE3" w:rsidRPr="00C42AE3">
        <w:t>Chen and Reay. (2020)</w:t>
      </w:r>
      <w:r w:rsidR="00C42AE3">
        <w:t xml:space="preserve"> </w:t>
      </w:r>
      <w:r w:rsidR="00957513">
        <w:t>designed a</w:t>
      </w:r>
      <w:r w:rsidR="00957513" w:rsidRPr="00957513">
        <w:t xml:space="preserve"> qualitative model in the healthcare field to analyse how changes in </w:t>
      </w:r>
      <w:r w:rsidR="00957513">
        <w:t>professional</w:t>
      </w:r>
      <w:r w:rsidR="00957513" w:rsidRPr="00957513">
        <w:t xml:space="preserve"> identity affect occupational awareness in dealing with new jobs.</w:t>
      </w:r>
      <w:r w:rsidR="00957513">
        <w:t xml:space="preserve"> The weakness of this approach is that the newly designed qualitative model is hard to evaluate for reliability and validity. </w:t>
      </w:r>
      <w:r w:rsidR="003E63A3" w:rsidRPr="003E63A3">
        <w:t xml:space="preserve">Yang, Wang, and Chen (2020) have adopted a constructivist perspective to analyse how traditional Chinese culture, Western social work values, and adequate access to government resources can be used to construct a new professional identity for the development of Chinese social work agencies, in response to the lack of social awareness, social recognition, public participation and competitiveness. </w:t>
      </w:r>
      <w:proofErr w:type="spellStart"/>
      <w:r w:rsidR="003E63A3" w:rsidRPr="003E63A3">
        <w:t>Virta</w:t>
      </w:r>
      <w:proofErr w:type="spellEnd"/>
      <w:r w:rsidR="003E63A3" w:rsidRPr="003E63A3">
        <w:t xml:space="preserve">, J. et al. (2022), </w:t>
      </w:r>
      <w:r w:rsidR="003E63A3">
        <w:t xml:space="preserve">as constructivist scholars, have studied a group of physical education teachers in Finland to discover how informal learning contexts influence the construction of the professional identity of physical education teachers. They found that the casual learning environment contributed to three aspects of this group's professional identity construction, namely professional </w:t>
      </w:r>
      <w:r w:rsidR="003E63A3">
        <w:lastRenderedPageBreak/>
        <w:t>ideals, professional values and principles, and professional knowledge competencies, and the findings also pointed to the integration and overlap of professional and personal aspects of identity in the construction of professional identity.</w:t>
      </w:r>
    </w:p>
    <w:p w14:paraId="4F1FA761" w14:textId="77777777" w:rsidR="001A523E" w:rsidRDefault="001A523E" w:rsidP="00F465F2">
      <w:pPr>
        <w:jc w:val="left"/>
      </w:pPr>
    </w:p>
    <w:p w14:paraId="6357F5E3" w14:textId="30B3B46D" w:rsidR="000D401E" w:rsidRDefault="00CF1EAA" w:rsidP="00BF0CFF">
      <w:pPr>
        <w:jc w:val="left"/>
      </w:pPr>
      <w:r>
        <w:t>Compared</w:t>
      </w:r>
      <w:r w:rsidR="00957513">
        <w:t xml:space="preserve"> with constructivist </w:t>
      </w:r>
      <w:r w:rsidR="007F5EA3">
        <w:t>researchers</w:t>
      </w:r>
      <w:r w:rsidR="00957513">
        <w:t xml:space="preserve">, positivist and postpositivist </w:t>
      </w:r>
      <w:r w:rsidR="007F5EA3">
        <w:t>researchers</w:t>
      </w:r>
      <w:r w:rsidR="00957513">
        <w:t xml:space="preserve"> </w:t>
      </w:r>
      <w:r>
        <w:t>seek</w:t>
      </w:r>
      <w:r w:rsidR="00957513">
        <w:t xml:space="preserve"> </w:t>
      </w:r>
      <w:r w:rsidR="007F5EA3">
        <w:t xml:space="preserve">solutions </w:t>
      </w:r>
      <w:r>
        <w:t>through</w:t>
      </w:r>
      <w:r w:rsidR="007F5EA3">
        <w:t xml:space="preserve"> quantitative techniques in </w:t>
      </w:r>
      <w:r>
        <w:t xml:space="preserve">the </w:t>
      </w:r>
      <w:r w:rsidR="007F5EA3">
        <w:t xml:space="preserve">professional identity field. </w:t>
      </w:r>
      <w:r w:rsidR="00055C1C" w:rsidRPr="00055C1C">
        <w:t>F</w:t>
      </w:r>
      <w:r w:rsidR="00055C1C">
        <w:t>eng</w:t>
      </w:r>
      <w:r w:rsidR="00055C1C" w:rsidRPr="00055C1C">
        <w:t xml:space="preserve"> </w:t>
      </w:r>
      <w:r>
        <w:t>et al.</w:t>
      </w:r>
      <w:r w:rsidR="00055C1C" w:rsidRPr="00055C1C">
        <w:t xml:space="preserve"> (2021)</w:t>
      </w:r>
      <w:r w:rsidR="00055C1C">
        <w:t xml:space="preserve"> </w:t>
      </w:r>
      <w:r>
        <w:t>explore</w:t>
      </w:r>
      <w:r w:rsidR="00055C1C" w:rsidRPr="00055C1C">
        <w:t xml:space="preserve"> the status and factors influencing the professional identity of Chinese general practitioners.</w:t>
      </w:r>
      <w:r w:rsidR="00055C1C">
        <w:t xml:space="preserve"> Using the</w:t>
      </w:r>
      <w:r w:rsidR="00055C1C" w:rsidRPr="00055C1C">
        <w:t xml:space="preserve"> </w:t>
      </w:r>
      <w:r w:rsidR="00055C1C">
        <w:t>e</w:t>
      </w:r>
      <w:r w:rsidR="00055C1C" w:rsidRPr="00055C1C">
        <w:t xml:space="preserve">xisting established scales, </w:t>
      </w:r>
      <w:r>
        <w:t xml:space="preserve">the </w:t>
      </w:r>
      <w:r w:rsidR="00055C1C" w:rsidRPr="00055C1C">
        <w:t>Likert scale 5</w:t>
      </w:r>
      <w:r>
        <w:t>,</w:t>
      </w:r>
      <w:r w:rsidR="00055C1C" w:rsidRPr="00055C1C">
        <w:t xml:space="preserve"> Mann-Whitney U Test or Kruskal-Wallis H Test were used to </w:t>
      </w:r>
      <w:r w:rsidR="00055C1C">
        <w:t>examine differences between factors.</w:t>
      </w:r>
      <w:r w:rsidR="00055C1C" w:rsidRPr="00055C1C">
        <w:t xml:space="preserve"> OLS multiple linear regression was used to explore the influencing factors. </w:t>
      </w:r>
      <w:r w:rsidR="00442D39">
        <w:t>The pure</w:t>
      </w:r>
      <w:r w:rsidR="00055C1C" w:rsidRPr="00055C1C">
        <w:t xml:space="preserve"> quantitative analysis</w:t>
      </w:r>
      <w:r w:rsidR="008B2D8E">
        <w:t xml:space="preserve"> could efficiently </w:t>
      </w:r>
      <w:r w:rsidR="00442D39">
        <w:t>dig</w:t>
      </w:r>
      <w:r w:rsidR="008B2D8E">
        <w:t xml:space="preserve"> the causal relationships between variables; </w:t>
      </w:r>
      <w:r w:rsidR="00442D39">
        <w:t>thus</w:t>
      </w:r>
      <w:r w:rsidR="008B2D8E">
        <w:t xml:space="preserve">, </w:t>
      </w:r>
      <w:r w:rsidR="00442D39">
        <w:t>positivist</w:t>
      </w:r>
      <w:r w:rsidR="008B2D8E">
        <w:t xml:space="preserve"> and post positivists </w:t>
      </w:r>
      <w:r w:rsidR="000B72FF">
        <w:t>researcher</w:t>
      </w:r>
      <w:r w:rsidR="00442D39">
        <w:t xml:space="preserve">s deal with professional identity through </w:t>
      </w:r>
      <w:r w:rsidR="008B2D8E">
        <w:t xml:space="preserve">existing mature scales or invent new detective methods. </w:t>
      </w:r>
      <w:bookmarkStart w:id="17" w:name="_Hlk120211236"/>
      <w:r w:rsidR="00A74BF0" w:rsidRPr="00A74BF0">
        <w:rPr>
          <w:rFonts w:hint="eastAsia"/>
        </w:rPr>
        <w:t>L</w:t>
      </w:r>
      <w:r w:rsidR="00A74BF0" w:rsidRPr="00A74BF0">
        <w:t>i</w:t>
      </w:r>
      <w:r w:rsidR="00332778" w:rsidRPr="00A74BF0">
        <w:t>, Liu</w:t>
      </w:r>
      <w:r w:rsidR="00A74BF0" w:rsidRPr="00A74BF0">
        <w:t xml:space="preserve">. &amp; </w:t>
      </w:r>
      <w:r w:rsidR="00332778" w:rsidRPr="00A74BF0">
        <w:t>Lin. (</w:t>
      </w:r>
      <w:r w:rsidR="00A74BF0" w:rsidRPr="00A74BF0">
        <w:t>2022)</w:t>
      </w:r>
      <w:bookmarkEnd w:id="17"/>
      <w:r w:rsidR="00A74BF0">
        <w:t xml:space="preserve"> applied a purely quantitative approach to explore </w:t>
      </w:r>
      <w:r w:rsidR="00BF0CFF" w:rsidRPr="00BF0CFF">
        <w:t>physical education teachers' professional identity and</w:t>
      </w:r>
      <w:r w:rsidR="00A74BF0">
        <w:t xml:space="preserve"> give recommendations. The first step was to borrow a well-established Likert scale and conduct a reliability and validity analysis after the questionnaire was returned. Professional development influences were then divided into dimensions and professional identity into aspects</w:t>
      </w:r>
      <w:r w:rsidR="00637F3B">
        <w:t>. A</w:t>
      </w:r>
      <w:r w:rsidR="00A74BF0">
        <w:t xml:space="preserve"> multiple regression model was built for regression analysis to determine the relationship between each </w:t>
      </w:r>
      <w:r w:rsidR="00637F3B">
        <w:t>element</w:t>
      </w:r>
      <w:r w:rsidR="00A74BF0">
        <w:t xml:space="preserve"> and professional identity. Finally, several subdivision findings were drawn, and recommendations were given.</w:t>
      </w:r>
      <w:r w:rsidR="001A523E" w:rsidRPr="001A523E">
        <w:rPr>
          <w:rFonts w:ascii="Arial" w:hAnsi="Arial" w:cs="Arial"/>
        </w:rPr>
        <w:t xml:space="preserve"> </w:t>
      </w:r>
      <w:r w:rsidR="001A523E" w:rsidRPr="001A523E">
        <w:t>Zhang</w:t>
      </w:r>
      <w:r w:rsidR="001A523E">
        <w:t xml:space="preserve"> </w:t>
      </w:r>
      <w:r w:rsidR="00637F3B">
        <w:t>et al.</w:t>
      </w:r>
      <w:r w:rsidR="001A523E" w:rsidRPr="001A523E">
        <w:t xml:space="preserve"> (2020)</w:t>
      </w:r>
      <w:r w:rsidR="001A523E">
        <w:t xml:space="preserve"> used another way to evaluate the relationship between the family motivation factor and professional identity</w:t>
      </w:r>
      <w:r w:rsidR="00637F3B">
        <w:t>; they</w:t>
      </w:r>
      <w:r w:rsidR="00F219F6">
        <w:t xml:space="preserve"> concluded that w</w:t>
      </w:r>
      <w:r w:rsidR="00F219F6" w:rsidRPr="00F219F6">
        <w:t xml:space="preserve">hen professionals are faced with </w:t>
      </w:r>
      <w:r w:rsidR="00637F3B">
        <w:t>more significant</w:t>
      </w:r>
      <w:r w:rsidR="00F219F6" w:rsidRPr="00F219F6">
        <w:t xml:space="preserve"> financial pressure from their families, they tend to show stronger career motivation, which cannot be avoided in the analysis of the subject of </w:t>
      </w:r>
      <w:r w:rsidR="00F219F6">
        <w:t>professional</w:t>
      </w:r>
      <w:r w:rsidR="00F219F6" w:rsidRPr="00F219F6">
        <w:t xml:space="preserve"> identity.</w:t>
      </w:r>
    </w:p>
    <w:p w14:paraId="2E61DE36" w14:textId="77777777" w:rsidR="000D401E" w:rsidRDefault="000D401E" w:rsidP="00BF0CFF">
      <w:pPr>
        <w:jc w:val="left"/>
      </w:pPr>
    </w:p>
    <w:p w14:paraId="78EF8056" w14:textId="056A9824" w:rsidR="000D401E" w:rsidRPr="00506F40" w:rsidRDefault="003E63A3" w:rsidP="000D401E">
      <w:pPr>
        <w:jc w:val="left"/>
      </w:pPr>
      <w:r>
        <w:t>Pragmatic</w:t>
      </w:r>
      <w:r w:rsidR="000D401E">
        <w:t xml:space="preserve"> researchers also tend to find </w:t>
      </w:r>
      <w:r w:rsidRPr="003E63A3">
        <w:t xml:space="preserve">the mutual impacts of professional identity </w:t>
      </w:r>
      <w:r w:rsidR="000D401E">
        <w:t xml:space="preserve">on work or study motivation. </w:t>
      </w:r>
      <w:r w:rsidR="000D401E" w:rsidRPr="000D401E">
        <w:t>Using SEM structural equation modelling, Yu, Chen, and Hou (2021)</w:t>
      </w:r>
      <w:r w:rsidR="000D401E">
        <w:t xml:space="preserve"> concluded that there was a significant relationship between career identity and respondents' engagement and that career identity was positively related to career evaluation, career emotion and learning engagement. In addition, they also analysed the mediating effects of professional </w:t>
      </w:r>
      <w:r>
        <w:t>assessment</w:t>
      </w:r>
      <w:r w:rsidR="000D401E">
        <w:t xml:space="preserve"> and professional emotion in career identity and engagement in learning.</w:t>
      </w:r>
      <w:r>
        <w:t xml:space="preserve"> </w:t>
      </w:r>
      <w:r w:rsidR="000D401E">
        <w:t xml:space="preserve"> </w:t>
      </w:r>
      <w:r w:rsidR="000D401E" w:rsidRPr="000D401E">
        <w:t xml:space="preserve">Xu et al. (2022) used a large-scale career identity scale and a job satisfaction scale to survey a group of primary and secondary school teachers in China. They showed that when scores for competence and growth were higher, teachers showed strong career identity through career satisfaction and were strong predictors of burnout. Chien, Axon, and Cooley. (2022) surveyed a group of pharmacy students at a US college and found that student pharmacists emerged with multiple career identity tendencies. These researchers identified the directionality of training, the appropriateness of the curriculum and the level of faculty support as effective ways to shape a </w:t>
      </w:r>
      <w:r>
        <w:t>more precise</w:t>
      </w:r>
      <w:r w:rsidR="000D401E" w:rsidRPr="000D401E">
        <w:t xml:space="preserve"> career identity for this group.</w:t>
      </w:r>
    </w:p>
    <w:p w14:paraId="59ED299E" w14:textId="171B6924" w:rsidR="006655E0" w:rsidRDefault="00A74BF0" w:rsidP="00BF0CFF">
      <w:pPr>
        <w:jc w:val="left"/>
      </w:pPr>
      <w:r>
        <w:lastRenderedPageBreak/>
        <w:br/>
      </w:r>
    </w:p>
    <w:p w14:paraId="3BD1B179" w14:textId="795CB749" w:rsidR="006655E0" w:rsidRDefault="006655E0" w:rsidP="00B93972">
      <w:pPr>
        <w:pStyle w:val="1"/>
        <w:numPr>
          <w:ilvl w:val="0"/>
          <w:numId w:val="7"/>
        </w:numPr>
      </w:pPr>
      <w:bookmarkStart w:id="18" w:name="_Toc121692851"/>
      <w:bookmarkStart w:id="19" w:name="_Toc124422984"/>
      <w:r>
        <w:t xml:space="preserve">Axiology, </w:t>
      </w:r>
      <w:r w:rsidR="00331BAE">
        <w:t>o</w:t>
      </w:r>
      <w:r>
        <w:t xml:space="preserve">ntology, </w:t>
      </w:r>
      <w:proofErr w:type="gramStart"/>
      <w:r w:rsidR="00331BAE">
        <w:t>e</w:t>
      </w:r>
      <w:r>
        <w:t>pistemology</w:t>
      </w:r>
      <w:proofErr w:type="gramEnd"/>
      <w:r>
        <w:t xml:space="preserve"> and </w:t>
      </w:r>
      <w:r w:rsidR="00331BAE">
        <w:t>p</w:t>
      </w:r>
      <w:r>
        <w:t>aradigm</w:t>
      </w:r>
      <w:bookmarkEnd w:id="18"/>
      <w:bookmarkEnd w:id="19"/>
    </w:p>
    <w:p w14:paraId="76922FEB" w14:textId="77777777" w:rsidR="006655E0" w:rsidRDefault="006655E0" w:rsidP="006655E0"/>
    <w:p w14:paraId="614536B7" w14:textId="1E243FEE" w:rsidR="006655E0" w:rsidRDefault="006655E0" w:rsidP="006655E0">
      <w:r>
        <w:t xml:space="preserve">Regarding paradigm in professional identity, researchers are divided into positivist, constructionist, and subjectivist. Each academy’s work depends on its philosophical position and has a relative research paradigm and methods. </w:t>
      </w:r>
      <w:r w:rsidRPr="00AA667E">
        <w:t>Maxwell (2020, p.41-44) instructs that the paradigms as philosophical positions each have a different understanding of reality(ontology)</w:t>
      </w:r>
      <w:r>
        <w:t>,</w:t>
      </w:r>
      <w:r w:rsidRPr="00AA667E">
        <w:t xml:space="preserve"> how to acquire knowledge(epistemology)</w:t>
      </w:r>
      <w:r>
        <w:t xml:space="preserve"> and what the researcher value(axiology)</w:t>
      </w:r>
      <w:r w:rsidR="00671E45">
        <w:t>,</w:t>
      </w:r>
      <w:r w:rsidRPr="00AA667E">
        <w:t xml:space="preserve"> </w:t>
      </w:r>
      <w:r w:rsidR="00EA4F0C">
        <w:t>u</w:t>
      </w:r>
      <w:r w:rsidRPr="00AA667E">
        <w:t>sing an existing research paradigm could avoid complex building and explaining processes for the researcher oneself.</w:t>
      </w:r>
      <w:r>
        <w:t xml:space="preserve"> </w:t>
      </w:r>
      <w:proofErr w:type="spellStart"/>
      <w:r w:rsidRPr="00CC4CF5">
        <w:t>Lifshitz</w:t>
      </w:r>
      <w:proofErr w:type="spellEnd"/>
      <w:r w:rsidRPr="00CC4CF5">
        <w:t>-Assaf (2017)</w:t>
      </w:r>
      <w:r>
        <w:t>, standing in the positivist position, applied a deep field study to the scientists at NASA to demonstrate their professional identity.</w:t>
      </w:r>
      <w:r w:rsidRPr="00AE4D02">
        <w:rPr>
          <w:rFonts w:ascii="Arial" w:hAnsi="Arial" w:cs="Arial"/>
        </w:rPr>
        <w:t xml:space="preserve"> </w:t>
      </w:r>
      <w:r>
        <w:t xml:space="preserve">Zhang (2019) views the professional identity of journalists in China as a constructed process among society, economic background, technology, and professionals. </w:t>
      </w:r>
      <w:bookmarkStart w:id="20" w:name="_Hlk120240851"/>
      <w:r w:rsidRPr="00C0108B">
        <w:rPr>
          <w:rFonts w:hint="eastAsia"/>
        </w:rPr>
        <w:t>L</w:t>
      </w:r>
      <w:r w:rsidRPr="00C0108B">
        <w:t>i,</w:t>
      </w:r>
      <w:r>
        <w:t xml:space="preserve"> </w:t>
      </w:r>
      <w:r w:rsidRPr="00C0108B">
        <w:t>Liu</w:t>
      </w:r>
      <w:r>
        <w:t xml:space="preserve"> </w:t>
      </w:r>
      <w:r w:rsidRPr="00C0108B">
        <w:t>&amp; Lin</w:t>
      </w:r>
      <w:r>
        <w:t xml:space="preserve"> </w:t>
      </w:r>
      <w:r w:rsidRPr="00C0108B">
        <w:t xml:space="preserve">(2022) use close questionaries to collect data from physical teachers in China </w:t>
      </w:r>
      <w:r>
        <w:t xml:space="preserve">and </w:t>
      </w:r>
      <w:r w:rsidRPr="00C0108B">
        <w:t xml:space="preserve">then run </w:t>
      </w:r>
      <w:r w:rsidRPr="001021F1">
        <w:t>a test to show the relationship between those teachers'</w:t>
      </w:r>
      <w:r w:rsidRPr="00C0108B">
        <w:t xml:space="preserve"> professional identity and professional development, which stand in the positivist position.</w:t>
      </w:r>
      <w:r>
        <w:t xml:space="preserve"> </w:t>
      </w:r>
      <w:bookmarkEnd w:id="20"/>
      <w:r>
        <w:t xml:space="preserve">However, the subjectivist perspective is also applied in the research of the professional identity field. </w:t>
      </w:r>
      <w:r w:rsidRPr="004B734C">
        <w:t>Chen and Reay (2020)</w:t>
      </w:r>
      <w:r>
        <w:t xml:space="preserve"> stand in the subjectivist view to set a reconstructed way to deal with the problem that professionals resist doing work not fitting their previous professional identity. They apply interviews and field observations work in an English public service organisation to set a way to reconstruct the professional identity to engage in the newly assigned tasks and show how to make professionals allow reconstruction in one’s professional identity.</w:t>
      </w:r>
    </w:p>
    <w:p w14:paraId="3750FD7F" w14:textId="77777777" w:rsidR="006655E0" w:rsidRDefault="006655E0" w:rsidP="006655E0"/>
    <w:p w14:paraId="3919C402" w14:textId="6C6A8513" w:rsidR="006655E0" w:rsidRDefault="006655E0" w:rsidP="006655E0">
      <w:r>
        <w:t xml:space="preserve">In this research, the researcher stands in the position of postpositivist. The axiology is to seek </w:t>
      </w:r>
      <w:r w:rsidRPr="00915B3D">
        <w:t xml:space="preserve">the </w:t>
      </w:r>
      <w:r>
        <w:t>essential</w:t>
      </w:r>
      <w:r w:rsidRPr="00915B3D">
        <w:t xml:space="preserve"> factors affecting the professional identity of Chinese </w:t>
      </w:r>
      <w:r w:rsidR="00B47D42">
        <w:t>property brokers</w:t>
      </w:r>
      <w:r w:rsidRPr="00915B3D">
        <w:t xml:space="preserve"> and </w:t>
      </w:r>
      <w:r>
        <w:t>make</w:t>
      </w:r>
      <w:r w:rsidRPr="00915B3D">
        <w:t xml:space="preserve"> recommendations accordingly</w:t>
      </w:r>
      <w:r>
        <w:t>. The ontology is that t</w:t>
      </w:r>
      <w:r w:rsidRPr="00915B3D">
        <w:t>here is an objective fact, but it can never be perfectly known</w:t>
      </w:r>
      <w:r>
        <w:t>. The epistemology is that the</w:t>
      </w:r>
      <w:r w:rsidRPr="00016BE3">
        <w:t xml:space="preserve"> research is subject to researcher error or subjective factors</w:t>
      </w:r>
      <w:r>
        <w:t>; the</w:t>
      </w:r>
      <w:r w:rsidRPr="00016BE3">
        <w:t xml:space="preserve"> only truth can only be partially explained by discovery.</w:t>
      </w:r>
    </w:p>
    <w:p w14:paraId="1D4E09C0" w14:textId="77777777" w:rsidR="006655E0" w:rsidRDefault="006655E0" w:rsidP="004A4C83"/>
    <w:p w14:paraId="1B302910" w14:textId="4BD65C45" w:rsidR="002C330F" w:rsidRDefault="002C330F" w:rsidP="00B93972">
      <w:pPr>
        <w:pStyle w:val="1"/>
        <w:numPr>
          <w:ilvl w:val="0"/>
          <w:numId w:val="7"/>
        </w:numPr>
      </w:pPr>
      <w:bookmarkStart w:id="21" w:name="_Toc121692852"/>
      <w:bookmarkStart w:id="22" w:name="_Toc124422985"/>
      <w:r>
        <w:t>Methodology</w:t>
      </w:r>
      <w:bookmarkEnd w:id="21"/>
      <w:bookmarkEnd w:id="22"/>
    </w:p>
    <w:p w14:paraId="2E352400" w14:textId="77777777" w:rsidR="00B87D81" w:rsidRDefault="00B87D81" w:rsidP="00C544B9">
      <w:pPr>
        <w:pStyle w:val="2"/>
      </w:pPr>
    </w:p>
    <w:p w14:paraId="1C77CEC5" w14:textId="516DD666" w:rsidR="00C544B9" w:rsidRPr="00C544B9" w:rsidRDefault="006655E0" w:rsidP="00C544B9">
      <w:pPr>
        <w:pStyle w:val="2"/>
      </w:pPr>
      <w:bookmarkStart w:id="23" w:name="_Toc121692853"/>
      <w:bookmarkStart w:id="24" w:name="_Toc124422986"/>
      <w:r>
        <w:t xml:space="preserve">4.1 </w:t>
      </w:r>
      <w:r w:rsidR="00C544B9">
        <w:t xml:space="preserve">Qualitative </w:t>
      </w:r>
      <w:r w:rsidR="00B87D81">
        <w:t>vs</w:t>
      </w:r>
      <w:r w:rsidR="00C544B9">
        <w:t xml:space="preserve"> Quantitative</w:t>
      </w:r>
      <w:bookmarkEnd w:id="23"/>
      <w:bookmarkEnd w:id="24"/>
    </w:p>
    <w:p w14:paraId="14D72B42" w14:textId="77777777" w:rsidR="00C544B9" w:rsidRDefault="00C544B9" w:rsidP="004A4C83"/>
    <w:p w14:paraId="23854209" w14:textId="44DFE14C" w:rsidR="000F7864" w:rsidRDefault="002C330F" w:rsidP="000F7864">
      <w:r>
        <w:t>In this part of the report</w:t>
      </w:r>
      <w:r w:rsidR="001021F1">
        <w:t>,</w:t>
      </w:r>
      <w:r>
        <w:t xml:space="preserve"> the different possible </w:t>
      </w:r>
      <w:r w:rsidR="00716844">
        <w:t>methodologies</w:t>
      </w:r>
      <w:r>
        <w:t xml:space="preserve">: Quantitative, Qualitative </w:t>
      </w:r>
      <w:r>
        <w:lastRenderedPageBreak/>
        <w:t>and Mixed</w:t>
      </w:r>
      <w:r w:rsidR="005206FE">
        <w:t>,</w:t>
      </w:r>
      <w:r>
        <w:t xml:space="preserve"> </w:t>
      </w:r>
      <w:r w:rsidR="005206FE">
        <w:t>will</w:t>
      </w:r>
      <w:r>
        <w:t xml:space="preserve"> be discussed. </w:t>
      </w:r>
      <w:r w:rsidR="001021F1">
        <w:t>The</w:t>
      </w:r>
      <w:r>
        <w:t xml:space="preserve"> </w:t>
      </w:r>
      <w:r w:rsidR="001021F1">
        <w:t>argument</w:t>
      </w:r>
      <w:r>
        <w:t xml:space="preserve"> between quantitative and qualitative is </w:t>
      </w:r>
      <w:r w:rsidR="005206FE">
        <w:t>long</w:t>
      </w:r>
      <w:r>
        <w:t xml:space="preserve"> in </w:t>
      </w:r>
      <w:r w:rsidR="001021F1">
        <w:t xml:space="preserve">the </w:t>
      </w:r>
      <w:r>
        <w:t xml:space="preserve">research field. Denzin and Lincoln </w:t>
      </w:r>
      <w:r>
        <w:rPr>
          <w:rFonts w:hint="eastAsia"/>
        </w:rPr>
        <w:t>(2</w:t>
      </w:r>
      <w:r>
        <w:t>008</w:t>
      </w:r>
      <w:r>
        <w:rPr>
          <w:rFonts w:hint="eastAsia"/>
        </w:rPr>
        <w:t>, p</w:t>
      </w:r>
      <w:r>
        <w:t>p.2</w:t>
      </w:r>
      <w:r>
        <w:rPr>
          <w:rFonts w:hint="eastAsia"/>
        </w:rPr>
        <w:t>）s</w:t>
      </w:r>
      <w:r>
        <w:t xml:space="preserve">ay that </w:t>
      </w:r>
      <w:r w:rsidRPr="007A05CE">
        <w:t>qualitative and quantitative researchers in the 60s last century were</w:t>
      </w:r>
      <w:r>
        <w:t xml:space="preserve"> set into two clear camps, and both held privilege in their ways. </w:t>
      </w:r>
      <w:r w:rsidRPr="003A45F1">
        <w:t>B</w:t>
      </w:r>
      <w:r>
        <w:t>ryman</w:t>
      </w:r>
      <w:r w:rsidRPr="003A45F1">
        <w:t xml:space="preserve"> (2016</w:t>
      </w:r>
      <w:r>
        <w:t>, pp11</w:t>
      </w:r>
      <w:r w:rsidRPr="003A45F1">
        <w:t>)</w:t>
      </w:r>
      <w:r>
        <w:t xml:space="preserve"> expresses that the quantitative method is conducted by the social survey and experimental investigations</w:t>
      </w:r>
      <w:r w:rsidR="005206FE">
        <w:t>,</w:t>
      </w:r>
      <w:r>
        <w:t xml:space="preserve"> while the qualitative </w:t>
      </w:r>
      <w:r w:rsidR="005206FE">
        <w:t>process</w:t>
      </w:r>
      <w:r>
        <w:t xml:space="preserve"> is </w:t>
      </w:r>
      <w:r w:rsidR="005206FE">
        <w:t>undertaken</w:t>
      </w:r>
      <w:r>
        <w:t xml:space="preserve"> by participant observation and unstructured in-depth interviewing</w:t>
      </w:r>
      <w:r w:rsidR="003824EE">
        <w:t>.</w:t>
      </w:r>
      <w:r w:rsidR="00410293">
        <w:t xml:space="preserve"> </w:t>
      </w:r>
      <w:r w:rsidR="003824EE">
        <w:t>T</w:t>
      </w:r>
      <w:r w:rsidR="000F7864">
        <w:t>he quantitative approach originated from science</w:t>
      </w:r>
      <w:r w:rsidR="005206FE">
        <w:t>,</w:t>
      </w:r>
      <w:r w:rsidR="000F7864">
        <w:t xml:space="preserve"> </w:t>
      </w:r>
      <w:r w:rsidR="005206FE">
        <w:t>which seeks</w:t>
      </w:r>
      <w:r w:rsidR="000F7864">
        <w:t xml:space="preserve"> causal </w:t>
      </w:r>
      <w:r w:rsidR="001021F1">
        <w:t>relationships</w:t>
      </w:r>
      <w:r w:rsidR="000F7864">
        <w:t xml:space="preserve"> between variables. </w:t>
      </w:r>
      <w:r w:rsidR="000F7864" w:rsidRPr="003A45F1">
        <w:t>B</w:t>
      </w:r>
      <w:r w:rsidR="000F7864">
        <w:t>ryman</w:t>
      </w:r>
      <w:r w:rsidR="000F7864" w:rsidRPr="003A45F1">
        <w:t xml:space="preserve"> (2016</w:t>
      </w:r>
      <w:r w:rsidR="000F7864">
        <w:t>, pp13-16</w:t>
      </w:r>
      <w:r w:rsidR="000F7864" w:rsidRPr="003A45F1">
        <w:t>)</w:t>
      </w:r>
      <w:r w:rsidR="000F7864">
        <w:t xml:space="preserve"> says </w:t>
      </w:r>
      <w:r w:rsidR="005206FE">
        <w:t xml:space="preserve">that </w:t>
      </w:r>
      <w:r w:rsidR="000F7864">
        <w:t>in the past social science</w:t>
      </w:r>
      <w:r w:rsidR="007A3359">
        <w:t>,</w:t>
      </w:r>
      <w:r w:rsidR="000F7864">
        <w:t xml:space="preserve"> field argued that quantitative </w:t>
      </w:r>
      <w:r w:rsidR="005206FE">
        <w:t>methods</w:t>
      </w:r>
      <w:r w:rsidR="000F7864">
        <w:t xml:space="preserve"> like surveys and experiments failed to take into consideration the difference between people and objects in natural science</w:t>
      </w:r>
      <w:r w:rsidR="005206FE">
        <w:t>; in</w:t>
      </w:r>
      <w:r w:rsidR="000F7864">
        <w:t xml:space="preserve"> quantitative surveys, each question would be treated as a variable wait to test the causal relationship with other variables. Denzin and Lincoln (2008, pp14) illustrate that quantitative methods </w:t>
      </w:r>
      <w:r w:rsidR="005206FE">
        <w:t>try</w:t>
      </w:r>
      <w:r w:rsidR="000F7864">
        <w:t xml:space="preserve"> to find a causal relationship between variables. </w:t>
      </w:r>
      <w:r w:rsidR="000F7864" w:rsidRPr="003A45F1">
        <w:t>B</w:t>
      </w:r>
      <w:r w:rsidR="000F7864">
        <w:t>ryman</w:t>
      </w:r>
      <w:r w:rsidR="000F7864" w:rsidRPr="003A45F1">
        <w:t xml:space="preserve"> (2016</w:t>
      </w:r>
      <w:r w:rsidR="000F7864">
        <w:t>, pp21</w:t>
      </w:r>
      <w:r w:rsidR="000F7864" w:rsidRPr="003A45F1">
        <w:t>)</w:t>
      </w:r>
      <w:r w:rsidR="000F7864">
        <w:t xml:space="preserve"> expresses that in the quantitative </w:t>
      </w:r>
      <w:r w:rsidR="005206FE">
        <w:t>approach</w:t>
      </w:r>
      <w:r w:rsidR="000F7864">
        <w:t>, there are often two groups</w:t>
      </w:r>
      <w:r w:rsidR="005206FE">
        <w:t>,</w:t>
      </w:r>
      <w:r w:rsidR="000F7864">
        <w:t xml:space="preserve"> the experimental and control group, identical in all ways besides the independent variable to be observed.</w:t>
      </w:r>
    </w:p>
    <w:p w14:paraId="680A1CC7" w14:textId="77777777" w:rsidR="000F7864" w:rsidRDefault="000F7864" w:rsidP="000F7864"/>
    <w:p w14:paraId="207A3E64" w14:textId="28B1970B" w:rsidR="00770936" w:rsidRDefault="005206FE" w:rsidP="004A03A3">
      <w:pPr>
        <w:jc w:val="left"/>
      </w:pPr>
      <w:r>
        <w:t>Quantitative</w:t>
      </w:r>
      <w:r w:rsidR="000F7864">
        <w:t xml:space="preserve"> research methods are deeply affected by positivism</w:t>
      </w:r>
      <w:r>
        <w:t>; researchers</w:t>
      </w:r>
      <w:r w:rsidR="000F7864">
        <w:t xml:space="preserve"> who apply the quantitative way must stand on the position </w:t>
      </w:r>
      <w:r w:rsidR="001021F1">
        <w:t>of</w:t>
      </w:r>
      <w:r w:rsidR="000F7864">
        <w:t xml:space="preserve"> </w:t>
      </w:r>
      <w:r>
        <w:t>positivism</w:t>
      </w:r>
      <w:r w:rsidR="000F7864">
        <w:t>. Denzin and Lincoln (2008, pp15-16) discuss that quantitative researchers fall within the positivist which believes there is only truth out there to wait for</w:t>
      </w:r>
      <w:r>
        <w:t>,</w:t>
      </w:r>
      <w:r w:rsidR="000F7864">
        <w:t xml:space="preserve"> explore and find, while qualitative researchers are likely to fall within the postpositivist which believes there is no absolute truth out there, and all could be partially </w:t>
      </w:r>
      <w:r w:rsidR="007A3359">
        <w:t>understood</w:t>
      </w:r>
      <w:r w:rsidR="000F7864">
        <w:t>.</w:t>
      </w:r>
      <w:r w:rsidR="008925C7">
        <w:t xml:space="preserve"> </w:t>
      </w:r>
      <w:r w:rsidR="008925C7" w:rsidRPr="003A45F1">
        <w:t>B</w:t>
      </w:r>
      <w:r w:rsidR="008925C7">
        <w:t>ryman</w:t>
      </w:r>
      <w:r w:rsidR="008925C7" w:rsidRPr="003A45F1">
        <w:t xml:space="preserve"> (2016</w:t>
      </w:r>
      <w:r w:rsidR="008925C7">
        <w:t>, pp24-26</w:t>
      </w:r>
      <w:r w:rsidR="008925C7" w:rsidRPr="003A45F1">
        <w:t>)</w:t>
      </w:r>
      <w:r w:rsidR="008925C7">
        <w:t xml:space="preserve"> discusses that the positivist belief of scientific methods could apply to social science, and facts could be found in scientific ways</w:t>
      </w:r>
      <w:r>
        <w:t>; searching</w:t>
      </w:r>
      <w:r w:rsidR="008925C7">
        <w:t xml:space="preserve"> for the relationship among </w:t>
      </w:r>
      <w:r>
        <w:t>points</w:t>
      </w:r>
      <w:r w:rsidR="008925C7">
        <w:t xml:space="preserve"> is the target. And the quantitative approach is deeply affected by positivism.</w:t>
      </w:r>
      <w:r w:rsidR="00770936">
        <w:t xml:space="preserve"> The quantitative researcher </w:t>
      </w:r>
      <w:r>
        <w:t>must</w:t>
      </w:r>
      <w:r w:rsidR="00770936">
        <w:t xml:space="preserve"> follow a fixed paradigm to collect and process data. </w:t>
      </w:r>
      <w:r w:rsidR="00770936" w:rsidRPr="003A45F1">
        <w:t>B</w:t>
      </w:r>
      <w:r w:rsidR="00770936">
        <w:t>ryman</w:t>
      </w:r>
      <w:r w:rsidR="00770936" w:rsidRPr="003A45F1">
        <w:t xml:space="preserve"> (2016</w:t>
      </w:r>
      <w:r w:rsidR="00770936">
        <w:t>, pp22</w:t>
      </w:r>
      <w:r w:rsidR="00770936" w:rsidRPr="003A45F1">
        <w:t>)</w:t>
      </w:r>
      <w:r w:rsidR="00770936">
        <w:t xml:space="preserve"> explains that besides surveys and experiments, the analysis of previous data, structured observation</w:t>
      </w:r>
      <w:r>
        <w:t>,</w:t>
      </w:r>
      <w:r w:rsidR="00770936">
        <w:t xml:space="preserve"> and content analyses also fall into the quantitative approach field.</w:t>
      </w:r>
      <w:r w:rsidR="00770936" w:rsidRPr="00770936">
        <w:t xml:space="preserve"> </w:t>
      </w:r>
      <w:r w:rsidR="00770936" w:rsidRPr="003A45F1">
        <w:t>B</w:t>
      </w:r>
      <w:r w:rsidR="00770936">
        <w:t>ryman</w:t>
      </w:r>
      <w:r w:rsidR="00770936" w:rsidRPr="003A45F1">
        <w:t xml:space="preserve"> (2016</w:t>
      </w:r>
      <w:r w:rsidR="00770936">
        <w:t>, pp30</w:t>
      </w:r>
      <w:r w:rsidR="00770936" w:rsidRPr="003A45F1">
        <w:t>)</w:t>
      </w:r>
      <w:r w:rsidR="00770936">
        <w:t xml:space="preserve"> also shows </w:t>
      </w:r>
      <w:r>
        <w:t xml:space="preserve">that </w:t>
      </w:r>
      <w:r w:rsidR="00770936">
        <w:t>the structure of quantitative research is as follows: theory(deduction), hypothesis(</w:t>
      </w:r>
      <w:r>
        <w:t>operationalisation</w:t>
      </w:r>
      <w:r w:rsidR="00770936">
        <w:t>), data collection (data processing), data analysis(interpretation) to findings (induction).</w:t>
      </w:r>
    </w:p>
    <w:p w14:paraId="2A7121AE" w14:textId="5125E4BB" w:rsidR="00D66F14" w:rsidRDefault="00D66F14" w:rsidP="00770936"/>
    <w:p w14:paraId="1E939AAC" w14:textId="5305950E" w:rsidR="00966777" w:rsidRDefault="00D66F14" w:rsidP="00D25FBF">
      <w:r>
        <w:t xml:space="preserve">Unlike the quantitative method, the qualitative approach has </w:t>
      </w:r>
      <w:r w:rsidR="001021F1">
        <w:t xml:space="preserve">a </w:t>
      </w:r>
      <w:r>
        <w:t>different position in ontology</w:t>
      </w:r>
      <w:r w:rsidR="004C1863">
        <w:t>, axiology, and</w:t>
      </w:r>
      <w:r>
        <w:t xml:space="preserve"> epistemology.</w:t>
      </w:r>
      <w:r w:rsidR="004C1863">
        <w:t xml:space="preserve"> Qualitative researchers </w:t>
      </w:r>
      <w:r w:rsidR="001021F1">
        <w:t>do</w:t>
      </w:r>
      <w:r w:rsidR="004C1863">
        <w:t xml:space="preserve"> not believe </w:t>
      </w:r>
      <w:r w:rsidR="001021F1">
        <w:t xml:space="preserve">in </w:t>
      </w:r>
      <w:r w:rsidR="004C1863">
        <w:t xml:space="preserve">the ‘only truth’ and reject the </w:t>
      </w:r>
      <w:r w:rsidR="001021F1">
        <w:t>positivist</w:t>
      </w:r>
      <w:r w:rsidR="004C1863">
        <w:t xml:space="preserve"> philosophy concept. They tend to view the world in a more complex way. Denzin and Lincoln (2008, pp3) explain that qualitative research is </w:t>
      </w:r>
      <w:r w:rsidR="00341EAE">
        <w:t>involved</w:t>
      </w:r>
      <w:r w:rsidR="004C1863">
        <w:t xml:space="preserve">, crossing fields of different terms, concepts, and assumptions with many perspectives and vast study methods. </w:t>
      </w:r>
      <w:r w:rsidR="004C1863" w:rsidRPr="003A45F1">
        <w:t>B</w:t>
      </w:r>
      <w:r w:rsidR="004C1863">
        <w:t>ryman</w:t>
      </w:r>
      <w:r w:rsidR="004C1863" w:rsidRPr="003A45F1">
        <w:t xml:space="preserve"> (2016</w:t>
      </w:r>
      <w:r w:rsidR="004C1863">
        <w:t>, pp18</w:t>
      </w:r>
      <w:r w:rsidR="004C1863" w:rsidRPr="003A45F1">
        <w:t>)</w:t>
      </w:r>
      <w:r w:rsidR="004C1863">
        <w:t xml:space="preserve"> shows that in qualitative studies, researchers try to understand the world from people’s </w:t>
      </w:r>
      <w:r w:rsidR="005206FE">
        <w:t>views</w:t>
      </w:r>
      <w:r w:rsidR="004C1863">
        <w:t xml:space="preserve"> through field investigations which is a much less </w:t>
      </w:r>
      <w:r w:rsidR="005206FE">
        <w:t>standardised</w:t>
      </w:r>
      <w:r w:rsidR="004C1863">
        <w:t xml:space="preserve"> approach. </w:t>
      </w:r>
      <w:r w:rsidR="004C1863" w:rsidRPr="003A45F1">
        <w:t>B</w:t>
      </w:r>
      <w:r w:rsidR="004C1863">
        <w:t>ryman</w:t>
      </w:r>
      <w:r w:rsidR="004C1863" w:rsidRPr="003A45F1">
        <w:t xml:space="preserve"> (2016</w:t>
      </w:r>
      <w:r w:rsidR="004C1863">
        <w:t>, pp78-80</w:t>
      </w:r>
      <w:r w:rsidR="004C1863" w:rsidRPr="003A45F1">
        <w:t>)</w:t>
      </w:r>
      <w:r w:rsidR="004C1863">
        <w:t xml:space="preserve"> also explains that </w:t>
      </w:r>
      <w:r w:rsidR="004C1863" w:rsidRPr="00B45526">
        <w:t xml:space="preserve">the link between the key features of qualitative research is most evident in the commitment to </w:t>
      </w:r>
      <w:r w:rsidR="004C1863" w:rsidRPr="00B45526">
        <w:lastRenderedPageBreak/>
        <w:t>seeing through the eyes of the researched.</w:t>
      </w:r>
      <w:r w:rsidR="003F256E">
        <w:t xml:space="preserve"> Qualitative research </w:t>
      </w:r>
      <w:r w:rsidR="005206FE">
        <w:t>makes</w:t>
      </w:r>
      <w:r w:rsidR="003F256E">
        <w:t xml:space="preserve"> </w:t>
      </w:r>
      <w:r w:rsidR="001021F1">
        <w:t xml:space="preserve">an </w:t>
      </w:r>
      <w:r w:rsidR="003F256E">
        <w:t xml:space="preserve">unfamiliar society atmosphere visible by </w:t>
      </w:r>
      <w:r w:rsidR="001021F1">
        <w:t>fitting</w:t>
      </w:r>
      <w:r w:rsidR="003F256E">
        <w:t xml:space="preserve"> </w:t>
      </w:r>
      <w:r w:rsidR="001021F1">
        <w:t>into</w:t>
      </w:r>
      <w:r w:rsidR="003F256E">
        <w:t xml:space="preserve"> it. Denzin and Lincoln (2008, pp4) state that the qualitative approach made the complex and mutually affecting society become visible. </w:t>
      </w:r>
      <w:r w:rsidR="003F256E" w:rsidRPr="0087753E">
        <w:t xml:space="preserve">Denzin and Lincoln (2008, pp6-7) </w:t>
      </w:r>
      <w:r w:rsidR="003F256E">
        <w:t>also express</w:t>
      </w:r>
      <w:r w:rsidR="003F256E" w:rsidRPr="0087753E">
        <w:t xml:space="preserve"> that the qualitative methods could be viewed as a Montage, which needs an observer to </w:t>
      </w:r>
      <w:r w:rsidR="003F256E">
        <w:t>build</w:t>
      </w:r>
      <w:r w:rsidR="003F256E" w:rsidRPr="0087753E">
        <w:t xml:space="preserve"> </w:t>
      </w:r>
      <w:r w:rsidR="005206FE">
        <w:t>their</w:t>
      </w:r>
      <w:r w:rsidR="003F256E" w:rsidRPr="0087753E">
        <w:t xml:space="preserve"> images of the observed phenomenon in research.</w:t>
      </w:r>
      <w:r w:rsidR="00966777">
        <w:t xml:space="preserve"> </w:t>
      </w:r>
    </w:p>
    <w:p w14:paraId="0FAD52FC" w14:textId="77777777" w:rsidR="00966777" w:rsidRDefault="00966777" w:rsidP="00D25FBF"/>
    <w:p w14:paraId="7AA50823" w14:textId="501F92C1" w:rsidR="00D25FBF" w:rsidRDefault="001021F1" w:rsidP="00D25FBF">
      <w:r>
        <w:t>Quantitative</w:t>
      </w:r>
      <w:r w:rsidR="00CA3AE9">
        <w:t xml:space="preserve"> researchers may conclude different causal </w:t>
      </w:r>
      <w:r>
        <w:t>relationships</w:t>
      </w:r>
      <w:r w:rsidR="00CA3AE9">
        <w:t xml:space="preserve"> in </w:t>
      </w:r>
      <w:r>
        <w:t xml:space="preserve">the </w:t>
      </w:r>
      <w:r w:rsidR="00CA3AE9">
        <w:t xml:space="preserve">same </w:t>
      </w:r>
      <w:r>
        <w:t>database</w:t>
      </w:r>
      <w:r w:rsidR="00CA3AE9">
        <w:t xml:space="preserve">; </w:t>
      </w:r>
      <w:r w:rsidR="00D12C79">
        <w:t>however,</w:t>
      </w:r>
      <w:r w:rsidR="00CA3AE9">
        <w:t xml:space="preserve"> qualitative researchers may conclude deep meaning by digging </w:t>
      </w:r>
      <w:r>
        <w:t xml:space="preserve">into </w:t>
      </w:r>
      <w:r w:rsidR="00CA3AE9">
        <w:t xml:space="preserve">the same society or </w:t>
      </w:r>
      <w:r>
        <w:t>people’s</w:t>
      </w:r>
      <w:r w:rsidR="00CA3AE9">
        <w:t xml:space="preserve"> </w:t>
      </w:r>
      <w:r w:rsidR="005206FE">
        <w:t>backgrounds. The</w:t>
      </w:r>
      <w:r w:rsidR="00CA3AE9">
        <w:t xml:space="preserve"> conclusion could </w:t>
      </w:r>
      <w:r>
        <w:t xml:space="preserve">be </w:t>
      </w:r>
      <w:r w:rsidR="00CA3AE9">
        <w:t xml:space="preserve">affected by each researcher’s observation perspective. </w:t>
      </w:r>
      <w:r w:rsidR="00CA3AE9" w:rsidRPr="003A45F1">
        <w:t>B</w:t>
      </w:r>
      <w:r w:rsidR="00CA3AE9">
        <w:t>ryman</w:t>
      </w:r>
      <w:r w:rsidR="00CA3AE9" w:rsidRPr="003A45F1">
        <w:t xml:space="preserve"> (2016</w:t>
      </w:r>
      <w:r w:rsidR="00CA3AE9">
        <w:rPr>
          <w:rFonts w:hint="eastAsia"/>
        </w:rPr>
        <w:t>,</w:t>
      </w:r>
      <w:r w:rsidR="00CA3AE9">
        <w:t xml:space="preserve"> pp84-85) points out that social scientists applying qualitative methods would be affected by the </w:t>
      </w:r>
      <w:r w:rsidR="005206FE">
        <w:t>researcher’s view</w:t>
      </w:r>
      <w:r w:rsidR="00D5286F" w:rsidRPr="00D5286F">
        <w:t>. In the qualitative approach, the researchers may stand in different positions studying the same topic. The</w:t>
      </w:r>
      <w:r w:rsidR="00CA3AE9" w:rsidRPr="002566E4">
        <w:t xml:space="preserve"> interpretation would differ when fieldwork is applied in </w:t>
      </w:r>
      <w:r w:rsidR="005206FE">
        <w:t>other</w:t>
      </w:r>
      <w:r w:rsidR="00CA3AE9" w:rsidRPr="002566E4">
        <w:t xml:space="preserve"> regions of the same country.</w:t>
      </w:r>
      <w:r w:rsidR="00D25FBF">
        <w:t xml:space="preserve"> Denzin and Lincoln (2008, pp7) declare that qualitative methods applicators reflect their interpretations by representations. </w:t>
      </w:r>
    </w:p>
    <w:p w14:paraId="1F1CAC84" w14:textId="2A12F9AE" w:rsidR="00D12C79" w:rsidRDefault="00D12C79" w:rsidP="00D25FBF"/>
    <w:p w14:paraId="2A25E0BB" w14:textId="4307EC4F" w:rsidR="00C51A0D" w:rsidRDefault="009E22AC" w:rsidP="00C51A0D">
      <w:r>
        <w:t>Different from</w:t>
      </w:r>
      <w:r w:rsidR="00D12C79">
        <w:t xml:space="preserve"> the quantitative researchers </w:t>
      </w:r>
      <w:r w:rsidR="001021F1">
        <w:t>setting</w:t>
      </w:r>
      <w:r w:rsidR="00D12C79">
        <w:t xml:space="preserve"> a clear frontier of their paradigm, the qualitative appliers have no such clear research methods frontier. Denzin and Lincoln (2008, pp9) say that the qualitative paradigm has no clear </w:t>
      </w:r>
      <w:r w:rsidR="005206FE">
        <w:t>boundaries</w:t>
      </w:r>
      <w:r w:rsidR="00D12C79">
        <w:t xml:space="preserve">, and </w:t>
      </w:r>
      <w:r w:rsidR="005206FE">
        <w:t>much</w:t>
      </w:r>
      <w:r w:rsidR="00D12C79">
        <w:t xml:space="preserve"> research </w:t>
      </w:r>
      <w:r w:rsidR="005206FE">
        <w:t xml:space="preserve">has </w:t>
      </w:r>
      <w:r w:rsidR="00D12C79">
        <w:t>declared using qualitative approaches. Denzin and Lincoln (2008, pp11) also explain that, unlike positivist science, qualitative research does not have fixed variables, existing models, or solid proof methods.</w:t>
      </w:r>
      <w:r w:rsidR="007E17E5">
        <w:t xml:space="preserve"> </w:t>
      </w:r>
      <w:r w:rsidR="001021F1">
        <w:t>Qualitative</w:t>
      </w:r>
      <w:r w:rsidR="00567F92">
        <w:t xml:space="preserve"> social scientists often stand in the position of </w:t>
      </w:r>
      <w:r w:rsidR="001021F1">
        <w:t>constructivists</w:t>
      </w:r>
      <w:r w:rsidR="00567F92">
        <w:t xml:space="preserve"> to consider </w:t>
      </w:r>
      <w:r w:rsidR="001021F1">
        <w:t xml:space="preserve">the </w:t>
      </w:r>
      <w:r w:rsidR="00567F92">
        <w:t xml:space="preserve">researcher </w:t>
      </w:r>
      <w:r w:rsidR="005206FE">
        <w:t>themself</w:t>
      </w:r>
      <w:r w:rsidR="00567F92">
        <w:t xml:space="preserve"> as a part of the research. The qualitative approach also </w:t>
      </w:r>
      <w:r w:rsidR="001021F1">
        <w:t>requires</w:t>
      </w:r>
      <w:r w:rsidR="00567F92">
        <w:t xml:space="preserve"> researchers </w:t>
      </w:r>
      <w:r w:rsidR="005206FE" w:rsidRPr="005206FE">
        <w:t>to have much more relation regarding the people being researched than</w:t>
      </w:r>
      <w:r w:rsidR="00567F92">
        <w:t xml:space="preserve"> the positivist quantitative takers. Denzin and Lincoln (2008, pp32) express those qualitative researchers fall into the constructivist use of interpretations, case studies and ethnographic fiction to conduct research. </w:t>
      </w:r>
      <w:r w:rsidR="00567F92" w:rsidRPr="003A45F1">
        <w:t>B</w:t>
      </w:r>
      <w:r w:rsidR="00567F92">
        <w:t>ryman</w:t>
      </w:r>
      <w:r w:rsidR="00567F92" w:rsidRPr="003A45F1">
        <w:t xml:space="preserve"> (2016</w:t>
      </w:r>
      <w:r w:rsidR="00567F92">
        <w:t xml:space="preserve">, pp104-105) shows that </w:t>
      </w:r>
      <w:r w:rsidR="005206FE">
        <w:t>compared</w:t>
      </w:r>
      <w:r w:rsidR="00567F92">
        <w:t xml:space="preserve"> with the quantitative method, the qualitative approach set a closer relationship with the subject from an inside aspect</w:t>
      </w:r>
      <w:r w:rsidR="005206FE">
        <w:t>. Quantitatively</w:t>
      </w:r>
      <w:r w:rsidR="00567F92">
        <w:t xml:space="preserve">, researchers have much less contact with the </w:t>
      </w:r>
      <w:r w:rsidR="005206FE">
        <w:t>issues</w:t>
      </w:r>
      <w:r w:rsidR="00567F92">
        <w:t xml:space="preserve"> </w:t>
      </w:r>
      <w:r w:rsidR="005206FE">
        <w:t>than</w:t>
      </w:r>
      <w:r w:rsidR="00567F92">
        <w:t xml:space="preserve"> </w:t>
      </w:r>
      <w:r w:rsidR="005206FE">
        <w:t xml:space="preserve">with </w:t>
      </w:r>
      <w:r w:rsidR="00567F92">
        <w:t>the qualitative method.</w:t>
      </w:r>
      <w:r w:rsidR="00C51A0D">
        <w:t xml:space="preserve"> The qualitative appliers need to fit as an insider dealing with the research target rather than an outsider </w:t>
      </w:r>
      <w:r w:rsidR="001021F1">
        <w:t>observing</w:t>
      </w:r>
      <w:r w:rsidR="00C51A0D">
        <w:t xml:space="preserve"> the objectives only. </w:t>
      </w:r>
      <w:r w:rsidR="00C51A0D" w:rsidRPr="003A45F1">
        <w:t>B</w:t>
      </w:r>
      <w:r w:rsidR="00C51A0D">
        <w:t>ryman</w:t>
      </w:r>
      <w:r w:rsidR="00C51A0D" w:rsidRPr="003A45F1">
        <w:t xml:space="preserve"> (2016</w:t>
      </w:r>
      <w:r w:rsidR="00C51A0D">
        <w:t xml:space="preserve">, </w:t>
      </w:r>
      <w:r w:rsidR="001021F1">
        <w:t>p106</w:t>
      </w:r>
      <w:r w:rsidR="00C51A0D">
        <w:t xml:space="preserve">) views quantitative researchers as outsiders </w:t>
      </w:r>
      <w:r w:rsidR="005206FE">
        <w:t>regarding</w:t>
      </w:r>
      <w:r w:rsidR="00C51A0D">
        <w:t xml:space="preserve"> subjects</w:t>
      </w:r>
      <w:r w:rsidR="005206FE">
        <w:t>,</w:t>
      </w:r>
      <w:r w:rsidR="00C51A0D">
        <w:t xml:space="preserve"> while qualitative researchers are insiders regarding the </w:t>
      </w:r>
      <w:r w:rsidR="005206FE">
        <w:t>issues</w:t>
      </w:r>
      <w:r w:rsidR="00C51A0D">
        <w:t xml:space="preserve">. Quantitative researchers </w:t>
      </w:r>
      <w:r w:rsidR="001021F1">
        <w:t>focus on data collection and analysis</w:t>
      </w:r>
      <w:r w:rsidR="00C51A0D">
        <w:t xml:space="preserve">, while qualitative researchers seek views from the subjects’ eyes. </w:t>
      </w:r>
    </w:p>
    <w:p w14:paraId="2FB3F96F" w14:textId="77777777" w:rsidR="004E78F9" w:rsidRDefault="004E78F9" w:rsidP="00C544B9">
      <w:pPr>
        <w:pStyle w:val="2"/>
      </w:pPr>
      <w:bookmarkStart w:id="25" w:name="_Toc121692854"/>
    </w:p>
    <w:p w14:paraId="18C810BB" w14:textId="0777F39C" w:rsidR="00C544B9" w:rsidRDefault="006655E0" w:rsidP="00C544B9">
      <w:pPr>
        <w:pStyle w:val="2"/>
      </w:pPr>
      <w:bookmarkStart w:id="26" w:name="_Toc124422987"/>
      <w:r>
        <w:t xml:space="preserve">4.2 Selection from </w:t>
      </w:r>
      <w:r w:rsidR="00331BAE">
        <w:t>f</w:t>
      </w:r>
      <w:r>
        <w:t xml:space="preserve">ive </w:t>
      </w:r>
      <w:r w:rsidR="00331BAE">
        <w:t>q</w:t>
      </w:r>
      <w:r w:rsidR="00C544B9">
        <w:t xml:space="preserve">ualitative </w:t>
      </w:r>
      <w:r w:rsidR="00331BAE">
        <w:t>a</w:t>
      </w:r>
      <w:r w:rsidR="00C544B9">
        <w:t>pproach</w:t>
      </w:r>
      <w:bookmarkEnd w:id="25"/>
      <w:r w:rsidR="00D5286F">
        <w:t>es</w:t>
      </w:r>
      <w:bookmarkEnd w:id="26"/>
    </w:p>
    <w:p w14:paraId="68BB9448" w14:textId="77777777" w:rsidR="00C544B9" w:rsidRDefault="00C544B9" w:rsidP="003C1F90"/>
    <w:p w14:paraId="19918E9D" w14:textId="2EB0E93B" w:rsidR="003C1F90" w:rsidRDefault="00063AB7" w:rsidP="003C1F90">
      <w:r>
        <w:lastRenderedPageBreak/>
        <w:t>Although a mixed method could be suitable for the research</w:t>
      </w:r>
      <w:r w:rsidR="0095205F">
        <w:t xml:space="preserve">, </w:t>
      </w:r>
      <w:proofErr w:type="gramStart"/>
      <w:r w:rsidR="00C544B9">
        <w:t>Denzin</w:t>
      </w:r>
      <w:proofErr w:type="gramEnd"/>
      <w:r w:rsidR="003C1F90">
        <w:t xml:space="preserve"> </w:t>
      </w:r>
      <w:r>
        <w:t xml:space="preserve">and Lincoln (2008, pp12) express that </w:t>
      </w:r>
      <w:r w:rsidR="0095205F">
        <w:t>diverse</w:t>
      </w:r>
      <w:r>
        <w:t xml:space="preserve"> research often applies qualitative methods in the first stage to explore, then use the quantitative </w:t>
      </w:r>
      <w:r w:rsidR="0095205F">
        <w:t>procedure</w:t>
      </w:r>
      <w:r>
        <w:t xml:space="preserve"> to confirm. In this topic, the researcher would select from qualitative methods. The researcher rejects the narrative approach first. </w:t>
      </w:r>
      <w:r w:rsidRPr="003F4D64">
        <w:t>Creswell</w:t>
      </w:r>
      <w:r>
        <w:t xml:space="preserve"> </w:t>
      </w:r>
      <w:r w:rsidRPr="003F4D64">
        <w:t>(</w:t>
      </w:r>
      <w:r>
        <w:t>2007, pp54-55</w:t>
      </w:r>
      <w:r w:rsidRPr="003F4D64">
        <w:t>)</w:t>
      </w:r>
      <w:r>
        <w:t xml:space="preserve"> expresses that narrative research is a </w:t>
      </w:r>
      <w:r w:rsidR="0095205F">
        <w:t>unique</w:t>
      </w:r>
      <w:r>
        <w:t xml:space="preserve"> qualitative method by deeply digging into the story told by one individual, distinguishing</w:t>
      </w:r>
      <w:r w:rsidRPr="00535EDC">
        <w:t xml:space="preserve"> between narrative studies as authorial analysis of different </w:t>
      </w:r>
      <w:r w:rsidR="0095205F">
        <w:t>levels</w:t>
      </w:r>
      <w:r w:rsidRPr="00535EDC">
        <w:t xml:space="preserve"> and biographical studies</w:t>
      </w:r>
      <w:r>
        <w:t xml:space="preserve">. </w:t>
      </w:r>
      <w:r w:rsidR="0095205F">
        <w:t xml:space="preserve">Creswell (2007, pp55-57) also says </w:t>
      </w:r>
      <w:r w:rsidR="0095205F" w:rsidRPr="00674828">
        <w:t>that narrative research is a process of rewriting the complete experience of the subject of the investigation into a composite framework of rewritten stories.</w:t>
      </w:r>
      <w:r w:rsidR="0095205F">
        <w:t xml:space="preserve"> However, only one </w:t>
      </w:r>
      <w:r w:rsidR="004F4CF2">
        <w:t>or several brokers’</w:t>
      </w:r>
      <w:r w:rsidR="0095205F">
        <w:t xml:space="preserve"> life </w:t>
      </w:r>
      <w:r w:rsidR="004F4CF2">
        <w:t>stories</w:t>
      </w:r>
      <w:r w:rsidR="0095205F">
        <w:t xml:space="preserve"> cannot affect the whole group; it may profoundly affect by an individual’s background. Different backgrounds could lead to different professional identities in the same job </w:t>
      </w:r>
      <w:r w:rsidR="00FB4C9C">
        <w:t>or working environment</w:t>
      </w:r>
      <w:r w:rsidR="0095205F">
        <w:t xml:space="preserve">. </w:t>
      </w:r>
      <w:bookmarkStart w:id="27" w:name="_Hlk121326448"/>
      <w:r w:rsidR="003C1F90">
        <w:t>Creswell (2007, pp57)</w:t>
      </w:r>
      <w:bookmarkEnd w:id="27"/>
      <w:r w:rsidR="003C1F90">
        <w:t xml:space="preserve"> explains that narrative research is a challenging way of qualitative research regarding the deep processing </w:t>
      </w:r>
      <w:r w:rsidR="00713E88">
        <w:t xml:space="preserve">of </w:t>
      </w:r>
      <w:r w:rsidR="003C1F90">
        <w:t xml:space="preserve">the participant’s life story and restoring it in consideration of the researcher’s background.  </w:t>
      </w:r>
      <w:r w:rsidR="003E368C">
        <w:t>Plus, every city differs in the industry structure and working environment, which could lead written one life story failing to describe an occupation group.</w:t>
      </w:r>
      <w:r w:rsidR="00514ACD">
        <w:t xml:space="preserve"> </w:t>
      </w:r>
      <w:r w:rsidR="00514ACD" w:rsidRPr="00514ACD">
        <w:t xml:space="preserve">Using </w:t>
      </w:r>
      <w:r w:rsidR="00514ACD">
        <w:t xml:space="preserve">a </w:t>
      </w:r>
      <w:r w:rsidR="00514ACD" w:rsidRPr="00514ACD">
        <w:t xml:space="preserve">narrative way to conduct this research may increase the biases and prejudices </w:t>
      </w:r>
      <w:r w:rsidR="00514ACD">
        <w:t>for both the researcher and the respondents.</w:t>
      </w:r>
    </w:p>
    <w:p w14:paraId="3C315646" w14:textId="483CAFFF" w:rsidR="0087548F" w:rsidRDefault="0087548F" w:rsidP="003C1F90"/>
    <w:p w14:paraId="010BDE20" w14:textId="233CE67B" w:rsidR="004C65F1" w:rsidRDefault="0087548F" w:rsidP="004D12AF">
      <w:pPr>
        <w:jc w:val="left"/>
      </w:pPr>
      <w:r>
        <w:t xml:space="preserve">The researcher secondly rejects the phenomenology approach. </w:t>
      </w:r>
      <w:r w:rsidR="0066207A">
        <w:t xml:space="preserve">Creswell (2007, pp58) </w:t>
      </w:r>
      <w:r w:rsidR="0066207A" w:rsidRPr="00797AE5">
        <w:t>explains that</w:t>
      </w:r>
      <w:r w:rsidR="0066207A">
        <w:t xml:space="preserve"> compared with narrative research digging into one individual’s story, </w:t>
      </w:r>
      <w:r w:rsidR="0066207A" w:rsidRPr="00797AE5">
        <w:t>the</w:t>
      </w:r>
      <w:r w:rsidR="0066207A">
        <w:t xml:space="preserve"> phenomenology</w:t>
      </w:r>
      <w:r w:rsidR="0066207A" w:rsidRPr="00797AE5">
        <w:t xml:space="preserve"> research method </w:t>
      </w:r>
      <w:r w:rsidR="0066207A">
        <w:t>explains</w:t>
      </w:r>
      <w:r w:rsidR="0066207A" w:rsidRPr="00797AE5">
        <w:t xml:space="preserve"> the meaning of multiple people's lived </w:t>
      </w:r>
      <w:r w:rsidR="0066207A">
        <w:t>experiences</w:t>
      </w:r>
      <w:r w:rsidR="0066207A" w:rsidRPr="00797AE5">
        <w:t xml:space="preserve"> of the same phenomenon or concept</w:t>
      </w:r>
      <w:r w:rsidR="0066207A">
        <w:t>.</w:t>
      </w:r>
      <w:r w:rsidR="004C65F1" w:rsidRPr="004C65F1">
        <w:t xml:space="preserve"> </w:t>
      </w:r>
      <w:r w:rsidR="004C65F1">
        <w:t xml:space="preserve">And Creswell (2007, pp60-62) illustrates that phenomenology is suitable for researching the common or shared experiences among individuals to explore the meaning of being entitled to identity. </w:t>
      </w:r>
      <w:proofErr w:type="spellStart"/>
      <w:r w:rsidR="000F0554" w:rsidRPr="000F0554">
        <w:t>Aguinis</w:t>
      </w:r>
      <w:proofErr w:type="spellEnd"/>
      <w:r w:rsidR="000F0554" w:rsidRPr="000F0554">
        <w:t xml:space="preserve"> and </w:t>
      </w:r>
      <w:proofErr w:type="spellStart"/>
      <w:r w:rsidR="000F0554" w:rsidRPr="000F0554">
        <w:t>Glavas</w:t>
      </w:r>
      <w:proofErr w:type="spellEnd"/>
      <w:r w:rsidR="000F0554" w:rsidRPr="000F0554">
        <w:t xml:space="preserve"> (2017) discussed how Corporate social responsibility (CSR) expands the concept of work beyond the individual and the job, giving workers a greater sense of self-identity and finding meaning through their work; scholars have taken the idea of how the phenomenon is perceived by different people involved, both inside and outside the company, as an approach to the phenomenon that bears the feature of a phenomenological approach. </w:t>
      </w:r>
      <w:r w:rsidR="000F0554">
        <w:t xml:space="preserve">However, </w:t>
      </w:r>
      <w:r w:rsidR="0038351C">
        <w:t>the</w:t>
      </w:r>
      <w:r w:rsidR="0066207A">
        <w:t xml:space="preserve"> first reason </w:t>
      </w:r>
      <w:r w:rsidR="00610A92">
        <w:t xml:space="preserve">to reject this approach </w:t>
      </w:r>
      <w:r w:rsidR="0066207A">
        <w:t xml:space="preserve">is that phenomenology is </w:t>
      </w:r>
      <w:r w:rsidR="004C65F1">
        <w:t>unsuitable</w:t>
      </w:r>
      <w:r w:rsidR="0066207A">
        <w:t xml:space="preserve"> for justifying the specific occupation group’s professional identity. And the interpretation of this approach would be deeply affected by the researcher’s background</w:t>
      </w:r>
      <w:r w:rsidR="00F6020B">
        <w:t>.</w:t>
      </w:r>
      <w:r w:rsidR="0066207A">
        <w:t xml:space="preserve"> The second reason is that </w:t>
      </w:r>
      <w:r w:rsidR="004C65F1" w:rsidRPr="004C65F1">
        <w:t xml:space="preserve">the researcher’s </w:t>
      </w:r>
      <w:r w:rsidR="00F6020B">
        <w:t>view</w:t>
      </w:r>
      <w:r w:rsidR="004C65F1" w:rsidRPr="004C65F1">
        <w:t xml:space="preserve"> </w:t>
      </w:r>
      <w:r w:rsidR="004C65F1">
        <w:t>profoundly</w:t>
      </w:r>
      <w:r w:rsidR="004C65F1" w:rsidRPr="004C65F1">
        <w:t xml:space="preserve"> influences the understanding of this approach</w:t>
      </w:r>
      <w:r w:rsidR="0066207A">
        <w:t>.</w:t>
      </w:r>
      <w:r w:rsidR="004C65F1">
        <w:t xml:space="preserve"> </w:t>
      </w:r>
      <w:bookmarkStart w:id="28" w:name="_Hlk121331737"/>
      <w:r w:rsidR="004C65F1">
        <w:t>Creswell (2007, pp60-62) illustrates that phenomenology is suitable for researching the common or shared experiences among individuals to explore the meaning of being entitled to identity.  The third reason is that the researcher’s role position would change the interpretation of the survey. Creswell (2007, pp62) explains that in phenomenology,</w:t>
      </w:r>
      <w:r w:rsidR="004C65F1" w:rsidRPr="00C9353A">
        <w:t xml:space="preserve"> the researcher needs to decide how </w:t>
      </w:r>
      <w:r w:rsidR="004C65F1">
        <w:t>their</w:t>
      </w:r>
      <w:r w:rsidR="004C65F1" w:rsidRPr="00C9353A">
        <w:t xml:space="preserve"> role position will be added to the study and what impact it will have on the </w:t>
      </w:r>
      <w:r w:rsidR="004C65F1">
        <w:t>survey.</w:t>
      </w:r>
      <w:r w:rsidR="008D1A01">
        <w:t xml:space="preserve"> To sum up, applying phenomenology would enlarge the biases and prejudices </w:t>
      </w:r>
      <w:r w:rsidR="009810F7">
        <w:t>caused</w:t>
      </w:r>
      <w:r w:rsidR="008D1A01">
        <w:t xml:space="preserve"> by the </w:t>
      </w:r>
      <w:r w:rsidR="006C71EC">
        <w:t>researcher</w:t>
      </w:r>
      <w:r w:rsidR="008D1A01">
        <w:t>.</w:t>
      </w:r>
    </w:p>
    <w:p w14:paraId="04467EF2" w14:textId="1F80A9D6" w:rsidR="004C65F1" w:rsidRDefault="004C65F1" w:rsidP="004C65F1"/>
    <w:p w14:paraId="26D0114A" w14:textId="77777777" w:rsidR="00753F70" w:rsidRDefault="004C65F1" w:rsidP="00FA3408">
      <w:r>
        <w:t xml:space="preserve">The researcher thirdly </w:t>
      </w:r>
      <w:r w:rsidR="00CA03BB">
        <w:t>rejects</w:t>
      </w:r>
      <w:r>
        <w:t xml:space="preserve"> the </w:t>
      </w:r>
      <w:r w:rsidR="00CA03BB">
        <w:t>grounded theory approach. Creswell (2007, pp62-64) states that the grounded theory approach is to</w:t>
      </w:r>
      <w:r w:rsidR="00CA03BB" w:rsidRPr="00CE5732">
        <w:t xml:space="preserve"> </w:t>
      </w:r>
      <w:r w:rsidR="00CA03BB">
        <w:t>develop</w:t>
      </w:r>
      <w:r w:rsidR="00CA03BB" w:rsidRPr="00CE5732">
        <w:t xml:space="preserve"> a theory of creation based on participant data</w:t>
      </w:r>
      <w:r w:rsidR="00CA03BB">
        <w:t>. The primary process for this approach is to c</w:t>
      </w:r>
      <w:r w:rsidR="00FA3408">
        <w:t>onstruct</w:t>
      </w:r>
      <w:r w:rsidR="00CA03BB">
        <w:t xml:space="preserve"> a new theory based on the existing theories and 20-30 interviews</w:t>
      </w:r>
      <w:r w:rsidR="000D16C8">
        <w:t>.</w:t>
      </w:r>
      <w:r w:rsidR="00CA03BB">
        <w:t xml:space="preserve"> </w:t>
      </w:r>
      <w:r w:rsidR="00FA3408">
        <w:t>Creswell (2007, pp64-68) views t</w:t>
      </w:r>
      <w:r w:rsidR="00FA3408" w:rsidRPr="00F67E67">
        <w:t>he grounded theory approach</w:t>
      </w:r>
      <w:r w:rsidR="00FA3408">
        <w:t xml:space="preserve"> as</w:t>
      </w:r>
      <w:r w:rsidR="00FA3408" w:rsidRPr="00F67E67">
        <w:t xml:space="preserve"> a process of constructing new theories to explain based on dozens of field interviews</w:t>
      </w:r>
      <w:r w:rsidR="00FA3408">
        <w:t xml:space="preserve"> which shows that grounded theory is a coding process by open interviews stage by stage, which is an engagement construction of the researcher and the interviewers; he also explains that when researchers conduct the grounded theory method, they need to set aside the theoretical </w:t>
      </w:r>
      <w:r w:rsidR="00FA3408" w:rsidRPr="00417BFE">
        <w:t>understanding as much as possible to construct new theories</w:t>
      </w:r>
      <w:r w:rsidR="00FA3408">
        <w:t>.</w:t>
      </w:r>
      <w:r w:rsidR="000F0554" w:rsidRPr="000F0554">
        <w:t xml:space="preserve"> </w:t>
      </w:r>
    </w:p>
    <w:p w14:paraId="425CF6CC" w14:textId="77777777" w:rsidR="00753F70" w:rsidRDefault="00753F70" w:rsidP="00FA3408"/>
    <w:p w14:paraId="3D2785E6" w14:textId="115D73A2" w:rsidR="00FA3408" w:rsidRDefault="000F0554" w:rsidP="00FA3408">
      <w:r w:rsidRPr="000F0554">
        <w:t xml:space="preserve">Brown (2018) reviewed how scholars have spoken about the application of identity studies to different fields in recent years; he calls for more scholars to join this hot area of research and hopes that scholars will create new theories with a critical perspective on the integration of identity studies into subfields of organisation theory to create new theories. </w:t>
      </w:r>
      <w:r>
        <w:t xml:space="preserve">And </w:t>
      </w:r>
      <w:proofErr w:type="spellStart"/>
      <w:r w:rsidRPr="000F0554">
        <w:t>Santaella</w:t>
      </w:r>
      <w:proofErr w:type="spellEnd"/>
      <w:r w:rsidRPr="000F0554">
        <w:t xml:space="preserve"> (2018) compared the situations of two secondary school principals in disadvantaged environments, one considered successful and the other less successful; the scholar used a grounded theory approach to uncover differences in the professional identities of the two </w:t>
      </w:r>
      <w:r>
        <w:t>principals</w:t>
      </w:r>
      <w:r w:rsidRPr="000F0554">
        <w:t xml:space="preserve"> and to suggest theoretical underpinnings for the professional identity of the headmaster community in a state of adversity.</w:t>
      </w:r>
      <w:r>
        <w:t xml:space="preserve"> The think-tank approach is </w:t>
      </w:r>
      <w:proofErr w:type="gramStart"/>
      <w:r>
        <w:t>similar to</w:t>
      </w:r>
      <w:proofErr w:type="gramEnd"/>
      <w:r>
        <w:t xml:space="preserve"> the grounded theory in the professional identity field.</w:t>
      </w:r>
      <w:r w:rsidRPr="000F0554">
        <w:t xml:space="preserve"> </w:t>
      </w:r>
      <w:proofErr w:type="spellStart"/>
      <w:r w:rsidRPr="000F0554">
        <w:t>Goodolf</w:t>
      </w:r>
      <w:proofErr w:type="spellEnd"/>
      <w:r w:rsidRPr="000F0554">
        <w:t xml:space="preserve"> and Godfrey (2021) examined the professional identity of nursing professionals; the scholar</w:t>
      </w:r>
      <w:r w:rsidR="00672FA7">
        <w:t xml:space="preserve">s </w:t>
      </w:r>
      <w:r w:rsidRPr="000F0554">
        <w:t>explore</w:t>
      </w:r>
      <w:r w:rsidR="00672FA7" w:rsidRPr="000F0554">
        <w:t xml:space="preserve"> the think-tank approach </w:t>
      </w:r>
      <w:r w:rsidRPr="000F0554">
        <w:t>method</w:t>
      </w:r>
      <w:r w:rsidR="00672FA7">
        <w:t>,</w:t>
      </w:r>
      <w:r w:rsidRPr="000F0554">
        <w:t xml:space="preserve"> </w:t>
      </w:r>
      <w:r w:rsidR="00672FA7">
        <w:t xml:space="preserve">which is </w:t>
      </w:r>
      <w:r w:rsidR="00736369" w:rsidRPr="000F0554">
        <w:t>like</w:t>
      </w:r>
      <w:r w:rsidRPr="000F0554">
        <w:t xml:space="preserve"> </w:t>
      </w:r>
      <w:r w:rsidR="00FA51C4">
        <w:t xml:space="preserve">the </w:t>
      </w:r>
      <w:r w:rsidRPr="000F0554">
        <w:t>grounded theory</w:t>
      </w:r>
      <w:r w:rsidR="00FA51C4">
        <w:t>;</w:t>
      </w:r>
      <w:r w:rsidRPr="000F0554">
        <w:t xml:space="preserve"> the scholar describes as having better results in building new knowledge and language in a discipline using a well-structured think-tank. Hanna et al. (2022) developed a new branch of theory within professional identity to explain the complex relationship between professional tensions and professional identity. Creating the new theory was based on an in-depth analysis of a group of Dutch primary school teachers using extensive quantitative analysis. </w:t>
      </w:r>
      <w:r w:rsidR="00FA3408" w:rsidRPr="00FA3408">
        <w:t xml:space="preserve"> </w:t>
      </w:r>
      <w:r w:rsidR="00FA3408">
        <w:t>The reason to reject this approach is that in this research, the researcher applies the existing paradigm and theories to a new occupational group rather than construct a new theory.</w:t>
      </w:r>
      <w:r w:rsidR="00E4777E">
        <w:t xml:space="preserve"> It is </w:t>
      </w:r>
      <w:r w:rsidR="00341EAE">
        <w:t xml:space="preserve">about </w:t>
      </w:r>
      <w:r w:rsidR="00DE7191">
        <w:t>using ideas in a new area</w:t>
      </w:r>
      <w:r w:rsidR="00341EAE">
        <w:t xml:space="preserve"> </w:t>
      </w:r>
      <w:r w:rsidR="00DE7191">
        <w:t>ra</w:t>
      </w:r>
      <w:r w:rsidR="00341EAE">
        <w:t xml:space="preserve">ther than </w:t>
      </w:r>
      <w:r w:rsidR="00E4777E">
        <w:t>creating a new theory to describe the complex problem in this research. It is more like a study system shifting from other professional identities in other occupations to the property broker occupation in China.</w:t>
      </w:r>
    </w:p>
    <w:p w14:paraId="3D186AB4" w14:textId="6CC25A9F" w:rsidR="00FA3408" w:rsidRDefault="00FA3408" w:rsidP="00FA3408"/>
    <w:p w14:paraId="6B44F45F" w14:textId="3F83D1F1" w:rsidR="00BF0CFF" w:rsidRDefault="00572534" w:rsidP="00BA365A">
      <w:pPr>
        <w:jc w:val="left"/>
      </w:pPr>
      <w:r>
        <w:t>The researcher also rejects the ethnography approach. Creswell (2007, pp68-69) expresses that e</w:t>
      </w:r>
      <w:r w:rsidRPr="00DC4964">
        <w:t xml:space="preserve">thnography is concerned with the </w:t>
      </w:r>
      <w:r w:rsidR="00341EAE">
        <w:t>familiar</w:t>
      </w:r>
      <w:r w:rsidRPr="00DC4964">
        <w:t xml:space="preserve"> patterns of a group, and in-depth fieldwork is a better way to understand the patterns of a group.</w:t>
      </w:r>
      <w:r>
        <w:t xml:space="preserve"> Creswell (2007, pp70-72) also explains that e</w:t>
      </w:r>
      <w:r w:rsidRPr="00F6156A">
        <w:t>thnogra</w:t>
      </w:r>
      <w:r>
        <w:t>phy</w:t>
      </w:r>
      <w:r w:rsidRPr="00F6156A">
        <w:t xml:space="preserve"> research involves intensive observation, measurement, interviewing, analysis, etc., to understand the </w:t>
      </w:r>
      <w:r>
        <w:t>typical</w:t>
      </w:r>
      <w:r w:rsidRPr="00F6156A">
        <w:t xml:space="preserve"> behavioural patterns </w:t>
      </w:r>
      <w:r w:rsidRPr="00F6156A">
        <w:lastRenderedPageBreak/>
        <w:t>and characteristics of the group under investigation.</w:t>
      </w:r>
      <w:r w:rsidR="00531AFD">
        <w:t xml:space="preserve"> </w:t>
      </w:r>
      <w:r w:rsidR="00531AFD" w:rsidRPr="00531AFD">
        <w:t xml:space="preserve">Willetts and Garvey (2020), using an ethnographic approach, selected a group that has also received little attention in professional identity scholarship. They used extended observation, interviews, and field notes in conjunction with a sample survey to examine how the group performance of a group of nurses in an acute Australian healthcare setting in particular setting influenced the group's professional identity. </w:t>
      </w:r>
      <w:r w:rsidR="00531AFD">
        <w:t xml:space="preserve">And </w:t>
      </w:r>
      <w:r w:rsidR="00667170">
        <w:t>V</w:t>
      </w:r>
      <w:r w:rsidR="00531AFD" w:rsidRPr="00531AFD">
        <w:t>an Braak et al. (2021) conducted a study on how collective reflection can be used to promote the positive contribution of reflection to professional advancement; scholars have conducted in-depth observations, surveys, and interviews with teachers in Dutch general practitioner training institutions, which reflect ideas in addition to an ethnographic approach.</w:t>
      </w:r>
      <w:r>
        <w:t xml:space="preserve"> </w:t>
      </w:r>
      <w:r w:rsidR="00531AFD">
        <w:t xml:space="preserve">However, the </w:t>
      </w:r>
      <w:r w:rsidR="0085004B">
        <w:t>e</w:t>
      </w:r>
      <w:r>
        <w:t xml:space="preserve">thnography </w:t>
      </w:r>
      <w:r w:rsidR="00531AFD">
        <w:t xml:space="preserve">approach </w:t>
      </w:r>
      <w:r>
        <w:t>does not fit the professional identity of real estate brokers because brokers come from different cultural backgrounds, work for different agents, and have different educational levels. So, they cannot consider a shared cultural background group to fit the ethnography.</w:t>
      </w:r>
      <w:r w:rsidR="003130B0">
        <w:t xml:space="preserve"> </w:t>
      </w:r>
    </w:p>
    <w:p w14:paraId="2B7C06D2" w14:textId="77777777" w:rsidR="00BF0CFF" w:rsidRDefault="00BF0CFF" w:rsidP="00572534"/>
    <w:p w14:paraId="70104CE8" w14:textId="28484DF6" w:rsidR="00572534" w:rsidRDefault="00572534" w:rsidP="00572534">
      <w:r>
        <w:t>Regarding the period for fieldwork, Creswell (2007, pp72) explains that e</w:t>
      </w:r>
      <w:r w:rsidRPr="00E77889">
        <w:t>thnograph</w:t>
      </w:r>
      <w:r>
        <w:t>y</w:t>
      </w:r>
      <w:r w:rsidRPr="00E77889">
        <w:t xml:space="preserve"> research methods are constrained by the need to observe and analyse the group over a long </w:t>
      </w:r>
      <w:r>
        <w:t>time, and the investigator needs</w:t>
      </w:r>
      <w:r w:rsidRPr="00E77889">
        <w:t xml:space="preserve"> to exclude the influence of the ego in the research.</w:t>
      </w:r>
      <w:r>
        <w:t xml:space="preserve"> The </w:t>
      </w:r>
      <w:r w:rsidR="00C71F09">
        <w:t>researcher</w:t>
      </w:r>
      <w:r>
        <w:t xml:space="preserve"> </w:t>
      </w:r>
      <w:r w:rsidR="00690D42">
        <w:t>needs</w:t>
      </w:r>
      <w:r w:rsidR="00296B9B">
        <w:t xml:space="preserve"> to</w:t>
      </w:r>
      <w:r>
        <w:t xml:space="preserve"> do the fieldwork </w:t>
      </w:r>
      <w:r w:rsidR="00C71F09">
        <w:t>for</w:t>
      </w:r>
      <w:r>
        <w:t xml:space="preserve"> </w:t>
      </w:r>
      <w:r w:rsidR="00C71F09">
        <w:t>two</w:t>
      </w:r>
      <w:r>
        <w:t xml:space="preserve"> or more years among the real estate brokers</w:t>
      </w:r>
      <w:r w:rsidR="005E0CE7">
        <w:t xml:space="preserve">; however, the researcher plans to do this in a Doctor of Business Administration programme, which is shorter than the fieldwork period required for the ethnography approach. </w:t>
      </w:r>
      <w:r w:rsidR="009810F7">
        <w:t>Lack</w:t>
      </w:r>
      <w:r w:rsidR="005E0CE7">
        <w:t xml:space="preserve"> of time is also a significant reason to reject ethnography.</w:t>
      </w:r>
    </w:p>
    <w:p w14:paraId="00ADDBE2" w14:textId="77777777" w:rsidR="00671E45" w:rsidRDefault="00671E45" w:rsidP="00D44B9A"/>
    <w:p w14:paraId="196BF323" w14:textId="0C890C69" w:rsidR="00671E45" w:rsidRDefault="00B87D81" w:rsidP="00D44B9A">
      <w:r>
        <w:t>The researcher chooses the case study approach. The first reason</w:t>
      </w:r>
      <w:r w:rsidR="004702C9">
        <w:t xml:space="preserve"> </w:t>
      </w:r>
      <w:r w:rsidR="00966777">
        <w:t xml:space="preserve">is </w:t>
      </w:r>
      <w:r w:rsidR="00E44F92">
        <w:t xml:space="preserve">that </w:t>
      </w:r>
      <w:r w:rsidR="00966777">
        <w:t>s</w:t>
      </w:r>
      <w:r w:rsidR="00966777" w:rsidRPr="00966777">
        <w:t xml:space="preserve">ampling from different contexts can </w:t>
      </w:r>
      <w:r w:rsidR="00E44F92">
        <w:t>effectively represent</w:t>
      </w:r>
      <w:r w:rsidR="00966777" w:rsidRPr="00966777">
        <w:t xml:space="preserve"> the whole</w:t>
      </w:r>
      <w:r w:rsidR="00966777">
        <w:t xml:space="preserve">. The researcher would carefully </w:t>
      </w:r>
      <w:r w:rsidR="00E44F92">
        <w:t>select</w:t>
      </w:r>
      <w:r w:rsidR="00966777">
        <w:t xml:space="preserve"> the multi-samples from </w:t>
      </w:r>
      <w:r w:rsidR="00E44F92">
        <w:t>various</w:t>
      </w:r>
      <w:r w:rsidR="00966777">
        <w:t xml:space="preserve"> real estate agents and regions to represent the whole group of Chinese brokers. Creswell (2007, pp73-74) expresses that the case study is more focused on the specific illustration </w:t>
      </w:r>
      <w:r w:rsidR="00E44F92">
        <w:t>than</w:t>
      </w:r>
      <w:r w:rsidR="00966777">
        <w:t xml:space="preserve"> digging into the cultural background using the ethnography method</w:t>
      </w:r>
      <w:r w:rsidR="00835724">
        <w:t>; however</w:t>
      </w:r>
      <w:r w:rsidR="00966777">
        <w:t xml:space="preserve">, the researcher needs to choose the fit representative cases in the qualitative case study considering the impacts of different </w:t>
      </w:r>
      <w:r w:rsidR="00E44F92">
        <w:t>backgrounds</w:t>
      </w:r>
      <w:r w:rsidR="00966777">
        <w:t xml:space="preserve"> of cases.</w:t>
      </w:r>
      <w:r w:rsidR="005F585C">
        <w:t xml:space="preserve"> To conduct the </w:t>
      </w:r>
      <w:r w:rsidR="008D3355">
        <w:t xml:space="preserve">case study on Chinese property brokers, the researcher would select samples from different parts of China and </w:t>
      </w:r>
      <w:r w:rsidR="00E44F92" w:rsidRPr="00E44F92">
        <w:t>company types, including the leading agents</w:t>
      </w:r>
      <w:r w:rsidR="008D3355">
        <w:t xml:space="preserve"> like </w:t>
      </w:r>
      <w:r w:rsidR="00797464">
        <w:t xml:space="preserve">the </w:t>
      </w:r>
      <w:r w:rsidR="008D3355">
        <w:t>Lianjia agents and small agents in local communities.</w:t>
      </w:r>
      <w:r w:rsidR="00454815">
        <w:t xml:space="preserve"> </w:t>
      </w:r>
    </w:p>
    <w:p w14:paraId="2DEE91FD" w14:textId="77777777" w:rsidR="00671E45" w:rsidRDefault="00671E45" w:rsidP="00D44B9A"/>
    <w:p w14:paraId="65652474" w14:textId="28D9285F" w:rsidR="00D44B9A" w:rsidRDefault="008D3355" w:rsidP="00D44B9A">
      <w:r>
        <w:t xml:space="preserve">Meanwhile, </w:t>
      </w:r>
      <w:r w:rsidR="00E44F92" w:rsidRPr="00E44F92">
        <w:t>the new developer department and the existing or second-hand market department would be considered</w:t>
      </w:r>
      <w:r>
        <w:t xml:space="preserve">. </w:t>
      </w:r>
      <w:r w:rsidR="000B6F86" w:rsidRPr="003A45F1">
        <w:t>B</w:t>
      </w:r>
      <w:r w:rsidR="000B6F86">
        <w:t>ryman</w:t>
      </w:r>
      <w:r w:rsidR="000B6F86" w:rsidRPr="003A45F1">
        <w:t xml:space="preserve"> (2016</w:t>
      </w:r>
      <w:r w:rsidR="000B6F86">
        <w:t xml:space="preserve">, pp98) points out </w:t>
      </w:r>
      <w:r w:rsidR="00E44F92">
        <w:t xml:space="preserve">that </w:t>
      </w:r>
      <w:r w:rsidR="000B6F86">
        <w:t xml:space="preserve">qualitative researchers could deal with case study problems by increasing cases and investigating cases in a team. </w:t>
      </w:r>
      <w:r w:rsidR="00835724">
        <w:t xml:space="preserve">Once the researcher selects the samples, the case study boundaries </w:t>
      </w:r>
      <w:r w:rsidR="00E44F92">
        <w:t>must</w:t>
      </w:r>
      <w:r w:rsidR="00835724">
        <w:t xml:space="preserve"> be set up. </w:t>
      </w:r>
      <w:r w:rsidR="00D44B9A">
        <w:t>As Creswell (2007, pp75-76) illustrates</w:t>
      </w:r>
      <w:r w:rsidR="00E44F92">
        <w:t>, the</w:t>
      </w:r>
      <w:r w:rsidR="00D44B9A">
        <w:t xml:space="preserve"> qualitative case study approach needs to set boundaries around the case to avoid the ambiguity of </w:t>
      </w:r>
      <w:r w:rsidR="00E44F92">
        <w:t>a preliminary</w:t>
      </w:r>
      <w:r w:rsidR="00D44B9A">
        <w:t xml:space="preserve"> case </w:t>
      </w:r>
      <w:r w:rsidR="00D44B9A">
        <w:lastRenderedPageBreak/>
        <w:t>study.</w:t>
      </w:r>
    </w:p>
    <w:p w14:paraId="4A38224B" w14:textId="6688847D" w:rsidR="0094120A" w:rsidRDefault="0094120A" w:rsidP="00D44B9A"/>
    <w:p w14:paraId="1E4FA92C" w14:textId="0D80C02C" w:rsidR="0094120A" w:rsidRDefault="00287F68" w:rsidP="00287F68">
      <w:pPr>
        <w:jc w:val="left"/>
      </w:pPr>
      <w:r>
        <w:t>Yin (2004) suggests that the logical basis of a case study is extended analytical reasoning, that is, inductive reasoning that goes directly from individual cases to general conclusions. The greater the external validity we require</w:t>
      </w:r>
      <w:r w:rsidRPr="00287F68">
        <w:t xml:space="preserve">, the greater the </w:t>
      </w:r>
      <w:r>
        <w:t>extensibility</w:t>
      </w:r>
      <w:r w:rsidRPr="00287F68">
        <w:t xml:space="preserve"> greater the scope for extrapolation, </w:t>
      </w:r>
      <w:r>
        <w:t xml:space="preserve">and the greater the value of the case study findings. To do this, </w:t>
      </w:r>
      <w:r w:rsidR="0084081A">
        <w:t>the researcher</w:t>
      </w:r>
      <w:r>
        <w:t xml:space="preserve"> must capture typicality in </w:t>
      </w:r>
      <w:r w:rsidR="009C24B2">
        <w:t>the</w:t>
      </w:r>
      <w:r>
        <w:t xml:space="preserve"> case selection questions. This is, in fact, closely linked to the essence of the case study. So, if each case focuses on a particular category, it is also typical and </w:t>
      </w:r>
      <w:r w:rsidR="00B93972" w:rsidRPr="00B93972">
        <w:t>increases its findings' external validity</w:t>
      </w:r>
      <w:r>
        <w:t xml:space="preserve">. </w:t>
      </w:r>
      <w:r w:rsidR="00B93972">
        <w:t>Considering</w:t>
      </w:r>
      <w:r>
        <w:t xml:space="preserve"> Yin’s opinion, t</w:t>
      </w:r>
      <w:r w:rsidR="0094120A">
        <w:t xml:space="preserve">he </w:t>
      </w:r>
      <w:r w:rsidR="00AE2623">
        <w:t>researcher’s difficulty in using</w:t>
      </w:r>
      <w:r w:rsidR="0094120A">
        <w:t xml:space="preserve"> the case study may mainly come from two aspects. </w:t>
      </w:r>
      <w:r w:rsidR="00AE2623">
        <w:t>The</w:t>
      </w:r>
      <w:r w:rsidR="0094120A">
        <w:t xml:space="preserve"> first one is how to select the appropriate cases. The possible way to deal with this problem would be to </w:t>
      </w:r>
      <w:r w:rsidR="00AE2623">
        <w:t>minimise</w:t>
      </w:r>
      <w:r w:rsidR="0094120A">
        <w:t xml:space="preserve"> the differences between </w:t>
      </w:r>
      <w:r w:rsidR="00AE2623">
        <w:t xml:space="preserve">the </w:t>
      </w:r>
      <w:r w:rsidR="0094120A">
        <w:t xml:space="preserve">observation </w:t>
      </w:r>
      <w:r w:rsidR="00AE2623">
        <w:t>and comparison groups</w:t>
      </w:r>
      <w:r w:rsidR="0094120A">
        <w:t xml:space="preserve">, </w:t>
      </w:r>
      <w:r w:rsidR="00AE2623">
        <w:t>leaving</w:t>
      </w:r>
      <w:r w:rsidR="0094120A">
        <w:t xml:space="preserve"> key </w:t>
      </w:r>
      <w:r w:rsidR="00AE2623">
        <w:t>differences</w:t>
      </w:r>
      <w:r w:rsidR="0094120A">
        <w:t xml:space="preserve"> to contrast.</w:t>
      </w:r>
      <w:r w:rsidR="00AE2623">
        <w:t xml:space="preserve"> Another solution </w:t>
      </w:r>
      <w:r w:rsidR="00AE2623" w:rsidRPr="00AE2623">
        <w:t>is to narrow the research location to a specific city to ensure the cases are</w:t>
      </w:r>
      <w:r w:rsidR="00AE2623">
        <w:t xml:space="preserve"> more reliable.</w:t>
      </w:r>
      <w:r w:rsidR="0094120A">
        <w:t xml:space="preserve">  </w:t>
      </w:r>
      <w:r w:rsidR="00A202CC" w:rsidRPr="00A202CC">
        <w:t xml:space="preserve">In their study of the similarities and differences in the professional identities of state </w:t>
      </w:r>
      <w:r w:rsidR="00AE054A" w:rsidRPr="00A202CC">
        <w:t>schoolteacher</w:t>
      </w:r>
      <w:r w:rsidR="00A202CC" w:rsidRPr="00A202CC">
        <w:t xml:space="preserve"> groups and </w:t>
      </w:r>
      <w:proofErr w:type="gramStart"/>
      <w:r w:rsidR="00AE054A">
        <w:t>public school</w:t>
      </w:r>
      <w:proofErr w:type="gramEnd"/>
      <w:r w:rsidR="00A202CC" w:rsidRPr="00A202CC">
        <w:t xml:space="preserve"> teacher groups in China, </w:t>
      </w:r>
      <w:r w:rsidR="00AE054A">
        <w:t>researchers</w:t>
      </w:r>
      <w:r w:rsidR="00A202CC" w:rsidRPr="00A202CC">
        <w:t xml:space="preserve"> selected two types of teachers from the same county as a case study to conduct a valid case study by restricting the regional variables (Liu and Sammons 2022). </w:t>
      </w:r>
      <w:r w:rsidR="00AE2623">
        <w:t xml:space="preserve">Second, </w:t>
      </w:r>
      <w:r w:rsidR="0094120A">
        <w:t xml:space="preserve">the brokers may lie in interviews due to comparatively low social status or personal vanity. The possible way to outcome this obstacle would be </w:t>
      </w:r>
      <w:r w:rsidR="00AE2623">
        <w:t xml:space="preserve">for </w:t>
      </w:r>
      <w:r w:rsidR="0094120A">
        <w:t xml:space="preserve">the </w:t>
      </w:r>
      <w:r w:rsidR="00AE2623">
        <w:t>researcher</w:t>
      </w:r>
      <w:r w:rsidR="0094120A">
        <w:t xml:space="preserve"> </w:t>
      </w:r>
      <w:r w:rsidR="00AE2623">
        <w:t xml:space="preserve">to </w:t>
      </w:r>
      <w:r w:rsidR="0094120A">
        <w:t xml:space="preserve">use </w:t>
      </w:r>
      <w:r w:rsidR="00AE2623">
        <w:t>in-depth</w:t>
      </w:r>
      <w:r w:rsidR="0094120A">
        <w:t xml:space="preserve"> </w:t>
      </w:r>
      <w:r w:rsidR="00AE2623">
        <w:t>fieldwork to build good solid relations with brokers to make them not lie in front of the researcher they trust.</w:t>
      </w:r>
      <w:r w:rsidR="0094120A">
        <w:t xml:space="preserve"> </w:t>
      </w:r>
    </w:p>
    <w:p w14:paraId="0A0B85DC" w14:textId="77777777" w:rsidR="006655E0" w:rsidRDefault="006655E0" w:rsidP="00D44B9A"/>
    <w:p w14:paraId="0386C417" w14:textId="1B0381C4" w:rsidR="0057070F" w:rsidRDefault="006655E0" w:rsidP="006655E0">
      <w:pPr>
        <w:pStyle w:val="2"/>
      </w:pPr>
      <w:bookmarkStart w:id="29" w:name="_Toc121692855"/>
      <w:bookmarkStart w:id="30" w:name="_Toc124422988"/>
      <w:r>
        <w:t xml:space="preserve">4.3 </w:t>
      </w:r>
      <w:r w:rsidR="004D72A7">
        <w:t xml:space="preserve">Brief </w:t>
      </w:r>
      <w:r w:rsidR="00331BAE">
        <w:t>i</w:t>
      </w:r>
      <w:r>
        <w:t xml:space="preserve">ntroduction of </w:t>
      </w:r>
      <w:r w:rsidR="00331BAE">
        <w:t>d</w:t>
      </w:r>
      <w:r>
        <w:t xml:space="preserve">ata </w:t>
      </w:r>
      <w:r w:rsidR="00331BAE">
        <w:t>c</w:t>
      </w:r>
      <w:r>
        <w:t xml:space="preserve">ollection and </w:t>
      </w:r>
      <w:r w:rsidR="00331BAE">
        <w:t>a</w:t>
      </w:r>
      <w:r>
        <w:t>nalysing</w:t>
      </w:r>
      <w:r w:rsidR="004D72A7">
        <w:t xml:space="preserve"> in this </w:t>
      </w:r>
      <w:r w:rsidR="00331BAE">
        <w:t>r</w:t>
      </w:r>
      <w:r w:rsidR="004D72A7">
        <w:t>esearch</w:t>
      </w:r>
      <w:bookmarkEnd w:id="29"/>
      <w:bookmarkEnd w:id="30"/>
    </w:p>
    <w:p w14:paraId="63CCEA25" w14:textId="50149B80" w:rsidR="006655E0" w:rsidRDefault="006655E0" w:rsidP="006655E0"/>
    <w:p w14:paraId="33CF40A6" w14:textId="5442D9C2" w:rsidR="006841E8" w:rsidRDefault="002E77B5" w:rsidP="006841E8">
      <w:r w:rsidRPr="002E77B5">
        <w:t xml:space="preserve">Qualitative research data collection and analyses differ significantly from </w:t>
      </w:r>
      <w:r w:rsidR="00407FD1">
        <w:t xml:space="preserve">quantitative </w:t>
      </w:r>
      <w:r>
        <w:t>analysis</w:t>
      </w:r>
      <w:r w:rsidR="00407FD1">
        <w:t xml:space="preserve">. </w:t>
      </w:r>
      <w:r w:rsidR="00407FD1" w:rsidRPr="00407FD1">
        <w:t xml:space="preserve">Denscombe (2010, pp272) points out that as qualitative research data takes many forms and serves different purposes of the researcher, there is </w:t>
      </w:r>
      <w:r w:rsidR="00341EAE">
        <w:t>only one</w:t>
      </w:r>
      <w:r w:rsidR="00407FD1" w:rsidRPr="00407FD1">
        <w:t xml:space="preserve"> standard form for </w:t>
      </w:r>
      <w:r w:rsidR="00341EAE">
        <w:t>analysing</w:t>
      </w:r>
      <w:r w:rsidR="00407FD1" w:rsidRPr="00407FD1">
        <w:t xml:space="preserve"> qualitative data.</w:t>
      </w:r>
      <w:r w:rsidR="004D72A7">
        <w:t xml:space="preserve"> </w:t>
      </w:r>
      <w:r w:rsidR="004D72A7" w:rsidRPr="004D72A7">
        <w:t>Denscombe (2010, pp272-273) explains that qualitative data analysis has three features</w:t>
      </w:r>
      <w:r>
        <w:t>; the</w:t>
      </w:r>
      <w:r w:rsidR="004D72A7" w:rsidRPr="004D72A7">
        <w:t xml:space="preserve"> first is iterative</w:t>
      </w:r>
      <w:r>
        <w:t>,</w:t>
      </w:r>
      <w:r w:rsidR="004D72A7" w:rsidRPr="004D72A7">
        <w:t xml:space="preserve"> which means the analysis of qualitative data is not a one-off event at a point in time but rather a developmental process where data collection and data analysis take place simultaneously; the second is inductive which means the analysis usually proceeds from a detailed study of the partial data to a generalisation and conceptualisation; the last one is researcher-centred which means the researcher's factor of self-identification was </w:t>
      </w:r>
      <w:r>
        <w:t>an essential</w:t>
      </w:r>
      <w:r w:rsidR="004D72A7" w:rsidRPr="004D72A7">
        <w:t xml:space="preserve"> influencing factor in the analysis.</w:t>
      </w:r>
      <w:r w:rsidR="006841E8">
        <w:t xml:space="preserve"> In conducting this research, the researcher would collect raw materials through interviews, observations, and fieldwork in a group of real estate brokers in China. And these actions need to transform into data. </w:t>
      </w:r>
      <w:r w:rsidR="006841E8" w:rsidRPr="006841E8">
        <w:t>Denscombe (2010, pp273) uses a graph to illustrate four qualitative data types</w:t>
      </w:r>
      <w:r>
        <w:t>: recorded</w:t>
      </w:r>
      <w:r w:rsidR="006841E8" w:rsidRPr="006841E8">
        <w:t xml:space="preserve"> speeches from interviews</w:t>
      </w:r>
      <w:r>
        <w:t>,</w:t>
      </w:r>
      <w:r w:rsidR="006841E8" w:rsidRPr="006841E8">
        <w:t xml:space="preserve"> printed text from documents</w:t>
      </w:r>
      <w:r w:rsidR="00F12E69">
        <w:t>;</w:t>
      </w:r>
      <w:r w:rsidR="006841E8" w:rsidRPr="006841E8">
        <w:t xml:space="preserve"> photographs, pictures, </w:t>
      </w:r>
      <w:r w:rsidR="00F12E69">
        <w:t xml:space="preserve">and </w:t>
      </w:r>
      <w:r w:rsidR="006841E8" w:rsidRPr="006841E8">
        <w:t>videos from observations</w:t>
      </w:r>
      <w:r w:rsidR="00F12E69">
        <w:t>;</w:t>
      </w:r>
      <w:r w:rsidR="006841E8" w:rsidRPr="006841E8">
        <w:t xml:space="preserve"> and printed text </w:t>
      </w:r>
      <w:r w:rsidR="006841E8" w:rsidRPr="006841E8">
        <w:lastRenderedPageBreak/>
        <w:t>from questionaries.</w:t>
      </w:r>
    </w:p>
    <w:p w14:paraId="7EE79739" w14:textId="15A171C0" w:rsidR="00F12E69" w:rsidRDefault="00F12E69" w:rsidP="006841E8"/>
    <w:p w14:paraId="31AEB688" w14:textId="173F54ED" w:rsidR="00C854D9" w:rsidRDefault="00F12E69" w:rsidP="00C854D9">
      <w:r>
        <w:t>When the researcher collects the raw materials from the brokers</w:t>
      </w:r>
      <w:r w:rsidR="0097332F">
        <w:t xml:space="preserve"> using the qualitative approach</w:t>
      </w:r>
      <w:r>
        <w:t xml:space="preserve">, the original file </w:t>
      </w:r>
      <w:r w:rsidRPr="00F12E69">
        <w:t>must be copied for research purposes, and the original files should be protected safely</w:t>
      </w:r>
      <w:r>
        <w:t xml:space="preserve">. After then, all those materials need to be catalogued and indexed. </w:t>
      </w:r>
      <w:r w:rsidRPr="00F12E69">
        <w:t>Denscombe (2010, pp274) describes the preparation of original qualitative materials as needing two steps before analysing; the first step is that the original data files should be very carefully secured, and researchers should use backup files for their research work; the second is that each piece of raw data should be catalogued and indexed to make it easier for the researcher to find that part of the raw data quickly afterwards.</w:t>
      </w:r>
      <w:r w:rsidR="00C854D9">
        <w:t xml:space="preserve"> When the researcher starts to analyse data from the brokers, the data should be coded and transcribed</w:t>
      </w:r>
      <w:r w:rsidR="00BF0CFF">
        <w:t>. The</w:t>
      </w:r>
      <w:r w:rsidR="00C854D9">
        <w:t xml:space="preserve"> interviews </w:t>
      </w:r>
      <w:r w:rsidR="00BF0CFF">
        <w:t>need</w:t>
      </w:r>
      <w:r w:rsidR="00C854D9">
        <w:t xml:space="preserve"> to be cross-checked by triangulation </w:t>
      </w:r>
      <w:r w:rsidR="00341EAE">
        <w:t xml:space="preserve">and </w:t>
      </w:r>
      <w:r w:rsidR="00C854D9">
        <w:t xml:space="preserve">then could apply computer software to analyse. </w:t>
      </w:r>
      <w:r w:rsidR="00C854D9" w:rsidRPr="00C854D9">
        <w:t>Denscombe (2010, pp189) indicates that the data from interviews should use the triangulation method by cross-checking with other sources of information.</w:t>
      </w:r>
      <w:r w:rsidR="00D9426A">
        <w:t xml:space="preserve"> To deal with the data collection and </w:t>
      </w:r>
      <w:r w:rsidR="00D9426A" w:rsidRPr="00D9426A">
        <w:t xml:space="preserve">analysis of the problem in this specific research, further discussion </w:t>
      </w:r>
      <w:r w:rsidR="003130B0" w:rsidRPr="003130B0">
        <w:t>regarding validity and reliability will be put in the next part</w:t>
      </w:r>
      <w:r w:rsidR="00D9426A">
        <w:t>.</w:t>
      </w:r>
    </w:p>
    <w:p w14:paraId="00B94CA3" w14:textId="77777777" w:rsidR="006655E0" w:rsidRDefault="006655E0" w:rsidP="00D44B9A"/>
    <w:p w14:paraId="55179188" w14:textId="43FEE2BB" w:rsidR="0057070F" w:rsidRDefault="00747809" w:rsidP="00B93972">
      <w:pPr>
        <w:pStyle w:val="1"/>
        <w:numPr>
          <w:ilvl w:val="0"/>
          <w:numId w:val="7"/>
        </w:numPr>
      </w:pPr>
      <w:bookmarkStart w:id="31" w:name="_Toc121692856"/>
      <w:bookmarkStart w:id="32" w:name="_Toc124422989"/>
      <w:r>
        <w:t>Validity</w:t>
      </w:r>
      <w:r w:rsidR="00471F07">
        <w:t xml:space="preserve"> and </w:t>
      </w:r>
      <w:r w:rsidR="00F26656">
        <w:t>r</w:t>
      </w:r>
      <w:r w:rsidR="00471F07">
        <w:t>eliability</w:t>
      </w:r>
      <w:bookmarkEnd w:id="31"/>
      <w:bookmarkEnd w:id="32"/>
    </w:p>
    <w:p w14:paraId="25EBD0E6" w14:textId="62B9C4D8" w:rsidR="00471F07" w:rsidRDefault="00471F07" w:rsidP="00471F07"/>
    <w:p w14:paraId="4776E8F1" w14:textId="60A576FC" w:rsidR="00531AFD" w:rsidRDefault="00471F07" w:rsidP="005F5C1D">
      <w:r>
        <w:t>Rigour is essential for research; if the researcher cannot ensure the outcome has rigour, the research will lack persuasiveness. Ensuring validity</w:t>
      </w:r>
      <w:r w:rsidR="005F5C1D">
        <w:t xml:space="preserve"> and reliability</w:t>
      </w:r>
      <w:r>
        <w:t xml:space="preserve"> </w:t>
      </w:r>
      <w:r w:rsidR="005F5C1D">
        <w:t>are</w:t>
      </w:r>
      <w:r>
        <w:t xml:space="preserve"> </w:t>
      </w:r>
      <w:r w:rsidR="003F7B54">
        <w:t>tricky</w:t>
      </w:r>
      <w:r>
        <w:t>; researchers could take more consideration to increase the validity</w:t>
      </w:r>
      <w:r w:rsidR="005F5C1D">
        <w:t xml:space="preserve"> and reliability</w:t>
      </w:r>
      <w:r>
        <w:t xml:space="preserve">, as </w:t>
      </w:r>
      <w:r w:rsidRPr="00471F07">
        <w:t>Cohen, Manion, &amp; Morrison. (2007) say that research threats to validity and reliability cannot be eliminated but can only be enhanced by focusing on them.</w:t>
      </w:r>
      <w:r>
        <w:t xml:space="preserve"> Unlike the quantitative approach</w:t>
      </w:r>
      <w:r w:rsidR="00341EAE">
        <w:t>,</w:t>
      </w:r>
      <w:r>
        <w:t xml:space="preserve"> </w:t>
      </w:r>
      <w:r w:rsidR="00341EAE">
        <w:t>computer-assisted</w:t>
      </w:r>
      <w:r>
        <w:t xml:space="preserve"> texts provide evidence to ensure validity. The qualitative approach to dealing with human beings makes the validity rigour harder.  </w:t>
      </w:r>
      <w:r w:rsidR="0086166A">
        <w:t xml:space="preserve">Test or retest consistency could ensure the reliability of </w:t>
      </w:r>
      <w:r w:rsidR="000F11F2">
        <w:t xml:space="preserve">the </w:t>
      </w:r>
      <w:r w:rsidR="0086166A">
        <w:t>approach</w:t>
      </w:r>
      <w:r w:rsidR="000F11F2">
        <w:t>; if</w:t>
      </w:r>
      <w:r w:rsidR="0086166A">
        <w:t xml:space="preserve"> the method has strong reliability, each round test or outcome should show </w:t>
      </w:r>
      <w:r w:rsidR="000F11F2">
        <w:t xml:space="preserve">a </w:t>
      </w:r>
      <w:r w:rsidR="0086166A">
        <w:t xml:space="preserve">feature of consistency. </w:t>
      </w:r>
      <w:r w:rsidR="00531AFD" w:rsidRPr="00531AFD">
        <w:t xml:space="preserve">Chen, Sun, and Jia </w:t>
      </w:r>
      <w:r w:rsidR="00531AFD" w:rsidRPr="00531AFD">
        <w:rPr>
          <w:rFonts w:hint="eastAsia"/>
        </w:rPr>
        <w:t>(</w:t>
      </w:r>
      <w:r w:rsidR="00531AFD" w:rsidRPr="00531AFD">
        <w:t>2022) explore and summarises the relationship between teachers' emotions and professional identity. In the process, the quantitative and qualitative data are cross analysed separately to ensure reliability and validity in the data collection and analysis, working to ensure the reliability and validity of the study. However, these cross-analyses may cause more bias problems. Youn and Kim (2022) analysed the relationship between corporate social responsibility and organisational citizenship behaviour; scholars have used employees in the hospitality industry as research subjects for their studies. Still, they have affected the credibility of their studies by failing to consider the influence of corporate culture on organisational citizenship behaviour.</w:t>
      </w:r>
    </w:p>
    <w:p w14:paraId="40A934AE" w14:textId="77777777" w:rsidR="00531AFD" w:rsidRDefault="00531AFD" w:rsidP="005F5C1D"/>
    <w:p w14:paraId="031085D0" w14:textId="37D34FCD" w:rsidR="005F5C1D" w:rsidRDefault="005F5C1D" w:rsidP="005F5C1D">
      <w:r>
        <w:lastRenderedPageBreak/>
        <w:t xml:space="preserve">Triangulation could apply to quantitative and qualitative approaches but is more significant to qualitative research. </w:t>
      </w:r>
      <w:r w:rsidRPr="005F5C1D">
        <w:t xml:space="preserve">Cohen, Manion, &amp; Morrison. (2007) explain that triangulation is the use of two or more methods to collect data in a study and has a </w:t>
      </w:r>
      <w:r w:rsidR="00784295">
        <w:t>more remarkable</w:t>
      </w:r>
      <w:r w:rsidRPr="005F5C1D">
        <w:t xml:space="preserve"> ability to explain the richness and complexity of human behaviour in research than a single method</w:t>
      </w:r>
      <w:r w:rsidR="00784295">
        <w:t>; it</w:t>
      </w:r>
      <w:r w:rsidRPr="005F5C1D">
        <w:t xml:space="preserve"> is also a powerful method for demonstrating validity in qualitative research.</w:t>
      </w:r>
      <w:r w:rsidR="00CA4139">
        <w:t xml:space="preserve"> </w:t>
      </w:r>
      <w:r w:rsidR="00CA4139" w:rsidRPr="004C262E">
        <w:t>Given</w:t>
      </w:r>
      <w:r w:rsidR="00CA4139">
        <w:t xml:space="preserve"> (2008, pp892-893) explains in the SAGE encyclopaedia that triangulation is to adopt more than one method in both data collection and data analysis, even in data sources, to </w:t>
      </w:r>
      <w:r w:rsidR="00341EAE">
        <w:t>ensure</w:t>
      </w:r>
      <w:r w:rsidR="00CA4139">
        <w:t xml:space="preserve"> validity and reliability in qualitative research.</w:t>
      </w:r>
      <w:r>
        <w:t xml:space="preserve"> When the </w:t>
      </w:r>
      <w:r w:rsidR="00784295">
        <w:t>researcher</w:t>
      </w:r>
      <w:r>
        <w:t xml:space="preserve"> </w:t>
      </w:r>
      <w:r w:rsidR="00784295">
        <w:t>conducts</w:t>
      </w:r>
      <w:r>
        <w:t xml:space="preserve"> the case study </w:t>
      </w:r>
      <w:r w:rsidR="00784295">
        <w:t>on property brokers in China, applying more than one way to collect raw data are significant</w:t>
      </w:r>
      <w:r w:rsidR="003130B0">
        <w:t xml:space="preserve">; </w:t>
      </w:r>
      <w:r w:rsidR="00CA4139">
        <w:t>the research</w:t>
      </w:r>
      <w:r w:rsidR="003130B0">
        <w:t>er</w:t>
      </w:r>
      <w:r w:rsidR="00CA4139">
        <w:t xml:space="preserve"> will seek to take advantage of </w:t>
      </w:r>
      <w:r w:rsidR="003130B0">
        <w:t>multi-methods</w:t>
      </w:r>
      <w:r w:rsidR="00CA4139">
        <w:t xml:space="preserve"> </w:t>
      </w:r>
      <w:r w:rsidR="003130B0">
        <w:t>to source, collect, and analyse data</w:t>
      </w:r>
      <w:r w:rsidR="00260D14">
        <w:t>,</w:t>
      </w:r>
      <w:r w:rsidR="003130B0">
        <w:t xml:space="preserve"> </w:t>
      </w:r>
      <w:r w:rsidR="00CA4139">
        <w:t>including interviews, documents</w:t>
      </w:r>
      <w:r w:rsidR="003130B0">
        <w:t>,</w:t>
      </w:r>
      <w:r w:rsidR="00CA4139">
        <w:t xml:space="preserve"> </w:t>
      </w:r>
      <w:r w:rsidR="003130B0">
        <w:t xml:space="preserve">observations, and fieldwork in the investigated property agent offices, then </w:t>
      </w:r>
      <w:r w:rsidR="00260D14">
        <w:t>cross-check</w:t>
      </w:r>
      <w:r w:rsidR="003130B0">
        <w:t xml:space="preserve"> outcomes to strengthen the validity and reliability.</w:t>
      </w:r>
    </w:p>
    <w:p w14:paraId="671C5B00" w14:textId="45DC0683" w:rsidR="00CA4139" w:rsidRDefault="00CA4139" w:rsidP="005F5C1D"/>
    <w:p w14:paraId="60754BE8" w14:textId="246170FF" w:rsidR="003130B0" w:rsidRDefault="00CA4139" w:rsidP="003130B0">
      <w:r>
        <w:t xml:space="preserve">Besides triangulation, prolonged engagement is another way to strengthen the validity and reliability </w:t>
      </w:r>
      <w:r w:rsidR="003130B0">
        <w:t>of</w:t>
      </w:r>
      <w:r>
        <w:t xml:space="preserve"> the research. </w:t>
      </w:r>
      <w:r w:rsidR="003130B0">
        <w:t>Given (2008, pp690) expresses that prolonged engagement</w:t>
      </w:r>
      <w:r w:rsidR="003130B0" w:rsidRPr="006B3B38">
        <w:t xml:space="preserve"> means that the researcher uses more time and energy to integrate into the group under investigation to understand the significance of the cultural background, values and behavioural habits of the group under investigation</w:t>
      </w:r>
      <w:r w:rsidR="003130B0">
        <w:t xml:space="preserve">; </w:t>
      </w:r>
      <w:r w:rsidR="003130B0" w:rsidRPr="006B3B38">
        <w:t>This process transforms the researcher from a third party observer to a close insider observer, and the close</w:t>
      </w:r>
      <w:r w:rsidR="003130B0">
        <w:t>,</w:t>
      </w:r>
      <w:r w:rsidR="003130B0" w:rsidRPr="006B3B38">
        <w:t xml:space="preserve"> trusting relationship that is built up in this way helps the subject to present more authentic information.</w:t>
      </w:r>
      <w:r w:rsidR="00260D14">
        <w:t xml:space="preserve"> Because this topic </w:t>
      </w:r>
      <w:r w:rsidR="00BC1D2E">
        <w:t xml:space="preserve">of </w:t>
      </w:r>
      <w:r w:rsidR="00260D14">
        <w:t xml:space="preserve">professional identity originated from psychology, it is an illusory concept which means it is not easy to evaluate </w:t>
      </w:r>
      <w:r w:rsidR="00BC1D2E">
        <w:t>directly</w:t>
      </w:r>
      <w:r w:rsidR="00260D14">
        <w:t xml:space="preserve">. Meanwhile, both </w:t>
      </w:r>
      <w:r w:rsidR="00BC1D2E">
        <w:t>researcher’s</w:t>
      </w:r>
      <w:r w:rsidR="00260D14">
        <w:t xml:space="preserve"> </w:t>
      </w:r>
      <w:r w:rsidR="00BC1D2E">
        <w:t>biases</w:t>
      </w:r>
      <w:r w:rsidR="00260D14">
        <w:t xml:space="preserve"> caused by </w:t>
      </w:r>
      <w:r w:rsidR="00BC1D2E">
        <w:t>self-background</w:t>
      </w:r>
      <w:r w:rsidR="00260D14">
        <w:t xml:space="preserve"> and surveyed </w:t>
      </w:r>
      <w:r w:rsidR="00BC1D2E">
        <w:t>participants, or the brokers tend to lie due to self-esteem,</w:t>
      </w:r>
      <w:r w:rsidR="00260D14">
        <w:t xml:space="preserve"> </w:t>
      </w:r>
      <w:r w:rsidR="00BC1D2E">
        <w:t xml:space="preserve">would shake the foundation of validity and reliability. The prolonged engagement provides a way to fix the deficiency in two ways. The first one is that through the extra time and energy to fit into the property brokers group, the researcher would understand </w:t>
      </w:r>
      <w:r w:rsidR="00BC1D2E" w:rsidRPr="00BC1D2E">
        <w:t>this specific occupational group more deeply</w:t>
      </w:r>
      <w:r w:rsidR="00BC1D2E">
        <w:t xml:space="preserve">, both in work and life circumstances; this could bring more validity and reliability in data and methods, respectively. The second is the friendship and trust built upon the prolonged engagement could let the participants here are brokers talk more reality than lie, which could upgrade the validity of raw data from the source. </w:t>
      </w:r>
    </w:p>
    <w:p w14:paraId="4938B8D5" w14:textId="2017A730" w:rsidR="00B92814" w:rsidRDefault="00B92814" w:rsidP="003130B0"/>
    <w:p w14:paraId="46758DD1" w14:textId="58ABF5E9" w:rsidR="00B92814" w:rsidRPr="004C262E" w:rsidRDefault="00B92814" w:rsidP="003130B0">
      <w:r>
        <w:t xml:space="preserve">Prolonged engagement could cause deficiency regarding reliability and validity as well. During the investigations around the property brokers, trust and good </w:t>
      </w:r>
      <w:r w:rsidR="008369B9">
        <w:t>relationships</w:t>
      </w:r>
      <w:r>
        <w:t xml:space="preserve"> could bring ‘too close’ </w:t>
      </w:r>
      <w:r w:rsidR="008369B9">
        <w:t>problems</w:t>
      </w:r>
      <w:r>
        <w:t xml:space="preserve">. Brokers may not show </w:t>
      </w:r>
      <w:r w:rsidR="008369B9">
        <w:t>accurate</w:t>
      </w:r>
      <w:r>
        <w:t xml:space="preserve"> information </w:t>
      </w:r>
      <w:r w:rsidR="008369B9">
        <w:t>to</w:t>
      </w:r>
      <w:r>
        <w:t xml:space="preserve"> their close friends due to </w:t>
      </w:r>
      <w:r w:rsidR="008369B9">
        <w:t>their</w:t>
      </w:r>
      <w:r>
        <w:t xml:space="preserve"> emotions and self-esteem. How to handle the level of prolonged engagement becomes an essential topic in conducting the research.  </w:t>
      </w:r>
    </w:p>
    <w:p w14:paraId="66890DE6" w14:textId="32E711AA" w:rsidR="00747809" w:rsidRDefault="00747809" w:rsidP="00747809"/>
    <w:p w14:paraId="659D69D1" w14:textId="07425E8C" w:rsidR="00747809" w:rsidRDefault="00747809" w:rsidP="00B93972">
      <w:pPr>
        <w:pStyle w:val="1"/>
        <w:numPr>
          <w:ilvl w:val="0"/>
          <w:numId w:val="7"/>
        </w:numPr>
      </w:pPr>
      <w:bookmarkStart w:id="33" w:name="_Toc121692857"/>
      <w:bookmarkStart w:id="34" w:name="_Toc124422990"/>
      <w:r>
        <w:lastRenderedPageBreak/>
        <w:t xml:space="preserve">Research </w:t>
      </w:r>
      <w:r w:rsidR="00BF6564">
        <w:t>e</w:t>
      </w:r>
      <w:r>
        <w:t>thics</w:t>
      </w:r>
      <w:bookmarkEnd w:id="33"/>
      <w:bookmarkEnd w:id="34"/>
    </w:p>
    <w:p w14:paraId="5639BD46" w14:textId="56AD2524" w:rsidR="00E51E76" w:rsidRDefault="00E51E76" w:rsidP="00E51E76"/>
    <w:p w14:paraId="121F7A65" w14:textId="6F02EA3D" w:rsidR="008410C1" w:rsidRDefault="00341EAE" w:rsidP="00341EAE">
      <w:r>
        <w:t xml:space="preserve">Since qualitative research </w:t>
      </w:r>
      <w:r w:rsidRPr="00341EAE">
        <w:t xml:space="preserve">is mainly about studying people or </w:t>
      </w:r>
      <w:r>
        <w:t>groups</w:t>
      </w:r>
      <w:r w:rsidRPr="00341EAE">
        <w:t xml:space="preserve">, research ethics </w:t>
      </w:r>
      <w:r>
        <w:t>must</w:t>
      </w:r>
      <w:r w:rsidRPr="00341EAE">
        <w:t xml:space="preserve"> be considered</w:t>
      </w:r>
      <w:r>
        <w:t xml:space="preserve"> in the analysis. </w:t>
      </w:r>
      <w:r w:rsidRPr="00341EAE">
        <w:t>Maxwell (2009, pp216) discusses that ethics need to concern with every aspect of qualitative research rather than a separate section in the study.</w:t>
      </w:r>
      <w:r w:rsidR="006B756F">
        <w:t xml:space="preserve"> </w:t>
      </w:r>
      <w:proofErr w:type="spellStart"/>
      <w:r w:rsidR="00391CD2" w:rsidRPr="00391CD2">
        <w:t>Stutchbury</w:t>
      </w:r>
      <w:proofErr w:type="spellEnd"/>
      <w:r w:rsidR="00391CD2" w:rsidRPr="00391CD2">
        <w:t xml:space="preserve"> and Fox (2009)</w:t>
      </w:r>
      <w:r w:rsidR="00391CD2">
        <w:t xml:space="preserve"> introduced Seedhouse’s ethical grid and Flinders’ ethical frameworks as two </w:t>
      </w:r>
      <w:r w:rsidR="00713E88">
        <w:t>well-designed</w:t>
      </w:r>
      <w:r w:rsidR="00391CD2">
        <w:t xml:space="preserve"> tools to analyse the ethical perspective in research. The researcher </w:t>
      </w:r>
      <w:r w:rsidR="008410C1">
        <w:t>applies</w:t>
      </w:r>
      <w:r w:rsidR="00391CD2">
        <w:t xml:space="preserve"> Seedhouse’s </w:t>
      </w:r>
      <w:r w:rsidR="00713E88">
        <w:t>moral</w:t>
      </w:r>
      <w:r w:rsidR="00391CD2">
        <w:t xml:space="preserve"> grid</w:t>
      </w:r>
      <w:r w:rsidR="00840AE4">
        <w:t xml:space="preserve"> </w:t>
      </w:r>
      <w:r w:rsidR="00391CD2">
        <w:t>to discuss the ethical consideration regarding this research.</w:t>
      </w:r>
    </w:p>
    <w:p w14:paraId="6F21B2CC" w14:textId="77777777" w:rsidR="00713E88" w:rsidRDefault="00713E88" w:rsidP="00341EAE"/>
    <w:p w14:paraId="17A51E4A" w14:textId="53205AA0" w:rsidR="008410C1" w:rsidRDefault="00840AE4" w:rsidP="00341EAE">
      <w:r w:rsidRPr="00CA4051">
        <w:rPr>
          <w:noProof/>
        </w:rPr>
        <mc:AlternateContent>
          <mc:Choice Requires="wps">
            <w:drawing>
              <wp:anchor distT="45720" distB="45720" distL="114300" distR="114300" simplePos="0" relativeHeight="251672576" behindDoc="0" locked="0" layoutInCell="1" allowOverlap="1" wp14:anchorId="30499C5C" wp14:editId="3B2A8D00">
                <wp:simplePos x="0" y="0"/>
                <wp:positionH relativeFrom="page">
                  <wp:posOffset>2812053</wp:posOffset>
                </wp:positionH>
                <wp:positionV relativeFrom="paragraph">
                  <wp:posOffset>253960</wp:posOffset>
                </wp:positionV>
                <wp:extent cx="4554220" cy="1533525"/>
                <wp:effectExtent l="0" t="0" r="17780" b="28575"/>
                <wp:wrapSquare wrapText="bothSides"/>
                <wp:docPr id="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4220" cy="1533525"/>
                        </a:xfrm>
                        <a:prstGeom prst="rect">
                          <a:avLst/>
                        </a:prstGeom>
                        <a:solidFill>
                          <a:srgbClr val="FFFFFF"/>
                        </a:solidFill>
                        <a:ln w="9525">
                          <a:solidFill>
                            <a:srgbClr val="000000"/>
                          </a:solidFill>
                          <a:miter lim="800000"/>
                          <a:headEnd/>
                          <a:tailEnd/>
                        </a:ln>
                      </wps:spPr>
                      <wps:txbx>
                        <w:txbxContent>
                          <w:p w14:paraId="4079D110" w14:textId="761D4116" w:rsidR="00840AE4" w:rsidRDefault="00840AE4" w:rsidP="00840AE4">
                            <w:pPr>
                              <w:jc w:val="left"/>
                            </w:pPr>
                            <w:r>
                              <w:t>Respondents are informed in advance so that they fully understand the voluntary nature of their participation in the study and retain the right to withdraw at any time. All questionnaire</w:t>
                            </w:r>
                            <w:r w:rsidRPr="00913B8E">
                              <w:t xml:space="preserve"> interviews</w:t>
                            </w:r>
                            <w:r>
                              <w:t xml:space="preserve"> were strictly confidential. Respondents were selected to be interviewed separately and independently if they preferred to be interviewed and surveyed or, in the case of face-to-face interviews, in the respondent's preferred venue.</w:t>
                            </w:r>
                            <w:r>
                              <w:br/>
                            </w:r>
                            <w:r>
                              <w:br/>
                            </w:r>
                            <w:hyperlink r:id="rId12" w:tgtFrame="_blank" w:history="1">
                              <w:r>
                                <w:rPr>
                                  <w:rStyle w:val="a3"/>
                                </w:rPr>
                                <w:t>Translated with DeepL</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499C5C" id="_x0000_t202" coordsize="21600,21600" o:spt="202" path="m,l,21600r21600,l21600,xe">
                <v:stroke joinstyle="miter"/>
                <v:path gradientshapeok="t" o:connecttype="rect"/>
              </v:shapetype>
              <v:shape id="文本框 2" o:spid="_x0000_s1026" type="#_x0000_t202" style="position:absolute;left:0;text-align:left;margin-left:221.4pt;margin-top:20pt;width:358.6pt;height:120.75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">
                <v:textbox>
                  <w:txbxContent>
                    <w:p w14:paraId="4079D110" w14:textId="761D4116" w:rsidR="00840AE4" w:rsidRDefault="00840AE4" w:rsidP="00840AE4">
                      <w:pPr>
                        <w:jc w:val="left"/>
                      </w:pPr>
                      <w:r>
                        <w:t>Respondents are informed in advance so that they fully understand the voluntary nature of their participation in the study and retain the right to withdraw at any time. All questionnaire</w:t>
                      </w:r>
                      <w:r w:rsidRPr="00913B8E">
                        <w:t xml:space="preserve"> interviews</w:t>
                      </w:r>
                      <w:r>
                        <w:t xml:space="preserve"> were strictly confidential. Respondents were selected to be interviewed separately and independently if they preferred to be interviewed and surveyed or, in the case of face-to-face interviews, in the respondent's preferred venue.</w:t>
                      </w:r>
                      <w:r>
                        <w:br/>
                      </w:r>
                      <w:r>
                        <w:br/>
                      </w:r>
                      <w:hyperlink r:id="rId13" w:tgtFrame="_blank" w:history="1">
                        <w:r>
                          <w:rPr>
                            <w:rStyle w:val="a3"/>
                          </w:rPr>
                          <w:t>Translated with DeepL</w:t>
                        </w:r>
                      </w:hyperlink>
                    </w:p>
                  </w:txbxContent>
                </v:textbox>
                <w10:wrap type="square" anchorx="page"/>
              </v:shape>
            </w:pict>
          </mc:Fallback>
        </mc:AlternateContent>
      </w:r>
      <w:r>
        <w:rPr>
          <w:noProof/>
        </w:rPr>
        <mc:AlternateContent>
          <mc:Choice Requires="wps">
            <w:drawing>
              <wp:anchor distT="0" distB="0" distL="114300" distR="114300" simplePos="0" relativeHeight="251659264" behindDoc="0" locked="0" layoutInCell="1" allowOverlap="1" wp14:anchorId="3AF97FC9" wp14:editId="3E691914">
                <wp:simplePos x="0" y="0"/>
                <wp:positionH relativeFrom="margin">
                  <wp:posOffset>-633440</wp:posOffset>
                </wp:positionH>
                <wp:positionV relativeFrom="paragraph">
                  <wp:posOffset>160141</wp:posOffset>
                </wp:positionV>
                <wp:extent cx="2969260" cy="4946650"/>
                <wp:effectExtent l="19050" t="38100" r="40640" b="25400"/>
                <wp:wrapNone/>
                <wp:docPr id="6" name="等腰三角形 6"/>
                <wp:cNvGraphicFramePr/>
                <a:graphic xmlns:a="http://schemas.openxmlformats.org/drawingml/2006/main">
                  <a:graphicData uri="http://schemas.microsoft.com/office/word/2010/wordprocessingShape">
                    <wps:wsp>
                      <wps:cNvSpPr/>
                      <wps:spPr>
                        <a:xfrm>
                          <a:off x="0" y="0"/>
                          <a:ext cx="2969260" cy="49466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93303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6" o:spid="_x0000_s1026" type="#_x0000_t5" style="position:absolute;margin-left:-49.9pt;margin-top:12.6pt;width:233.8pt;height:38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" fillcolor="#4472c4 [3204]" strokecolor="#1f3763 [1604]" strokeweight="1pt">
                <w10:wrap anchorx="margin"/>
              </v:shape>
            </w:pict>
          </mc:Fallback>
        </mc:AlternateContent>
      </w:r>
    </w:p>
    <w:p w14:paraId="5800A300" w14:textId="659954E8" w:rsidR="008410C1" w:rsidRDefault="008410C1" w:rsidP="00341EAE"/>
    <w:p w14:paraId="3936DC4A" w14:textId="440B389F" w:rsidR="008410C1" w:rsidRDefault="00840AE4" w:rsidP="00341EAE">
      <w:r>
        <w:rPr>
          <w:noProof/>
        </w:rPr>
        <mc:AlternateContent>
          <mc:Choice Requires="wps">
            <w:drawing>
              <wp:anchor distT="0" distB="0" distL="114300" distR="114300" simplePos="0" relativeHeight="251670528" behindDoc="0" locked="0" layoutInCell="1" allowOverlap="1" wp14:anchorId="06FB5291" wp14:editId="25C7E60C">
                <wp:simplePos x="0" y="0"/>
                <wp:positionH relativeFrom="column">
                  <wp:posOffset>1166174</wp:posOffset>
                </wp:positionH>
                <wp:positionV relativeFrom="paragraph">
                  <wp:posOffset>608595</wp:posOffset>
                </wp:positionV>
                <wp:extent cx="451413" cy="11575"/>
                <wp:effectExtent l="0" t="76200" r="25400" b="83820"/>
                <wp:wrapNone/>
                <wp:docPr id="11" name="直接箭头连接符 11"/>
                <wp:cNvGraphicFramePr/>
                <a:graphic xmlns:a="http://schemas.openxmlformats.org/drawingml/2006/main">
                  <a:graphicData uri="http://schemas.microsoft.com/office/word/2010/wordprocessingShape">
                    <wps:wsp>
                      <wps:cNvCnPr/>
                      <wps:spPr>
                        <a:xfrm flipV="1">
                          <a:off x="0" y="0"/>
                          <a:ext cx="451413" cy="11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62D4844" id="_x0000_t32" coordsize="21600,21600" o:spt="32" o:oned="t" path="m,l21600,21600e" filled="f">
                <v:path arrowok="t" fillok="f" o:connecttype="none"/>
                <o:lock v:ext="edit" shapetype="t"/>
              </v:shapetype>
              <v:shape id="直接箭头连接符 11" o:spid="_x0000_s1026" type="#_x0000_t32" style="position:absolute;margin-left:91.8pt;margin-top:47.9pt;width:35.55pt;height:.9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4384" behindDoc="0" locked="0" layoutInCell="1" allowOverlap="1" wp14:anchorId="7B531D43" wp14:editId="047451E1">
                <wp:simplePos x="0" y="0"/>
                <wp:positionH relativeFrom="column">
                  <wp:posOffset>280405</wp:posOffset>
                </wp:positionH>
                <wp:positionV relativeFrom="paragraph">
                  <wp:posOffset>157311</wp:posOffset>
                </wp:positionV>
                <wp:extent cx="1116330" cy="306705"/>
                <wp:effectExtent l="0" t="0" r="26670" b="17145"/>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6330" cy="306705"/>
                        </a:xfrm>
                        <a:prstGeom prst="rect">
                          <a:avLst/>
                        </a:prstGeom>
                        <a:solidFill>
                          <a:srgbClr val="FFFFFF"/>
                        </a:solidFill>
                        <a:ln w="9525">
                          <a:solidFill>
                            <a:srgbClr val="000000"/>
                          </a:solidFill>
                          <a:miter lim="800000"/>
                          <a:headEnd/>
                          <a:tailEnd/>
                        </a:ln>
                      </wps:spPr>
                      <wps:txbx>
                        <w:txbxContent>
                          <w:p w14:paraId="58881E0B" w14:textId="7D75D8BC" w:rsidR="00840AE4" w:rsidRDefault="00840AE4">
                            <w:r>
                              <w:t>Core Rationale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531D43" id="_x0000_s1027" type="#_x0000_t202" style="position:absolute;left:0;text-align:left;margin-left:22.1pt;margin-top:12.4pt;width:87.9pt;height:24.1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">
                <v:textbox>
                  <w:txbxContent>
                    <w:p w14:paraId="58881E0B" w14:textId="7D75D8BC" w:rsidR="00840AE4" w:rsidRDefault="00840AE4">
                      <w:r>
                        <w:t>Core Rationale</w:t>
                      </w:r>
                    </w:p>
                  </w:txbxContent>
                </v:textbox>
                <w10:wrap type="square"/>
              </v:shape>
            </w:pict>
          </mc:Fallback>
        </mc:AlternateContent>
      </w:r>
    </w:p>
    <w:p w14:paraId="72EF073C" w14:textId="573E1B45" w:rsidR="008410C1" w:rsidRDefault="008410C1" w:rsidP="00341EAE"/>
    <w:p w14:paraId="2198F926" w14:textId="3E1BE115" w:rsidR="008410C1" w:rsidRDefault="00840AE4" w:rsidP="00341EAE">
      <w:r w:rsidRPr="00CA4051">
        <w:rPr>
          <w:noProof/>
        </w:rPr>
        <mc:AlternateContent>
          <mc:Choice Requires="wps">
            <w:drawing>
              <wp:anchor distT="45720" distB="45720" distL="114300" distR="114300" simplePos="0" relativeHeight="251675648" behindDoc="0" locked="0" layoutInCell="1" allowOverlap="1" wp14:anchorId="2C0CD06E" wp14:editId="04FA799A">
                <wp:simplePos x="0" y="0"/>
                <wp:positionH relativeFrom="column">
                  <wp:posOffset>2057400</wp:posOffset>
                </wp:positionH>
                <wp:positionV relativeFrom="paragraph">
                  <wp:posOffset>90170</wp:posOffset>
                </wp:positionV>
                <wp:extent cx="4201160" cy="1156970"/>
                <wp:effectExtent l="0" t="0" r="27940" b="24130"/>
                <wp:wrapSquare wrapText="bothSides"/>
                <wp:docPr id="1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1160" cy="1156970"/>
                        </a:xfrm>
                        <a:prstGeom prst="rect">
                          <a:avLst/>
                        </a:prstGeom>
                        <a:solidFill>
                          <a:srgbClr val="FFFFFF"/>
                        </a:solidFill>
                        <a:ln w="9525">
                          <a:solidFill>
                            <a:srgbClr val="000000"/>
                          </a:solidFill>
                          <a:miter lim="800000"/>
                          <a:headEnd/>
                          <a:tailEnd/>
                        </a:ln>
                      </wps:spPr>
                      <wps:txbx>
                        <w:txbxContent>
                          <w:p w14:paraId="762FB95F" w14:textId="3C043468" w:rsidR="00840AE4" w:rsidRDefault="00840AE4" w:rsidP="00840AE4">
                            <w:r>
                              <w:t>To do in-depth fieldwork to gain trust. Investigate the different groups with different statuses or positions separately. Treat data with the utmost confidentiality. Keep updated on the research process with the investigated individuals. Avoid investigating the risking information like income.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0CD06E" id="_x0000_s1028" type="#_x0000_t202" style="position:absolute;left:0;text-align:left;margin-left:162pt;margin-top:7.1pt;width:330.8pt;height:91.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">
                <v:textbox>
                  <w:txbxContent>
                    <w:p w14:paraId="762FB95F" w14:textId="3C043468" w:rsidR="00840AE4" w:rsidRDefault="00840AE4" w:rsidP="00840AE4">
                      <w:r>
                        <w:t>To do in-depth fieldwork to gain trust. Investigate the different groups with different statuses or positions separately. Treat data with the utmost confidentiality. Keep updated on the research process with the investigated individuals. Avoid investigating the risking information like income.</w:t>
                      </w:r>
                    </w:p>
                  </w:txbxContent>
                </v:textbox>
                <w10:wrap type="square"/>
              </v:shape>
            </w:pict>
          </mc:Fallback>
        </mc:AlternateContent>
      </w:r>
      <w:r w:rsidR="008410C1">
        <w:rPr>
          <w:noProof/>
        </w:rPr>
        <mc:AlternateContent>
          <mc:Choice Requires="wps">
            <w:drawing>
              <wp:anchor distT="0" distB="0" distL="114300" distR="114300" simplePos="0" relativeHeight="251660288" behindDoc="0" locked="0" layoutInCell="1" allowOverlap="1" wp14:anchorId="3C669E9F" wp14:editId="49E854A4">
                <wp:simplePos x="0" y="0"/>
                <wp:positionH relativeFrom="column">
                  <wp:posOffset>332772</wp:posOffset>
                </wp:positionH>
                <wp:positionV relativeFrom="paragraph">
                  <wp:posOffset>176940</wp:posOffset>
                </wp:positionV>
                <wp:extent cx="1006998" cy="17362"/>
                <wp:effectExtent l="0" t="0" r="22225" b="20955"/>
                <wp:wrapNone/>
                <wp:docPr id="2" name="直接连接符 2"/>
                <wp:cNvGraphicFramePr/>
                <a:graphic xmlns:a="http://schemas.openxmlformats.org/drawingml/2006/main">
                  <a:graphicData uri="http://schemas.microsoft.com/office/word/2010/wordprocessingShape">
                    <wps:wsp>
                      <wps:cNvCnPr/>
                      <wps:spPr>
                        <a:xfrm flipV="1">
                          <a:off x="0" y="0"/>
                          <a:ext cx="1006998" cy="1736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449DA0B" id="直接连接符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6.2pt,13.95pt" to="105.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" strokecolor="black [3200]" strokeweight=".5pt">
                <v:stroke joinstyle="miter"/>
              </v:line>
            </w:pict>
          </mc:Fallback>
        </mc:AlternateContent>
      </w:r>
    </w:p>
    <w:p w14:paraId="47FBFC8E" w14:textId="2A64E840" w:rsidR="008410C1" w:rsidRDefault="008410C1" w:rsidP="00341EAE"/>
    <w:p w14:paraId="19A71C43" w14:textId="29C1495A" w:rsidR="008410C1" w:rsidRDefault="00840AE4" w:rsidP="00341EAE">
      <w:r>
        <w:rPr>
          <w:noProof/>
        </w:rPr>
        <mc:AlternateContent>
          <mc:Choice Requires="wps">
            <w:drawing>
              <wp:anchor distT="0" distB="0" distL="114300" distR="114300" simplePos="0" relativeHeight="251676672" behindDoc="0" locked="0" layoutInCell="1" allowOverlap="1" wp14:anchorId="4283A525" wp14:editId="4E955E95">
                <wp:simplePos x="0" y="0"/>
                <wp:positionH relativeFrom="column">
                  <wp:posOffset>1582154</wp:posOffset>
                </wp:positionH>
                <wp:positionV relativeFrom="paragraph">
                  <wp:posOffset>63372</wp:posOffset>
                </wp:positionV>
                <wp:extent cx="416367" cy="11575"/>
                <wp:effectExtent l="0" t="57150" r="41275" b="83820"/>
                <wp:wrapNone/>
                <wp:docPr id="16" name="直接箭头连接符 16"/>
                <wp:cNvGraphicFramePr/>
                <a:graphic xmlns:a="http://schemas.openxmlformats.org/drawingml/2006/main">
                  <a:graphicData uri="http://schemas.microsoft.com/office/word/2010/wordprocessingShape">
                    <wps:wsp>
                      <wps:cNvCnPr/>
                      <wps:spPr>
                        <a:xfrm>
                          <a:off x="0" y="0"/>
                          <a:ext cx="416367" cy="11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3A61AB" id="直接箭头连接符 16" o:spid="_x0000_s1026" type="#_x0000_t32" style="position:absolute;margin-left:124.6pt;margin-top:5pt;width:32.8pt;height:.9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6432" behindDoc="0" locked="0" layoutInCell="1" allowOverlap="1" wp14:anchorId="7DA7F90F" wp14:editId="58292605">
                <wp:simplePos x="0" y="0"/>
                <wp:positionH relativeFrom="column">
                  <wp:posOffset>176096</wp:posOffset>
                </wp:positionH>
                <wp:positionV relativeFrom="paragraph">
                  <wp:posOffset>166763</wp:posOffset>
                </wp:positionV>
                <wp:extent cx="1383030" cy="312420"/>
                <wp:effectExtent l="0" t="0" r="26670" b="11430"/>
                <wp:wrapSquare wrapText="bothSides"/>
                <wp:docPr id="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3030" cy="312420"/>
                        </a:xfrm>
                        <a:prstGeom prst="rect">
                          <a:avLst/>
                        </a:prstGeom>
                        <a:solidFill>
                          <a:srgbClr val="FFFFFF"/>
                        </a:solidFill>
                        <a:ln w="9525">
                          <a:solidFill>
                            <a:srgbClr val="000000"/>
                          </a:solidFill>
                          <a:miter lim="800000"/>
                          <a:headEnd/>
                          <a:tailEnd/>
                        </a:ln>
                      </wps:spPr>
                      <wps:txbx>
                        <w:txbxContent>
                          <w:p w14:paraId="658F4599" w14:textId="6C08ACFB" w:rsidR="00840AE4" w:rsidRDefault="00840AE4">
                            <w:r>
                              <w:t>Deontological layer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7F90F" id="_x0000_s1029" type="#_x0000_t202" style="position:absolute;left:0;text-align:left;margin-left:13.85pt;margin-top:13.15pt;width:108.9pt;height:24.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">
                <v:textbox>
                  <w:txbxContent>
                    <w:p w14:paraId="658F4599" w14:textId="6C08ACFB" w:rsidR="00840AE4" w:rsidRDefault="00840AE4">
                      <w:r>
                        <w:t>Deontological layer</w:t>
                      </w:r>
                    </w:p>
                  </w:txbxContent>
                </v:textbox>
                <w10:wrap type="square"/>
              </v:shape>
            </w:pict>
          </mc:Fallback>
        </mc:AlternateContent>
      </w:r>
    </w:p>
    <w:p w14:paraId="3E267D04" w14:textId="66DFF15F" w:rsidR="008410C1" w:rsidRDefault="008410C1" w:rsidP="00341EAE"/>
    <w:p w14:paraId="6654A903" w14:textId="3CC5181F" w:rsidR="008410C1" w:rsidRDefault="00840AE4" w:rsidP="00341EAE">
      <w:r w:rsidRPr="00786651">
        <w:rPr>
          <w:noProof/>
          <w:kern w:val="2"/>
          <w:sz w:val="21"/>
        </w:rPr>
        <mc:AlternateContent>
          <mc:Choice Requires="wps">
            <w:drawing>
              <wp:anchor distT="45720" distB="45720" distL="114300" distR="114300" simplePos="0" relativeHeight="251679744" behindDoc="0" locked="0" layoutInCell="1" allowOverlap="1" wp14:anchorId="2C662023" wp14:editId="2C729E76">
                <wp:simplePos x="0" y="0"/>
                <wp:positionH relativeFrom="margin">
                  <wp:posOffset>2349661</wp:posOffset>
                </wp:positionH>
                <wp:positionV relativeFrom="paragraph">
                  <wp:posOffset>80276</wp:posOffset>
                </wp:positionV>
                <wp:extent cx="4017010" cy="1550670"/>
                <wp:effectExtent l="0" t="0" r="21590" b="11430"/>
                <wp:wrapSquare wrapText="bothSides"/>
                <wp:docPr id="1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7010" cy="1550670"/>
                        </a:xfrm>
                        <a:prstGeom prst="rect">
                          <a:avLst/>
                        </a:prstGeom>
                        <a:solidFill>
                          <a:srgbClr val="FFFFFF"/>
                        </a:solidFill>
                        <a:ln w="9525">
                          <a:solidFill>
                            <a:srgbClr val="000000"/>
                          </a:solidFill>
                          <a:miter lim="800000"/>
                          <a:headEnd/>
                          <a:tailEnd/>
                        </a:ln>
                      </wps:spPr>
                      <wps:txbx>
                        <w:txbxContent>
                          <w:p w14:paraId="19CA13FD" w14:textId="7CC430F7" w:rsidR="00840AE4" w:rsidRDefault="00840AE4" w:rsidP="00840AE4">
                            <w:pPr>
                              <w:jc w:val="left"/>
                            </w:pPr>
                            <w:r w:rsidRPr="00786651">
                              <w:t xml:space="preserve">At a societal level, studying large </w:t>
                            </w:r>
                            <w:r w:rsidR="00EA5F38">
                              <w:t>professional</w:t>
                            </w:r>
                            <w:r w:rsidRPr="00786651">
                              <w:t xml:space="preserve"> groups that have not been studied before can provide a deeper understanding of occupational groups and contribute to the profession's development. For occupational groups, research can </w:t>
                            </w:r>
                            <w:r>
                              <w:t>change</w:t>
                            </w:r>
                            <w:r w:rsidRPr="00786651">
                              <w:t xml:space="preserve"> the neglected situation, giving them a greater understanding of themselves and, through participation in research, perhaps uncovering previously overlooked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662023" id="_x0000_s1030" type="#_x0000_t202" style="position:absolute;left:0;text-align:left;margin-left:185pt;margin-top:6.3pt;width:316.3pt;height:122.1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">
                <v:textbox>
                  <w:txbxContent>
                    <w:p w14:paraId="19CA13FD" w14:textId="7CC430F7" w:rsidR="00840AE4" w:rsidRDefault="00840AE4" w:rsidP="00840AE4">
                      <w:pPr>
                        <w:jc w:val="left"/>
                      </w:pPr>
                      <w:r w:rsidRPr="00786651">
                        <w:t xml:space="preserve">At a societal level, studying large </w:t>
                      </w:r>
                      <w:r w:rsidR="00EA5F38">
                        <w:t>professional</w:t>
                      </w:r>
                      <w:r w:rsidRPr="00786651">
                        <w:t xml:space="preserve"> groups that have not been studied before can provide a deeper understanding of occupational groups and contribute to the profession's development. For occupational groups, research can </w:t>
                      </w:r>
                      <w:r>
                        <w:t>change</w:t>
                      </w:r>
                      <w:r w:rsidRPr="00786651">
                        <w:t xml:space="preserve"> the neglected situation, giving them a greater understanding of themselves and, through participation in research, perhaps uncovering previously overlooked issues.</w:t>
                      </w:r>
                    </w:p>
                  </w:txbxContent>
                </v:textbox>
                <w10:wrap type="square" anchorx="margin"/>
              </v:shape>
            </w:pict>
          </mc:Fallback>
        </mc:AlternateContent>
      </w:r>
      <w:r>
        <w:rPr>
          <w:noProof/>
        </w:rPr>
        <mc:AlternateContent>
          <mc:Choice Requires="wps">
            <w:drawing>
              <wp:anchor distT="0" distB="0" distL="114300" distR="114300" simplePos="0" relativeHeight="251661312" behindDoc="0" locked="0" layoutInCell="1" allowOverlap="1" wp14:anchorId="499FB087" wp14:editId="2046C4CB">
                <wp:simplePos x="0" y="0"/>
                <wp:positionH relativeFrom="column">
                  <wp:posOffset>-37619</wp:posOffset>
                </wp:positionH>
                <wp:positionV relativeFrom="paragraph">
                  <wp:posOffset>215570</wp:posOffset>
                </wp:positionV>
                <wp:extent cx="1753565" cy="23150"/>
                <wp:effectExtent l="0" t="0" r="37465" b="34290"/>
                <wp:wrapNone/>
                <wp:docPr id="4" name="直接连接符 4"/>
                <wp:cNvGraphicFramePr/>
                <a:graphic xmlns:a="http://schemas.openxmlformats.org/drawingml/2006/main">
                  <a:graphicData uri="http://schemas.microsoft.com/office/word/2010/wordprocessingShape">
                    <wps:wsp>
                      <wps:cNvCnPr/>
                      <wps:spPr>
                        <a:xfrm>
                          <a:off x="0" y="0"/>
                          <a:ext cx="1753565" cy="23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27B1678" id="直接连接符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95pt,16.95pt" to="135.1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" strokecolor="black [3200]" strokeweight=".5pt">
                <v:stroke joinstyle="miter"/>
              </v:line>
            </w:pict>
          </mc:Fallback>
        </mc:AlternateContent>
      </w:r>
    </w:p>
    <w:p w14:paraId="5C8CFAF6" w14:textId="38765000" w:rsidR="008410C1" w:rsidRDefault="008410C1" w:rsidP="00341EAE"/>
    <w:p w14:paraId="263C7DA3" w14:textId="4A999970" w:rsidR="008410C1" w:rsidRDefault="00840AE4" w:rsidP="00341EAE">
      <w:r>
        <w:rPr>
          <w:noProof/>
        </w:rPr>
        <mc:AlternateContent>
          <mc:Choice Requires="wps">
            <w:drawing>
              <wp:anchor distT="0" distB="0" distL="114300" distR="114300" simplePos="0" relativeHeight="251677696" behindDoc="0" locked="0" layoutInCell="1" allowOverlap="1" wp14:anchorId="4DF5DB24" wp14:editId="4B0C28E3">
                <wp:simplePos x="0" y="0"/>
                <wp:positionH relativeFrom="column">
                  <wp:posOffset>1912716</wp:posOffset>
                </wp:positionH>
                <wp:positionV relativeFrom="paragraph">
                  <wp:posOffset>47971</wp:posOffset>
                </wp:positionV>
                <wp:extent cx="424518" cy="17362"/>
                <wp:effectExtent l="0" t="76200" r="33020" b="78105"/>
                <wp:wrapNone/>
                <wp:docPr id="17" name="直接箭头连接符 17"/>
                <wp:cNvGraphicFramePr/>
                <a:graphic xmlns:a="http://schemas.openxmlformats.org/drawingml/2006/main">
                  <a:graphicData uri="http://schemas.microsoft.com/office/word/2010/wordprocessingShape">
                    <wps:wsp>
                      <wps:cNvCnPr/>
                      <wps:spPr>
                        <a:xfrm flipV="1">
                          <a:off x="0" y="0"/>
                          <a:ext cx="424518" cy="173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CCE23E" id="直接箭头连接符 17" o:spid="_x0000_s1026" type="#_x0000_t32" style="position:absolute;margin-left:150.6pt;margin-top:3.8pt;width:33.45pt;height:1.3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8480" behindDoc="0" locked="0" layoutInCell="1" allowOverlap="1" wp14:anchorId="529B46E3" wp14:editId="4F3E1A6D">
                <wp:simplePos x="0" y="0"/>
                <wp:positionH relativeFrom="margin">
                  <wp:posOffset>86810</wp:posOffset>
                </wp:positionH>
                <wp:positionV relativeFrom="paragraph">
                  <wp:posOffset>20320</wp:posOffset>
                </wp:positionV>
                <wp:extent cx="1498600" cy="340995"/>
                <wp:effectExtent l="0" t="0" r="25400" b="20955"/>
                <wp:wrapSquare wrapText="bothSides"/>
                <wp:docPr id="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340995"/>
                        </a:xfrm>
                        <a:prstGeom prst="rect">
                          <a:avLst/>
                        </a:prstGeom>
                        <a:solidFill>
                          <a:srgbClr val="FFFFFF"/>
                        </a:solidFill>
                        <a:ln w="9525">
                          <a:solidFill>
                            <a:srgbClr val="000000"/>
                          </a:solidFill>
                          <a:miter lim="800000"/>
                          <a:headEnd/>
                          <a:tailEnd/>
                        </a:ln>
                      </wps:spPr>
                      <wps:txbx>
                        <w:txbxContent>
                          <w:p w14:paraId="67A0FF49" w14:textId="7CAB0315" w:rsidR="00840AE4" w:rsidRDefault="00840AE4">
                            <w:r>
                              <w:t>Consequential layer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B46E3" id="_x0000_s1031" type="#_x0000_t202" style="position:absolute;left:0;text-align:left;margin-left:6.85pt;margin-top:1.6pt;width:118pt;height:26.8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">
                <v:textbox>
                  <w:txbxContent>
                    <w:p w14:paraId="67A0FF49" w14:textId="7CAB0315" w:rsidR="00840AE4" w:rsidRDefault="00840AE4">
                      <w:r>
                        <w:t>Consequential layer</w:t>
                      </w:r>
                    </w:p>
                  </w:txbxContent>
                </v:textbox>
                <w10:wrap type="square" anchorx="margin"/>
              </v:shape>
            </w:pict>
          </mc:Fallback>
        </mc:AlternateContent>
      </w:r>
    </w:p>
    <w:p w14:paraId="701EC3F0" w14:textId="6883CBC2" w:rsidR="008410C1" w:rsidRDefault="008410C1" w:rsidP="00341EAE"/>
    <w:p w14:paraId="797A3D6B" w14:textId="2EE4A8BA" w:rsidR="008410C1" w:rsidRDefault="00840AE4" w:rsidP="00341EAE">
      <w:r>
        <w:rPr>
          <w:noProof/>
        </w:rPr>
        <mc:AlternateContent>
          <mc:Choice Requires="wps">
            <w:drawing>
              <wp:anchor distT="0" distB="0" distL="114300" distR="114300" simplePos="0" relativeHeight="251662336" behindDoc="0" locked="0" layoutInCell="1" allowOverlap="1" wp14:anchorId="032B41F4" wp14:editId="7BD702DE">
                <wp:simplePos x="0" y="0"/>
                <wp:positionH relativeFrom="column">
                  <wp:posOffset>-367497</wp:posOffset>
                </wp:positionH>
                <wp:positionV relativeFrom="paragraph">
                  <wp:posOffset>85733</wp:posOffset>
                </wp:positionV>
                <wp:extent cx="2413321" cy="23149"/>
                <wp:effectExtent l="0" t="0" r="25400" b="34290"/>
                <wp:wrapNone/>
                <wp:docPr id="5" name="直接连接符 5"/>
                <wp:cNvGraphicFramePr/>
                <a:graphic xmlns:a="http://schemas.openxmlformats.org/drawingml/2006/main">
                  <a:graphicData uri="http://schemas.microsoft.com/office/word/2010/wordprocessingShape">
                    <wps:wsp>
                      <wps:cNvCnPr/>
                      <wps:spPr>
                        <a:xfrm flipV="1">
                          <a:off x="0" y="0"/>
                          <a:ext cx="2413321" cy="2314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DBC0F5" id="直接连接符 5"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28.95pt,6.75pt" to="161.1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" strokecolor="black [3200]" strokeweight=".5pt">
                <v:stroke joinstyle="miter"/>
              </v:line>
            </w:pict>
          </mc:Fallback>
        </mc:AlternateContent>
      </w:r>
    </w:p>
    <w:p w14:paraId="683F65D9" w14:textId="01A02A7E" w:rsidR="008410C1" w:rsidRDefault="00840AE4" w:rsidP="00341EAE">
      <w:r w:rsidRPr="00786651">
        <w:rPr>
          <w:noProof/>
          <w:kern w:val="2"/>
          <w:sz w:val="21"/>
        </w:rPr>
        <mc:AlternateContent>
          <mc:Choice Requires="wps">
            <w:drawing>
              <wp:anchor distT="45720" distB="45720" distL="114300" distR="114300" simplePos="0" relativeHeight="251682816" behindDoc="0" locked="0" layoutInCell="1" allowOverlap="1" wp14:anchorId="3F371574" wp14:editId="4A9FBE5F">
                <wp:simplePos x="0" y="0"/>
                <wp:positionH relativeFrom="column">
                  <wp:posOffset>2630170</wp:posOffset>
                </wp:positionH>
                <wp:positionV relativeFrom="paragraph">
                  <wp:posOffset>241300</wp:posOffset>
                </wp:positionV>
                <wp:extent cx="3691890" cy="1151255"/>
                <wp:effectExtent l="0" t="0" r="22860" b="10795"/>
                <wp:wrapSquare wrapText="bothSides"/>
                <wp:docPr id="1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1890" cy="1151255"/>
                        </a:xfrm>
                        <a:prstGeom prst="rect">
                          <a:avLst/>
                        </a:prstGeom>
                        <a:solidFill>
                          <a:srgbClr val="FFFFFF"/>
                        </a:solidFill>
                        <a:ln w="9525">
                          <a:solidFill>
                            <a:srgbClr val="000000"/>
                          </a:solidFill>
                          <a:miter lim="800000"/>
                          <a:headEnd/>
                          <a:tailEnd/>
                        </a:ln>
                      </wps:spPr>
                      <wps:txbx>
                        <w:txbxContent>
                          <w:p w14:paraId="29B0E7E1" w14:textId="1DF9B072" w:rsidR="00840AE4" w:rsidRDefault="00840AE4" w:rsidP="00840AE4">
                            <w:r>
                              <w:t xml:space="preserve">External consideration. To conduct this research, the researcher will strictly </w:t>
                            </w:r>
                            <w:r w:rsidRPr="00786651">
                              <w:t xml:space="preserve">comply with all laws and regulations in the UK and China. The researcher will also strictly adhere to the </w:t>
                            </w:r>
                            <w:r>
                              <w:t>UWTSD Research Integrity and Ethics Code of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71574" id="_x0000_s1032" type="#_x0000_t202" style="position:absolute;left:0;text-align:left;margin-left:207.1pt;margin-top:19pt;width:290.7pt;height:90.6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">
                <v:textbox>
                  <w:txbxContent>
                    <w:p w14:paraId="29B0E7E1" w14:textId="1DF9B072" w:rsidR="00840AE4" w:rsidRDefault="00840AE4" w:rsidP="00840AE4">
                      <w:r>
                        <w:t xml:space="preserve">External consideration. To conduct this research, the researcher will strictly </w:t>
                      </w:r>
                      <w:r w:rsidRPr="00786651">
                        <w:t xml:space="preserve">comply with all laws and regulations in the UK and China. The researcher will also strictly adhere to the </w:t>
                      </w:r>
                      <w:r>
                        <w:t>UWTSD Research Integrity and Ethics Code of Practice.</w:t>
                      </w:r>
                    </w:p>
                  </w:txbxContent>
                </v:textbox>
                <w10:wrap type="square"/>
              </v:shape>
            </w:pict>
          </mc:Fallback>
        </mc:AlternateContent>
      </w:r>
      <w:r>
        <w:rPr>
          <w:noProof/>
        </w:rPr>
        <mc:AlternateContent>
          <mc:Choice Requires="wps">
            <w:drawing>
              <wp:anchor distT="0" distB="0" distL="114300" distR="114300" simplePos="0" relativeHeight="251669504" behindDoc="0" locked="0" layoutInCell="1" allowOverlap="1" wp14:anchorId="17A7DA79" wp14:editId="5CE06FA7">
                <wp:simplePos x="0" y="0"/>
                <wp:positionH relativeFrom="margin">
                  <wp:posOffset>109855</wp:posOffset>
                </wp:positionH>
                <wp:positionV relativeFrom="paragraph">
                  <wp:posOffset>5080</wp:posOffset>
                </wp:positionV>
                <wp:extent cx="1510030" cy="352425"/>
                <wp:effectExtent l="0" t="0" r="13970" b="28575"/>
                <wp:wrapNone/>
                <wp:docPr id="9" name="文本框 9"/>
                <wp:cNvGraphicFramePr/>
                <a:graphic xmlns:a="http://schemas.openxmlformats.org/drawingml/2006/main">
                  <a:graphicData uri="http://schemas.microsoft.com/office/word/2010/wordprocessingShape">
                    <wps:wsp>
                      <wps:cNvSpPr txBox="1"/>
                      <wps:spPr>
                        <a:xfrm>
                          <a:off x="0" y="0"/>
                          <a:ext cx="1510030" cy="352425"/>
                        </a:xfrm>
                        <a:prstGeom prst="rect">
                          <a:avLst/>
                        </a:prstGeom>
                        <a:solidFill>
                          <a:schemeClr val="lt1"/>
                        </a:solidFill>
                        <a:ln w="6350">
                          <a:solidFill>
                            <a:prstClr val="black"/>
                          </a:solidFill>
                        </a:ln>
                      </wps:spPr>
                      <wps:txbx>
                        <w:txbxContent>
                          <w:p w14:paraId="15ADFFE1" w14:textId="0C7F2BC0" w:rsidR="00840AE4" w:rsidRDefault="00840AE4">
                            <w:r>
                              <w:t>External consideration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7DA79" id="文本框 9" o:spid="_x0000_s1033" type="#_x0000_t202" style="position:absolute;left:0;text-align:left;margin-left:8.65pt;margin-top:.4pt;width:118.9pt;height:27.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" fillcolor="white [3201]" strokeweight=".5pt">
                <v:textbox>
                  <w:txbxContent>
                    <w:p w14:paraId="15ADFFE1" w14:textId="0C7F2BC0" w:rsidR="00840AE4" w:rsidRDefault="00840AE4">
                      <w:r>
                        <w:t>External consideration</w:t>
                      </w:r>
                    </w:p>
                  </w:txbxContent>
                </v:textbox>
                <w10:wrap anchorx="margin"/>
              </v:shape>
            </w:pict>
          </mc:Fallback>
        </mc:AlternateContent>
      </w:r>
    </w:p>
    <w:p w14:paraId="3EA9E912" w14:textId="5507D9D9" w:rsidR="008410C1" w:rsidRDefault="00840AE4" w:rsidP="00341EAE">
      <w:r>
        <w:rPr>
          <w:noProof/>
        </w:rPr>
        <mc:AlternateContent>
          <mc:Choice Requires="wps">
            <w:drawing>
              <wp:anchor distT="0" distB="0" distL="114300" distR="114300" simplePos="0" relativeHeight="251680768" behindDoc="0" locked="0" layoutInCell="1" allowOverlap="1" wp14:anchorId="140B0325" wp14:editId="798AFEA7">
                <wp:simplePos x="0" y="0"/>
                <wp:positionH relativeFrom="column">
                  <wp:posOffset>2265744</wp:posOffset>
                </wp:positionH>
                <wp:positionV relativeFrom="paragraph">
                  <wp:posOffset>50639</wp:posOffset>
                </wp:positionV>
                <wp:extent cx="248856" cy="0"/>
                <wp:effectExtent l="0" t="76200" r="18415" b="95250"/>
                <wp:wrapNone/>
                <wp:docPr id="18" name="直接箭头连接符 18"/>
                <wp:cNvGraphicFramePr/>
                <a:graphic xmlns:a="http://schemas.openxmlformats.org/drawingml/2006/main">
                  <a:graphicData uri="http://schemas.microsoft.com/office/word/2010/wordprocessingShape">
                    <wps:wsp>
                      <wps:cNvCnPr/>
                      <wps:spPr>
                        <a:xfrm>
                          <a:off x="0" y="0"/>
                          <a:ext cx="24885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2210F51" id="_x0000_t32" coordsize="21600,21600" o:spt="32" o:oned="t" path="m,l21600,21600e" filled="f">
                <v:path arrowok="t" fillok="f" o:connecttype="none"/>
                <o:lock v:ext="edit" shapetype="t"/>
              </v:shapetype>
              <v:shape id="直接箭头连接符 18" o:spid="_x0000_s1026" type="#_x0000_t32" style="position:absolute;margin-left:178.4pt;margin-top:4pt;width:19.6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" strokecolor="#4472c4 [3204]" strokeweight=".5pt">
                <v:stroke endarrow="block" joinstyle="miter"/>
              </v:shape>
            </w:pict>
          </mc:Fallback>
        </mc:AlternateContent>
      </w:r>
    </w:p>
    <w:p w14:paraId="3A830193" w14:textId="293D2DD4" w:rsidR="008410C1" w:rsidRDefault="004E78F9" w:rsidP="00341EAE">
      <w:r>
        <w:rPr>
          <w:noProof/>
        </w:rPr>
        <mc:AlternateContent>
          <mc:Choice Requires="wps">
            <w:drawing>
              <wp:anchor distT="45720" distB="45720" distL="114300" distR="114300" simplePos="0" relativeHeight="251684864" behindDoc="0" locked="0" layoutInCell="1" allowOverlap="1" wp14:anchorId="0D1E6717" wp14:editId="046D7765">
                <wp:simplePos x="0" y="0"/>
                <wp:positionH relativeFrom="margin">
                  <wp:align>left</wp:align>
                </wp:positionH>
                <wp:positionV relativeFrom="paragraph">
                  <wp:posOffset>35947</wp:posOffset>
                </wp:positionV>
                <wp:extent cx="1621790" cy="294005"/>
                <wp:effectExtent l="0" t="0" r="16510" b="10795"/>
                <wp:wrapSquare wrapText="bothSides"/>
                <wp:docPr id="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1790" cy="294005"/>
                        </a:xfrm>
                        <a:prstGeom prst="rect">
                          <a:avLst/>
                        </a:prstGeom>
                        <a:solidFill>
                          <a:srgbClr val="FFFFFF"/>
                        </a:solidFill>
                        <a:ln w="9525">
                          <a:solidFill>
                            <a:srgbClr val="000000"/>
                          </a:solidFill>
                          <a:miter lim="800000"/>
                          <a:headEnd/>
                          <a:tailEnd/>
                        </a:ln>
                      </wps:spPr>
                      <wps:txbx>
                        <w:txbxContent>
                          <w:p w14:paraId="1EFF2CD0" w14:textId="001A6295" w:rsidR="004E78F9" w:rsidRDefault="004E78F9" w:rsidP="004E78F9">
                            <w:pPr>
                              <w:jc w:val="center"/>
                            </w:pPr>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E6717" id="_x0000_s1034" type="#_x0000_t202" style="position:absolute;left:0;text-align:left;margin-left:0;margin-top:2.85pt;width:127.7pt;height:23.15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">
                <v:textbox>
                  <w:txbxContent>
                    <w:p w14:paraId="1EFF2CD0" w14:textId="001A6295" w:rsidR="004E78F9" w:rsidRDefault="004E78F9" w:rsidP="004E78F9">
                      <w:pPr>
                        <w:jc w:val="center"/>
                      </w:pPr>
                      <w:r>
                        <w:t>Figure 1</w:t>
                      </w:r>
                    </w:p>
                  </w:txbxContent>
                </v:textbox>
                <w10:wrap type="square" anchorx="margin"/>
              </v:shape>
            </w:pict>
          </mc:Fallback>
        </mc:AlternateContent>
      </w:r>
    </w:p>
    <w:p w14:paraId="11ABAEDD" w14:textId="47BAD62C" w:rsidR="008410C1" w:rsidRDefault="008410C1" w:rsidP="00341EAE"/>
    <w:p w14:paraId="01BA7CD0" w14:textId="56488128" w:rsidR="008410C1" w:rsidRDefault="008410C1" w:rsidP="00341EAE"/>
    <w:p w14:paraId="61D67677" w14:textId="77777777" w:rsidR="00713E88" w:rsidRDefault="00713E88" w:rsidP="00341EAE"/>
    <w:p w14:paraId="3E5BF8EC" w14:textId="7AD53EC8" w:rsidR="00753F70" w:rsidRDefault="006B756F" w:rsidP="00341EAE">
      <w:r>
        <w:lastRenderedPageBreak/>
        <w:t xml:space="preserve">This research </w:t>
      </w:r>
      <w:r w:rsidR="00683C1C">
        <w:t>seeks</w:t>
      </w:r>
      <w:r>
        <w:t xml:space="preserve"> the different perspectives affecting the professional identity </w:t>
      </w:r>
      <w:r w:rsidR="00683C1C">
        <w:t>of</w:t>
      </w:r>
      <w:r>
        <w:t xml:space="preserve"> property brokers </w:t>
      </w:r>
      <w:r w:rsidR="00683C1C">
        <w:t xml:space="preserve">and </w:t>
      </w:r>
      <w:r>
        <w:t xml:space="preserve">then </w:t>
      </w:r>
      <w:r w:rsidR="00683C1C">
        <w:t>evaluates</w:t>
      </w:r>
      <w:r>
        <w:t xml:space="preserve"> how these variables </w:t>
      </w:r>
      <w:r w:rsidR="00683C1C">
        <w:t>work</w:t>
      </w:r>
      <w:r>
        <w:t xml:space="preserve"> on this group’s professional identity. As </w:t>
      </w:r>
      <w:r w:rsidR="00683C1C">
        <w:t>stated</w:t>
      </w:r>
      <w:r>
        <w:t xml:space="preserve"> in the previous part </w:t>
      </w:r>
      <w:r w:rsidR="00683C1C">
        <w:t>of</w:t>
      </w:r>
      <w:r>
        <w:t xml:space="preserve"> this report</w:t>
      </w:r>
      <w:r w:rsidR="00683C1C">
        <w:t>,</w:t>
      </w:r>
      <w:r>
        <w:t xml:space="preserve"> the researcher is trying to use the case study approach to conduct this topic.</w:t>
      </w:r>
      <w:r w:rsidR="00683C1C">
        <w:t xml:space="preserve"> </w:t>
      </w:r>
      <w:r w:rsidR="00683C1C" w:rsidRPr="00683C1C">
        <w:t xml:space="preserve">Reed et al. (2012) </w:t>
      </w:r>
      <w:proofErr w:type="gramStart"/>
      <w:r w:rsidR="00683C1C" w:rsidRPr="00683C1C">
        <w:t>propose</w:t>
      </w:r>
      <w:proofErr w:type="gramEnd"/>
      <w:r w:rsidR="00683C1C" w:rsidRPr="00683C1C">
        <w:t xml:space="preserve"> five identity correlates in consumer identity research, which is identity salience: i.e. identity increases if it is a positive component of identity processing, identity association: stimuli can increase positive identity in response to stimuli, identity relevance: the evaluation of identity-related stimuli depends on the essence in the relevant domain, identity validation: individuals monitor their behaviour to reinforce their identity and identity conflict. This could be logically transferred to this research by evaluating the multi-perspectives regarding the professional identity of brokers. After selecting different groups of brokers, fieldwork, questionaries, and interviews would apply to the study.</w:t>
      </w:r>
      <w:r w:rsidR="00DE6DD7">
        <w:t xml:space="preserve"> </w:t>
      </w:r>
    </w:p>
    <w:p w14:paraId="08FEC1FE" w14:textId="77777777" w:rsidR="00753F70" w:rsidRDefault="00753F70" w:rsidP="00341EAE"/>
    <w:p w14:paraId="1EC2F823" w14:textId="510FDB12" w:rsidR="00747809" w:rsidRDefault="00713E88" w:rsidP="00966777">
      <w:r>
        <w:t xml:space="preserve">Any </w:t>
      </w:r>
      <w:r w:rsidR="006E7E52">
        <w:t>respondent</w:t>
      </w:r>
      <w:r>
        <w:t xml:space="preserve"> would be informed in advance that </w:t>
      </w:r>
      <w:r w:rsidR="006E7E52">
        <w:t xml:space="preserve">they only joined the research as a team by volunteer and could withdraw from the research at any time. </w:t>
      </w:r>
      <w:r w:rsidR="00DE6DD7">
        <w:t xml:space="preserve">All information collected would </w:t>
      </w:r>
      <w:r w:rsidR="00646D3D">
        <w:t xml:space="preserve">be treated as strictly confidential. </w:t>
      </w:r>
      <w:r w:rsidR="00613523">
        <w:t>I</w:t>
      </w:r>
      <w:r w:rsidR="00646D3D">
        <w:t xml:space="preserve">n this research, different brokers would be involved, so </w:t>
      </w:r>
      <w:r w:rsidR="00613523" w:rsidRPr="00613523">
        <w:t>some methods should be applied to protect the bottom-level professionals by sharing negative views of the company or the higher-level colleagues</w:t>
      </w:r>
      <w:r w:rsidR="00646D3D">
        <w:t xml:space="preserve">. The researcher could interview or conduct the </w:t>
      </w:r>
      <w:r w:rsidR="00E24336">
        <w:t>questionnaires</w:t>
      </w:r>
      <w:r w:rsidR="00646D3D">
        <w:t xml:space="preserve"> to the different levels of brokers separately.</w:t>
      </w:r>
      <w:r w:rsidR="00A202CC">
        <w:t xml:space="preserve"> </w:t>
      </w:r>
      <w:r w:rsidR="00A202CC" w:rsidRPr="00A202CC">
        <w:t>In their research on the professional identity of the new profession of CSR consultant in Greece, using a purely qualitative approach, they used the interview method of data collection, which was conducted in the privacy of the respondent's separate office and in complete confidentiality to the outside world to be able to achieve ethic objectives (</w:t>
      </w:r>
      <w:proofErr w:type="spellStart"/>
      <w:r w:rsidR="00A202CC" w:rsidRPr="00A202CC">
        <w:t>Iatridis</w:t>
      </w:r>
      <w:proofErr w:type="spellEnd"/>
      <w:r w:rsidR="00A202CC" w:rsidRPr="00A202CC">
        <w:t xml:space="preserve">, Gond, and </w:t>
      </w:r>
      <w:proofErr w:type="spellStart"/>
      <w:r w:rsidR="00A202CC" w:rsidRPr="00A202CC">
        <w:t>Kesidou</w:t>
      </w:r>
      <w:proofErr w:type="spellEnd"/>
      <w:r w:rsidR="00A202CC" w:rsidRPr="00A202CC">
        <w:t xml:space="preserve"> 2021).</w:t>
      </w:r>
      <w:r w:rsidR="00646D3D">
        <w:t xml:space="preserve"> </w:t>
      </w:r>
      <w:proofErr w:type="gramStart"/>
      <w:r w:rsidR="00E24336">
        <w:t>A</w:t>
      </w:r>
      <w:r w:rsidR="00646D3D">
        <w:t>s long as</w:t>
      </w:r>
      <w:proofErr w:type="gramEnd"/>
      <w:r w:rsidR="00646D3D">
        <w:t xml:space="preserve"> further proper confidential methods </w:t>
      </w:r>
      <w:r w:rsidR="00E24336">
        <w:t>are used in this research, this could protect the different voices that may occur.</w:t>
      </w:r>
      <w:r w:rsidR="00840AE4">
        <w:t xml:space="preserve"> </w:t>
      </w:r>
    </w:p>
    <w:p w14:paraId="7D6F58CB" w14:textId="5B19AC36" w:rsidR="00713E88" w:rsidRDefault="00713E88" w:rsidP="00966777"/>
    <w:p w14:paraId="2ADFF773" w14:textId="01D2AB01" w:rsidR="00D72B5A" w:rsidRDefault="006E7E52" w:rsidP="00966777">
      <w:r>
        <w:t>Two additional potential problems need</w:t>
      </w:r>
      <w:r w:rsidR="00713E88">
        <w:t xml:space="preserve"> to be addressed. One is </w:t>
      </w:r>
      <w:r>
        <w:t>collecting</w:t>
      </w:r>
      <w:r w:rsidR="00713E88">
        <w:t xml:space="preserve"> </w:t>
      </w:r>
      <w:r>
        <w:t>accurate</w:t>
      </w:r>
      <w:r w:rsidR="00713E88">
        <w:t xml:space="preserve"> information data</w:t>
      </w:r>
      <w:r>
        <w:t>,</w:t>
      </w:r>
      <w:r w:rsidR="00713E88">
        <w:t xml:space="preserve"> and the other is the awkward factor such as income. The property brokers </w:t>
      </w:r>
      <w:r>
        <w:t>vary</w:t>
      </w:r>
      <w:r w:rsidR="00713E88">
        <w:t xml:space="preserve"> in income</w:t>
      </w:r>
      <w:r>
        <w:t>; this</w:t>
      </w:r>
      <w:r w:rsidR="00713E88">
        <w:t xml:space="preserve"> could cause a high self-esteem barrier</w:t>
      </w:r>
      <w:r>
        <w:t>, so gaining accurate information is</w:t>
      </w:r>
      <w:r w:rsidR="00713E88">
        <w:t xml:space="preserve"> hard in this research. </w:t>
      </w:r>
      <w:r>
        <w:t>One</w:t>
      </w:r>
      <w:r w:rsidR="00713E88">
        <w:t xml:space="preserve"> possible way to deal with the first problem is to gain trust through in-depth fieldwork first </w:t>
      </w:r>
      <w:r>
        <w:t xml:space="preserve">and </w:t>
      </w:r>
      <w:r w:rsidR="00713E88">
        <w:t xml:space="preserve">data second. However, </w:t>
      </w:r>
      <w:r>
        <w:t xml:space="preserve">the </w:t>
      </w:r>
      <w:r w:rsidR="00713E88">
        <w:t xml:space="preserve">triangulation method </w:t>
      </w:r>
      <w:r>
        <w:t>needs</w:t>
      </w:r>
      <w:r w:rsidR="00713E88">
        <w:t xml:space="preserve"> to use for reliability and validity due to too-close bias in research. Regarding the second problem, </w:t>
      </w:r>
      <w:r>
        <w:t xml:space="preserve">a </w:t>
      </w:r>
      <w:r w:rsidR="00713E88">
        <w:t xml:space="preserve">semi-structured interview could be used for </w:t>
      </w:r>
      <w:r>
        <w:t xml:space="preserve">the </w:t>
      </w:r>
      <w:r w:rsidR="00713E88">
        <w:t xml:space="preserve">income factor, which means the researcher only </w:t>
      </w:r>
      <w:r>
        <w:t>collects</w:t>
      </w:r>
      <w:r w:rsidR="00713E88">
        <w:t xml:space="preserve"> income data as a factor </w:t>
      </w:r>
      <w:r>
        <w:t>by</w:t>
      </w:r>
      <w:r w:rsidR="00713E88">
        <w:t xml:space="preserve"> </w:t>
      </w:r>
      <w:r>
        <w:t>voluntarily</w:t>
      </w:r>
      <w:r w:rsidR="00713E88">
        <w:t xml:space="preserve"> </w:t>
      </w:r>
      <w:r>
        <w:t>sharing</w:t>
      </w:r>
      <w:r w:rsidR="00713E88">
        <w:t xml:space="preserve"> the income data to avoid any harm to those who are not willing to talk about income in </w:t>
      </w:r>
      <w:r w:rsidR="00613523">
        <w:t>the</w:t>
      </w:r>
      <w:r>
        <w:t xml:space="preserve"> </w:t>
      </w:r>
      <w:r w:rsidR="00713E88">
        <w:t>professional job.</w:t>
      </w:r>
    </w:p>
    <w:p w14:paraId="2183CFCB" w14:textId="58C760FB" w:rsidR="006E7E52" w:rsidRDefault="006E7E52" w:rsidP="00966777"/>
    <w:p w14:paraId="73E06CE6" w14:textId="77777777" w:rsidR="006E7E52" w:rsidRDefault="006E7E52" w:rsidP="00966777"/>
    <w:p w14:paraId="3DA009B8" w14:textId="49B48409" w:rsidR="00747809" w:rsidRDefault="00747809" w:rsidP="00B93972">
      <w:pPr>
        <w:pStyle w:val="1"/>
        <w:numPr>
          <w:ilvl w:val="0"/>
          <w:numId w:val="7"/>
        </w:numPr>
      </w:pPr>
      <w:bookmarkStart w:id="35" w:name="_Toc121692858"/>
      <w:bookmarkStart w:id="36" w:name="_Toc124422991"/>
      <w:r>
        <w:lastRenderedPageBreak/>
        <w:t xml:space="preserve">Impact of the </w:t>
      </w:r>
      <w:r w:rsidR="00BF6564">
        <w:t>r</w:t>
      </w:r>
      <w:r>
        <w:t>esearch</w:t>
      </w:r>
      <w:bookmarkEnd w:id="35"/>
      <w:bookmarkEnd w:id="36"/>
    </w:p>
    <w:p w14:paraId="6991E808" w14:textId="3D882CC6" w:rsidR="00572534" w:rsidRDefault="00572534" w:rsidP="00572534"/>
    <w:p w14:paraId="761A503A" w14:textId="236F5B8C" w:rsidR="00D72B5A" w:rsidRDefault="00D72B5A" w:rsidP="00D72B5A">
      <w:pPr>
        <w:jc w:val="left"/>
      </w:pPr>
      <w:r>
        <w:t>This research has several implications for academia, business, and society, but there are some limitations. Firstly, academically, professional identity has become a hot topic in recent years and has been studied by various scholars, from professionalised to stigmatised professions. Real estate agents</w:t>
      </w:r>
      <w:r w:rsidRPr="00911955">
        <w:t xml:space="preserve"> are </w:t>
      </w:r>
      <w:r>
        <w:t xml:space="preserve">excited </w:t>
      </w:r>
      <w:r w:rsidRPr="00911955">
        <w:t xml:space="preserve">to </w:t>
      </w:r>
      <w:r>
        <w:t>learn</w:t>
      </w:r>
      <w:r w:rsidRPr="00911955">
        <w:t xml:space="preserve"> as a large professional group</w:t>
      </w:r>
      <w:r>
        <w:t xml:space="preserve">. A study of the group's professional identity reveals that different religious beliefs, </w:t>
      </w:r>
      <w:r w:rsidRPr="00911955">
        <w:t>geographical locations and genders impact</w:t>
      </w:r>
      <w:r>
        <w:t xml:space="preserve"> the professional identity of real estate agents. Religion is a minor factor affecting professional identity because religious coverage is small in China.  As a research project for the Doctor of Business Administration, the innovation lies mainly in transferring the well-established paradigm of professional identity research on other professions to the real estate agent group in China, using proven structures and methodologies to conduct an in-depth study of this hitherto neglected group, which is studied in China as the researcher's resources are focused on this group in China.</w:t>
      </w:r>
      <w:r>
        <w:br/>
      </w:r>
      <w:r>
        <w:br/>
        <w:t>In terms of the business dimension, the study of the professional identity of real estate agents reveals that the business structure and management model of different agents affects the professional identity of their employees and that a precise analysis of the factors affecting the professional identity of the agent community can effectively provide management recommendations for real estate agents.</w:t>
      </w:r>
    </w:p>
    <w:p w14:paraId="2DFB48B7" w14:textId="77777777" w:rsidR="00D72B5A" w:rsidRDefault="00D72B5A" w:rsidP="00D72B5A">
      <w:pPr>
        <w:jc w:val="left"/>
      </w:pPr>
    </w:p>
    <w:p w14:paraId="6A84B428" w14:textId="353E316F" w:rsidR="00D72B5A" w:rsidRDefault="00D72B5A" w:rsidP="00D72B5A">
      <w:pPr>
        <w:jc w:val="left"/>
      </w:pPr>
      <w:r>
        <w:t xml:space="preserve">The significant impact on the social level is that the real estate agency industry in China often walks in the grey areas of the law, playing on the edges of the law, which hurts the healthy development of the industry. Exploring the factors and relationships that influence the professional identity of real estate agents in China will provide a better understanding of the internal characteristics of this group. As mentioned earlier, Chinese real estate agents are a large professional group that academic research should pay attention to. In a social sense, this group deserves to be studied seriously rather than revered. As stated in the previous part, the employees of real estate brokers are facing significant </w:t>
      </w:r>
      <w:r w:rsidRPr="005D5805">
        <w:t>changes in recent years; more and more top graduates from leading universities are joining this professional group, which</w:t>
      </w:r>
      <w:r>
        <w:t xml:space="preserve"> is to chase the big bonus in this industry. Analysing the professional identity of this group is key to understanding the inside situation of this professional group.</w:t>
      </w:r>
    </w:p>
    <w:p w14:paraId="47D48582" w14:textId="77777777" w:rsidR="00D72B5A" w:rsidRDefault="00D72B5A" w:rsidP="00D72B5A">
      <w:pPr>
        <w:jc w:val="left"/>
      </w:pPr>
    </w:p>
    <w:p w14:paraId="2EC01E74" w14:textId="68543381" w:rsidR="00700CF7" w:rsidRDefault="00D72B5A" w:rsidP="00D72B5A">
      <w:pPr>
        <w:jc w:val="left"/>
      </w:pPr>
      <w:r>
        <w:t xml:space="preserve">The limitations of this study lie in two main points. The first is that the researcher's bias may be a limitation to the </w:t>
      </w:r>
      <w:proofErr w:type="gramStart"/>
      <w:r w:rsidR="001828AF">
        <w:t>research, and</w:t>
      </w:r>
      <w:proofErr w:type="gramEnd"/>
      <w:r>
        <w:t xml:space="preserve"> adopting an appropriate methodology can reduce the researcher's bias due to their own bias. The second is the reliability and validity of the data in the survey process</w:t>
      </w:r>
      <w:r w:rsidR="002972DE">
        <w:t>; only</w:t>
      </w:r>
      <w:r>
        <w:t xml:space="preserve"> a mixed approach can effectively improve the reliability and validity of the data in this study.</w:t>
      </w:r>
    </w:p>
    <w:p w14:paraId="5D9A3B1D" w14:textId="77777777" w:rsidR="00700CF7" w:rsidRDefault="00700CF7" w:rsidP="00D72B5A">
      <w:pPr>
        <w:jc w:val="left"/>
      </w:pPr>
    </w:p>
    <w:p w14:paraId="2C2A8418" w14:textId="14159073" w:rsidR="00D72B5A" w:rsidRDefault="00700CF7" w:rsidP="00D72B5A">
      <w:pPr>
        <w:jc w:val="left"/>
      </w:pPr>
      <w:r>
        <w:t xml:space="preserve">The researcher </w:t>
      </w:r>
      <w:r w:rsidR="002972DE">
        <w:t>considers</w:t>
      </w:r>
      <w:r>
        <w:t xml:space="preserve"> this report an early version of </w:t>
      </w:r>
      <w:r w:rsidR="002972DE">
        <w:t xml:space="preserve">the </w:t>
      </w:r>
      <w:r>
        <w:t xml:space="preserve">plan </w:t>
      </w:r>
      <w:r w:rsidR="002972DE">
        <w:t>for</w:t>
      </w:r>
      <w:r>
        <w:t xml:space="preserve"> this specific </w:t>
      </w:r>
      <w:r w:rsidR="002972DE">
        <w:t>research; the</w:t>
      </w:r>
      <w:r>
        <w:t xml:space="preserve"> researcher would try to adjust or alter each </w:t>
      </w:r>
      <w:r w:rsidR="002972DE">
        <w:t>planning stage</w:t>
      </w:r>
      <w:r>
        <w:t xml:space="preserve"> according to upcoming modules and </w:t>
      </w:r>
      <w:r w:rsidR="00331BAE">
        <w:t>research</w:t>
      </w:r>
      <w:r>
        <w:t xml:space="preserve">.  </w:t>
      </w:r>
      <w:r w:rsidR="00D72B5A">
        <w:br/>
      </w:r>
    </w:p>
    <w:p w14:paraId="1ECEC583" w14:textId="228ED9AB" w:rsidR="00D72B5A" w:rsidRDefault="00D72B5A" w:rsidP="00D72B5A">
      <w:pPr>
        <w:jc w:val="left"/>
      </w:pPr>
    </w:p>
    <w:p w14:paraId="5D41401F" w14:textId="3DDFEE42" w:rsidR="006E7E52" w:rsidRDefault="006E7E52" w:rsidP="00D72B5A">
      <w:pPr>
        <w:jc w:val="left"/>
      </w:pPr>
    </w:p>
    <w:p w14:paraId="52C42C79" w14:textId="4AEAF745" w:rsidR="006E7E52" w:rsidRDefault="006E7E52" w:rsidP="00D72B5A">
      <w:pPr>
        <w:jc w:val="left"/>
      </w:pPr>
    </w:p>
    <w:p w14:paraId="331CFFB0" w14:textId="7A89D2CF" w:rsidR="006E7E52" w:rsidRDefault="006E7E52" w:rsidP="00D72B5A">
      <w:pPr>
        <w:jc w:val="left"/>
      </w:pPr>
    </w:p>
    <w:p w14:paraId="1469412B" w14:textId="24F5CCBD" w:rsidR="006E7E52" w:rsidRDefault="006E7E52" w:rsidP="00D72B5A">
      <w:pPr>
        <w:jc w:val="left"/>
      </w:pPr>
    </w:p>
    <w:p w14:paraId="04BC3865" w14:textId="43CC23FA" w:rsidR="006E7E52" w:rsidRDefault="006E7E52" w:rsidP="00D72B5A">
      <w:pPr>
        <w:jc w:val="left"/>
      </w:pPr>
    </w:p>
    <w:p w14:paraId="098D0AE3" w14:textId="02E74A82" w:rsidR="006E7E52" w:rsidRDefault="006E7E52" w:rsidP="00D72B5A">
      <w:pPr>
        <w:jc w:val="left"/>
      </w:pPr>
    </w:p>
    <w:p w14:paraId="7E221EDC" w14:textId="7E06E29E" w:rsidR="006E7E52" w:rsidRDefault="006E7E52" w:rsidP="00D72B5A">
      <w:pPr>
        <w:jc w:val="left"/>
      </w:pPr>
    </w:p>
    <w:p w14:paraId="6930D28A" w14:textId="1109DDD0" w:rsidR="006E7E52" w:rsidRDefault="006E7E52" w:rsidP="00D72B5A">
      <w:pPr>
        <w:jc w:val="left"/>
      </w:pPr>
    </w:p>
    <w:p w14:paraId="428F3AB2" w14:textId="0BCB991B" w:rsidR="006E7E52" w:rsidRDefault="006E7E52" w:rsidP="00D72B5A">
      <w:pPr>
        <w:jc w:val="left"/>
      </w:pPr>
    </w:p>
    <w:p w14:paraId="1CBD5D81" w14:textId="27B8D649" w:rsidR="006E7E52" w:rsidRDefault="006E7E52" w:rsidP="00D72B5A">
      <w:pPr>
        <w:jc w:val="left"/>
      </w:pPr>
    </w:p>
    <w:p w14:paraId="79017FBD" w14:textId="498E71F7" w:rsidR="006E7E52" w:rsidRDefault="006E7E52" w:rsidP="00D72B5A">
      <w:pPr>
        <w:jc w:val="left"/>
      </w:pPr>
    </w:p>
    <w:p w14:paraId="78B6F7C1" w14:textId="1E4B9DF4" w:rsidR="006E7E52" w:rsidRDefault="006E7E52" w:rsidP="00D72B5A">
      <w:pPr>
        <w:jc w:val="left"/>
      </w:pPr>
    </w:p>
    <w:p w14:paraId="55F7506A" w14:textId="0BD4C3E2" w:rsidR="006E7E52" w:rsidRDefault="006E7E52" w:rsidP="00D72B5A">
      <w:pPr>
        <w:jc w:val="left"/>
      </w:pPr>
    </w:p>
    <w:p w14:paraId="7C6B729D" w14:textId="4118F61C" w:rsidR="006E7E52" w:rsidRDefault="006E7E52" w:rsidP="00D72B5A">
      <w:pPr>
        <w:jc w:val="left"/>
      </w:pPr>
    </w:p>
    <w:p w14:paraId="75A65A6C" w14:textId="09E7E1AA" w:rsidR="006E7E52" w:rsidRDefault="006E7E52" w:rsidP="00D72B5A">
      <w:pPr>
        <w:jc w:val="left"/>
      </w:pPr>
    </w:p>
    <w:p w14:paraId="1FC8F720" w14:textId="7BBD3B39" w:rsidR="006E7E52" w:rsidRDefault="006E7E52" w:rsidP="00D72B5A">
      <w:pPr>
        <w:jc w:val="left"/>
      </w:pPr>
    </w:p>
    <w:p w14:paraId="2595E72E" w14:textId="02D291BA" w:rsidR="006E7E52" w:rsidRDefault="006E7E52" w:rsidP="00D72B5A">
      <w:pPr>
        <w:jc w:val="left"/>
      </w:pPr>
    </w:p>
    <w:p w14:paraId="088F30B2" w14:textId="784BE06F" w:rsidR="00D72B5A" w:rsidRDefault="00D72B5A" w:rsidP="00D72B5A">
      <w:pPr>
        <w:jc w:val="left"/>
      </w:pPr>
    </w:p>
    <w:p w14:paraId="754A7766" w14:textId="77777777" w:rsidR="00713E88" w:rsidRDefault="00713E88" w:rsidP="00D72B5A">
      <w:pPr>
        <w:pStyle w:val="2"/>
        <w:shd w:val="clear" w:color="auto" w:fill="FFFFFF"/>
        <w:spacing w:before="0" w:line="525" w:lineRule="atLeast"/>
        <w:jc w:val="center"/>
        <w:rPr>
          <w:rFonts w:ascii="Arial" w:hAnsi="Arial" w:cs="Arial"/>
          <w:color w:val="222222"/>
          <w:sz w:val="44"/>
          <w:szCs w:val="44"/>
          <w:shd w:val="clear" w:color="auto" w:fill="FFFFFF"/>
        </w:rPr>
      </w:pPr>
    </w:p>
    <w:p w14:paraId="6FA2466F" w14:textId="36BE8645" w:rsidR="004E78F9" w:rsidRDefault="004E78F9" w:rsidP="00D72B5A">
      <w:pPr>
        <w:pStyle w:val="2"/>
        <w:shd w:val="clear" w:color="auto" w:fill="FFFFFF"/>
        <w:spacing w:before="0" w:line="525" w:lineRule="atLeast"/>
        <w:jc w:val="center"/>
        <w:rPr>
          <w:rFonts w:ascii="Arial" w:hAnsi="Arial" w:cs="Arial"/>
          <w:color w:val="222222"/>
          <w:sz w:val="44"/>
          <w:szCs w:val="44"/>
          <w:shd w:val="clear" w:color="auto" w:fill="FFFFFF"/>
        </w:rPr>
      </w:pPr>
    </w:p>
    <w:p w14:paraId="4631E739" w14:textId="0B48062D" w:rsidR="004E78F9" w:rsidRPr="004E78F9" w:rsidRDefault="004E78F9" w:rsidP="004E78F9"/>
    <w:p w14:paraId="519E08A5" w14:textId="77777777" w:rsidR="004E78F9" w:rsidRDefault="004E78F9" w:rsidP="00D72B5A">
      <w:pPr>
        <w:pStyle w:val="2"/>
        <w:shd w:val="clear" w:color="auto" w:fill="FFFFFF"/>
        <w:spacing w:before="0" w:line="525" w:lineRule="atLeast"/>
        <w:jc w:val="center"/>
        <w:rPr>
          <w:rFonts w:ascii="Arial" w:hAnsi="Arial" w:cs="Arial"/>
          <w:color w:val="222222"/>
          <w:sz w:val="44"/>
          <w:szCs w:val="44"/>
          <w:shd w:val="clear" w:color="auto" w:fill="FFFFFF"/>
        </w:rPr>
      </w:pPr>
    </w:p>
    <w:p w14:paraId="71B48465" w14:textId="2F32F998" w:rsidR="00D72B5A" w:rsidRPr="00A9083B" w:rsidRDefault="00D72B5A" w:rsidP="00D72B5A">
      <w:pPr>
        <w:pStyle w:val="2"/>
        <w:shd w:val="clear" w:color="auto" w:fill="FFFFFF"/>
        <w:spacing w:before="0" w:line="525" w:lineRule="atLeast"/>
        <w:jc w:val="center"/>
        <w:rPr>
          <w:b/>
          <w:bCs/>
          <w:color w:val="333333"/>
        </w:rPr>
      </w:pPr>
      <w:bookmarkStart w:id="37" w:name="_Toc124422992"/>
      <w:r w:rsidRPr="00A9083B">
        <w:rPr>
          <w:rFonts w:ascii="Arial" w:hAnsi="Arial" w:cs="Arial"/>
          <w:color w:val="222222"/>
          <w:sz w:val="44"/>
          <w:szCs w:val="44"/>
          <w:shd w:val="clear" w:color="auto" w:fill="FFFFFF"/>
        </w:rPr>
        <w:t>Bibliography</w:t>
      </w:r>
      <w:bookmarkEnd w:id="37"/>
    </w:p>
    <w:p w14:paraId="35480057" w14:textId="77777777" w:rsidR="00D72B5A" w:rsidRPr="001F74B9" w:rsidRDefault="00D72B5A" w:rsidP="00D72B5A">
      <w:pPr>
        <w:jc w:val="left"/>
        <w:rPr>
          <w:rFonts w:ascii="Arial" w:hAnsi="Arial" w:cs="Arial"/>
          <w:color w:val="222222"/>
          <w:sz w:val="44"/>
          <w:szCs w:val="44"/>
          <w:shd w:val="clear" w:color="auto" w:fill="FFFFFF"/>
        </w:rPr>
      </w:pPr>
    </w:p>
    <w:p w14:paraId="2641E7F1" w14:textId="77777777" w:rsidR="00D72B5A" w:rsidRPr="001D63D1" w:rsidRDefault="00D72B5A" w:rsidP="00D72B5A">
      <w:pPr>
        <w:pStyle w:val="a9"/>
        <w:ind w:left="567" w:hanging="567"/>
        <w:rPr>
          <w:rFonts w:ascii="Arial" w:hAnsi="Arial" w:cs="Arial"/>
        </w:rPr>
      </w:pPr>
      <w:bookmarkStart w:id="38" w:name="_Hlk123468578"/>
      <w:proofErr w:type="spellStart"/>
      <w:r w:rsidRPr="001D63D1">
        <w:rPr>
          <w:rFonts w:ascii="Arial" w:hAnsi="Arial" w:cs="Arial"/>
        </w:rPr>
        <w:t>Aguinis</w:t>
      </w:r>
      <w:proofErr w:type="spellEnd"/>
      <w:r w:rsidRPr="001D63D1">
        <w:rPr>
          <w:rFonts w:ascii="Arial" w:hAnsi="Arial" w:cs="Arial"/>
        </w:rPr>
        <w:t xml:space="preserve">, H. and </w:t>
      </w:r>
      <w:proofErr w:type="spellStart"/>
      <w:r w:rsidRPr="001D63D1">
        <w:rPr>
          <w:rFonts w:ascii="Arial" w:hAnsi="Arial" w:cs="Arial"/>
        </w:rPr>
        <w:t>Glavas</w:t>
      </w:r>
      <w:proofErr w:type="spellEnd"/>
      <w:r w:rsidRPr="001D63D1">
        <w:rPr>
          <w:rFonts w:ascii="Arial" w:hAnsi="Arial" w:cs="Arial"/>
        </w:rPr>
        <w:t xml:space="preserve">, A. (2017) </w:t>
      </w:r>
      <w:bookmarkEnd w:id="38"/>
      <w:r w:rsidRPr="001D63D1">
        <w:rPr>
          <w:rFonts w:ascii="Arial" w:hAnsi="Arial" w:cs="Arial"/>
        </w:rPr>
        <w:t xml:space="preserve">“On corporate social responsibility, sensemaking, and the search for meaningfulness through work,” </w:t>
      </w:r>
      <w:r w:rsidRPr="001D63D1">
        <w:rPr>
          <w:rFonts w:ascii="Arial" w:hAnsi="Arial" w:cs="Arial"/>
          <w:i/>
          <w:iCs/>
        </w:rPr>
        <w:t>Journal of Management</w:t>
      </w:r>
      <w:r w:rsidRPr="001D63D1">
        <w:rPr>
          <w:rFonts w:ascii="Arial" w:hAnsi="Arial" w:cs="Arial"/>
        </w:rPr>
        <w:t xml:space="preserve">, 45(3), pp. 1057–1086. Available at: https://doi.org/10.1177/0149206317691575. </w:t>
      </w:r>
    </w:p>
    <w:p w14:paraId="496BD653" w14:textId="77777777" w:rsidR="00D72B5A" w:rsidRPr="001D63D1" w:rsidRDefault="00D72B5A" w:rsidP="00D72B5A">
      <w:pPr>
        <w:pStyle w:val="a9"/>
        <w:ind w:left="567" w:hanging="567"/>
        <w:rPr>
          <w:rFonts w:ascii="Arial" w:hAnsi="Arial" w:cs="Arial"/>
        </w:rPr>
      </w:pPr>
      <w:bookmarkStart w:id="39" w:name="_Hlk122968157"/>
      <w:bookmarkStart w:id="40" w:name="_Hlk120120406"/>
      <w:bookmarkStart w:id="41" w:name="_Hlk118934539"/>
      <w:proofErr w:type="spellStart"/>
      <w:r w:rsidRPr="001D63D1">
        <w:rPr>
          <w:rFonts w:ascii="Arial" w:hAnsi="Arial" w:cs="Arial"/>
        </w:rPr>
        <w:t>Ashforth</w:t>
      </w:r>
      <w:proofErr w:type="spellEnd"/>
      <w:r w:rsidRPr="001D63D1">
        <w:rPr>
          <w:rFonts w:ascii="Arial" w:hAnsi="Arial" w:cs="Arial"/>
        </w:rPr>
        <w:t xml:space="preserve">, B.E. and </w:t>
      </w:r>
      <w:proofErr w:type="spellStart"/>
      <w:r w:rsidRPr="001D63D1">
        <w:rPr>
          <w:rFonts w:ascii="Arial" w:hAnsi="Arial" w:cs="Arial"/>
        </w:rPr>
        <w:t>Schinoff</w:t>
      </w:r>
      <w:proofErr w:type="spellEnd"/>
      <w:r w:rsidRPr="001D63D1">
        <w:rPr>
          <w:rFonts w:ascii="Arial" w:hAnsi="Arial" w:cs="Arial"/>
        </w:rPr>
        <w:t xml:space="preserve">, B.S. (2016) </w:t>
      </w:r>
      <w:bookmarkEnd w:id="39"/>
      <w:r w:rsidRPr="001D63D1">
        <w:rPr>
          <w:rFonts w:ascii="Arial" w:hAnsi="Arial" w:cs="Arial"/>
        </w:rPr>
        <w:t xml:space="preserve">“Identity under construction: How individuals come to define themselves in organizations,” </w:t>
      </w:r>
      <w:r w:rsidRPr="001D63D1">
        <w:rPr>
          <w:rFonts w:ascii="Arial" w:hAnsi="Arial" w:cs="Arial"/>
          <w:i/>
          <w:iCs/>
        </w:rPr>
        <w:t xml:space="preserve">Annual Review of Organizational Psychology and Organizational </w:t>
      </w:r>
      <w:proofErr w:type="spellStart"/>
      <w:r w:rsidRPr="001D63D1">
        <w:rPr>
          <w:rFonts w:ascii="Arial" w:hAnsi="Arial" w:cs="Arial"/>
          <w:i/>
          <w:iCs/>
        </w:rPr>
        <w:t>Behavior</w:t>
      </w:r>
      <w:proofErr w:type="spellEnd"/>
      <w:r w:rsidRPr="001D63D1">
        <w:rPr>
          <w:rFonts w:ascii="Arial" w:hAnsi="Arial" w:cs="Arial"/>
        </w:rPr>
        <w:t xml:space="preserve">, 3(1), pp. 111–137. Available at: https://doi.org/10.1146/annurev-orgpsych-041015-062322. </w:t>
      </w:r>
    </w:p>
    <w:p w14:paraId="490A1CD2" w14:textId="77777777" w:rsidR="00D72B5A" w:rsidRPr="001D63D1" w:rsidRDefault="00D72B5A" w:rsidP="00D72B5A">
      <w:pPr>
        <w:pStyle w:val="a9"/>
        <w:ind w:left="567" w:hanging="567"/>
        <w:rPr>
          <w:rFonts w:ascii="Arial" w:hAnsi="Arial" w:cs="Arial"/>
        </w:rPr>
      </w:pPr>
      <w:proofErr w:type="spellStart"/>
      <w:r w:rsidRPr="001D63D1">
        <w:rPr>
          <w:rFonts w:ascii="Arial" w:hAnsi="Arial" w:cs="Arial"/>
        </w:rPr>
        <w:t>Ashforth</w:t>
      </w:r>
      <w:proofErr w:type="spellEnd"/>
      <w:r w:rsidRPr="001D63D1">
        <w:rPr>
          <w:rFonts w:ascii="Arial" w:hAnsi="Arial" w:cs="Arial"/>
        </w:rPr>
        <w:t xml:space="preserve">, B. E., &amp; </w:t>
      </w:r>
      <w:proofErr w:type="spellStart"/>
      <w:r w:rsidRPr="001D63D1">
        <w:rPr>
          <w:rFonts w:ascii="Arial" w:hAnsi="Arial" w:cs="Arial"/>
        </w:rPr>
        <w:t>Mael</w:t>
      </w:r>
      <w:proofErr w:type="spellEnd"/>
      <w:r w:rsidRPr="001D63D1">
        <w:rPr>
          <w:rFonts w:ascii="Arial" w:hAnsi="Arial" w:cs="Arial"/>
        </w:rPr>
        <w:t xml:space="preserve">, F. (1989). </w:t>
      </w:r>
      <w:bookmarkEnd w:id="40"/>
      <w:r w:rsidRPr="001D63D1">
        <w:rPr>
          <w:rFonts w:ascii="Arial" w:hAnsi="Arial" w:cs="Arial"/>
        </w:rPr>
        <w:t>Social identity theory and the organization. </w:t>
      </w:r>
      <w:r w:rsidRPr="001D63D1">
        <w:rPr>
          <w:rFonts w:ascii="Arial" w:hAnsi="Arial" w:cs="Arial"/>
          <w:i/>
          <w:iCs/>
        </w:rPr>
        <w:t>Academy of management review</w:t>
      </w:r>
      <w:r w:rsidRPr="001D63D1">
        <w:rPr>
          <w:rFonts w:ascii="Arial" w:hAnsi="Arial" w:cs="Arial"/>
        </w:rPr>
        <w:t>, 14(1), 20-39.</w:t>
      </w:r>
    </w:p>
    <w:p w14:paraId="240088FF" w14:textId="7BC69BD1" w:rsidR="00D72B5A" w:rsidRPr="001D63D1" w:rsidRDefault="00D72B5A" w:rsidP="00D72B5A">
      <w:pPr>
        <w:pStyle w:val="a9"/>
        <w:ind w:left="567" w:hanging="567"/>
        <w:rPr>
          <w:rFonts w:ascii="Arial" w:hAnsi="Arial" w:cs="Arial"/>
        </w:rPr>
      </w:pPr>
      <w:r w:rsidRPr="001D63D1">
        <w:rPr>
          <w:rFonts w:ascii="Arial" w:hAnsi="Arial" w:cs="Arial"/>
        </w:rPr>
        <w:t xml:space="preserve">Bloom, T.J. (2022) “Professionalism flows from the profession’s identity and one’s professional identity, but they are different,” </w:t>
      </w:r>
      <w:r w:rsidRPr="001D63D1">
        <w:rPr>
          <w:rFonts w:ascii="Arial" w:hAnsi="Arial" w:cs="Arial"/>
          <w:i/>
          <w:iCs/>
        </w:rPr>
        <w:t>American Journal of Pharmaceutical Education</w:t>
      </w:r>
      <w:r w:rsidRPr="001D63D1">
        <w:rPr>
          <w:rFonts w:ascii="Arial" w:hAnsi="Arial" w:cs="Arial"/>
        </w:rPr>
        <w:t xml:space="preserve">, p. 8956. Available at: https://doi.org/10.5688/ajpe8956. </w:t>
      </w:r>
    </w:p>
    <w:p w14:paraId="439456E8" w14:textId="77777777" w:rsidR="00D72B5A" w:rsidRPr="001D63D1" w:rsidRDefault="00D72B5A" w:rsidP="00D72B5A">
      <w:pPr>
        <w:pStyle w:val="a9"/>
        <w:ind w:left="567" w:hanging="567"/>
        <w:rPr>
          <w:rFonts w:ascii="Arial" w:hAnsi="Arial" w:cs="Arial"/>
        </w:rPr>
      </w:pPr>
      <w:r w:rsidRPr="001D63D1">
        <w:rPr>
          <w:rFonts w:ascii="Arial" w:hAnsi="Arial" w:cs="Arial"/>
        </w:rPr>
        <w:t>Brown, A.D. (2014) “Identities and identity work in organizations,”</w:t>
      </w:r>
      <w:r w:rsidRPr="001D63D1">
        <w:rPr>
          <w:rFonts w:ascii="Arial" w:hAnsi="Arial" w:cs="Arial"/>
          <w:i/>
          <w:iCs/>
        </w:rPr>
        <w:t xml:space="preserve"> International Journal of Management Reviews</w:t>
      </w:r>
      <w:r w:rsidRPr="001D63D1">
        <w:rPr>
          <w:rFonts w:ascii="Arial" w:hAnsi="Arial" w:cs="Arial"/>
        </w:rPr>
        <w:t xml:space="preserve">, 17(1), pp. 20–40. Available at: </w:t>
      </w:r>
      <w:hyperlink r:id="rId14" w:history="1">
        <w:r w:rsidRPr="001D63D1">
          <w:rPr>
            <w:rStyle w:val="a3"/>
            <w:rFonts w:ascii="Arial" w:eastAsiaTheme="majorEastAsia" w:hAnsi="Arial" w:cs="Arial"/>
            <w:color w:val="auto"/>
          </w:rPr>
          <w:t>https://doi.org/10.1111/ijmr.12035</w:t>
        </w:r>
      </w:hyperlink>
      <w:r w:rsidRPr="001D63D1">
        <w:rPr>
          <w:rFonts w:ascii="Arial" w:hAnsi="Arial" w:cs="Arial"/>
        </w:rPr>
        <w:t>.</w:t>
      </w:r>
    </w:p>
    <w:p w14:paraId="2CD6EBEE" w14:textId="77777777" w:rsidR="00D72B5A" w:rsidRPr="001D63D1" w:rsidRDefault="00D72B5A" w:rsidP="00D72B5A">
      <w:pPr>
        <w:pStyle w:val="a9"/>
        <w:ind w:left="567" w:hanging="567"/>
      </w:pPr>
      <w:bookmarkStart w:id="42" w:name="_Hlk123468260"/>
      <w:r w:rsidRPr="001D63D1">
        <w:rPr>
          <w:rFonts w:ascii="Arial" w:hAnsi="Arial" w:cs="Arial"/>
        </w:rPr>
        <w:t xml:space="preserve">Brown, A.D. (2018) </w:t>
      </w:r>
      <w:bookmarkEnd w:id="42"/>
      <w:r w:rsidRPr="001D63D1">
        <w:rPr>
          <w:rFonts w:ascii="Arial" w:hAnsi="Arial" w:cs="Arial"/>
        </w:rPr>
        <w:t xml:space="preserve">“Identities inorganization studies,” </w:t>
      </w:r>
      <w:r w:rsidRPr="001D63D1">
        <w:rPr>
          <w:rFonts w:ascii="Arial" w:hAnsi="Arial" w:cs="Arial"/>
          <w:i/>
          <w:iCs/>
        </w:rPr>
        <w:t>Organization Studies</w:t>
      </w:r>
      <w:r w:rsidRPr="001D63D1">
        <w:rPr>
          <w:rFonts w:ascii="Arial" w:hAnsi="Arial" w:cs="Arial"/>
        </w:rPr>
        <w:t xml:space="preserve">, 40(1), pp. 7–22. Available at: https://doi.org/10.1177/0170840618765014.  </w:t>
      </w:r>
    </w:p>
    <w:p w14:paraId="4C25E7A5"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BRYMAN, A.L.A.N. (2016) </w:t>
      </w:r>
      <w:r w:rsidRPr="001D63D1">
        <w:rPr>
          <w:rFonts w:ascii="Arial" w:hAnsi="Arial" w:cs="Arial"/>
          <w:i/>
          <w:iCs/>
        </w:rPr>
        <w:t>Quantity and quality in Social Research</w:t>
      </w:r>
      <w:r w:rsidRPr="001D63D1">
        <w:rPr>
          <w:rFonts w:ascii="Arial" w:hAnsi="Arial" w:cs="Arial"/>
        </w:rPr>
        <w:t xml:space="preserve">. TAYLOR &amp; FRANCIS. </w:t>
      </w:r>
    </w:p>
    <w:p w14:paraId="65348B24"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Chen, Z., Sun, Y. and Jia, Z. (2022) “A study of student-teachers' emotional experiences and their development of professional identities,” </w:t>
      </w:r>
      <w:r w:rsidRPr="001D63D1">
        <w:rPr>
          <w:rFonts w:ascii="Arial" w:hAnsi="Arial" w:cs="Arial"/>
          <w:i/>
          <w:iCs/>
        </w:rPr>
        <w:t>Frontiers in Psychology</w:t>
      </w:r>
      <w:r w:rsidRPr="001D63D1">
        <w:rPr>
          <w:rFonts w:ascii="Arial" w:hAnsi="Arial" w:cs="Arial"/>
        </w:rPr>
        <w:t xml:space="preserve">, 12. Available at: https://doi.org/10.3389/fpsyg.2021.810146. </w:t>
      </w:r>
    </w:p>
    <w:p w14:paraId="2BCADAFE" w14:textId="77777777" w:rsidR="00D72B5A" w:rsidRPr="001D63D1" w:rsidRDefault="00D72B5A" w:rsidP="00D72B5A">
      <w:pPr>
        <w:pStyle w:val="a9"/>
        <w:ind w:left="567" w:hanging="567"/>
        <w:rPr>
          <w:rFonts w:ascii="Arial" w:hAnsi="Arial" w:cs="Arial"/>
        </w:rPr>
      </w:pPr>
      <w:bookmarkStart w:id="43" w:name="_Hlk123148863"/>
      <w:r w:rsidRPr="001D63D1">
        <w:rPr>
          <w:rFonts w:ascii="Arial" w:hAnsi="Arial" w:cs="Arial"/>
        </w:rPr>
        <w:t xml:space="preserve">Chien, J., Axon, D.R. and Cooley, J. (2022) </w:t>
      </w:r>
      <w:bookmarkEnd w:id="43"/>
      <w:r w:rsidRPr="001D63D1">
        <w:rPr>
          <w:rFonts w:ascii="Arial" w:hAnsi="Arial" w:cs="Arial"/>
        </w:rPr>
        <w:t xml:space="preserve">“Student Pharmacists' perceptions of their professional identity,” </w:t>
      </w:r>
      <w:r w:rsidRPr="001D63D1">
        <w:rPr>
          <w:rFonts w:ascii="Arial" w:hAnsi="Arial" w:cs="Arial"/>
          <w:i/>
          <w:iCs/>
        </w:rPr>
        <w:t>Currents in Pharmacy Teaching and Learning</w:t>
      </w:r>
      <w:r w:rsidRPr="001D63D1">
        <w:rPr>
          <w:rFonts w:ascii="Arial" w:hAnsi="Arial" w:cs="Arial"/>
        </w:rPr>
        <w:t xml:space="preserve">, 14(6), pp. 712–719. Available at: https://doi.org/10.1016/j.cptl.2022.06.001. </w:t>
      </w:r>
    </w:p>
    <w:p w14:paraId="203FFFDE" w14:textId="77777777" w:rsidR="00D72B5A" w:rsidRPr="001D63D1" w:rsidRDefault="00D72B5A" w:rsidP="00D72B5A">
      <w:pPr>
        <w:pStyle w:val="a9"/>
        <w:ind w:left="567" w:hanging="567"/>
        <w:rPr>
          <w:rFonts w:ascii="Arial" w:hAnsi="Arial" w:cs="Arial"/>
        </w:rPr>
      </w:pPr>
      <w:r w:rsidRPr="001D63D1">
        <w:rPr>
          <w:rFonts w:ascii="Arial" w:hAnsi="Arial" w:cs="Arial"/>
          <w:i/>
          <w:iCs/>
        </w:rPr>
        <w:t>China's pain from deflating housing bubble will linger for years</w:t>
      </w:r>
      <w:r w:rsidRPr="001D63D1">
        <w:rPr>
          <w:rFonts w:ascii="Arial" w:hAnsi="Arial" w:cs="Arial"/>
        </w:rPr>
        <w:t xml:space="preserve"> (2022) Bloomberg.com. Bloomberg. Available at: https://www.bloomberg.com/news/articles/2022-10-12/china-s-billions-in-</w:t>
      </w:r>
      <w:r w:rsidRPr="001D63D1">
        <w:rPr>
          <w:rFonts w:ascii="Arial" w:hAnsi="Arial" w:cs="Arial"/>
        </w:rPr>
        <w:lastRenderedPageBreak/>
        <w:t xml:space="preserve">stimulus-failing-to-spark-demand-for-housing (Accessed: December 7, 2022). </w:t>
      </w:r>
    </w:p>
    <w:p w14:paraId="5247A6F6"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Chen, Y. and Reay, T. (2020) “Responding to imposed job redesign: The Evolving Dynamics of work and identity in restructuring professional identity,” </w:t>
      </w:r>
      <w:r w:rsidRPr="001D63D1">
        <w:rPr>
          <w:rFonts w:ascii="Arial" w:hAnsi="Arial" w:cs="Arial"/>
          <w:i/>
          <w:iCs/>
        </w:rPr>
        <w:t>Human Relations</w:t>
      </w:r>
      <w:r w:rsidRPr="001D63D1">
        <w:rPr>
          <w:rFonts w:ascii="Arial" w:hAnsi="Arial" w:cs="Arial"/>
        </w:rPr>
        <w:t xml:space="preserve">, 74(10), pp. 1541–1571. Available at: </w:t>
      </w:r>
      <w:hyperlink r:id="rId15" w:history="1">
        <w:r w:rsidRPr="001D63D1">
          <w:rPr>
            <w:rStyle w:val="a3"/>
            <w:rFonts w:ascii="Arial" w:eastAsiaTheme="majorEastAsia" w:hAnsi="Arial" w:cs="Arial"/>
            <w:color w:val="auto"/>
          </w:rPr>
          <w:t>https://doi.org/10.1177/0018726720906437</w:t>
        </w:r>
      </w:hyperlink>
      <w:r w:rsidRPr="001D63D1">
        <w:rPr>
          <w:rFonts w:ascii="Arial" w:hAnsi="Arial" w:cs="Arial"/>
        </w:rPr>
        <w:t xml:space="preserve">. </w:t>
      </w:r>
    </w:p>
    <w:p w14:paraId="21DD17DE" w14:textId="77777777" w:rsidR="00D72B5A" w:rsidRPr="001D63D1" w:rsidRDefault="00D72B5A" w:rsidP="00D72B5A">
      <w:pPr>
        <w:pStyle w:val="a9"/>
        <w:ind w:left="567" w:hanging="567"/>
        <w:rPr>
          <w:rFonts w:ascii="Arial" w:hAnsi="Arial" w:cs="Arial"/>
        </w:rPr>
      </w:pPr>
      <w:r w:rsidRPr="001D63D1">
        <w:rPr>
          <w:rFonts w:ascii="Arial" w:hAnsi="Arial" w:cs="Arial"/>
        </w:rPr>
        <w:t>Cohen, L., Manion, L., &amp; Morrison, K. (2007). </w:t>
      </w:r>
      <w:r w:rsidRPr="001D63D1">
        <w:rPr>
          <w:rFonts w:ascii="Arial" w:hAnsi="Arial" w:cs="Arial"/>
          <w:i/>
          <w:iCs/>
        </w:rPr>
        <w:t>Research methods in education</w:t>
      </w:r>
      <w:r w:rsidRPr="001D63D1">
        <w:rPr>
          <w:rFonts w:ascii="Arial" w:hAnsi="Arial" w:cs="Arial"/>
        </w:rPr>
        <w:t>. Routledge.</w:t>
      </w:r>
    </w:p>
    <w:p w14:paraId="39E953B9"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Crawford, L.M. (2020) “conceptual and theoretical frameworks in research,” in </w:t>
      </w:r>
      <w:r w:rsidRPr="001D63D1">
        <w:rPr>
          <w:rFonts w:ascii="Arial" w:hAnsi="Arial" w:cs="Arial"/>
          <w:i/>
          <w:iCs/>
        </w:rPr>
        <w:t>Research design and methods: An applied guide for the scholar-practitioner</w:t>
      </w:r>
      <w:r w:rsidRPr="001D63D1">
        <w:rPr>
          <w:rFonts w:ascii="Arial" w:hAnsi="Arial" w:cs="Arial"/>
        </w:rPr>
        <w:t>. Los Angeles: SAGE, pp. 35–48.</w:t>
      </w:r>
    </w:p>
    <w:p w14:paraId="473DC343"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Creswell, J. W. (2007). </w:t>
      </w:r>
      <w:r w:rsidRPr="001D63D1">
        <w:rPr>
          <w:rFonts w:ascii="Arial" w:hAnsi="Arial" w:cs="Arial"/>
          <w:i/>
          <w:iCs/>
        </w:rPr>
        <w:t>Qualitative Inquiry and Research Design: Choosing among Five Approaches</w:t>
      </w:r>
      <w:r w:rsidRPr="001D63D1">
        <w:rPr>
          <w:rFonts w:ascii="Arial" w:hAnsi="Arial" w:cs="Arial"/>
        </w:rPr>
        <w:t xml:space="preserve"> [with CD-ROM]. SAGE Publications (CA).</w:t>
      </w:r>
    </w:p>
    <w:p w14:paraId="2778C020"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Denscombe, M. (2010). </w:t>
      </w:r>
      <w:r w:rsidRPr="001D63D1">
        <w:rPr>
          <w:rFonts w:ascii="Arial" w:hAnsi="Arial" w:cs="Arial"/>
          <w:i/>
          <w:iCs/>
        </w:rPr>
        <w:t>The Good Research Guide–for small-scale social</w:t>
      </w:r>
      <w:r w:rsidRPr="001D63D1">
        <w:rPr>
          <w:rFonts w:ascii="Arial" w:hAnsi="Arial" w:cs="Arial"/>
        </w:rPr>
        <w:t>. McGraw-Hill Open University Press.</w:t>
      </w:r>
    </w:p>
    <w:p w14:paraId="5E6F5CD9" w14:textId="77777777" w:rsidR="00D72B5A" w:rsidRPr="001D63D1" w:rsidRDefault="00D72B5A" w:rsidP="00D72B5A">
      <w:pPr>
        <w:pStyle w:val="a9"/>
        <w:ind w:left="567" w:hanging="567"/>
        <w:rPr>
          <w:rFonts w:ascii="Arial" w:hAnsi="Arial" w:cs="Arial"/>
        </w:rPr>
      </w:pPr>
      <w:r w:rsidRPr="001D63D1">
        <w:rPr>
          <w:rFonts w:ascii="Arial" w:hAnsi="Arial" w:cs="Arial"/>
        </w:rPr>
        <w:t>Denzin, N.K. and Lincoln, Y.S. (2008) “INTRODUCTION The Discipline and Practice of Qualitative Research</w:t>
      </w:r>
      <w:r w:rsidRPr="001D63D1">
        <w:rPr>
          <w:rFonts w:ascii="Arial" w:hAnsi="Arial" w:cs="Arial"/>
          <w:i/>
          <w:iCs/>
        </w:rPr>
        <w:t xml:space="preserve">,” in </w:t>
      </w:r>
      <w:proofErr w:type="gramStart"/>
      <w:r w:rsidRPr="001D63D1">
        <w:rPr>
          <w:rFonts w:ascii="Arial" w:hAnsi="Arial" w:cs="Arial"/>
          <w:i/>
          <w:iCs/>
        </w:rPr>
        <w:t>The</w:t>
      </w:r>
      <w:proofErr w:type="gramEnd"/>
      <w:r w:rsidRPr="001D63D1">
        <w:rPr>
          <w:rFonts w:ascii="Arial" w:hAnsi="Arial" w:cs="Arial"/>
          <w:i/>
          <w:iCs/>
        </w:rPr>
        <w:t xml:space="preserve"> landscape of qualitative research</w:t>
      </w:r>
      <w:r w:rsidRPr="001D63D1">
        <w:rPr>
          <w:rFonts w:ascii="Arial" w:hAnsi="Arial" w:cs="Arial"/>
        </w:rPr>
        <w:t xml:space="preserve">. London: SAGE, pp. 1–44. </w:t>
      </w:r>
    </w:p>
    <w:p w14:paraId="7149C6C6" w14:textId="010F0323" w:rsidR="00D72B5A" w:rsidRPr="001D63D1" w:rsidRDefault="00D72B5A" w:rsidP="00D72B5A">
      <w:pPr>
        <w:pStyle w:val="a9"/>
        <w:ind w:left="567" w:hanging="567"/>
        <w:rPr>
          <w:rFonts w:ascii="Arial" w:hAnsi="Arial" w:cs="Arial"/>
        </w:rPr>
      </w:pPr>
      <w:r w:rsidRPr="001D63D1">
        <w:rPr>
          <w:rFonts w:ascii="Arial" w:hAnsi="Arial" w:cs="Arial"/>
        </w:rPr>
        <w:t xml:space="preserve">Feng Jing </w:t>
      </w:r>
      <w:r>
        <w:rPr>
          <w:rFonts w:ascii="Arial" w:hAnsi="Arial" w:cs="Arial"/>
        </w:rPr>
        <w:t>et al.</w:t>
      </w:r>
      <w:r w:rsidRPr="001D63D1">
        <w:rPr>
          <w:rFonts w:ascii="Arial" w:hAnsi="Arial" w:cs="Arial"/>
        </w:rPr>
        <w:t xml:space="preserve"> (2021) Status Quo and Influencing Factors of Professional Identity Among General Practitioners in China,</w:t>
      </w:r>
      <w:r>
        <w:rPr>
          <w:rFonts w:ascii="Arial" w:hAnsi="Arial" w:cs="Arial"/>
        </w:rPr>
        <w:t xml:space="preserve"> </w:t>
      </w:r>
      <w:proofErr w:type="gramStart"/>
      <w:r w:rsidRPr="001D63D1">
        <w:rPr>
          <w:rFonts w:ascii="Arial" w:hAnsi="Arial" w:cs="Arial"/>
          <w:i/>
          <w:iCs/>
        </w:rPr>
        <w:t>Medicine</w:t>
      </w:r>
      <w:proofErr w:type="gramEnd"/>
      <w:r w:rsidRPr="001D63D1">
        <w:rPr>
          <w:rFonts w:ascii="Arial" w:hAnsi="Arial" w:cs="Arial"/>
          <w:i/>
          <w:iCs/>
        </w:rPr>
        <w:t xml:space="preserve"> and Society</w:t>
      </w:r>
      <w:r w:rsidRPr="001D63D1">
        <w:rPr>
          <w:rFonts w:ascii="Arial" w:hAnsi="Arial" w:cs="Arial"/>
        </w:rPr>
        <w:t>,</w:t>
      </w:r>
      <w:r>
        <w:rPr>
          <w:rFonts w:ascii="Arial" w:hAnsi="Arial" w:cs="Arial"/>
        </w:rPr>
        <w:t xml:space="preserve"> </w:t>
      </w:r>
      <w:r w:rsidRPr="001D63D1">
        <w:rPr>
          <w:rFonts w:ascii="Arial" w:hAnsi="Arial" w:cs="Arial"/>
        </w:rPr>
        <w:t>Vol</w:t>
      </w:r>
      <w:r w:rsidRPr="001D63D1">
        <w:rPr>
          <w:rFonts w:ascii="宋体" w:eastAsia="宋体" w:hAnsi="宋体" w:cs="宋体" w:hint="eastAsia"/>
        </w:rPr>
        <w:t>．</w:t>
      </w:r>
      <w:r w:rsidRPr="001D63D1">
        <w:rPr>
          <w:rFonts w:ascii="Arial" w:hAnsi="Arial" w:cs="Arial"/>
        </w:rPr>
        <w:t>34 No</w:t>
      </w:r>
      <w:r w:rsidRPr="001D63D1">
        <w:rPr>
          <w:rFonts w:ascii="宋体" w:eastAsia="宋体" w:hAnsi="宋体" w:cs="宋体" w:hint="eastAsia"/>
        </w:rPr>
        <w:t>．</w:t>
      </w:r>
      <w:r w:rsidRPr="001D63D1">
        <w:rPr>
          <w:rFonts w:ascii="Arial" w:hAnsi="Arial" w:cs="Arial"/>
        </w:rPr>
        <w:t>10 Oct</w:t>
      </w:r>
      <w:r w:rsidRPr="001D63D1">
        <w:rPr>
          <w:rFonts w:ascii="宋体" w:eastAsia="宋体" w:hAnsi="宋体" w:cs="宋体" w:hint="eastAsia"/>
        </w:rPr>
        <w:t>．</w:t>
      </w:r>
      <w:r w:rsidRPr="001D63D1">
        <w:rPr>
          <w:rFonts w:ascii="Arial" w:hAnsi="Arial" w:cs="Arial"/>
        </w:rPr>
        <w:t xml:space="preserve"> 2021.  </w:t>
      </w:r>
      <w:r w:rsidRPr="001D63D1">
        <w:rPr>
          <w:rFonts w:ascii="宋体" w:eastAsia="宋体" w:hAnsi="宋体" w:cs="宋体" w:hint="eastAsia"/>
        </w:rPr>
        <w:t>冯晶</w:t>
      </w:r>
      <w:r w:rsidRPr="001D63D1">
        <w:rPr>
          <w:rFonts w:ascii="Arial" w:hAnsi="Arial" w:cs="Arial"/>
        </w:rPr>
        <w:t xml:space="preserve">, </w:t>
      </w:r>
      <w:r w:rsidRPr="001D63D1">
        <w:rPr>
          <w:rFonts w:ascii="宋体" w:eastAsia="宋体" w:hAnsi="宋体" w:cs="宋体" w:hint="eastAsia"/>
        </w:rPr>
        <w:t>申鑫</w:t>
      </w:r>
      <w:r w:rsidRPr="001D63D1">
        <w:rPr>
          <w:rFonts w:ascii="Arial" w:hAnsi="Arial" w:cs="Arial"/>
        </w:rPr>
        <w:t xml:space="preserve">, </w:t>
      </w:r>
      <w:r w:rsidRPr="001D63D1">
        <w:rPr>
          <w:rFonts w:ascii="宋体" w:eastAsia="宋体" w:hAnsi="宋体" w:cs="宋体" w:hint="eastAsia"/>
        </w:rPr>
        <w:t>吴健雄</w:t>
      </w:r>
      <w:r w:rsidRPr="001D63D1">
        <w:rPr>
          <w:rFonts w:ascii="Arial" w:hAnsi="Arial" w:cs="Arial"/>
        </w:rPr>
        <w:t xml:space="preserve">, </w:t>
      </w:r>
      <w:proofErr w:type="gramStart"/>
      <w:r w:rsidRPr="001D63D1">
        <w:rPr>
          <w:rFonts w:ascii="宋体" w:eastAsia="宋体" w:hAnsi="宋体" w:cs="宋体" w:hint="eastAsia"/>
        </w:rPr>
        <w:t>楼依玲</w:t>
      </w:r>
      <w:proofErr w:type="gramEnd"/>
      <w:r w:rsidRPr="001D63D1">
        <w:rPr>
          <w:rFonts w:ascii="Arial" w:hAnsi="Arial" w:cs="Arial"/>
        </w:rPr>
        <w:t xml:space="preserve">, &amp; </w:t>
      </w:r>
      <w:proofErr w:type="gramStart"/>
      <w:r w:rsidRPr="001D63D1">
        <w:rPr>
          <w:rFonts w:ascii="宋体" w:eastAsia="宋体" w:hAnsi="宋体" w:cs="宋体" w:hint="eastAsia"/>
        </w:rPr>
        <w:t>甘勇</w:t>
      </w:r>
      <w:proofErr w:type="gramEnd"/>
      <w:r w:rsidRPr="001D63D1">
        <w:rPr>
          <w:rFonts w:ascii="Arial" w:hAnsi="Arial" w:cs="Arial"/>
        </w:rPr>
        <w:t xml:space="preserve">. (2021). </w:t>
      </w:r>
      <w:r w:rsidRPr="001D63D1">
        <w:rPr>
          <w:rFonts w:ascii="宋体" w:eastAsia="宋体" w:hAnsi="宋体" w:cs="宋体" w:hint="eastAsia"/>
        </w:rPr>
        <w:t>我国全科医生职业认同现状及其影响因素</w:t>
      </w:r>
      <w:r w:rsidRPr="001D63D1">
        <w:rPr>
          <w:rFonts w:ascii="Arial" w:hAnsi="Arial" w:cs="Arial"/>
        </w:rPr>
        <w:t xml:space="preserve">. </w:t>
      </w:r>
      <w:r w:rsidRPr="001D63D1">
        <w:rPr>
          <w:rFonts w:ascii="宋体" w:eastAsia="宋体" w:hAnsi="宋体" w:cs="宋体" w:hint="eastAsia"/>
          <w:i/>
          <w:iCs/>
        </w:rPr>
        <w:t>医学与社会</w:t>
      </w:r>
    </w:p>
    <w:p w14:paraId="365B80E2"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Given, L.M. (2008) </w:t>
      </w:r>
      <w:r w:rsidRPr="001D63D1">
        <w:rPr>
          <w:rFonts w:ascii="Arial" w:hAnsi="Arial" w:cs="Arial"/>
          <w:i/>
          <w:iCs/>
        </w:rPr>
        <w:t xml:space="preserve">The sage </w:t>
      </w:r>
      <w:proofErr w:type="spellStart"/>
      <w:r w:rsidRPr="001D63D1">
        <w:rPr>
          <w:rFonts w:ascii="Arial" w:hAnsi="Arial" w:cs="Arial"/>
          <w:i/>
          <w:iCs/>
        </w:rPr>
        <w:t>encyclopedia</w:t>
      </w:r>
      <w:proofErr w:type="spellEnd"/>
      <w:r w:rsidRPr="001D63D1">
        <w:rPr>
          <w:rFonts w:ascii="Arial" w:hAnsi="Arial" w:cs="Arial"/>
          <w:i/>
          <w:iCs/>
        </w:rPr>
        <w:t xml:space="preserve"> of qualitative research methods.</w:t>
      </w:r>
      <w:r w:rsidRPr="001D63D1">
        <w:rPr>
          <w:rFonts w:ascii="Arial" w:hAnsi="Arial" w:cs="Arial"/>
        </w:rPr>
        <w:t xml:space="preserve"> Los Angeles: SAGE. </w:t>
      </w:r>
    </w:p>
    <w:p w14:paraId="6F6C27C1" w14:textId="77777777" w:rsidR="00D72B5A" w:rsidRPr="00CA1B39" w:rsidRDefault="00D72B5A" w:rsidP="00D72B5A">
      <w:pPr>
        <w:pStyle w:val="a9"/>
        <w:ind w:left="567" w:hanging="567"/>
        <w:rPr>
          <w:rFonts w:ascii="Arial" w:hAnsi="Arial" w:cs="Arial"/>
        </w:rPr>
      </w:pPr>
      <w:proofErr w:type="spellStart"/>
      <w:r w:rsidRPr="00CA1B39">
        <w:rPr>
          <w:rFonts w:ascii="Arial" w:hAnsi="Arial" w:cs="Arial"/>
        </w:rPr>
        <w:t>Goodolf</w:t>
      </w:r>
      <w:proofErr w:type="spellEnd"/>
      <w:r w:rsidRPr="00CA1B39">
        <w:rPr>
          <w:rFonts w:ascii="Arial" w:hAnsi="Arial" w:cs="Arial"/>
        </w:rPr>
        <w:t xml:space="preserve">, D.M. and Godfrey, N. (2021) “A think tank in action: Building new knowledge about professional identity in nursing,” </w:t>
      </w:r>
      <w:r w:rsidRPr="00CA1B39">
        <w:rPr>
          <w:rFonts w:ascii="Arial" w:hAnsi="Arial" w:cs="Arial"/>
          <w:i/>
          <w:iCs/>
        </w:rPr>
        <w:t>Journal of Professional Nursing</w:t>
      </w:r>
      <w:r w:rsidRPr="00CA1B39">
        <w:rPr>
          <w:rFonts w:ascii="Arial" w:hAnsi="Arial" w:cs="Arial"/>
        </w:rPr>
        <w:t xml:space="preserve">, 37(2), pp. 493–499. Available at: https://doi.org/10.1016/j.profnurs.2020.10.007. </w:t>
      </w:r>
    </w:p>
    <w:p w14:paraId="233E0629" w14:textId="77777777" w:rsidR="00D72B5A" w:rsidRPr="001D63D1" w:rsidRDefault="00D72B5A" w:rsidP="00D72B5A">
      <w:pPr>
        <w:pStyle w:val="a9"/>
        <w:ind w:left="567" w:hanging="567"/>
        <w:rPr>
          <w:rFonts w:ascii="Arial" w:hAnsi="Arial" w:cs="Arial"/>
        </w:rPr>
      </w:pPr>
      <w:r w:rsidRPr="001D63D1">
        <w:rPr>
          <w:rFonts w:ascii="Arial" w:hAnsi="Arial" w:cs="Arial"/>
        </w:rPr>
        <w:t>Goodson, I. F., &amp; Cole, A. L. (1994). Exploring the teacher's professional knowledge: Constructing identity and community. </w:t>
      </w:r>
      <w:r w:rsidRPr="001D63D1">
        <w:rPr>
          <w:rFonts w:ascii="Arial" w:hAnsi="Arial" w:cs="Arial"/>
          <w:i/>
          <w:iCs/>
        </w:rPr>
        <w:t>Teacher Education Quarterly</w:t>
      </w:r>
      <w:r w:rsidRPr="001D63D1">
        <w:rPr>
          <w:rFonts w:ascii="Arial" w:hAnsi="Arial" w:cs="Arial"/>
        </w:rPr>
        <w:t>, 85-105.</w:t>
      </w:r>
    </w:p>
    <w:p w14:paraId="1D7F0DDE" w14:textId="77777777" w:rsidR="00D72B5A" w:rsidRDefault="00D72B5A" w:rsidP="00D72B5A">
      <w:pPr>
        <w:pStyle w:val="a9"/>
        <w:ind w:left="567" w:hanging="567"/>
        <w:rPr>
          <w:rFonts w:ascii="Arial" w:hAnsi="Arial" w:cs="Arial"/>
        </w:rPr>
      </w:pPr>
      <w:bookmarkStart w:id="44" w:name="_Hlk123460293"/>
      <w:r w:rsidRPr="001D63D1">
        <w:rPr>
          <w:rFonts w:ascii="Arial" w:hAnsi="Arial" w:cs="Arial"/>
        </w:rPr>
        <w:t xml:space="preserve">Hanna, F. et al. (2022) </w:t>
      </w:r>
      <w:bookmarkEnd w:id="44"/>
      <w:r w:rsidRPr="001D63D1">
        <w:rPr>
          <w:rFonts w:ascii="Arial" w:hAnsi="Arial" w:cs="Arial"/>
        </w:rPr>
        <w:t xml:space="preserve">“The development of the relationship between professional identity tensions and teacher identity: A quantitative longitudinal study among Dutch primary student teachers,” </w:t>
      </w:r>
      <w:r w:rsidRPr="001D63D1">
        <w:rPr>
          <w:rFonts w:ascii="Arial" w:hAnsi="Arial" w:cs="Arial"/>
          <w:i/>
          <w:iCs/>
        </w:rPr>
        <w:t>Studies in Educational Evaluation</w:t>
      </w:r>
      <w:r w:rsidRPr="001D63D1">
        <w:rPr>
          <w:rFonts w:ascii="Arial" w:hAnsi="Arial" w:cs="Arial"/>
        </w:rPr>
        <w:t xml:space="preserve">, 75, p. 101199. Available at: https://doi.org/10.1016/j.stueduc.2022.101199. </w:t>
      </w:r>
    </w:p>
    <w:p w14:paraId="2E43AF41" w14:textId="64A1D415" w:rsidR="00D72B5A" w:rsidRPr="001D63D1" w:rsidRDefault="00D72B5A" w:rsidP="00D72B5A">
      <w:pPr>
        <w:pStyle w:val="a9"/>
        <w:ind w:left="567" w:hanging="567"/>
        <w:rPr>
          <w:rFonts w:ascii="Arial" w:hAnsi="Arial" w:cs="Arial"/>
        </w:rPr>
      </w:pPr>
      <w:r w:rsidRPr="001D63D1">
        <w:rPr>
          <w:rFonts w:ascii="Arial" w:hAnsi="Arial" w:cs="Arial" w:hint="eastAsia"/>
        </w:rPr>
        <w:lastRenderedPageBreak/>
        <w:t>H</w:t>
      </w:r>
      <w:r w:rsidRPr="001D63D1">
        <w:rPr>
          <w:rFonts w:ascii="Arial" w:hAnsi="Arial" w:cs="Arial"/>
        </w:rPr>
        <w:t>e</w:t>
      </w:r>
      <w:r>
        <w:rPr>
          <w:rFonts w:ascii="Arial" w:hAnsi="Arial" w:cs="Arial"/>
        </w:rPr>
        <w:t>, Z.</w:t>
      </w:r>
      <w:r w:rsidRPr="001D63D1">
        <w:rPr>
          <w:rFonts w:ascii="Arial" w:hAnsi="Arial" w:cs="Arial"/>
        </w:rPr>
        <w:t xml:space="preserve"> </w:t>
      </w:r>
      <w:r>
        <w:rPr>
          <w:rFonts w:ascii="Arial" w:hAnsi="Arial" w:cs="Arial"/>
        </w:rPr>
        <w:t xml:space="preserve">et al. </w:t>
      </w:r>
      <w:r w:rsidRPr="001D63D1">
        <w:rPr>
          <w:rFonts w:ascii="Arial" w:hAnsi="Arial" w:cs="Arial"/>
        </w:rPr>
        <w:t xml:space="preserve">(2022)’ The influence of career identity on students' willingness to teach in teacher training colleges, </w:t>
      </w:r>
      <w:r w:rsidRPr="001D63D1">
        <w:rPr>
          <w:rFonts w:ascii="Arial" w:hAnsi="Arial" w:cs="Arial"/>
          <w:i/>
          <w:iCs/>
        </w:rPr>
        <w:t>China Economics of Education Review</w:t>
      </w:r>
      <w:r w:rsidRPr="001D63D1">
        <w:rPr>
          <w:rFonts w:ascii="Arial" w:hAnsi="Arial" w:cs="Arial"/>
        </w:rPr>
        <w:t xml:space="preserve"> Sept2022, Vol.7,</w:t>
      </w:r>
      <w:r>
        <w:rPr>
          <w:rFonts w:ascii="Arial" w:hAnsi="Arial" w:cs="Arial"/>
        </w:rPr>
        <w:t xml:space="preserve"> </w:t>
      </w:r>
      <w:r w:rsidRPr="001D63D1">
        <w:rPr>
          <w:rFonts w:ascii="Arial" w:hAnsi="Arial" w:cs="Arial"/>
        </w:rPr>
        <w:t>No.</w:t>
      </w:r>
      <w:proofErr w:type="gramStart"/>
      <w:r w:rsidRPr="001D63D1">
        <w:rPr>
          <w:rFonts w:ascii="Arial" w:hAnsi="Arial" w:cs="Arial"/>
        </w:rPr>
        <w:t xml:space="preserve">5  </w:t>
      </w:r>
      <w:r w:rsidRPr="001D63D1">
        <w:rPr>
          <w:rFonts w:ascii="宋体" w:eastAsia="宋体" w:hAnsi="宋体" w:cs="宋体" w:hint="eastAsia"/>
        </w:rPr>
        <w:t>何赵颖</w:t>
      </w:r>
      <w:proofErr w:type="gramEnd"/>
      <w:r w:rsidRPr="001D63D1">
        <w:rPr>
          <w:rFonts w:ascii="Arial" w:hAnsi="Arial" w:cs="Arial"/>
        </w:rPr>
        <w:t>,</w:t>
      </w:r>
      <w:r w:rsidRPr="001D63D1">
        <w:rPr>
          <w:rFonts w:ascii="宋体" w:eastAsia="宋体" w:hAnsi="宋体" w:cs="宋体" w:hint="eastAsia"/>
        </w:rPr>
        <w:t>侯龙龙</w:t>
      </w:r>
      <w:r w:rsidRPr="001D63D1">
        <w:rPr>
          <w:rFonts w:ascii="Arial" w:hAnsi="Arial" w:cs="Arial"/>
        </w:rPr>
        <w:t>,</w:t>
      </w:r>
      <w:r w:rsidRPr="001D63D1">
        <w:rPr>
          <w:rFonts w:ascii="宋体" w:eastAsia="宋体" w:hAnsi="宋体" w:cs="宋体" w:hint="eastAsia"/>
        </w:rPr>
        <w:t>潘艳萍</w:t>
      </w:r>
      <w:r w:rsidRPr="001D63D1">
        <w:rPr>
          <w:rFonts w:ascii="Arial" w:hAnsi="Arial" w:cs="Arial"/>
        </w:rPr>
        <w:t>,</w:t>
      </w:r>
      <w:r w:rsidRPr="001D63D1">
        <w:rPr>
          <w:rFonts w:ascii="宋体" w:eastAsia="宋体" w:hAnsi="宋体" w:cs="宋体" w:hint="eastAsia"/>
        </w:rPr>
        <w:t>朱</w:t>
      </w:r>
      <w:r w:rsidRPr="001D63D1">
        <w:rPr>
          <w:rFonts w:ascii="Arial" w:hAnsi="Arial" w:cs="Arial"/>
        </w:rPr>
        <w:t xml:space="preserve"> </w:t>
      </w:r>
      <w:r w:rsidRPr="001D63D1">
        <w:rPr>
          <w:rFonts w:ascii="宋体" w:eastAsia="宋体" w:hAnsi="宋体" w:cs="宋体" w:hint="eastAsia"/>
        </w:rPr>
        <w:t>涵</w:t>
      </w:r>
      <w:r w:rsidRPr="001D63D1">
        <w:rPr>
          <w:rFonts w:ascii="Arial" w:hAnsi="Arial" w:cs="Arial"/>
        </w:rPr>
        <w:t xml:space="preserve"> </w:t>
      </w:r>
      <w:r w:rsidRPr="001D63D1">
        <w:rPr>
          <w:rFonts w:ascii="宋体" w:eastAsia="宋体" w:hAnsi="宋体" w:cs="宋体" w:hint="eastAsia"/>
        </w:rPr>
        <w:t>（</w:t>
      </w:r>
      <w:r w:rsidRPr="001D63D1">
        <w:rPr>
          <w:rFonts w:ascii="Arial" w:hAnsi="Arial" w:cs="Arial"/>
        </w:rPr>
        <w:t>2022</w:t>
      </w:r>
      <w:r w:rsidRPr="001D63D1">
        <w:rPr>
          <w:rFonts w:ascii="宋体" w:eastAsia="宋体" w:hAnsi="宋体" w:cs="宋体" w:hint="eastAsia"/>
        </w:rPr>
        <w:t>）</w:t>
      </w:r>
      <w:r w:rsidRPr="001D63D1">
        <w:rPr>
          <w:rFonts w:ascii="Arial" w:hAnsi="Arial" w:cs="Arial"/>
        </w:rPr>
        <w:t>‘</w:t>
      </w:r>
      <w:r w:rsidRPr="001D63D1">
        <w:rPr>
          <w:rFonts w:ascii="宋体" w:eastAsia="宋体" w:hAnsi="宋体" w:cs="宋体" w:hint="eastAsia"/>
        </w:rPr>
        <w:t>职业认同对师范院校在校生从教意愿的影响研究</w:t>
      </w:r>
      <w:r w:rsidRPr="001D63D1">
        <w:rPr>
          <w:rFonts w:ascii="Arial" w:hAnsi="Arial" w:cs="Arial"/>
        </w:rPr>
        <w:t>’</w:t>
      </w:r>
      <w:r w:rsidRPr="001D63D1">
        <w:rPr>
          <w:rFonts w:ascii="宋体" w:eastAsia="宋体" w:hAnsi="宋体" w:cs="宋体" w:hint="eastAsia"/>
        </w:rPr>
        <w:t>，</w:t>
      </w:r>
      <w:r w:rsidRPr="001D63D1">
        <w:rPr>
          <w:rFonts w:ascii="宋体" w:eastAsia="宋体" w:hAnsi="宋体" w:cs="宋体" w:hint="eastAsia"/>
          <w:i/>
          <w:iCs/>
        </w:rPr>
        <w:t>教育经济评论</w:t>
      </w:r>
      <w:r w:rsidRPr="001D63D1">
        <w:rPr>
          <w:rFonts w:ascii="宋体" w:eastAsia="宋体" w:hAnsi="宋体" w:cs="宋体" w:hint="eastAsia"/>
        </w:rPr>
        <w:t>，2</w:t>
      </w:r>
      <w:r w:rsidRPr="001D63D1">
        <w:rPr>
          <w:rFonts w:ascii="宋体" w:eastAsia="宋体" w:hAnsi="宋体" w:cs="宋体"/>
        </w:rPr>
        <w:t>022</w:t>
      </w:r>
      <w:r w:rsidRPr="001D63D1">
        <w:rPr>
          <w:rFonts w:ascii="宋体" w:eastAsia="宋体" w:hAnsi="宋体" w:cs="宋体" w:hint="eastAsia"/>
        </w:rPr>
        <w:t xml:space="preserve">年九月刊 </w:t>
      </w:r>
      <w:r w:rsidRPr="001D63D1">
        <w:rPr>
          <w:rFonts w:ascii="Arial" w:hAnsi="Arial" w:cs="Arial"/>
        </w:rPr>
        <w:t>Vol.7,</w:t>
      </w:r>
      <w:r>
        <w:rPr>
          <w:rFonts w:ascii="Arial" w:hAnsi="Arial" w:cs="Arial"/>
        </w:rPr>
        <w:t xml:space="preserve"> </w:t>
      </w:r>
      <w:r w:rsidRPr="001D63D1">
        <w:rPr>
          <w:rFonts w:ascii="Arial" w:hAnsi="Arial" w:cs="Arial"/>
        </w:rPr>
        <w:t>No.5</w:t>
      </w:r>
    </w:p>
    <w:p w14:paraId="75A70D87" w14:textId="2F522317" w:rsidR="00D72B5A" w:rsidRPr="001D63D1" w:rsidRDefault="00D72B5A" w:rsidP="00D72B5A">
      <w:pPr>
        <w:pStyle w:val="a9"/>
        <w:ind w:left="567" w:hanging="567"/>
        <w:rPr>
          <w:rFonts w:ascii="Arial" w:hAnsi="Arial" w:cs="Arial"/>
        </w:rPr>
      </w:pPr>
      <w:r w:rsidRPr="001D63D1">
        <w:rPr>
          <w:rFonts w:ascii="Arial" w:hAnsi="Arial" w:cs="Arial"/>
        </w:rPr>
        <w:t xml:space="preserve">Holland, J.J., </w:t>
      </w:r>
      <w:bookmarkStart w:id="45" w:name="_Hlk123056948"/>
      <w:r w:rsidRPr="001D63D1">
        <w:rPr>
          <w:rFonts w:ascii="Arial" w:hAnsi="Arial" w:cs="Arial"/>
        </w:rPr>
        <w:t>Gottfredson</w:t>
      </w:r>
      <w:bookmarkEnd w:id="45"/>
      <w:r w:rsidRPr="001D63D1">
        <w:rPr>
          <w:rFonts w:ascii="Arial" w:hAnsi="Arial" w:cs="Arial"/>
        </w:rPr>
        <w:t xml:space="preserve">, D.C. and Power, P.G. (1980) “Some diagnostic scales for research in decision making and personality: Identity, information, and barriers.” </w:t>
      </w:r>
      <w:r w:rsidRPr="001D63D1">
        <w:rPr>
          <w:rFonts w:ascii="Arial" w:hAnsi="Arial" w:cs="Arial"/>
          <w:i/>
          <w:iCs/>
        </w:rPr>
        <w:t>Journal of Personality and Social Psychology</w:t>
      </w:r>
      <w:r w:rsidRPr="001D63D1">
        <w:rPr>
          <w:rFonts w:ascii="Arial" w:hAnsi="Arial" w:cs="Arial"/>
        </w:rPr>
        <w:t xml:space="preserve">, 39(6), pp. 1191–1200. Available at: https://doi.org/10.1037/h0077731. </w:t>
      </w:r>
    </w:p>
    <w:p w14:paraId="24BEE7BC" w14:textId="77777777" w:rsidR="00D72B5A" w:rsidRPr="001D63D1" w:rsidRDefault="00D72B5A" w:rsidP="00D72B5A">
      <w:pPr>
        <w:pStyle w:val="a9"/>
        <w:ind w:left="567" w:hanging="567"/>
        <w:rPr>
          <w:rFonts w:ascii="Arial" w:hAnsi="Arial" w:cs="Arial"/>
        </w:rPr>
      </w:pPr>
      <w:bookmarkStart w:id="46" w:name="_Hlk123458743"/>
      <w:proofErr w:type="spellStart"/>
      <w:r w:rsidRPr="001D63D1">
        <w:rPr>
          <w:rFonts w:ascii="Arial" w:hAnsi="Arial" w:cs="Arial"/>
        </w:rPr>
        <w:t>Iatridis</w:t>
      </w:r>
      <w:proofErr w:type="spellEnd"/>
      <w:r w:rsidRPr="001D63D1">
        <w:rPr>
          <w:rFonts w:ascii="Arial" w:hAnsi="Arial" w:cs="Arial"/>
        </w:rPr>
        <w:t xml:space="preserve">, K., Gond, J.-P. and </w:t>
      </w:r>
      <w:proofErr w:type="spellStart"/>
      <w:r w:rsidRPr="001D63D1">
        <w:rPr>
          <w:rFonts w:ascii="Arial" w:hAnsi="Arial" w:cs="Arial"/>
        </w:rPr>
        <w:t>Kesidou</w:t>
      </w:r>
      <w:proofErr w:type="spellEnd"/>
      <w:r w:rsidRPr="001D63D1">
        <w:rPr>
          <w:rFonts w:ascii="Arial" w:hAnsi="Arial" w:cs="Arial"/>
        </w:rPr>
        <w:t xml:space="preserve">, E. (2021) </w:t>
      </w:r>
      <w:bookmarkEnd w:id="46"/>
      <w:r w:rsidRPr="001D63D1">
        <w:rPr>
          <w:rFonts w:ascii="Arial" w:hAnsi="Arial" w:cs="Arial"/>
        </w:rPr>
        <w:t xml:space="preserve">“How meaningfulness and professional identity interact in emerging professions: The case of corporate social responsibility consultants,” Organization Studies, 43(9), pp. 1401–1423. Available at: https://doi.org/10.1177/01708406211035506. </w:t>
      </w:r>
    </w:p>
    <w:p w14:paraId="4ACCDC28" w14:textId="77777777" w:rsidR="00D72B5A" w:rsidRPr="001D63D1" w:rsidRDefault="00D72B5A" w:rsidP="00D72B5A">
      <w:pPr>
        <w:pStyle w:val="a9"/>
        <w:ind w:left="567" w:hanging="567"/>
        <w:rPr>
          <w:rFonts w:ascii="Arial" w:hAnsi="Arial" w:cs="Arial"/>
        </w:rPr>
      </w:pPr>
      <w:r w:rsidRPr="001D63D1">
        <w:rPr>
          <w:rFonts w:ascii="Arial" w:hAnsi="Arial" w:cs="Arial"/>
        </w:rPr>
        <w:t>Imenda, S. (2014). Is there a conceptual difference between theoretical and conceptual frameworks? </w:t>
      </w:r>
      <w:r w:rsidRPr="001D63D1">
        <w:rPr>
          <w:rFonts w:ascii="Arial" w:hAnsi="Arial" w:cs="Arial"/>
          <w:i/>
          <w:iCs/>
        </w:rPr>
        <w:t>Journal of social sciences</w:t>
      </w:r>
      <w:r w:rsidRPr="001D63D1">
        <w:rPr>
          <w:rFonts w:ascii="Arial" w:hAnsi="Arial" w:cs="Arial"/>
        </w:rPr>
        <w:t>, 38(2), 185-195.</w:t>
      </w:r>
    </w:p>
    <w:p w14:paraId="3026C199"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Korthagen, F.A.J. (2004) “In search of the essence of a good teacher: Towards a more holistic approach in teacher education,” </w:t>
      </w:r>
      <w:r w:rsidRPr="001D63D1">
        <w:rPr>
          <w:rFonts w:ascii="Arial" w:hAnsi="Arial" w:cs="Arial"/>
          <w:i/>
          <w:iCs/>
        </w:rPr>
        <w:t>Teaching and Teacher Education</w:t>
      </w:r>
      <w:r w:rsidRPr="001D63D1">
        <w:rPr>
          <w:rFonts w:ascii="Arial" w:hAnsi="Arial" w:cs="Arial"/>
        </w:rPr>
        <w:t xml:space="preserve">, 20(1), pp. 77–97. Available at: https://doi.org/10.1016/j.tate.2003.10.002. </w:t>
      </w:r>
    </w:p>
    <w:p w14:paraId="59DDE6F8" w14:textId="77777777" w:rsidR="00D72B5A" w:rsidRPr="001D63D1" w:rsidRDefault="00D72B5A" w:rsidP="00D72B5A">
      <w:pPr>
        <w:pStyle w:val="a9"/>
        <w:ind w:left="567" w:hanging="567"/>
        <w:rPr>
          <w:rFonts w:ascii="Arial" w:hAnsi="Arial" w:cs="Arial"/>
        </w:rPr>
      </w:pPr>
      <w:bookmarkStart w:id="47" w:name="_Hlk123478405"/>
      <w:r w:rsidRPr="001D63D1">
        <w:rPr>
          <w:rFonts w:ascii="Arial" w:hAnsi="Arial" w:cs="Arial"/>
        </w:rPr>
        <w:t xml:space="preserve">Latham, M. (2017) </w:t>
      </w:r>
      <w:bookmarkEnd w:id="47"/>
      <w:r w:rsidRPr="001D63D1">
        <w:rPr>
          <w:rFonts w:ascii="Arial" w:hAnsi="Arial" w:cs="Arial"/>
        </w:rPr>
        <w:t xml:space="preserve">“‘A fraud, a drunkard, and a worthless Scamp’: Estate agents, regulation, and realtors in the interwar period,” </w:t>
      </w:r>
      <w:r w:rsidRPr="001D63D1">
        <w:rPr>
          <w:rFonts w:ascii="Arial" w:hAnsi="Arial" w:cs="Arial"/>
          <w:i/>
          <w:iCs/>
        </w:rPr>
        <w:t>Business History</w:t>
      </w:r>
      <w:r w:rsidRPr="001D63D1">
        <w:rPr>
          <w:rFonts w:ascii="Arial" w:hAnsi="Arial" w:cs="Arial"/>
        </w:rPr>
        <w:t xml:space="preserve">, 59(5), pp. 690–709. Available at: https://doi.org/10.1080/00076791.2016.1261828. </w:t>
      </w:r>
    </w:p>
    <w:p w14:paraId="30F29083" w14:textId="77777777" w:rsidR="00D72B5A" w:rsidRPr="001D63D1" w:rsidRDefault="00D72B5A" w:rsidP="00D72B5A">
      <w:pPr>
        <w:pStyle w:val="a9"/>
        <w:ind w:left="567" w:hanging="567"/>
        <w:rPr>
          <w:rFonts w:ascii="Arial" w:hAnsi="Arial" w:cs="Arial"/>
        </w:rPr>
      </w:pPr>
      <w:proofErr w:type="spellStart"/>
      <w:r w:rsidRPr="001D63D1">
        <w:rPr>
          <w:rFonts w:ascii="Arial" w:hAnsi="Arial" w:cs="Arial"/>
        </w:rPr>
        <w:t>Lifshitz</w:t>
      </w:r>
      <w:proofErr w:type="spellEnd"/>
      <w:r w:rsidRPr="001D63D1">
        <w:rPr>
          <w:rFonts w:ascii="Arial" w:hAnsi="Arial" w:cs="Arial"/>
        </w:rPr>
        <w:t xml:space="preserve">-Assaf, H. (2017) </w:t>
      </w:r>
      <w:bookmarkStart w:id="48" w:name="_Hlk120211102"/>
      <w:r w:rsidRPr="001D63D1">
        <w:rPr>
          <w:rFonts w:ascii="Arial" w:hAnsi="Arial" w:cs="Arial"/>
        </w:rPr>
        <w:t>“</w:t>
      </w:r>
      <w:bookmarkEnd w:id="48"/>
      <w:r w:rsidRPr="001D63D1">
        <w:rPr>
          <w:rFonts w:ascii="Arial" w:hAnsi="Arial" w:cs="Arial"/>
        </w:rPr>
        <w:t xml:space="preserve">Dismantling knowledge boundaries at NASA: The Critical Role of professional identity in open innovation,” </w:t>
      </w:r>
      <w:r w:rsidRPr="001D63D1">
        <w:rPr>
          <w:rFonts w:ascii="Arial" w:hAnsi="Arial" w:cs="Arial"/>
          <w:i/>
          <w:iCs/>
        </w:rPr>
        <w:t>Administrative Science Quarterly</w:t>
      </w:r>
      <w:r w:rsidRPr="001D63D1">
        <w:rPr>
          <w:rFonts w:ascii="Arial" w:hAnsi="Arial" w:cs="Arial"/>
        </w:rPr>
        <w:t xml:space="preserve">, 63(4), pp. 746–782. Available at: https://doi.org/10.1177/0001839217747876. </w:t>
      </w:r>
    </w:p>
    <w:p w14:paraId="649EB1F4" w14:textId="77777777" w:rsidR="00D72B5A" w:rsidRPr="001D63D1" w:rsidRDefault="00D72B5A" w:rsidP="00D72B5A">
      <w:pPr>
        <w:pStyle w:val="a9"/>
        <w:ind w:left="567" w:hanging="567"/>
        <w:rPr>
          <w:rFonts w:ascii="Arial" w:hAnsi="Arial" w:cs="Arial"/>
        </w:rPr>
      </w:pPr>
      <w:bookmarkStart w:id="49" w:name="_Hlk123459123"/>
      <w:r w:rsidRPr="001D63D1">
        <w:rPr>
          <w:rFonts w:ascii="Arial" w:hAnsi="Arial" w:cs="Arial"/>
        </w:rPr>
        <w:t xml:space="preserve">Liu, H. and Sammons, P. (2022) </w:t>
      </w:r>
      <w:bookmarkEnd w:id="49"/>
      <w:r w:rsidRPr="001D63D1">
        <w:rPr>
          <w:rFonts w:ascii="Arial" w:hAnsi="Arial" w:cs="Arial"/>
        </w:rPr>
        <w:t xml:space="preserve">“The art of ‘being positive’: Narratives of transcendence and determination in a comparative study of teacher professional identities in state and private schools in Mainland China,” </w:t>
      </w:r>
      <w:r w:rsidRPr="001D63D1">
        <w:rPr>
          <w:rFonts w:ascii="Arial" w:hAnsi="Arial" w:cs="Arial"/>
          <w:i/>
          <w:iCs/>
        </w:rPr>
        <w:t>Teachers and Teaching</w:t>
      </w:r>
      <w:r w:rsidRPr="001D63D1">
        <w:rPr>
          <w:rFonts w:ascii="Arial" w:hAnsi="Arial" w:cs="Arial"/>
        </w:rPr>
        <w:t xml:space="preserve">, 28(3), pp. 330–356. Available at: https://doi.org/10.1080/13540602.2022.2062724. </w:t>
      </w:r>
    </w:p>
    <w:p w14:paraId="371DB89B" w14:textId="52CC4B08" w:rsidR="00D72B5A" w:rsidRPr="001D63D1" w:rsidRDefault="00D72B5A" w:rsidP="00D72B5A">
      <w:pPr>
        <w:pStyle w:val="a9"/>
        <w:ind w:left="567" w:hanging="567"/>
        <w:rPr>
          <w:rFonts w:ascii="Arial" w:hAnsi="Arial" w:cs="Arial"/>
        </w:rPr>
      </w:pPr>
      <w:r w:rsidRPr="001D63D1">
        <w:rPr>
          <w:rFonts w:ascii="Arial" w:hAnsi="Arial" w:cs="Arial" w:hint="eastAsia"/>
        </w:rPr>
        <w:t>L</w:t>
      </w:r>
      <w:r w:rsidRPr="001D63D1">
        <w:rPr>
          <w:rFonts w:ascii="Arial" w:hAnsi="Arial" w:cs="Arial"/>
        </w:rPr>
        <w:t>i,</w:t>
      </w:r>
      <w:r>
        <w:rPr>
          <w:rFonts w:ascii="Arial" w:hAnsi="Arial" w:cs="Arial"/>
        </w:rPr>
        <w:t xml:space="preserve"> </w:t>
      </w:r>
      <w:r w:rsidRPr="001D63D1">
        <w:rPr>
          <w:rFonts w:ascii="Arial" w:hAnsi="Arial" w:cs="Arial"/>
        </w:rPr>
        <w:t>X.C.,</w:t>
      </w:r>
      <w:r>
        <w:rPr>
          <w:rFonts w:ascii="Arial" w:hAnsi="Arial" w:cs="Arial"/>
        </w:rPr>
        <w:t xml:space="preserve"> </w:t>
      </w:r>
      <w:r w:rsidRPr="001D63D1">
        <w:rPr>
          <w:rFonts w:ascii="Arial" w:hAnsi="Arial" w:cs="Arial"/>
        </w:rPr>
        <w:t>Liu,</w:t>
      </w:r>
      <w:r>
        <w:rPr>
          <w:rFonts w:ascii="Arial" w:hAnsi="Arial" w:cs="Arial"/>
        </w:rPr>
        <w:t xml:space="preserve"> </w:t>
      </w:r>
      <w:r w:rsidRPr="001D63D1">
        <w:rPr>
          <w:rFonts w:ascii="Arial" w:hAnsi="Arial" w:cs="Arial"/>
        </w:rPr>
        <w:t>J.J. &amp; Lin,</w:t>
      </w:r>
      <w:r>
        <w:rPr>
          <w:rFonts w:ascii="Arial" w:hAnsi="Arial" w:cs="Arial"/>
        </w:rPr>
        <w:t xml:space="preserve"> </w:t>
      </w:r>
      <w:proofErr w:type="gramStart"/>
      <w:r w:rsidRPr="001D63D1">
        <w:rPr>
          <w:rFonts w:ascii="Arial" w:hAnsi="Arial" w:cs="Arial"/>
        </w:rPr>
        <w:t>X.M.(</w:t>
      </w:r>
      <w:proofErr w:type="gramEnd"/>
      <w:r w:rsidRPr="001D63D1">
        <w:rPr>
          <w:rFonts w:ascii="Arial" w:hAnsi="Arial" w:cs="Arial"/>
        </w:rPr>
        <w:t>2022) “Study on the relationship between professional identity and professional development of physical education teachers in higher education institutions, ”</w:t>
      </w:r>
      <w:r w:rsidRPr="001D63D1">
        <w:rPr>
          <w:rFonts w:ascii="Arial" w:hAnsi="Arial" w:cs="Arial"/>
          <w:i/>
          <w:iCs/>
        </w:rPr>
        <w:t>education and vocation</w:t>
      </w:r>
      <w:r w:rsidRPr="001D63D1">
        <w:rPr>
          <w:rFonts w:ascii="Arial" w:hAnsi="Arial" w:cs="Arial"/>
        </w:rPr>
        <w:t>, (</w:t>
      </w:r>
      <w:r>
        <w:rPr>
          <w:rFonts w:ascii="Arial" w:hAnsi="Arial" w:cs="Arial"/>
        </w:rPr>
        <w:t>October 2</w:t>
      </w:r>
      <w:r w:rsidRPr="001D63D1">
        <w:rPr>
          <w:rFonts w:ascii="Arial" w:hAnsi="Arial" w:cs="Arial"/>
        </w:rPr>
        <w:t xml:space="preserve">),pp73-76. </w:t>
      </w:r>
      <w:r w:rsidRPr="001D63D1">
        <w:rPr>
          <w:rFonts w:ascii="宋体" w:eastAsia="宋体" w:hAnsi="宋体" w:cs="宋体" w:hint="eastAsia"/>
        </w:rPr>
        <w:t>李向朝</w:t>
      </w:r>
      <w:r w:rsidRPr="001D63D1">
        <w:rPr>
          <w:rFonts w:ascii="Arial" w:hAnsi="Arial" w:cs="Arial"/>
        </w:rPr>
        <w:t xml:space="preserve">, </w:t>
      </w:r>
      <w:proofErr w:type="gramStart"/>
      <w:r w:rsidRPr="001D63D1">
        <w:rPr>
          <w:rFonts w:ascii="宋体" w:eastAsia="宋体" w:hAnsi="宋体" w:cs="宋体" w:hint="eastAsia"/>
        </w:rPr>
        <w:t>刘锦军</w:t>
      </w:r>
      <w:proofErr w:type="gramEnd"/>
      <w:r w:rsidRPr="001D63D1">
        <w:rPr>
          <w:rFonts w:ascii="Arial" w:hAnsi="Arial" w:cs="Arial"/>
        </w:rPr>
        <w:t xml:space="preserve">, &amp; </w:t>
      </w:r>
      <w:r w:rsidRPr="001D63D1">
        <w:rPr>
          <w:rFonts w:ascii="宋体" w:eastAsia="宋体" w:hAnsi="宋体" w:cs="宋体" w:hint="eastAsia"/>
        </w:rPr>
        <w:t>蔺新茂</w:t>
      </w:r>
      <w:r w:rsidRPr="001D63D1">
        <w:rPr>
          <w:rFonts w:ascii="Arial" w:hAnsi="Arial" w:cs="Arial"/>
        </w:rPr>
        <w:t xml:space="preserve">. (2022). </w:t>
      </w:r>
      <w:r w:rsidRPr="001D63D1">
        <w:rPr>
          <w:rFonts w:ascii="宋体" w:eastAsia="宋体" w:hAnsi="宋体" w:cs="宋体" w:hint="eastAsia"/>
        </w:rPr>
        <w:t>高职院校体育教师职业认同对专业发展影响关系研究</w:t>
      </w:r>
      <w:r w:rsidRPr="001D63D1">
        <w:rPr>
          <w:rFonts w:ascii="Arial" w:hAnsi="Arial" w:cs="Arial"/>
        </w:rPr>
        <w:t>. </w:t>
      </w:r>
      <w:r w:rsidRPr="001D63D1">
        <w:rPr>
          <w:rFonts w:ascii="宋体" w:eastAsia="宋体" w:hAnsi="宋体" w:cs="宋体" w:hint="eastAsia"/>
          <w:i/>
          <w:iCs/>
        </w:rPr>
        <w:t>教育与职业</w:t>
      </w:r>
      <w:r w:rsidRPr="001D63D1">
        <w:rPr>
          <w:rFonts w:ascii="Arial" w:hAnsi="Arial" w:cs="Arial"/>
        </w:rPr>
        <w:t xml:space="preserve">, (10 </w:t>
      </w:r>
      <w:r w:rsidRPr="001D63D1">
        <w:rPr>
          <w:rFonts w:ascii="宋体" w:eastAsia="宋体" w:hAnsi="宋体" w:cs="宋体" w:hint="eastAsia"/>
        </w:rPr>
        <w:t>月下</w:t>
      </w:r>
      <w:r w:rsidRPr="001D63D1">
        <w:rPr>
          <w:rFonts w:ascii="Arial" w:hAnsi="Arial" w:cs="Arial"/>
        </w:rPr>
        <w:t>), 73-76.</w:t>
      </w:r>
    </w:p>
    <w:p w14:paraId="0A3FD96B" w14:textId="77777777" w:rsidR="00D72B5A" w:rsidRPr="001D63D1" w:rsidRDefault="00D72B5A" w:rsidP="00D72B5A">
      <w:pPr>
        <w:pStyle w:val="a9"/>
        <w:ind w:left="567" w:hanging="567"/>
        <w:rPr>
          <w:rFonts w:ascii="Arial" w:hAnsi="Arial" w:cs="Arial"/>
        </w:rPr>
      </w:pPr>
      <w:r w:rsidRPr="001D63D1">
        <w:rPr>
          <w:rFonts w:ascii="Arial" w:hAnsi="Arial" w:cs="Arial"/>
        </w:rPr>
        <w:lastRenderedPageBreak/>
        <w:t xml:space="preserve">Maxwell, J.A. (2009) “Chapter 7 Designing a qualitative study,” in </w:t>
      </w:r>
      <w:proofErr w:type="gramStart"/>
      <w:r w:rsidRPr="001D63D1">
        <w:rPr>
          <w:rFonts w:ascii="Arial" w:hAnsi="Arial" w:cs="Arial"/>
          <w:i/>
          <w:iCs/>
        </w:rPr>
        <w:t>The</w:t>
      </w:r>
      <w:proofErr w:type="gramEnd"/>
      <w:r w:rsidRPr="001D63D1">
        <w:rPr>
          <w:rFonts w:ascii="Arial" w:hAnsi="Arial" w:cs="Arial"/>
          <w:i/>
          <w:iCs/>
        </w:rPr>
        <w:t xml:space="preserve"> sage handbook of applied social research methods</w:t>
      </w:r>
      <w:r w:rsidRPr="001D63D1">
        <w:rPr>
          <w:rFonts w:ascii="Arial" w:hAnsi="Arial" w:cs="Arial"/>
        </w:rPr>
        <w:t xml:space="preserve">. Los Angeles: SAGE, pp. 214–253. </w:t>
      </w:r>
    </w:p>
    <w:p w14:paraId="4E849FCF"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Maxwell, J.A. (2020) “Conceptual Framework-What Do You Think Is Going On,” in </w:t>
      </w:r>
      <w:r w:rsidRPr="001D63D1">
        <w:rPr>
          <w:rFonts w:ascii="Arial" w:hAnsi="Arial" w:cs="Arial"/>
          <w:i/>
          <w:iCs/>
        </w:rPr>
        <w:t>Qualitative research design: An interactive approach</w:t>
      </w:r>
      <w:r w:rsidRPr="001D63D1">
        <w:rPr>
          <w:rFonts w:ascii="Arial" w:hAnsi="Arial" w:cs="Arial"/>
        </w:rPr>
        <w:t xml:space="preserve">. </w:t>
      </w:r>
      <w:proofErr w:type="spellStart"/>
      <w:r w:rsidRPr="001D63D1">
        <w:rPr>
          <w:rFonts w:ascii="Arial" w:hAnsi="Arial" w:cs="Arial"/>
        </w:rPr>
        <w:t>S.l.</w:t>
      </w:r>
      <w:proofErr w:type="spellEnd"/>
      <w:r w:rsidRPr="001D63D1">
        <w:rPr>
          <w:rFonts w:ascii="Arial" w:hAnsi="Arial" w:cs="Arial"/>
        </w:rPr>
        <w:t xml:space="preserve">: SAGE PUBLICATIONS, pp. 39–72. </w:t>
      </w:r>
    </w:p>
    <w:p w14:paraId="50F39C0B" w14:textId="77777777" w:rsidR="00D72B5A" w:rsidRPr="001D63D1" w:rsidRDefault="00D72B5A" w:rsidP="00D72B5A">
      <w:pPr>
        <w:pStyle w:val="a9"/>
        <w:ind w:left="567" w:hanging="567"/>
        <w:rPr>
          <w:rFonts w:ascii="Arial" w:hAnsi="Arial" w:cs="Arial"/>
        </w:rPr>
      </w:pPr>
      <w:proofErr w:type="spellStart"/>
      <w:r w:rsidRPr="001D63D1">
        <w:rPr>
          <w:rFonts w:ascii="Arial" w:hAnsi="Arial" w:cs="Arial"/>
        </w:rPr>
        <w:t>Meijers</w:t>
      </w:r>
      <w:proofErr w:type="spellEnd"/>
      <w:r w:rsidRPr="001D63D1">
        <w:rPr>
          <w:rFonts w:ascii="Arial" w:hAnsi="Arial" w:cs="Arial"/>
        </w:rPr>
        <w:t>, F. (1998). The development of a career identity. </w:t>
      </w:r>
      <w:r w:rsidRPr="001D63D1">
        <w:rPr>
          <w:rFonts w:ascii="Arial" w:hAnsi="Arial" w:cs="Arial"/>
          <w:i/>
          <w:iCs/>
        </w:rPr>
        <w:t>International Journal for the advancement of Counselling</w:t>
      </w:r>
      <w:r w:rsidRPr="001D63D1">
        <w:rPr>
          <w:rFonts w:ascii="Arial" w:hAnsi="Arial" w:cs="Arial"/>
        </w:rPr>
        <w:t>, 20(3), 191-207.</w:t>
      </w:r>
    </w:p>
    <w:p w14:paraId="2CB635A7" w14:textId="4F36443E" w:rsidR="00D72B5A" w:rsidRPr="001D63D1" w:rsidRDefault="00D72B5A" w:rsidP="00D72B5A">
      <w:pPr>
        <w:pStyle w:val="a9"/>
        <w:ind w:left="567" w:hanging="567"/>
        <w:rPr>
          <w:rFonts w:ascii="Arial" w:hAnsi="Arial" w:cs="Arial"/>
        </w:rPr>
      </w:pPr>
      <w:r w:rsidRPr="001D63D1">
        <w:rPr>
          <w:rFonts w:ascii="Arial" w:hAnsi="Arial" w:cs="Arial"/>
        </w:rPr>
        <w:t xml:space="preserve">Meyer, J.P., Allen, N.J. and Smith, C.A. (1993) “Commitment to organizations and occupations: Extension and test of a three-component conceptualization.” </w:t>
      </w:r>
      <w:r w:rsidRPr="001D63D1">
        <w:rPr>
          <w:rFonts w:ascii="Arial" w:hAnsi="Arial" w:cs="Arial"/>
          <w:i/>
          <w:iCs/>
        </w:rPr>
        <w:t>Journal of Applied Psychology</w:t>
      </w:r>
      <w:r w:rsidRPr="001D63D1">
        <w:rPr>
          <w:rFonts w:ascii="Arial" w:hAnsi="Arial" w:cs="Arial"/>
        </w:rPr>
        <w:t xml:space="preserve">, 78(4), pp. 538–551. Available at: https://doi.org/10.1037/0021-9010.78.4.538. </w:t>
      </w:r>
    </w:p>
    <w:p w14:paraId="65351178" w14:textId="6FE4EC97" w:rsidR="00D72B5A" w:rsidRPr="001D63D1" w:rsidRDefault="00D72B5A" w:rsidP="00D72B5A">
      <w:pPr>
        <w:pStyle w:val="a9"/>
        <w:ind w:left="567" w:hanging="567"/>
        <w:rPr>
          <w:rFonts w:ascii="Arial" w:hAnsi="Arial" w:cs="Arial"/>
        </w:rPr>
      </w:pPr>
      <w:r w:rsidRPr="001D63D1">
        <w:rPr>
          <w:rFonts w:ascii="Arial" w:hAnsi="Arial" w:cs="Arial"/>
        </w:rPr>
        <w:t xml:space="preserve">Miller, D.R. (1962) “The study of social relationships: Situation, identity, and social interaction.” </w:t>
      </w:r>
      <w:r w:rsidRPr="001D63D1">
        <w:rPr>
          <w:rFonts w:ascii="Arial" w:hAnsi="Arial" w:cs="Arial"/>
          <w:i/>
          <w:iCs/>
        </w:rPr>
        <w:t>Psychology: A study of a science. Study II: Empirical substructure and relations with other sciences. Volume 5. The process areas, the person, and some applied fields: Their place in psychology and in science</w:t>
      </w:r>
      <w:r w:rsidRPr="001D63D1">
        <w:rPr>
          <w:rFonts w:ascii="Arial" w:hAnsi="Arial" w:cs="Arial"/>
        </w:rPr>
        <w:t xml:space="preserve">., pp. 639–737. Available at: https://doi.org/10.1037/10040-010. </w:t>
      </w:r>
    </w:p>
    <w:p w14:paraId="3FEC2593"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Moore, M. and </w:t>
      </w:r>
      <w:proofErr w:type="spellStart"/>
      <w:r w:rsidRPr="001D63D1">
        <w:rPr>
          <w:rFonts w:ascii="Arial" w:hAnsi="Arial" w:cs="Arial"/>
        </w:rPr>
        <w:t>Hofman</w:t>
      </w:r>
      <w:proofErr w:type="spellEnd"/>
      <w:r w:rsidRPr="001D63D1">
        <w:rPr>
          <w:rFonts w:ascii="Arial" w:hAnsi="Arial" w:cs="Arial"/>
        </w:rPr>
        <w:t xml:space="preserve">, J.E. (1988) “Professional identity in institutions of higher learning in Israel,” </w:t>
      </w:r>
      <w:r w:rsidRPr="001D63D1">
        <w:rPr>
          <w:rFonts w:ascii="Arial" w:hAnsi="Arial" w:cs="Arial"/>
          <w:i/>
          <w:iCs/>
        </w:rPr>
        <w:t>Higher Education</w:t>
      </w:r>
      <w:r w:rsidRPr="001D63D1">
        <w:rPr>
          <w:rFonts w:ascii="Arial" w:hAnsi="Arial" w:cs="Arial"/>
        </w:rPr>
        <w:t xml:space="preserve">, 17(1), pp. 69–79. Available at: https://doi.org/10.1007/bf00130900. </w:t>
      </w:r>
    </w:p>
    <w:p w14:paraId="616A5157" w14:textId="77777777" w:rsidR="00D72B5A" w:rsidRPr="001D63D1" w:rsidRDefault="00D72B5A" w:rsidP="00D72B5A">
      <w:pPr>
        <w:pStyle w:val="a9"/>
        <w:ind w:left="567" w:hanging="567"/>
        <w:rPr>
          <w:rFonts w:ascii="Arial" w:hAnsi="Arial" w:cs="Arial"/>
        </w:rPr>
      </w:pPr>
      <w:bookmarkStart w:id="50" w:name="_Hlk123479386"/>
      <w:r w:rsidRPr="001D63D1">
        <w:rPr>
          <w:rFonts w:ascii="Arial" w:hAnsi="Arial" w:cs="Arial"/>
        </w:rPr>
        <w:t xml:space="preserve">Moral </w:t>
      </w:r>
      <w:proofErr w:type="spellStart"/>
      <w:r w:rsidRPr="001D63D1">
        <w:rPr>
          <w:rFonts w:ascii="Arial" w:hAnsi="Arial" w:cs="Arial"/>
        </w:rPr>
        <w:t>Santaella</w:t>
      </w:r>
      <w:proofErr w:type="spellEnd"/>
      <w:r w:rsidRPr="001D63D1">
        <w:rPr>
          <w:rFonts w:ascii="Arial" w:hAnsi="Arial" w:cs="Arial"/>
        </w:rPr>
        <w:t>, C. (2018)</w:t>
      </w:r>
      <w:bookmarkEnd w:id="50"/>
      <w:r w:rsidRPr="001D63D1">
        <w:rPr>
          <w:rFonts w:ascii="Arial" w:hAnsi="Arial" w:cs="Arial"/>
        </w:rPr>
        <w:t xml:space="preserve"> “A comparative study of the professional identity of two secondary school principals in disadvantaged contexts,” </w:t>
      </w:r>
      <w:r w:rsidRPr="001D63D1">
        <w:rPr>
          <w:rFonts w:ascii="Arial" w:hAnsi="Arial" w:cs="Arial"/>
          <w:i/>
          <w:iCs/>
        </w:rPr>
        <w:t>Leadership and Policy in Schools</w:t>
      </w:r>
      <w:r w:rsidRPr="001D63D1">
        <w:rPr>
          <w:rFonts w:ascii="Arial" w:hAnsi="Arial" w:cs="Arial"/>
        </w:rPr>
        <w:t xml:space="preserve">, 19(2), pp. 145–170. Available at: https://doi.org/10.1080/15700763.2018.1513152. </w:t>
      </w:r>
    </w:p>
    <w:p w14:paraId="46BF67BF" w14:textId="7FC4D2EE" w:rsidR="00D72B5A" w:rsidRDefault="00D72B5A" w:rsidP="00D72B5A">
      <w:pPr>
        <w:pStyle w:val="a9"/>
        <w:ind w:left="567" w:hanging="567"/>
        <w:rPr>
          <w:rFonts w:ascii="Arial" w:hAnsi="Arial" w:cs="Arial"/>
        </w:rPr>
      </w:pPr>
      <w:r w:rsidRPr="001D63D1">
        <w:rPr>
          <w:rFonts w:ascii="Arial" w:hAnsi="Arial" w:cs="Arial"/>
        </w:rPr>
        <w:t xml:space="preserve">Reed, A. et al. (2012) “Identity-based consumer </w:t>
      </w:r>
      <w:proofErr w:type="spellStart"/>
      <w:r w:rsidRPr="001D63D1">
        <w:rPr>
          <w:rFonts w:ascii="Arial" w:hAnsi="Arial" w:cs="Arial"/>
        </w:rPr>
        <w:t>behavior</w:t>
      </w:r>
      <w:proofErr w:type="spellEnd"/>
      <w:r w:rsidRPr="001D63D1">
        <w:rPr>
          <w:rFonts w:ascii="Arial" w:hAnsi="Arial" w:cs="Arial"/>
        </w:rPr>
        <w:t xml:space="preserve">,” </w:t>
      </w:r>
      <w:r w:rsidRPr="001D63D1">
        <w:rPr>
          <w:rFonts w:ascii="Arial" w:hAnsi="Arial" w:cs="Arial"/>
          <w:i/>
          <w:iCs/>
        </w:rPr>
        <w:t>SSRN Electronic Journal</w:t>
      </w:r>
      <w:r w:rsidRPr="001D63D1">
        <w:rPr>
          <w:rFonts w:ascii="Arial" w:hAnsi="Arial" w:cs="Arial"/>
        </w:rPr>
        <w:t xml:space="preserve"> [Preprint]. Available at: </w:t>
      </w:r>
      <w:hyperlink r:id="rId16" w:history="1">
        <w:r w:rsidRPr="001D63D1">
          <w:rPr>
            <w:rStyle w:val="a3"/>
            <w:rFonts w:ascii="Arial" w:eastAsiaTheme="majorEastAsia" w:hAnsi="Arial" w:cs="Arial"/>
            <w:color w:val="auto"/>
          </w:rPr>
          <w:t>https://doi.org/10.2139/ssrn.2176665</w:t>
        </w:r>
      </w:hyperlink>
      <w:r w:rsidRPr="001D63D1">
        <w:rPr>
          <w:rFonts w:ascii="Arial" w:hAnsi="Arial" w:cs="Arial"/>
        </w:rPr>
        <w:t xml:space="preserve">. </w:t>
      </w:r>
    </w:p>
    <w:p w14:paraId="3CDD0047" w14:textId="3B98B55B" w:rsidR="005D6597" w:rsidRPr="001D63D1" w:rsidRDefault="005D6597" w:rsidP="005D6597">
      <w:pPr>
        <w:pStyle w:val="a9"/>
        <w:ind w:left="567" w:hanging="567"/>
        <w:rPr>
          <w:rFonts w:ascii="Arial" w:hAnsi="Arial" w:cs="Arial"/>
        </w:rPr>
      </w:pPr>
      <w:proofErr w:type="spellStart"/>
      <w:r w:rsidRPr="00B63A4E">
        <w:rPr>
          <w:rFonts w:ascii="Arial" w:hAnsi="Arial" w:cs="Arial"/>
        </w:rPr>
        <w:t>Stutchbury</w:t>
      </w:r>
      <w:proofErr w:type="spellEnd"/>
      <w:r w:rsidRPr="00B63A4E">
        <w:rPr>
          <w:rFonts w:ascii="Arial" w:hAnsi="Arial" w:cs="Arial"/>
        </w:rPr>
        <w:t>, K. and Fox, A. (2009) “Ethics in educational research: Introducing a methodological tool for effective</w:t>
      </w:r>
      <w:r w:rsidR="00713E88">
        <w:rPr>
          <w:rFonts w:ascii="Arial" w:hAnsi="Arial" w:cs="Arial"/>
        </w:rPr>
        <w:t>,</w:t>
      </w:r>
      <w:r w:rsidRPr="00B63A4E">
        <w:rPr>
          <w:rFonts w:ascii="Arial" w:hAnsi="Arial" w:cs="Arial"/>
        </w:rPr>
        <w:t xml:space="preserve"> ethical analysis,” </w:t>
      </w:r>
      <w:r w:rsidRPr="00B63A4E">
        <w:rPr>
          <w:rFonts w:ascii="Arial" w:hAnsi="Arial" w:cs="Arial"/>
          <w:i/>
          <w:iCs/>
        </w:rPr>
        <w:t>Cambridge Journal of Education</w:t>
      </w:r>
      <w:r w:rsidRPr="00B63A4E">
        <w:rPr>
          <w:rFonts w:ascii="Arial" w:hAnsi="Arial" w:cs="Arial"/>
        </w:rPr>
        <w:t xml:space="preserve">, 39(4), pp. 489–504. Available at: https://doi.org/10.1080/03057640903354396. </w:t>
      </w:r>
    </w:p>
    <w:p w14:paraId="37FBEEDE" w14:textId="7CF98340" w:rsidR="00D72B5A" w:rsidRPr="001D63D1" w:rsidRDefault="00D72B5A" w:rsidP="00D72B5A">
      <w:pPr>
        <w:pStyle w:val="a9"/>
        <w:ind w:left="567" w:hanging="567"/>
        <w:rPr>
          <w:rFonts w:ascii="Arial" w:hAnsi="Arial" w:cs="Arial"/>
        </w:rPr>
      </w:pPr>
      <w:bookmarkStart w:id="51" w:name="_Hlk123470615"/>
      <w:r>
        <w:rPr>
          <w:rFonts w:ascii="Arial" w:hAnsi="Arial" w:cs="Arial"/>
        </w:rPr>
        <w:t>Van</w:t>
      </w:r>
      <w:r w:rsidRPr="001D63D1">
        <w:rPr>
          <w:rFonts w:ascii="Arial" w:hAnsi="Arial" w:cs="Arial"/>
        </w:rPr>
        <w:t xml:space="preserve"> Braak, M. et al. (2021) </w:t>
      </w:r>
      <w:bookmarkEnd w:id="51"/>
      <w:r w:rsidRPr="001D63D1">
        <w:rPr>
          <w:rFonts w:ascii="Arial" w:hAnsi="Arial" w:cs="Arial"/>
        </w:rPr>
        <w:t xml:space="preserve">“A professional knowledge base for Collaborative Reflection Education: A qualitative description of teacher goals and strategies,” </w:t>
      </w:r>
      <w:r w:rsidRPr="001D63D1">
        <w:rPr>
          <w:rFonts w:ascii="Arial" w:hAnsi="Arial" w:cs="Arial"/>
          <w:i/>
          <w:iCs/>
        </w:rPr>
        <w:t>Perspectives on Medical Education</w:t>
      </w:r>
      <w:r w:rsidRPr="001D63D1">
        <w:rPr>
          <w:rFonts w:ascii="Arial" w:hAnsi="Arial" w:cs="Arial"/>
        </w:rPr>
        <w:t xml:space="preserve">, 11(1), pp. 53–59. Available at: https://doi.org/10.1007/s40037-021-00677-6. </w:t>
      </w:r>
    </w:p>
    <w:p w14:paraId="57078460" w14:textId="77777777" w:rsidR="00D72B5A" w:rsidRPr="001D63D1" w:rsidRDefault="00D72B5A" w:rsidP="00D72B5A">
      <w:pPr>
        <w:pStyle w:val="a9"/>
        <w:ind w:left="567" w:hanging="567"/>
        <w:rPr>
          <w:rFonts w:ascii="Arial" w:hAnsi="Arial" w:cs="Arial"/>
        </w:rPr>
      </w:pPr>
      <w:proofErr w:type="spellStart"/>
      <w:r w:rsidRPr="001D63D1">
        <w:rPr>
          <w:rFonts w:ascii="Arial" w:hAnsi="Arial" w:cs="Arial"/>
        </w:rPr>
        <w:t>Virta</w:t>
      </w:r>
      <w:proofErr w:type="spellEnd"/>
      <w:r w:rsidRPr="001D63D1">
        <w:rPr>
          <w:rFonts w:ascii="Arial" w:hAnsi="Arial" w:cs="Arial"/>
        </w:rPr>
        <w:t xml:space="preserve">, J. et al. (2022) “Informal learning contexts in the construction of physical education student teachers’ professional identity,” </w:t>
      </w:r>
      <w:r w:rsidRPr="001D63D1">
        <w:rPr>
          <w:rFonts w:ascii="Arial" w:hAnsi="Arial" w:cs="Arial"/>
          <w:i/>
          <w:iCs/>
        </w:rPr>
        <w:t>European Physical Education Review</w:t>
      </w:r>
      <w:r w:rsidRPr="001D63D1">
        <w:rPr>
          <w:rFonts w:ascii="Arial" w:hAnsi="Arial" w:cs="Arial"/>
        </w:rPr>
        <w:t xml:space="preserve"> [Preprint]. Available at: https://doi.org/10.1177/1356336x221105263. </w:t>
      </w:r>
    </w:p>
    <w:p w14:paraId="566E4CE3" w14:textId="77777777" w:rsidR="00D72B5A" w:rsidRPr="001D63D1" w:rsidRDefault="00D72B5A" w:rsidP="00D72B5A">
      <w:pPr>
        <w:pStyle w:val="a9"/>
        <w:ind w:left="567" w:hanging="567"/>
        <w:rPr>
          <w:rFonts w:ascii="Arial" w:hAnsi="Arial" w:cs="Arial"/>
        </w:rPr>
      </w:pPr>
      <w:r w:rsidRPr="001D63D1">
        <w:rPr>
          <w:rFonts w:ascii="Arial" w:hAnsi="Arial" w:cs="Arial"/>
        </w:rPr>
        <w:lastRenderedPageBreak/>
        <w:t xml:space="preserve">Volkmann, M.J. and Anderson, M.A. (1998) “Creating professional identity: Dilemmas and metaphors of a first-year chemistry teacher,” </w:t>
      </w:r>
      <w:r w:rsidRPr="001D63D1">
        <w:rPr>
          <w:rFonts w:ascii="Arial" w:hAnsi="Arial" w:cs="Arial"/>
          <w:i/>
          <w:iCs/>
        </w:rPr>
        <w:t>Science Education</w:t>
      </w:r>
      <w:r w:rsidRPr="001D63D1">
        <w:rPr>
          <w:rFonts w:ascii="Arial" w:hAnsi="Arial" w:cs="Arial"/>
        </w:rPr>
        <w:t>, 82(3), pp. 293–310. Available at: https://doi.org/10.1002/(sici)1098-237x(199806)82:3&lt;</w:t>
      </w:r>
      <w:proofErr w:type="gramStart"/>
      <w:r w:rsidRPr="001D63D1">
        <w:rPr>
          <w:rFonts w:ascii="Arial" w:hAnsi="Arial" w:cs="Arial"/>
        </w:rPr>
        <w:t>293::</w:t>
      </w:r>
      <w:proofErr w:type="gramEnd"/>
      <w:r w:rsidRPr="001D63D1">
        <w:rPr>
          <w:rFonts w:ascii="Arial" w:hAnsi="Arial" w:cs="Arial"/>
        </w:rPr>
        <w:t xml:space="preserve">aid-sce1&gt;3.0.co;2-7. </w:t>
      </w:r>
    </w:p>
    <w:p w14:paraId="60887D86" w14:textId="77777777" w:rsidR="00D72B5A" w:rsidRPr="001D63D1" w:rsidRDefault="00D72B5A" w:rsidP="00D72B5A">
      <w:pPr>
        <w:pStyle w:val="a9"/>
        <w:ind w:left="567" w:hanging="567"/>
        <w:rPr>
          <w:rFonts w:ascii="Arial" w:hAnsi="Arial" w:cs="Arial"/>
        </w:rPr>
      </w:pPr>
      <w:bookmarkStart w:id="52" w:name="_Hlk123057678"/>
      <w:proofErr w:type="spellStart"/>
      <w:r w:rsidRPr="001D63D1">
        <w:rPr>
          <w:rFonts w:ascii="Arial" w:hAnsi="Arial" w:cs="Arial"/>
        </w:rPr>
        <w:t>Vondracek</w:t>
      </w:r>
      <w:bookmarkEnd w:id="52"/>
      <w:proofErr w:type="spellEnd"/>
      <w:r w:rsidRPr="001D63D1">
        <w:rPr>
          <w:rFonts w:ascii="Arial" w:hAnsi="Arial" w:cs="Arial"/>
        </w:rPr>
        <w:t xml:space="preserve">, F.W. (1992) “The construct of identity and its use in career theory and research,” </w:t>
      </w:r>
      <w:r w:rsidRPr="001D63D1">
        <w:rPr>
          <w:rFonts w:ascii="Arial" w:hAnsi="Arial" w:cs="Arial"/>
          <w:i/>
          <w:iCs/>
        </w:rPr>
        <w:t>The Career Development Quarterly</w:t>
      </w:r>
      <w:r w:rsidRPr="001D63D1">
        <w:rPr>
          <w:rFonts w:ascii="Arial" w:hAnsi="Arial" w:cs="Arial"/>
        </w:rPr>
        <w:t xml:space="preserve">, 41(2), pp. 130–144. Available at: https://doi.org/10.1002/j.2161-0045.1992.tb00365.x. </w:t>
      </w:r>
    </w:p>
    <w:p w14:paraId="6F446E72" w14:textId="77777777" w:rsidR="00D72B5A" w:rsidRPr="001D63D1" w:rsidRDefault="00D72B5A" w:rsidP="00D72B5A">
      <w:pPr>
        <w:pStyle w:val="a9"/>
        <w:ind w:left="567" w:hanging="567"/>
        <w:rPr>
          <w:rFonts w:ascii="Arial" w:hAnsi="Arial" w:cs="Arial"/>
        </w:rPr>
      </w:pPr>
      <w:bookmarkStart w:id="53" w:name="_Hlk120125417"/>
      <w:r w:rsidRPr="001D63D1">
        <w:rPr>
          <w:rFonts w:ascii="Arial" w:hAnsi="Arial" w:cs="Arial"/>
        </w:rPr>
        <w:t xml:space="preserve">Wei, S.H., Song, G.W., &amp; Zhang, </w:t>
      </w:r>
      <w:proofErr w:type="gramStart"/>
      <w:r w:rsidRPr="001D63D1">
        <w:rPr>
          <w:rFonts w:ascii="Arial" w:hAnsi="Arial" w:cs="Arial"/>
        </w:rPr>
        <w:t>D.J..</w:t>
      </w:r>
      <w:proofErr w:type="gramEnd"/>
      <w:r w:rsidRPr="001D63D1">
        <w:rPr>
          <w:rFonts w:ascii="Arial" w:hAnsi="Arial" w:cs="Arial"/>
        </w:rPr>
        <w:t xml:space="preserve"> (2013). </w:t>
      </w:r>
      <w:bookmarkEnd w:id="53"/>
      <w:r w:rsidRPr="001D63D1">
        <w:rPr>
          <w:rFonts w:ascii="Arial" w:hAnsi="Arial" w:cs="Arial"/>
        </w:rPr>
        <w:t xml:space="preserve">The structure and scale of professional identity of primary and secondary school teachers in China. </w:t>
      </w:r>
      <w:r w:rsidRPr="001D63D1">
        <w:rPr>
          <w:rFonts w:ascii="Arial" w:hAnsi="Arial" w:cs="Arial"/>
          <w:i/>
          <w:iCs/>
        </w:rPr>
        <w:t>Teacher Education Research</w:t>
      </w:r>
      <w:r w:rsidRPr="001D63D1">
        <w:rPr>
          <w:rFonts w:ascii="Arial" w:hAnsi="Arial" w:cs="Arial"/>
        </w:rPr>
        <w:t>, 25(1), 55-</w:t>
      </w:r>
      <w:proofErr w:type="gramStart"/>
      <w:r w:rsidRPr="001D63D1">
        <w:rPr>
          <w:rFonts w:ascii="Arial" w:hAnsi="Arial" w:cs="Arial"/>
        </w:rPr>
        <w:t>60.</w:t>
      </w:r>
      <w:r w:rsidRPr="001D63D1">
        <w:rPr>
          <w:rFonts w:ascii="宋体" w:eastAsia="宋体" w:hAnsi="宋体" w:cs="宋体" w:hint="eastAsia"/>
        </w:rPr>
        <w:t>魏淑华</w:t>
      </w:r>
      <w:proofErr w:type="gramEnd"/>
      <w:r w:rsidRPr="001D63D1">
        <w:rPr>
          <w:rFonts w:ascii="Arial" w:hAnsi="Arial" w:cs="Arial"/>
        </w:rPr>
        <w:t xml:space="preserve">, </w:t>
      </w:r>
      <w:r w:rsidRPr="001D63D1">
        <w:rPr>
          <w:rFonts w:ascii="宋体" w:eastAsia="宋体" w:hAnsi="宋体" w:cs="宋体" w:hint="eastAsia"/>
        </w:rPr>
        <w:t>宋广文</w:t>
      </w:r>
      <w:r w:rsidRPr="001D63D1">
        <w:rPr>
          <w:rFonts w:ascii="Arial" w:hAnsi="Arial" w:cs="Arial"/>
        </w:rPr>
        <w:t xml:space="preserve">, &amp; </w:t>
      </w:r>
      <w:r w:rsidRPr="001D63D1">
        <w:rPr>
          <w:rFonts w:ascii="宋体" w:eastAsia="宋体" w:hAnsi="宋体" w:cs="宋体" w:hint="eastAsia"/>
        </w:rPr>
        <w:t>张大均</w:t>
      </w:r>
      <w:r w:rsidRPr="001D63D1">
        <w:rPr>
          <w:rFonts w:ascii="Arial" w:hAnsi="Arial" w:cs="Arial"/>
        </w:rPr>
        <w:t xml:space="preserve">. (2013). </w:t>
      </w:r>
      <w:r w:rsidRPr="001D63D1">
        <w:rPr>
          <w:rFonts w:ascii="宋体" w:eastAsia="宋体" w:hAnsi="宋体" w:cs="宋体" w:hint="eastAsia"/>
        </w:rPr>
        <w:t>我国中小学教师职业认同的结构与量表</w:t>
      </w:r>
      <w:r w:rsidRPr="001D63D1">
        <w:rPr>
          <w:rFonts w:ascii="Arial" w:hAnsi="Arial" w:cs="Arial"/>
        </w:rPr>
        <w:t>. </w:t>
      </w:r>
      <w:r w:rsidRPr="001D63D1">
        <w:rPr>
          <w:rFonts w:ascii="宋体" w:eastAsia="宋体" w:hAnsi="宋体" w:cs="宋体" w:hint="eastAsia"/>
          <w:i/>
          <w:iCs/>
        </w:rPr>
        <w:t>教师教育研究</w:t>
      </w:r>
      <w:r w:rsidRPr="001D63D1">
        <w:rPr>
          <w:rFonts w:ascii="Arial" w:hAnsi="Arial" w:cs="Arial"/>
        </w:rPr>
        <w:t>, 25(1), 55-60.</w:t>
      </w:r>
    </w:p>
    <w:p w14:paraId="2F4DF36A" w14:textId="77777777" w:rsidR="00D72B5A" w:rsidRPr="001D63D1" w:rsidRDefault="00D72B5A" w:rsidP="00D72B5A">
      <w:pPr>
        <w:pStyle w:val="a9"/>
        <w:ind w:left="567" w:hanging="567"/>
        <w:rPr>
          <w:rFonts w:ascii="Arial" w:hAnsi="Arial" w:cs="Arial"/>
        </w:rPr>
      </w:pPr>
      <w:bookmarkStart w:id="54" w:name="_Hlk123466081"/>
      <w:r w:rsidRPr="001D63D1">
        <w:rPr>
          <w:rFonts w:ascii="Arial" w:hAnsi="Arial" w:cs="Arial"/>
        </w:rPr>
        <w:t xml:space="preserve">Willetts, G. and Garvey, L. (2020) </w:t>
      </w:r>
      <w:bookmarkEnd w:id="54"/>
      <w:r w:rsidRPr="001D63D1">
        <w:rPr>
          <w:rFonts w:ascii="Arial" w:hAnsi="Arial" w:cs="Arial"/>
        </w:rPr>
        <w:t xml:space="preserve">“Constructing nurses' professional identity through Group Performance,” </w:t>
      </w:r>
      <w:r w:rsidRPr="001D63D1">
        <w:rPr>
          <w:rFonts w:ascii="Arial" w:hAnsi="Arial" w:cs="Arial"/>
          <w:i/>
          <w:iCs/>
        </w:rPr>
        <w:t>International Journal of Nursing Practice</w:t>
      </w:r>
      <w:r w:rsidRPr="001D63D1">
        <w:rPr>
          <w:rFonts w:ascii="Arial" w:hAnsi="Arial" w:cs="Arial"/>
        </w:rPr>
        <w:t xml:space="preserve">, 26(6). Available at: https://doi.org/10.1111/ijn.12849. </w:t>
      </w:r>
    </w:p>
    <w:p w14:paraId="5C8007D7" w14:textId="77777777" w:rsidR="00D72B5A" w:rsidRPr="001D63D1" w:rsidRDefault="00D72B5A" w:rsidP="00D72B5A">
      <w:pPr>
        <w:pStyle w:val="a9"/>
        <w:ind w:left="567" w:hanging="567"/>
        <w:rPr>
          <w:rFonts w:ascii="Arial" w:hAnsi="Arial" w:cs="Arial"/>
        </w:rPr>
      </w:pPr>
      <w:bookmarkStart w:id="55" w:name="_Hlk123148342"/>
      <w:r w:rsidRPr="001D63D1">
        <w:rPr>
          <w:rFonts w:ascii="Arial" w:hAnsi="Arial" w:cs="Arial"/>
        </w:rPr>
        <w:t xml:space="preserve">Xu, L. et al. (2022) </w:t>
      </w:r>
      <w:bookmarkEnd w:id="55"/>
      <w:r w:rsidRPr="001D63D1">
        <w:rPr>
          <w:rFonts w:ascii="Arial" w:hAnsi="Arial" w:cs="Arial"/>
        </w:rPr>
        <w:t>“Relationship between professional identity, career satisfaction, value of competence and growth, and Job Burnout: A cross</w:t>
      </w:r>
      <w:r w:rsidRPr="001D63D1">
        <w:t>‐</w:t>
      </w:r>
      <w:r w:rsidRPr="001D63D1">
        <w:rPr>
          <w:rFonts w:ascii="Arial" w:hAnsi="Arial" w:cs="Arial"/>
        </w:rPr>
        <w:t xml:space="preserve">sectional study of primary and secondary school teachers in China,” </w:t>
      </w:r>
      <w:r w:rsidRPr="001D63D1">
        <w:rPr>
          <w:rFonts w:ascii="Arial" w:hAnsi="Arial" w:cs="Arial"/>
          <w:i/>
          <w:iCs/>
        </w:rPr>
        <w:t>Psychology in the Schools</w:t>
      </w:r>
      <w:r w:rsidRPr="001D63D1">
        <w:rPr>
          <w:rFonts w:ascii="Arial" w:hAnsi="Arial" w:cs="Arial"/>
        </w:rPr>
        <w:t xml:space="preserve"> [Preprint]. Available at: </w:t>
      </w:r>
      <w:hyperlink r:id="rId17" w:history="1">
        <w:r w:rsidRPr="001D63D1">
          <w:rPr>
            <w:rStyle w:val="a3"/>
            <w:rFonts w:ascii="Arial" w:eastAsiaTheme="majorEastAsia" w:hAnsi="Arial" w:cs="Arial"/>
            <w:color w:val="auto"/>
          </w:rPr>
          <w:t>https://doi.org/10.1002/pits.22828</w:t>
        </w:r>
      </w:hyperlink>
      <w:r w:rsidRPr="001D63D1">
        <w:rPr>
          <w:rFonts w:ascii="Arial" w:hAnsi="Arial" w:cs="Arial"/>
        </w:rPr>
        <w:t xml:space="preserve">. </w:t>
      </w:r>
    </w:p>
    <w:p w14:paraId="36B9B73F" w14:textId="77777777" w:rsidR="00D72B5A" w:rsidRPr="001D63D1" w:rsidRDefault="00D72B5A" w:rsidP="00D72B5A">
      <w:pPr>
        <w:pStyle w:val="a9"/>
        <w:ind w:left="567" w:hanging="567"/>
        <w:rPr>
          <w:rFonts w:ascii="Arial" w:hAnsi="Arial" w:cs="Arial"/>
        </w:rPr>
      </w:pPr>
      <w:bookmarkStart w:id="56" w:name="_Hlk123150624"/>
      <w:r w:rsidRPr="001D63D1">
        <w:rPr>
          <w:rFonts w:ascii="Arial" w:hAnsi="Arial" w:cs="Arial"/>
        </w:rPr>
        <w:t xml:space="preserve">Yang, H., Wang, R. and Chen, H. (2020) </w:t>
      </w:r>
      <w:bookmarkEnd w:id="56"/>
      <w:r w:rsidRPr="001D63D1">
        <w:rPr>
          <w:rFonts w:ascii="Arial" w:hAnsi="Arial" w:cs="Arial"/>
        </w:rPr>
        <w:t xml:space="preserve">“Professional identity construction among social work agencies,” </w:t>
      </w:r>
      <w:r w:rsidRPr="001D63D1">
        <w:rPr>
          <w:rFonts w:ascii="Arial" w:hAnsi="Arial" w:cs="Arial"/>
          <w:i/>
          <w:iCs/>
        </w:rPr>
        <w:t>Journal of Social Work</w:t>
      </w:r>
      <w:r w:rsidRPr="001D63D1">
        <w:rPr>
          <w:rFonts w:ascii="Arial" w:hAnsi="Arial" w:cs="Arial"/>
        </w:rPr>
        <w:t xml:space="preserve">, p. 146801732094058. Available at: https://doi.org/10.1177/1468017320940587. </w:t>
      </w:r>
    </w:p>
    <w:p w14:paraId="0DB7B432" w14:textId="77777777" w:rsidR="00D72B5A" w:rsidRPr="001D63D1" w:rsidRDefault="00D72B5A" w:rsidP="00D72B5A">
      <w:pPr>
        <w:pStyle w:val="a9"/>
        <w:ind w:left="567" w:hanging="567"/>
        <w:rPr>
          <w:rFonts w:ascii="Arial" w:hAnsi="Arial" w:cs="Arial"/>
        </w:rPr>
      </w:pPr>
      <w:r w:rsidRPr="001D63D1">
        <w:rPr>
          <w:rFonts w:ascii="Arial" w:hAnsi="Arial" w:cs="Arial" w:hint="eastAsia"/>
        </w:rPr>
        <w:t>Yin, R</w:t>
      </w:r>
      <w:r w:rsidRPr="001D63D1">
        <w:rPr>
          <w:rFonts w:ascii="宋体" w:eastAsia="宋体" w:hAnsi="宋体" w:cs="宋体" w:hint="eastAsia"/>
        </w:rPr>
        <w:t>.</w:t>
      </w:r>
      <w:r w:rsidRPr="001D63D1">
        <w:rPr>
          <w:rFonts w:ascii="Arial" w:hAnsi="Arial" w:cs="Arial" w:hint="eastAsia"/>
        </w:rPr>
        <w:t>K. (2004). </w:t>
      </w:r>
      <w:r w:rsidRPr="001D63D1">
        <w:rPr>
          <w:rFonts w:ascii="Arial" w:hAnsi="Arial" w:cs="Arial"/>
          <w:i/>
          <w:iCs/>
        </w:rPr>
        <w:t>The case study anthology</w:t>
      </w:r>
      <w:r w:rsidRPr="001D63D1">
        <w:rPr>
          <w:rFonts w:ascii="Arial" w:hAnsi="Arial" w:cs="Arial"/>
        </w:rPr>
        <w:t>. Chongqing: Chongqing University Press. Yin, R. K. (2004). </w:t>
      </w:r>
      <w:r w:rsidRPr="001D63D1">
        <w:rPr>
          <w:rFonts w:ascii="宋体" w:eastAsia="宋体" w:hAnsi="宋体" w:cs="宋体" w:hint="eastAsia"/>
          <w:i/>
          <w:iCs/>
        </w:rPr>
        <w:t>案例研究</w:t>
      </w:r>
      <w:r w:rsidRPr="001D63D1">
        <w:rPr>
          <w:rFonts w:ascii="Arial" w:hAnsi="Arial" w:cs="Arial" w:hint="eastAsia"/>
          <w:i/>
          <w:iCs/>
        </w:rPr>
        <w:t xml:space="preserve"> </w:t>
      </w:r>
      <w:r w:rsidRPr="001D63D1">
        <w:rPr>
          <w:rFonts w:ascii="宋体" w:eastAsia="宋体" w:hAnsi="宋体" w:cs="宋体" w:hint="eastAsia"/>
          <w:i/>
          <w:iCs/>
        </w:rPr>
        <w:t>设计与方法</w:t>
      </w:r>
      <w:r w:rsidRPr="001D63D1">
        <w:rPr>
          <w:rFonts w:ascii="Arial" w:hAnsi="Arial" w:cs="Arial" w:hint="eastAsia"/>
          <w:i/>
          <w:iCs/>
        </w:rPr>
        <w:t> (</w:t>
      </w:r>
      <w:r w:rsidRPr="001D63D1">
        <w:rPr>
          <w:rFonts w:ascii="宋体" w:eastAsia="宋体" w:hAnsi="宋体" w:cs="宋体" w:hint="eastAsia"/>
          <w:i/>
          <w:iCs/>
        </w:rPr>
        <w:t>万卷方法</w:t>
      </w:r>
      <w:r w:rsidRPr="001D63D1">
        <w:rPr>
          <w:rFonts w:ascii="Arial" w:hAnsi="Arial" w:cs="Arial" w:hint="eastAsia"/>
          <w:i/>
          <w:iCs/>
        </w:rPr>
        <w:t xml:space="preserve"> ).</w:t>
      </w:r>
      <w:r w:rsidRPr="001D63D1">
        <w:rPr>
          <w:rFonts w:ascii="Arial" w:hAnsi="Arial" w:cs="Arial" w:hint="eastAsia"/>
        </w:rPr>
        <w:t xml:space="preserve"> </w:t>
      </w:r>
      <w:r w:rsidRPr="001D63D1">
        <w:rPr>
          <w:rFonts w:ascii="宋体" w:eastAsia="宋体" w:hAnsi="宋体" w:cs="宋体" w:hint="eastAsia"/>
        </w:rPr>
        <w:t>重庆</w:t>
      </w:r>
      <w:r w:rsidRPr="001D63D1">
        <w:rPr>
          <w:rFonts w:ascii="Arial" w:hAnsi="Arial" w:cs="Arial" w:hint="eastAsia"/>
        </w:rPr>
        <w:t xml:space="preserve">: </w:t>
      </w:r>
      <w:r w:rsidRPr="001D63D1">
        <w:rPr>
          <w:rFonts w:ascii="宋体" w:eastAsia="宋体" w:hAnsi="宋体" w:cs="宋体" w:hint="eastAsia"/>
        </w:rPr>
        <w:t>重庆大学出版社</w:t>
      </w:r>
      <w:r w:rsidRPr="001D63D1">
        <w:rPr>
          <w:rFonts w:ascii="Arial" w:hAnsi="Arial" w:cs="Arial" w:hint="eastAsia"/>
        </w:rPr>
        <w:t>.</w:t>
      </w:r>
      <w:r w:rsidRPr="001D63D1">
        <w:rPr>
          <w:rFonts w:ascii="Arial" w:hAnsi="Arial" w:cs="Arial"/>
        </w:rPr>
        <w:t xml:space="preserve"> </w:t>
      </w:r>
    </w:p>
    <w:p w14:paraId="5B88A081" w14:textId="77777777" w:rsidR="00D72B5A" w:rsidRPr="001D63D1" w:rsidRDefault="00D72B5A" w:rsidP="00D72B5A">
      <w:pPr>
        <w:pStyle w:val="a9"/>
        <w:ind w:left="567" w:hanging="567"/>
        <w:rPr>
          <w:rFonts w:ascii="Arial" w:hAnsi="Arial" w:cs="Arial"/>
        </w:rPr>
      </w:pPr>
      <w:r w:rsidRPr="001D63D1">
        <w:rPr>
          <w:rFonts w:ascii="Arial" w:hAnsi="Arial" w:cs="Arial"/>
        </w:rPr>
        <w:t xml:space="preserve">Youn, H. and Kim, J.-H. (2022) “Corporate Social Responsibility and hotel employees’ organizational citizenship </w:t>
      </w:r>
      <w:proofErr w:type="spellStart"/>
      <w:r w:rsidRPr="001D63D1">
        <w:rPr>
          <w:rFonts w:ascii="Arial" w:hAnsi="Arial" w:cs="Arial"/>
        </w:rPr>
        <w:t>behavior</w:t>
      </w:r>
      <w:proofErr w:type="spellEnd"/>
      <w:r w:rsidRPr="001D63D1">
        <w:rPr>
          <w:rFonts w:ascii="Arial" w:hAnsi="Arial" w:cs="Arial"/>
        </w:rPr>
        <w:t xml:space="preserve">: The roles of Organizational Pride and meaningfulness of work,” </w:t>
      </w:r>
      <w:r w:rsidRPr="001D63D1">
        <w:rPr>
          <w:rFonts w:ascii="Arial" w:hAnsi="Arial" w:cs="Arial"/>
          <w:i/>
          <w:iCs/>
        </w:rPr>
        <w:t>Sustainability</w:t>
      </w:r>
      <w:r w:rsidRPr="001D63D1">
        <w:rPr>
          <w:rFonts w:ascii="Arial" w:hAnsi="Arial" w:cs="Arial"/>
        </w:rPr>
        <w:t xml:space="preserve">, 14(4), p. 2428. Available at: https://doi.org/10.3390/su14042428. </w:t>
      </w:r>
    </w:p>
    <w:p w14:paraId="23825380" w14:textId="77777777" w:rsidR="00D72B5A" w:rsidRPr="001D63D1" w:rsidRDefault="00D72B5A" w:rsidP="00D72B5A">
      <w:pPr>
        <w:pStyle w:val="a9"/>
        <w:ind w:left="567" w:hanging="567"/>
        <w:rPr>
          <w:rFonts w:ascii="Arial" w:hAnsi="Arial" w:cs="Arial"/>
        </w:rPr>
      </w:pPr>
      <w:bookmarkStart w:id="57" w:name="_Hlk123149545"/>
      <w:r w:rsidRPr="001D63D1">
        <w:rPr>
          <w:rFonts w:ascii="Arial" w:hAnsi="Arial" w:cs="Arial"/>
        </w:rPr>
        <w:t xml:space="preserve">Yu, F., Chen, Q. and Hou, B. (2021) </w:t>
      </w:r>
      <w:bookmarkEnd w:id="57"/>
      <w:r w:rsidRPr="001D63D1">
        <w:rPr>
          <w:rFonts w:ascii="Arial" w:hAnsi="Arial" w:cs="Arial"/>
        </w:rPr>
        <w:t xml:space="preserve">“Understanding the impacts of Chinese undergraduate tourism students’ professional identity on learning engagement,” </w:t>
      </w:r>
      <w:r w:rsidRPr="001D63D1">
        <w:rPr>
          <w:rFonts w:ascii="Arial" w:hAnsi="Arial" w:cs="Arial"/>
          <w:i/>
          <w:iCs/>
        </w:rPr>
        <w:t>Sustainability</w:t>
      </w:r>
      <w:r w:rsidRPr="001D63D1">
        <w:rPr>
          <w:rFonts w:ascii="Arial" w:hAnsi="Arial" w:cs="Arial"/>
        </w:rPr>
        <w:t xml:space="preserve">, 13(23), p. 13379. Available at: https://doi.org/10.3390/su132313379. </w:t>
      </w:r>
    </w:p>
    <w:p w14:paraId="59CA18C9" w14:textId="37F813FB" w:rsidR="00D72B5A" w:rsidRPr="001D63D1" w:rsidRDefault="00D72B5A" w:rsidP="00D72B5A">
      <w:pPr>
        <w:pStyle w:val="a9"/>
        <w:ind w:left="567" w:hanging="567"/>
        <w:rPr>
          <w:rFonts w:ascii="Arial" w:hAnsi="Arial" w:cs="Arial"/>
        </w:rPr>
      </w:pPr>
      <w:r w:rsidRPr="001D63D1">
        <w:rPr>
          <w:rFonts w:ascii="Arial" w:hAnsi="Arial" w:cs="Arial" w:hint="eastAsia"/>
        </w:rPr>
        <w:t>Z</w:t>
      </w:r>
      <w:r w:rsidRPr="001D63D1">
        <w:rPr>
          <w:rFonts w:ascii="Arial" w:hAnsi="Arial" w:cs="Arial"/>
        </w:rPr>
        <w:t>hang,</w:t>
      </w:r>
      <w:r>
        <w:rPr>
          <w:rFonts w:ascii="Arial" w:hAnsi="Arial" w:cs="Arial"/>
        </w:rPr>
        <w:t xml:space="preserve"> </w:t>
      </w:r>
      <w:proofErr w:type="gramStart"/>
      <w:r w:rsidRPr="001D63D1">
        <w:rPr>
          <w:rFonts w:ascii="Arial" w:hAnsi="Arial" w:cs="Arial"/>
        </w:rPr>
        <w:t>L.(</w:t>
      </w:r>
      <w:proofErr w:type="gramEnd"/>
      <w:r w:rsidRPr="001D63D1">
        <w:rPr>
          <w:rFonts w:ascii="Arial" w:hAnsi="Arial" w:cs="Arial"/>
        </w:rPr>
        <w:t>2019) Study on professional identity of journalists in the period of media transformation. (</w:t>
      </w:r>
      <w:r w:rsidRPr="001D63D1">
        <w:rPr>
          <w:rFonts w:ascii="Arial" w:hAnsi="Arial" w:cs="Arial"/>
          <w:i/>
          <w:iCs/>
        </w:rPr>
        <w:t xml:space="preserve">Doctoral dissertation, </w:t>
      </w:r>
      <w:r w:rsidRPr="001D63D1">
        <w:rPr>
          <w:rFonts w:ascii="Arial" w:hAnsi="Arial" w:cs="Arial" w:hint="eastAsia"/>
          <w:i/>
          <w:iCs/>
        </w:rPr>
        <w:t>N</w:t>
      </w:r>
      <w:r w:rsidRPr="001D63D1">
        <w:rPr>
          <w:rFonts w:ascii="Arial" w:hAnsi="Arial" w:cs="Arial"/>
          <w:i/>
          <w:iCs/>
        </w:rPr>
        <w:t>anchang University</w:t>
      </w:r>
      <w:r w:rsidRPr="001D63D1">
        <w:rPr>
          <w:rFonts w:ascii="Arial" w:hAnsi="Arial" w:cs="Arial"/>
        </w:rPr>
        <w:t>).</w:t>
      </w:r>
      <w:r w:rsidRPr="001D63D1">
        <w:rPr>
          <w:rFonts w:ascii="宋体" w:eastAsia="宋体" w:hAnsi="宋体" w:cs="宋体" w:hint="eastAsia"/>
        </w:rPr>
        <w:t>张兰</w:t>
      </w:r>
      <w:r w:rsidRPr="001D63D1">
        <w:rPr>
          <w:rFonts w:ascii="Arial" w:hAnsi="Arial" w:cs="Arial"/>
        </w:rPr>
        <w:t xml:space="preserve">. </w:t>
      </w:r>
      <w:r w:rsidRPr="001D63D1">
        <w:rPr>
          <w:rFonts w:ascii="Arial" w:hAnsi="Arial" w:cs="Arial"/>
        </w:rPr>
        <w:lastRenderedPageBreak/>
        <w:t>(2019). </w:t>
      </w:r>
      <w:r w:rsidRPr="001D63D1">
        <w:rPr>
          <w:rFonts w:ascii="宋体" w:eastAsia="宋体" w:hAnsi="宋体" w:cs="宋体" w:hint="eastAsia"/>
        </w:rPr>
        <w:t>媒体转型</w:t>
      </w:r>
      <w:proofErr w:type="gramStart"/>
      <w:r w:rsidRPr="001D63D1">
        <w:rPr>
          <w:rFonts w:ascii="宋体" w:eastAsia="宋体" w:hAnsi="宋体" w:cs="宋体" w:hint="eastAsia"/>
        </w:rPr>
        <w:t>期新闻</w:t>
      </w:r>
      <w:proofErr w:type="gramEnd"/>
      <w:r w:rsidRPr="001D63D1">
        <w:rPr>
          <w:rFonts w:ascii="宋体" w:eastAsia="宋体" w:hAnsi="宋体" w:cs="宋体" w:hint="eastAsia"/>
        </w:rPr>
        <w:t>从业者职业认同研究</w:t>
      </w:r>
      <w:r w:rsidRPr="001D63D1">
        <w:rPr>
          <w:rFonts w:ascii="Arial" w:hAnsi="Arial" w:cs="Arial"/>
        </w:rPr>
        <w:t> (</w:t>
      </w:r>
      <w:r w:rsidRPr="001D63D1">
        <w:rPr>
          <w:rFonts w:ascii="Arial" w:hAnsi="Arial" w:cs="Arial"/>
          <w:i/>
          <w:iCs/>
        </w:rPr>
        <w:t xml:space="preserve">Doctoral dissertation, </w:t>
      </w:r>
      <w:r w:rsidRPr="001D63D1">
        <w:rPr>
          <w:rFonts w:ascii="宋体" w:eastAsia="宋体" w:hAnsi="宋体" w:cs="宋体" w:hint="eastAsia"/>
          <w:i/>
          <w:iCs/>
        </w:rPr>
        <w:t>南昌大学</w:t>
      </w:r>
      <w:r w:rsidRPr="001D63D1">
        <w:rPr>
          <w:rFonts w:ascii="Arial" w:hAnsi="Arial" w:cs="Arial"/>
        </w:rPr>
        <w:t>).</w:t>
      </w:r>
    </w:p>
    <w:p w14:paraId="3925B535" w14:textId="77777777" w:rsidR="00D72B5A" w:rsidRPr="001D63D1" w:rsidRDefault="00D72B5A" w:rsidP="00D72B5A">
      <w:pPr>
        <w:pStyle w:val="a9"/>
        <w:ind w:left="567" w:hanging="567"/>
        <w:rPr>
          <w:rFonts w:ascii="Arial" w:hAnsi="Arial" w:cs="Arial"/>
        </w:rPr>
      </w:pPr>
      <w:bookmarkStart w:id="58" w:name="_Hlk121942946"/>
      <w:r w:rsidRPr="001D63D1">
        <w:rPr>
          <w:rFonts w:ascii="Arial" w:hAnsi="Arial" w:cs="Arial"/>
        </w:rPr>
        <w:t xml:space="preserve">Zhang, X. A., Liao, H., Li, N., &amp; Colbert, A. E. (2020). </w:t>
      </w:r>
      <w:bookmarkEnd w:id="58"/>
      <w:r w:rsidRPr="001D63D1">
        <w:rPr>
          <w:rFonts w:ascii="Arial" w:hAnsi="Arial" w:cs="Arial"/>
        </w:rPr>
        <w:t>Playing it safe for my family: Exploring the dual effects of family motivation on employee productivity and creativity.</w:t>
      </w:r>
      <w:r w:rsidRPr="001D63D1">
        <w:t xml:space="preserve"> </w:t>
      </w:r>
      <w:r w:rsidRPr="001D63D1">
        <w:rPr>
          <w:rFonts w:ascii="Arial" w:hAnsi="Arial" w:cs="Arial"/>
          <w:i/>
          <w:iCs/>
        </w:rPr>
        <w:t>Academy of Management Journal</w:t>
      </w:r>
      <w:r w:rsidRPr="001D63D1">
        <w:rPr>
          <w:rFonts w:ascii="Arial" w:hAnsi="Arial" w:cs="Arial"/>
        </w:rPr>
        <w:t>, 63(6), 1923–1950.</w:t>
      </w:r>
    </w:p>
    <w:p w14:paraId="76A57217" w14:textId="713B9AF7" w:rsidR="00D72B5A" w:rsidRPr="001D63D1" w:rsidRDefault="00D72B5A" w:rsidP="00D72B5A">
      <w:pPr>
        <w:pStyle w:val="a9"/>
        <w:ind w:left="567" w:hanging="567"/>
        <w:rPr>
          <w:rFonts w:ascii="Arial" w:hAnsi="Arial" w:cs="Arial"/>
        </w:rPr>
      </w:pPr>
      <w:r w:rsidRPr="001D63D1">
        <w:rPr>
          <w:rFonts w:ascii="Arial" w:hAnsi="Arial" w:cs="Arial" w:hint="eastAsia"/>
        </w:rPr>
        <w:t>Z</w:t>
      </w:r>
      <w:r w:rsidRPr="001D63D1">
        <w:rPr>
          <w:rFonts w:ascii="Arial" w:hAnsi="Arial" w:cs="Arial"/>
        </w:rPr>
        <w:t>hu,</w:t>
      </w:r>
      <w:r>
        <w:rPr>
          <w:rFonts w:ascii="Arial" w:hAnsi="Arial" w:cs="Arial"/>
        </w:rPr>
        <w:t xml:space="preserve"> </w:t>
      </w:r>
      <w:r w:rsidRPr="001D63D1">
        <w:rPr>
          <w:rFonts w:ascii="Arial" w:hAnsi="Arial" w:cs="Arial"/>
        </w:rPr>
        <w:t>Y.Y., Wang.</w:t>
      </w:r>
      <w:r>
        <w:rPr>
          <w:rFonts w:ascii="Arial" w:hAnsi="Arial" w:cs="Arial"/>
        </w:rPr>
        <w:t xml:space="preserve"> </w:t>
      </w:r>
      <w:r w:rsidRPr="001D63D1">
        <w:rPr>
          <w:rFonts w:ascii="Arial" w:hAnsi="Arial" w:cs="Arial"/>
        </w:rPr>
        <w:t>S.X., &amp; Ouyang.</w:t>
      </w:r>
      <w:r>
        <w:rPr>
          <w:rFonts w:ascii="Arial" w:hAnsi="Arial" w:cs="Arial"/>
        </w:rPr>
        <w:t xml:space="preserve"> </w:t>
      </w:r>
      <w:proofErr w:type="gramStart"/>
      <w:r w:rsidRPr="001D63D1">
        <w:rPr>
          <w:rFonts w:ascii="Arial" w:hAnsi="Arial" w:cs="Arial"/>
        </w:rPr>
        <w:t>C.H.(</w:t>
      </w:r>
      <w:proofErr w:type="gramEnd"/>
      <w:r w:rsidRPr="001D63D1">
        <w:rPr>
          <w:rFonts w:ascii="Arial" w:hAnsi="Arial" w:cs="Arial"/>
        </w:rPr>
        <w:t xml:space="preserve">2022) The Influence of Occupational Stigma on Craftsman Spirit of Industrial Workers: A Dual Path Study Based on Cognition and Emotion. </w:t>
      </w:r>
      <w:r w:rsidRPr="001D63D1">
        <w:rPr>
          <w:rFonts w:ascii="Arial" w:hAnsi="Arial" w:cs="Arial"/>
          <w:i/>
          <w:iCs/>
        </w:rPr>
        <w:t>Journal of Systems &amp; Management</w:t>
      </w:r>
      <w:r w:rsidRPr="001D63D1">
        <w:rPr>
          <w:rFonts w:ascii="Arial" w:hAnsi="Arial" w:cs="Arial"/>
        </w:rPr>
        <w:t>: 1-17[2022-11-23</w:t>
      </w:r>
      <w:proofErr w:type="gramStart"/>
      <w:r w:rsidRPr="001D63D1">
        <w:rPr>
          <w:rFonts w:ascii="Arial" w:hAnsi="Arial" w:cs="Arial"/>
        </w:rPr>
        <w:t>].http://gfffg4668e74e3ad24b0ahnpqpuq5ckk6w669f.fgfy.kust.cwkeji.cn/kcms/detail/31.1977.N.20221110.1434.002.html</w:t>
      </w:r>
      <w:proofErr w:type="gramEnd"/>
      <w:r w:rsidRPr="001D63D1">
        <w:rPr>
          <w:rFonts w:ascii="宋体" w:eastAsia="宋体" w:hAnsi="宋体" w:cs="宋体" w:hint="eastAsia"/>
        </w:rPr>
        <w:t>朱永跃</w:t>
      </w:r>
      <w:r w:rsidRPr="001D63D1">
        <w:rPr>
          <w:rFonts w:ascii="Arial" w:hAnsi="Arial" w:cs="Arial"/>
        </w:rPr>
        <w:t>,</w:t>
      </w:r>
      <w:r w:rsidRPr="001D63D1">
        <w:rPr>
          <w:rFonts w:ascii="Arial" w:hAnsi="Arial" w:cs="Arial" w:hint="eastAsia"/>
        </w:rPr>
        <w:t xml:space="preserve"> </w:t>
      </w:r>
      <w:r w:rsidRPr="001D63D1">
        <w:rPr>
          <w:rFonts w:ascii="宋体" w:eastAsia="宋体" w:hAnsi="宋体" w:cs="宋体" w:hint="eastAsia"/>
        </w:rPr>
        <w:t>王世贤</w:t>
      </w:r>
      <w:r w:rsidRPr="001D63D1">
        <w:rPr>
          <w:rFonts w:ascii="Arial" w:hAnsi="Arial" w:cs="Arial"/>
        </w:rPr>
        <w:t>,</w:t>
      </w:r>
      <w:r w:rsidRPr="001D63D1">
        <w:rPr>
          <w:rFonts w:ascii="宋体" w:eastAsia="宋体" w:hAnsi="宋体" w:cs="宋体" w:hint="eastAsia"/>
        </w:rPr>
        <w:t>欧阳晨慧</w:t>
      </w:r>
      <w:r w:rsidRPr="001D63D1">
        <w:rPr>
          <w:rFonts w:ascii="Arial" w:hAnsi="Arial" w:cs="Arial"/>
        </w:rPr>
        <w:t>.</w:t>
      </w:r>
      <w:r w:rsidRPr="001D63D1">
        <w:rPr>
          <w:rFonts w:ascii="宋体" w:eastAsia="宋体" w:hAnsi="宋体" w:cs="宋体" w:hint="eastAsia"/>
        </w:rPr>
        <w:t>职业污名对产业工人工匠精神的影响：基于认知和情感的双路径研究</w:t>
      </w:r>
      <w:r w:rsidRPr="001D63D1">
        <w:rPr>
          <w:rFonts w:ascii="Arial" w:hAnsi="Arial" w:cs="Arial"/>
        </w:rPr>
        <w:t>[J/OL].</w:t>
      </w:r>
      <w:r w:rsidRPr="001D63D1">
        <w:rPr>
          <w:rFonts w:ascii="宋体" w:eastAsia="宋体" w:hAnsi="宋体" w:cs="宋体" w:hint="eastAsia"/>
          <w:i/>
          <w:iCs/>
        </w:rPr>
        <w:t>系统管理学报</w:t>
      </w:r>
      <w:r w:rsidRPr="001D63D1">
        <w:rPr>
          <w:rFonts w:ascii="Arial" w:hAnsi="Arial" w:cs="Arial"/>
        </w:rPr>
        <w:t>:1-17[2022-11-23].http://gfffg4668e74e3ad24b0ahnpqpuq5ckk6w669f.fgfy.kust.cwkeji.cn/kcms/detail/31.1977.N.20221110.1434.002.html</w:t>
      </w:r>
    </w:p>
    <w:p w14:paraId="4416D344" w14:textId="77777777" w:rsidR="00D72B5A" w:rsidRPr="001D63D1" w:rsidRDefault="00D72B5A" w:rsidP="00D72B5A">
      <w:pPr>
        <w:pStyle w:val="a9"/>
        <w:ind w:left="567" w:hanging="567"/>
        <w:rPr>
          <w:rFonts w:ascii="Arial" w:hAnsi="Arial" w:cs="Arial"/>
        </w:rPr>
      </w:pPr>
    </w:p>
    <w:p w14:paraId="3AB3BBBC" w14:textId="77777777" w:rsidR="00D72B5A" w:rsidRPr="001D63D1" w:rsidRDefault="00D72B5A" w:rsidP="00D72B5A">
      <w:pPr>
        <w:rPr>
          <w:rFonts w:ascii="Arial" w:hAnsi="Arial" w:cs="Arial"/>
          <w:sz w:val="20"/>
          <w:szCs w:val="20"/>
          <w:shd w:val="clear" w:color="auto" w:fill="FFFFFF"/>
        </w:rPr>
      </w:pPr>
    </w:p>
    <w:bookmarkEnd w:id="41"/>
    <w:p w14:paraId="1C35E195" w14:textId="77777777" w:rsidR="00D72B5A" w:rsidRPr="001D63D1" w:rsidRDefault="00D72B5A" w:rsidP="00D72B5A"/>
    <w:p w14:paraId="11EDFAA0" w14:textId="77777777" w:rsidR="00D72B5A" w:rsidRDefault="00D72B5A" w:rsidP="00D72B5A">
      <w:pPr>
        <w:jc w:val="left"/>
      </w:pPr>
    </w:p>
    <w:p w14:paraId="771B80CA" w14:textId="1D7F6E39" w:rsidR="00FA3408" w:rsidRDefault="00572534" w:rsidP="00FA3408">
      <w:r>
        <w:t xml:space="preserve"> </w:t>
      </w:r>
    </w:p>
    <w:p w14:paraId="6614AF15" w14:textId="3048AD42" w:rsidR="00CA03BB" w:rsidRDefault="00CA03BB" w:rsidP="00CA03BB"/>
    <w:p w14:paraId="260038C2" w14:textId="428DA0B4" w:rsidR="004C65F1" w:rsidRDefault="004C65F1" w:rsidP="004C65F1">
      <w:r>
        <w:t xml:space="preserve"> </w:t>
      </w:r>
    </w:p>
    <w:p w14:paraId="7A1B2914" w14:textId="3F552BEB" w:rsidR="004C65F1" w:rsidRDefault="004C65F1" w:rsidP="004C65F1"/>
    <w:bookmarkEnd w:id="28"/>
    <w:p w14:paraId="374643E2" w14:textId="7F03E630" w:rsidR="0066207A" w:rsidRDefault="0066207A" w:rsidP="0066207A"/>
    <w:p w14:paraId="3ACA3139" w14:textId="1DA70F2B" w:rsidR="0066207A" w:rsidRDefault="0066207A" w:rsidP="0066207A"/>
    <w:p w14:paraId="5B38ADBD" w14:textId="79CF3DFB" w:rsidR="0087548F" w:rsidRDefault="0087548F" w:rsidP="003C1F90"/>
    <w:p w14:paraId="1AD159CC" w14:textId="0018EEF0" w:rsidR="0095205F" w:rsidRDefault="0095205F" w:rsidP="0095205F"/>
    <w:p w14:paraId="2FAA78CD" w14:textId="6C6EAD9D" w:rsidR="00063AB7" w:rsidRPr="003F4D64" w:rsidRDefault="00063AB7" w:rsidP="00063AB7"/>
    <w:p w14:paraId="2D8447B8" w14:textId="39E91422" w:rsidR="00063AB7" w:rsidRDefault="00063AB7" w:rsidP="00063AB7">
      <w:r>
        <w:t xml:space="preserve"> </w:t>
      </w:r>
    </w:p>
    <w:p w14:paraId="37418653" w14:textId="46C02566" w:rsidR="00063AB7" w:rsidRDefault="00063AB7" w:rsidP="00C51A0D"/>
    <w:p w14:paraId="22F335C7" w14:textId="0A2B368F" w:rsidR="00567F92" w:rsidRDefault="00567F92" w:rsidP="00567F92"/>
    <w:p w14:paraId="7F31134D" w14:textId="6762CB90" w:rsidR="00567F92" w:rsidRDefault="00567F92" w:rsidP="00567F92"/>
    <w:p w14:paraId="0ADD69A9" w14:textId="18BE5AA0" w:rsidR="00D12C79" w:rsidRDefault="00D12C79" w:rsidP="00D12C79"/>
    <w:p w14:paraId="3BD99EF4" w14:textId="6B2B2B91" w:rsidR="00D12C79" w:rsidRDefault="00D12C79" w:rsidP="00D12C79"/>
    <w:p w14:paraId="350144C1" w14:textId="26B3DBA5" w:rsidR="00D12C79" w:rsidRDefault="00D12C79" w:rsidP="00D25FBF"/>
    <w:p w14:paraId="6DC49D28" w14:textId="28362FD6" w:rsidR="00CA3AE9" w:rsidRPr="002566E4" w:rsidRDefault="00CA3AE9" w:rsidP="00CA3AE9"/>
    <w:p w14:paraId="1E15B2B4" w14:textId="2ACDF874" w:rsidR="00CA3AE9" w:rsidRDefault="00CA3AE9" w:rsidP="00CA3AE9"/>
    <w:p w14:paraId="6B2C8A85" w14:textId="41755D4F" w:rsidR="003F256E" w:rsidRDefault="003F256E" w:rsidP="003F256E"/>
    <w:p w14:paraId="0D782F04" w14:textId="26CAF1F3" w:rsidR="003F256E" w:rsidRDefault="003F256E" w:rsidP="003F256E"/>
    <w:p w14:paraId="517C1729" w14:textId="56B05284" w:rsidR="004C1863" w:rsidRDefault="004C1863" w:rsidP="004C1863"/>
    <w:p w14:paraId="60575C6C" w14:textId="20916B1F" w:rsidR="004C1863" w:rsidRDefault="004C1863" w:rsidP="004C1863"/>
    <w:p w14:paraId="27A0A3C3" w14:textId="12817706" w:rsidR="004C1863" w:rsidRDefault="004C1863" w:rsidP="004C1863"/>
    <w:p w14:paraId="35C4AF94" w14:textId="58B73898" w:rsidR="00D66F14" w:rsidRDefault="00D66F14" w:rsidP="00770936"/>
    <w:p w14:paraId="3DAB6A2F" w14:textId="0CB8385B" w:rsidR="00770936" w:rsidRDefault="00770936" w:rsidP="00770936"/>
    <w:p w14:paraId="0095A616" w14:textId="74155A79" w:rsidR="008925C7" w:rsidRDefault="008925C7" w:rsidP="008925C7"/>
    <w:p w14:paraId="3DFD2E1E" w14:textId="081148AD" w:rsidR="000F7864" w:rsidRDefault="000F7864" w:rsidP="000F7864"/>
    <w:p w14:paraId="30E9E6C8" w14:textId="34DEFC02" w:rsidR="000F7864" w:rsidRDefault="000F7864" w:rsidP="000F7864"/>
    <w:p w14:paraId="180C2CDC" w14:textId="18475F13" w:rsidR="002C330F" w:rsidRDefault="002C330F" w:rsidP="000F7864"/>
    <w:p w14:paraId="3B958D46" w14:textId="2621BE7A" w:rsidR="002C330F" w:rsidRDefault="002C330F" w:rsidP="002C330F"/>
    <w:p w14:paraId="48920791" w14:textId="73598C72" w:rsidR="002C330F" w:rsidRPr="004A4C83" w:rsidRDefault="002C330F" w:rsidP="004A4C83"/>
    <w:p w14:paraId="797721D2" w14:textId="565179C6" w:rsidR="004A4C83" w:rsidRDefault="004A4C83" w:rsidP="004A4C83">
      <w:pPr>
        <w:rPr>
          <w:rFonts w:ascii="Arial" w:hAnsi="Arial" w:cs="Arial"/>
          <w:color w:val="222222"/>
          <w:sz w:val="20"/>
          <w:szCs w:val="20"/>
          <w:shd w:val="clear" w:color="auto" w:fill="FFFFFF"/>
        </w:rPr>
      </w:pPr>
    </w:p>
    <w:p w14:paraId="62E4B3F2" w14:textId="6A5978C9" w:rsidR="004A4C83" w:rsidRDefault="004A4C83" w:rsidP="004A4C83">
      <w:pPr>
        <w:rPr>
          <w:rFonts w:ascii="Arial" w:hAnsi="Arial" w:cs="Arial"/>
          <w:color w:val="222222"/>
          <w:sz w:val="20"/>
          <w:szCs w:val="20"/>
          <w:shd w:val="clear" w:color="auto" w:fill="FFFFFF"/>
        </w:rPr>
      </w:pPr>
    </w:p>
    <w:p w14:paraId="3202892E" w14:textId="7AD82DAB" w:rsidR="004A4C83" w:rsidRDefault="004A4C83" w:rsidP="004A4C83">
      <w:pPr>
        <w:rPr>
          <w:rFonts w:ascii="Arial" w:hAnsi="Arial" w:cs="Arial"/>
          <w:color w:val="222222"/>
          <w:sz w:val="20"/>
          <w:szCs w:val="20"/>
          <w:shd w:val="clear" w:color="auto" w:fill="FFFFFF"/>
        </w:rPr>
      </w:pPr>
    </w:p>
    <w:p w14:paraId="39F7C99D" w14:textId="26557278" w:rsidR="00836321" w:rsidRPr="00836321" w:rsidRDefault="00836321" w:rsidP="00836321"/>
    <w:p w14:paraId="1EE3AC6A" w14:textId="71FE63B3" w:rsidR="00836321" w:rsidRDefault="00836321" w:rsidP="00836321">
      <w:pPr>
        <w:rPr>
          <w:rFonts w:ascii="Arial" w:hAnsi="Arial" w:cs="Arial"/>
          <w:color w:val="222222"/>
          <w:sz w:val="20"/>
          <w:szCs w:val="20"/>
          <w:shd w:val="clear" w:color="auto" w:fill="FFFFFF"/>
        </w:rPr>
      </w:pPr>
    </w:p>
    <w:p w14:paraId="1AD63C9A" w14:textId="1F5A2F48" w:rsidR="00836321" w:rsidRPr="00836321" w:rsidRDefault="00836321" w:rsidP="00836321"/>
    <w:p w14:paraId="33063F18" w14:textId="27DFABD9" w:rsidR="001D1A8F" w:rsidRPr="001D1A8F" w:rsidRDefault="001D1A8F" w:rsidP="001D1A8F"/>
    <w:p w14:paraId="7A91C9BB" w14:textId="11AF3D36" w:rsidR="001D1A8F" w:rsidRPr="00AA667E" w:rsidRDefault="001D1A8F" w:rsidP="004B734C"/>
    <w:bookmarkEnd w:id="10"/>
    <w:p w14:paraId="2E04AD48" w14:textId="10981CA7" w:rsidR="005B1B8A" w:rsidRDefault="005B1B8A" w:rsidP="003F7D54">
      <w:pPr>
        <w:jc w:val="left"/>
      </w:pPr>
      <w:r>
        <w:br/>
      </w:r>
      <w:r>
        <w:br/>
      </w:r>
    </w:p>
    <w:sectPr w:rsidR="005B1B8A" w:rsidSect="005E76BF">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E8BCE" w14:textId="77777777" w:rsidR="00DF62C3" w:rsidRDefault="00DF62C3" w:rsidP="003F7D54">
      <w:pPr>
        <w:spacing w:after="0" w:line="240" w:lineRule="auto"/>
      </w:pPr>
      <w:r>
        <w:separator/>
      </w:r>
    </w:p>
  </w:endnote>
  <w:endnote w:type="continuationSeparator" w:id="0">
    <w:p w14:paraId="72F0D88E" w14:textId="77777777" w:rsidR="00DF62C3" w:rsidRDefault="00DF62C3" w:rsidP="003F7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725919"/>
      <w:docPartObj>
        <w:docPartGallery w:val="Page Numbers (Bottom of Page)"/>
        <w:docPartUnique/>
      </w:docPartObj>
    </w:sdtPr>
    <w:sdtContent>
      <w:p w14:paraId="0A456E3C" w14:textId="24AB9B48" w:rsidR="005E76BF" w:rsidRDefault="005E76BF" w:rsidP="005E76BF">
        <w:pPr>
          <w:pStyle w:val="a6"/>
          <w:jc w:val="center"/>
        </w:pPr>
        <w:r>
          <w:fldChar w:fldCharType="begin"/>
        </w:r>
        <w:r>
          <w:instrText>PAGE   \* MERGEFORMAT</w:instrText>
        </w:r>
        <w:r>
          <w:fldChar w:fldCharType="separate"/>
        </w:r>
        <w:r>
          <w:rPr>
            <w:lang w:val="zh-CN"/>
          </w:rPr>
          <w:t>2</w:t>
        </w:r>
        <w:r>
          <w:fldChar w:fldCharType="end"/>
        </w:r>
      </w:p>
    </w:sdtContent>
  </w:sdt>
  <w:p w14:paraId="1E44DD6D" w14:textId="77777777" w:rsidR="005E76BF" w:rsidRDefault="005E76BF">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1BF68" w14:textId="77777777" w:rsidR="00DF62C3" w:rsidRDefault="00DF62C3" w:rsidP="003F7D54">
      <w:pPr>
        <w:spacing w:after="0" w:line="240" w:lineRule="auto"/>
      </w:pPr>
      <w:r>
        <w:separator/>
      </w:r>
    </w:p>
  </w:footnote>
  <w:footnote w:type="continuationSeparator" w:id="0">
    <w:p w14:paraId="7B3D6FD6" w14:textId="77777777" w:rsidR="00DF62C3" w:rsidRDefault="00DF62C3" w:rsidP="003F7D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255F"/>
    <w:multiLevelType w:val="hybridMultilevel"/>
    <w:tmpl w:val="2F344666"/>
    <w:lvl w:ilvl="0" w:tplc="EF088CFC">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05011E31"/>
    <w:multiLevelType w:val="hybridMultilevel"/>
    <w:tmpl w:val="C89CBD2E"/>
    <w:lvl w:ilvl="0" w:tplc="5B5E8F08">
      <w:start w:val="3"/>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 w15:restartNumberingAfterBreak="0">
    <w:nsid w:val="233E341D"/>
    <w:multiLevelType w:val="hybridMultilevel"/>
    <w:tmpl w:val="3D5409F0"/>
    <w:lvl w:ilvl="0" w:tplc="B2F28B44">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1909BE"/>
    <w:multiLevelType w:val="multilevel"/>
    <w:tmpl w:val="E1C005E8"/>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1374691"/>
    <w:multiLevelType w:val="hybridMultilevel"/>
    <w:tmpl w:val="ABCE9D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A819E1"/>
    <w:multiLevelType w:val="hybridMultilevel"/>
    <w:tmpl w:val="6E32CC96"/>
    <w:lvl w:ilvl="0" w:tplc="B7BC2240">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D16C1A"/>
    <w:multiLevelType w:val="multilevel"/>
    <w:tmpl w:val="E1C005E8"/>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3344FD6"/>
    <w:multiLevelType w:val="hybridMultilevel"/>
    <w:tmpl w:val="0CF45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5767790">
    <w:abstractNumId w:val="3"/>
  </w:num>
  <w:num w:numId="2" w16cid:durableId="2044674535">
    <w:abstractNumId w:val="6"/>
  </w:num>
  <w:num w:numId="3" w16cid:durableId="2139714707">
    <w:abstractNumId w:val="7"/>
  </w:num>
  <w:num w:numId="4" w16cid:durableId="813831724">
    <w:abstractNumId w:val="4"/>
  </w:num>
  <w:num w:numId="5" w16cid:durableId="1431195321">
    <w:abstractNumId w:val="5"/>
  </w:num>
  <w:num w:numId="6" w16cid:durableId="1166088275">
    <w:abstractNumId w:val="2"/>
  </w:num>
  <w:num w:numId="7" w16cid:durableId="1547134702">
    <w:abstractNumId w:val="0"/>
  </w:num>
  <w:num w:numId="8" w16cid:durableId="1531337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3F9"/>
    <w:rsid w:val="00012893"/>
    <w:rsid w:val="00016BE3"/>
    <w:rsid w:val="0002262C"/>
    <w:rsid w:val="000335A7"/>
    <w:rsid w:val="0004390B"/>
    <w:rsid w:val="00054571"/>
    <w:rsid w:val="00055C1C"/>
    <w:rsid w:val="000622E1"/>
    <w:rsid w:val="00063AB7"/>
    <w:rsid w:val="000946E1"/>
    <w:rsid w:val="000965D4"/>
    <w:rsid w:val="00097066"/>
    <w:rsid w:val="000B0D5D"/>
    <w:rsid w:val="000B6F86"/>
    <w:rsid w:val="000B72FF"/>
    <w:rsid w:val="000D16C8"/>
    <w:rsid w:val="000D401E"/>
    <w:rsid w:val="000F0554"/>
    <w:rsid w:val="000F11F2"/>
    <w:rsid w:val="000F2F77"/>
    <w:rsid w:val="000F7864"/>
    <w:rsid w:val="00101DE8"/>
    <w:rsid w:val="001021F1"/>
    <w:rsid w:val="00102AF1"/>
    <w:rsid w:val="0011648A"/>
    <w:rsid w:val="00116D80"/>
    <w:rsid w:val="00160723"/>
    <w:rsid w:val="00162F26"/>
    <w:rsid w:val="001701EE"/>
    <w:rsid w:val="001828AF"/>
    <w:rsid w:val="00184701"/>
    <w:rsid w:val="001A523E"/>
    <w:rsid w:val="001B5199"/>
    <w:rsid w:val="001C2BD6"/>
    <w:rsid w:val="001D1A8F"/>
    <w:rsid w:val="001F01E3"/>
    <w:rsid w:val="00212BA7"/>
    <w:rsid w:val="00215DE1"/>
    <w:rsid w:val="002521A7"/>
    <w:rsid w:val="00260D14"/>
    <w:rsid w:val="0026352F"/>
    <w:rsid w:val="00274395"/>
    <w:rsid w:val="00287F68"/>
    <w:rsid w:val="00296B9B"/>
    <w:rsid w:val="002972DE"/>
    <w:rsid w:val="002A3693"/>
    <w:rsid w:val="002A4D34"/>
    <w:rsid w:val="002B71D0"/>
    <w:rsid w:val="002C330F"/>
    <w:rsid w:val="002C446F"/>
    <w:rsid w:val="002E5BC4"/>
    <w:rsid w:val="002E77B5"/>
    <w:rsid w:val="00306E02"/>
    <w:rsid w:val="00310BAB"/>
    <w:rsid w:val="003130B0"/>
    <w:rsid w:val="00331155"/>
    <w:rsid w:val="00331BAE"/>
    <w:rsid w:val="00332778"/>
    <w:rsid w:val="00336A1F"/>
    <w:rsid w:val="00341EAE"/>
    <w:rsid w:val="003649F6"/>
    <w:rsid w:val="00382455"/>
    <w:rsid w:val="003824EE"/>
    <w:rsid w:val="00382907"/>
    <w:rsid w:val="0038351C"/>
    <w:rsid w:val="00391CD2"/>
    <w:rsid w:val="00392D7A"/>
    <w:rsid w:val="003A4589"/>
    <w:rsid w:val="003A7AF5"/>
    <w:rsid w:val="003C1F90"/>
    <w:rsid w:val="003D7CF9"/>
    <w:rsid w:val="003E0183"/>
    <w:rsid w:val="003E368C"/>
    <w:rsid w:val="003E63A3"/>
    <w:rsid w:val="003F256E"/>
    <w:rsid w:val="003F7B54"/>
    <w:rsid w:val="003F7D54"/>
    <w:rsid w:val="00407FD1"/>
    <w:rsid w:val="00410293"/>
    <w:rsid w:val="00422724"/>
    <w:rsid w:val="00422A8F"/>
    <w:rsid w:val="004233FB"/>
    <w:rsid w:val="00425657"/>
    <w:rsid w:val="00442D39"/>
    <w:rsid w:val="00454815"/>
    <w:rsid w:val="004702C9"/>
    <w:rsid w:val="00471F07"/>
    <w:rsid w:val="004766C1"/>
    <w:rsid w:val="004A03A3"/>
    <w:rsid w:val="004A4C83"/>
    <w:rsid w:val="004B734C"/>
    <w:rsid w:val="004C1863"/>
    <w:rsid w:val="004C65F1"/>
    <w:rsid w:val="004D12AF"/>
    <w:rsid w:val="004D72A7"/>
    <w:rsid w:val="004E5764"/>
    <w:rsid w:val="004E78F9"/>
    <w:rsid w:val="004F4CF2"/>
    <w:rsid w:val="004F74C4"/>
    <w:rsid w:val="00514ACD"/>
    <w:rsid w:val="00514B4A"/>
    <w:rsid w:val="005206FE"/>
    <w:rsid w:val="00531AFD"/>
    <w:rsid w:val="0053573D"/>
    <w:rsid w:val="00544BFD"/>
    <w:rsid w:val="005534F4"/>
    <w:rsid w:val="00553952"/>
    <w:rsid w:val="005570FB"/>
    <w:rsid w:val="00567F92"/>
    <w:rsid w:val="0057070F"/>
    <w:rsid w:val="00572534"/>
    <w:rsid w:val="005909BD"/>
    <w:rsid w:val="005979AC"/>
    <w:rsid w:val="005B1B8A"/>
    <w:rsid w:val="005C1C88"/>
    <w:rsid w:val="005C7D75"/>
    <w:rsid w:val="005D64DC"/>
    <w:rsid w:val="005D6597"/>
    <w:rsid w:val="005E0CE7"/>
    <w:rsid w:val="005E76BF"/>
    <w:rsid w:val="005F585C"/>
    <w:rsid w:val="005F5C1D"/>
    <w:rsid w:val="00607B41"/>
    <w:rsid w:val="00610A92"/>
    <w:rsid w:val="00613523"/>
    <w:rsid w:val="00614571"/>
    <w:rsid w:val="00632B42"/>
    <w:rsid w:val="00633FCE"/>
    <w:rsid w:val="00637F3B"/>
    <w:rsid w:val="00646D3D"/>
    <w:rsid w:val="00655460"/>
    <w:rsid w:val="0066207A"/>
    <w:rsid w:val="006655E0"/>
    <w:rsid w:val="00667170"/>
    <w:rsid w:val="00671E45"/>
    <w:rsid w:val="00672FA7"/>
    <w:rsid w:val="00683C1C"/>
    <w:rsid w:val="006841E8"/>
    <w:rsid w:val="00686404"/>
    <w:rsid w:val="00690D42"/>
    <w:rsid w:val="006A2EDF"/>
    <w:rsid w:val="006B133B"/>
    <w:rsid w:val="006B3CC2"/>
    <w:rsid w:val="006B756F"/>
    <w:rsid w:val="006C71EC"/>
    <w:rsid w:val="006D41E0"/>
    <w:rsid w:val="006E7E52"/>
    <w:rsid w:val="006F2A10"/>
    <w:rsid w:val="00700CF7"/>
    <w:rsid w:val="00713E88"/>
    <w:rsid w:val="007141B2"/>
    <w:rsid w:val="00716844"/>
    <w:rsid w:val="00717A14"/>
    <w:rsid w:val="00736369"/>
    <w:rsid w:val="007467C6"/>
    <w:rsid w:val="00747809"/>
    <w:rsid w:val="00753F70"/>
    <w:rsid w:val="007543C0"/>
    <w:rsid w:val="00754D61"/>
    <w:rsid w:val="00770936"/>
    <w:rsid w:val="00784295"/>
    <w:rsid w:val="00795924"/>
    <w:rsid w:val="00797464"/>
    <w:rsid w:val="007A2E41"/>
    <w:rsid w:val="007A3359"/>
    <w:rsid w:val="007A7464"/>
    <w:rsid w:val="007E17E5"/>
    <w:rsid w:val="007E2740"/>
    <w:rsid w:val="007E78C9"/>
    <w:rsid w:val="007F0495"/>
    <w:rsid w:val="007F213F"/>
    <w:rsid w:val="007F3AEF"/>
    <w:rsid w:val="007F5EA3"/>
    <w:rsid w:val="00810A4A"/>
    <w:rsid w:val="00823370"/>
    <w:rsid w:val="00824036"/>
    <w:rsid w:val="00824DC6"/>
    <w:rsid w:val="00827541"/>
    <w:rsid w:val="00831F0D"/>
    <w:rsid w:val="00835724"/>
    <w:rsid w:val="00836321"/>
    <w:rsid w:val="008369B9"/>
    <w:rsid w:val="0084081A"/>
    <w:rsid w:val="00840AE4"/>
    <w:rsid w:val="008410C1"/>
    <w:rsid w:val="00844C7E"/>
    <w:rsid w:val="0085004B"/>
    <w:rsid w:val="00850EEF"/>
    <w:rsid w:val="0086166A"/>
    <w:rsid w:val="0087548F"/>
    <w:rsid w:val="008925C7"/>
    <w:rsid w:val="00893DDE"/>
    <w:rsid w:val="008B2D8E"/>
    <w:rsid w:val="008C4FBA"/>
    <w:rsid w:val="008C720C"/>
    <w:rsid w:val="008D1A01"/>
    <w:rsid w:val="008D3355"/>
    <w:rsid w:val="008D454C"/>
    <w:rsid w:val="008E3E4F"/>
    <w:rsid w:val="008E58B0"/>
    <w:rsid w:val="008E7F1E"/>
    <w:rsid w:val="008F6101"/>
    <w:rsid w:val="00915B3D"/>
    <w:rsid w:val="00923B4B"/>
    <w:rsid w:val="0094120A"/>
    <w:rsid w:val="00946AD3"/>
    <w:rsid w:val="00951045"/>
    <w:rsid w:val="00951F2D"/>
    <w:rsid w:val="0095205F"/>
    <w:rsid w:val="00956FAC"/>
    <w:rsid w:val="00957513"/>
    <w:rsid w:val="00966777"/>
    <w:rsid w:val="0097332F"/>
    <w:rsid w:val="009810F7"/>
    <w:rsid w:val="00982612"/>
    <w:rsid w:val="009A092E"/>
    <w:rsid w:val="009C01CE"/>
    <w:rsid w:val="009C24B2"/>
    <w:rsid w:val="009C6CE1"/>
    <w:rsid w:val="009D50BE"/>
    <w:rsid w:val="009E22AC"/>
    <w:rsid w:val="009F0432"/>
    <w:rsid w:val="00A202CC"/>
    <w:rsid w:val="00A21739"/>
    <w:rsid w:val="00A24240"/>
    <w:rsid w:val="00A4464E"/>
    <w:rsid w:val="00A46216"/>
    <w:rsid w:val="00A74BF0"/>
    <w:rsid w:val="00AA34F4"/>
    <w:rsid w:val="00AA667E"/>
    <w:rsid w:val="00AC730D"/>
    <w:rsid w:val="00AE054A"/>
    <w:rsid w:val="00AE2623"/>
    <w:rsid w:val="00AE484F"/>
    <w:rsid w:val="00B05EA6"/>
    <w:rsid w:val="00B130BE"/>
    <w:rsid w:val="00B136BF"/>
    <w:rsid w:val="00B32557"/>
    <w:rsid w:val="00B47D42"/>
    <w:rsid w:val="00B5259B"/>
    <w:rsid w:val="00B83185"/>
    <w:rsid w:val="00B87D81"/>
    <w:rsid w:val="00B92814"/>
    <w:rsid w:val="00B93972"/>
    <w:rsid w:val="00BA365A"/>
    <w:rsid w:val="00BA4FC4"/>
    <w:rsid w:val="00BB0EC5"/>
    <w:rsid w:val="00BB30C4"/>
    <w:rsid w:val="00BB4BCF"/>
    <w:rsid w:val="00BC1D2E"/>
    <w:rsid w:val="00BC4CA6"/>
    <w:rsid w:val="00BD5E6F"/>
    <w:rsid w:val="00BF0CFF"/>
    <w:rsid w:val="00BF6564"/>
    <w:rsid w:val="00C0108B"/>
    <w:rsid w:val="00C1642F"/>
    <w:rsid w:val="00C2007E"/>
    <w:rsid w:val="00C42AE3"/>
    <w:rsid w:val="00C51A0D"/>
    <w:rsid w:val="00C544B9"/>
    <w:rsid w:val="00C71F09"/>
    <w:rsid w:val="00C854D9"/>
    <w:rsid w:val="00CA03BB"/>
    <w:rsid w:val="00CA3AE9"/>
    <w:rsid w:val="00CA4139"/>
    <w:rsid w:val="00CA5830"/>
    <w:rsid w:val="00CB36D3"/>
    <w:rsid w:val="00CB5B5D"/>
    <w:rsid w:val="00CC4CF5"/>
    <w:rsid w:val="00CF1EAA"/>
    <w:rsid w:val="00D071F1"/>
    <w:rsid w:val="00D12C79"/>
    <w:rsid w:val="00D14A43"/>
    <w:rsid w:val="00D25FBF"/>
    <w:rsid w:val="00D44B9A"/>
    <w:rsid w:val="00D4623D"/>
    <w:rsid w:val="00D5286F"/>
    <w:rsid w:val="00D56FD5"/>
    <w:rsid w:val="00D66F14"/>
    <w:rsid w:val="00D72B5A"/>
    <w:rsid w:val="00D77A76"/>
    <w:rsid w:val="00D8019F"/>
    <w:rsid w:val="00D823F3"/>
    <w:rsid w:val="00D9426A"/>
    <w:rsid w:val="00DA2E1E"/>
    <w:rsid w:val="00DB2E7C"/>
    <w:rsid w:val="00DB3C77"/>
    <w:rsid w:val="00DC4536"/>
    <w:rsid w:val="00DE6DD7"/>
    <w:rsid w:val="00DE7191"/>
    <w:rsid w:val="00DF62C3"/>
    <w:rsid w:val="00E23BAD"/>
    <w:rsid w:val="00E24336"/>
    <w:rsid w:val="00E26C44"/>
    <w:rsid w:val="00E371A0"/>
    <w:rsid w:val="00E44CFB"/>
    <w:rsid w:val="00E44F38"/>
    <w:rsid w:val="00E44F92"/>
    <w:rsid w:val="00E4777E"/>
    <w:rsid w:val="00E51E76"/>
    <w:rsid w:val="00E7233D"/>
    <w:rsid w:val="00E74E4E"/>
    <w:rsid w:val="00EA4F0C"/>
    <w:rsid w:val="00EA5F38"/>
    <w:rsid w:val="00EA67BA"/>
    <w:rsid w:val="00F05CAA"/>
    <w:rsid w:val="00F103F9"/>
    <w:rsid w:val="00F120F3"/>
    <w:rsid w:val="00F12E69"/>
    <w:rsid w:val="00F219F6"/>
    <w:rsid w:val="00F26656"/>
    <w:rsid w:val="00F27098"/>
    <w:rsid w:val="00F31500"/>
    <w:rsid w:val="00F465F2"/>
    <w:rsid w:val="00F50217"/>
    <w:rsid w:val="00F56609"/>
    <w:rsid w:val="00F575C3"/>
    <w:rsid w:val="00F6020B"/>
    <w:rsid w:val="00F70105"/>
    <w:rsid w:val="00F90CE0"/>
    <w:rsid w:val="00FA3408"/>
    <w:rsid w:val="00FA51C4"/>
    <w:rsid w:val="00FB4C9C"/>
    <w:rsid w:val="00FB4CD4"/>
    <w:rsid w:val="00FB631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E8BAC"/>
  <w15:chartTrackingRefBased/>
  <w15:docId w15:val="{4129218F-5865-47F5-8D53-3FEF12701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44F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E44F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E44C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B1B8A"/>
    <w:rPr>
      <w:color w:val="0000FF"/>
      <w:u w:val="single"/>
    </w:rPr>
  </w:style>
  <w:style w:type="paragraph" w:styleId="a4">
    <w:name w:val="header"/>
    <w:basedOn w:val="a"/>
    <w:link w:val="a5"/>
    <w:uiPriority w:val="99"/>
    <w:unhideWhenUsed/>
    <w:rsid w:val="003F7D54"/>
    <w:pPr>
      <w:tabs>
        <w:tab w:val="center" w:pos="4153"/>
        <w:tab w:val="right" w:pos="8306"/>
      </w:tabs>
      <w:spacing w:after="0" w:line="240" w:lineRule="auto"/>
    </w:pPr>
  </w:style>
  <w:style w:type="character" w:customStyle="1" w:styleId="a5">
    <w:name w:val="页眉 字符"/>
    <w:basedOn w:val="a0"/>
    <w:link w:val="a4"/>
    <w:uiPriority w:val="99"/>
    <w:rsid w:val="003F7D54"/>
  </w:style>
  <w:style w:type="paragraph" w:styleId="a6">
    <w:name w:val="footer"/>
    <w:basedOn w:val="a"/>
    <w:link w:val="a7"/>
    <w:uiPriority w:val="99"/>
    <w:unhideWhenUsed/>
    <w:rsid w:val="003F7D54"/>
    <w:pPr>
      <w:tabs>
        <w:tab w:val="center" w:pos="4153"/>
        <w:tab w:val="right" w:pos="8306"/>
      </w:tabs>
      <w:spacing w:after="0" w:line="240" w:lineRule="auto"/>
    </w:pPr>
  </w:style>
  <w:style w:type="character" w:customStyle="1" w:styleId="a7">
    <w:name w:val="页脚 字符"/>
    <w:basedOn w:val="a0"/>
    <w:link w:val="a6"/>
    <w:uiPriority w:val="99"/>
    <w:rsid w:val="003F7D54"/>
  </w:style>
  <w:style w:type="character" w:customStyle="1" w:styleId="10">
    <w:name w:val="标题 1 字符"/>
    <w:basedOn w:val="a0"/>
    <w:link w:val="1"/>
    <w:uiPriority w:val="9"/>
    <w:rsid w:val="00E44F38"/>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semiHidden/>
    <w:rsid w:val="00E44F38"/>
    <w:rPr>
      <w:rFonts w:asciiTheme="majorHAnsi" w:eastAsiaTheme="majorEastAsia" w:hAnsiTheme="majorHAnsi" w:cstheme="majorBidi"/>
      <w:color w:val="2F5496" w:themeColor="accent1" w:themeShade="BF"/>
      <w:sz w:val="26"/>
      <w:szCs w:val="26"/>
    </w:rPr>
  </w:style>
  <w:style w:type="paragraph" w:styleId="a8">
    <w:name w:val="List Paragraph"/>
    <w:basedOn w:val="a"/>
    <w:uiPriority w:val="34"/>
    <w:qFormat/>
    <w:rsid w:val="009F0432"/>
    <w:pPr>
      <w:ind w:left="720"/>
      <w:contextualSpacing/>
    </w:pPr>
  </w:style>
  <w:style w:type="paragraph" w:styleId="TOC">
    <w:name w:val="TOC Heading"/>
    <w:basedOn w:val="1"/>
    <w:next w:val="a"/>
    <w:uiPriority w:val="39"/>
    <w:unhideWhenUsed/>
    <w:qFormat/>
    <w:rsid w:val="00F90CE0"/>
    <w:pPr>
      <w:widowControl/>
      <w:jc w:val="left"/>
      <w:outlineLvl w:val="9"/>
    </w:pPr>
  </w:style>
  <w:style w:type="paragraph" w:styleId="TOC1">
    <w:name w:val="toc 1"/>
    <w:basedOn w:val="a"/>
    <w:next w:val="a"/>
    <w:autoRedefine/>
    <w:uiPriority w:val="39"/>
    <w:unhideWhenUsed/>
    <w:rsid w:val="00F90CE0"/>
    <w:pPr>
      <w:spacing w:after="100"/>
    </w:pPr>
  </w:style>
  <w:style w:type="paragraph" w:styleId="TOC2">
    <w:name w:val="toc 2"/>
    <w:basedOn w:val="a"/>
    <w:next w:val="a"/>
    <w:autoRedefine/>
    <w:uiPriority w:val="39"/>
    <w:unhideWhenUsed/>
    <w:rsid w:val="00F90CE0"/>
    <w:pPr>
      <w:spacing w:after="100"/>
      <w:ind w:left="220"/>
    </w:pPr>
  </w:style>
  <w:style w:type="paragraph" w:styleId="a9">
    <w:name w:val="Normal (Web)"/>
    <w:basedOn w:val="a"/>
    <w:uiPriority w:val="99"/>
    <w:unhideWhenUsed/>
    <w:rsid w:val="00D72B5A"/>
    <w:pPr>
      <w:widowControl/>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30">
    <w:name w:val="标题 3 字符"/>
    <w:basedOn w:val="a0"/>
    <w:link w:val="3"/>
    <w:uiPriority w:val="9"/>
    <w:semiHidden/>
    <w:rsid w:val="00E44CFB"/>
    <w:rPr>
      <w:rFonts w:asciiTheme="majorHAnsi" w:eastAsiaTheme="majorEastAsia" w:hAnsiTheme="majorHAnsi" w:cstheme="majorBidi"/>
      <w:color w:val="1F3763" w:themeColor="accent1" w:themeShade="7F"/>
      <w:sz w:val="24"/>
      <w:szCs w:val="24"/>
    </w:rPr>
  </w:style>
  <w:style w:type="paragraph" w:styleId="TOC3">
    <w:name w:val="toc 3"/>
    <w:basedOn w:val="a"/>
    <w:next w:val="a"/>
    <w:autoRedefine/>
    <w:uiPriority w:val="39"/>
    <w:unhideWhenUsed/>
    <w:rsid w:val="00B47D4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eepl.com/translator?utm_source=windows&amp;utm_medium=app&amp;utm_campaign=windows-sha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epl.com/translator?utm_source=windows&amp;utm_medium=app&amp;utm_campaign=windows-share" TargetMode="External"/><Relationship Id="rId17" Type="http://schemas.openxmlformats.org/officeDocument/2006/relationships/hyperlink" Target="https://doi.org/10.1002/pits.22828" TargetMode="External"/><Relationship Id="rId2" Type="http://schemas.openxmlformats.org/officeDocument/2006/relationships/numbering" Target="numbering.xml"/><Relationship Id="rId16" Type="http://schemas.openxmlformats.org/officeDocument/2006/relationships/hyperlink" Target="https://doi.org/10.2139/ssrn.21766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mcham-shanghai.glueup.cn/resources/protected/organization/1682/event/33929/dd5395f4-eb4b-4d6e-9ccd-88c95998f5ea.pdf" TargetMode="External"/><Relationship Id="rId5" Type="http://schemas.openxmlformats.org/officeDocument/2006/relationships/webSettings" Target="webSettings.xml"/><Relationship Id="rId15" Type="http://schemas.openxmlformats.org/officeDocument/2006/relationships/hyperlink" Target="https://doi.org/10.1177/0018726720906437" TargetMode="External"/><Relationship Id="rId10" Type="http://schemas.openxmlformats.org/officeDocument/2006/relationships/hyperlink" Target="https://www.bloomberg.com/news/articles/2022-09-14/china-trickles-out-property-policies-across-nation-to-fix-slum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11/ijmr.1203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C9C91E-9AC3-475B-B658-2C6997AF8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1658</TotalTime>
  <Pages>28</Pages>
  <Words>9851</Words>
  <Characters>56155</Characters>
  <Application>Microsoft Office Word</Application>
  <DocSecurity>0</DocSecurity>
  <Lines>467</Lines>
  <Paragraphs>131</Paragraphs>
  <ScaleCrop>false</ScaleCrop>
  <Company/>
  <LinksUpToDate>false</LinksUpToDate>
  <CharactersWithSpaces>65875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413</cp:revision>
  <dcterms:created xsi:type="dcterms:W3CDTF">2022-11-23T10:05:00Z</dcterms:created>
  <dcterms:modified xsi:type="dcterms:W3CDTF">2023-01-12T05:37:00Z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6aa055a3-4a74-42b6-aac9-6e19e22ad580</vt:lpwstr>
  </property>
</Properties>
</file>