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244926" w14:textId="77777777" w:rsidR="00B151A8" w:rsidRPr="007429E3" w:rsidRDefault="00B151A8" w:rsidP="007429E3">
      <w:pPr>
        <w:spacing w:line="360" w:lineRule="auto"/>
        <w:jc w:val="right"/>
        <w:rPr>
          <w:rFonts w:ascii="Arial" w:hAnsi="Arial" w:cs="Arial"/>
          <w:b/>
          <w:bCs/>
          <w:sz w:val="28"/>
          <w:szCs w:val="28"/>
        </w:rPr>
      </w:pPr>
    </w:p>
    <w:p w14:paraId="57C2577F" w14:textId="77777777" w:rsidR="007429E3" w:rsidRPr="007429E3" w:rsidRDefault="007429E3" w:rsidP="007429E3">
      <w:pPr>
        <w:tabs>
          <w:tab w:val="left" w:pos="5160"/>
        </w:tabs>
        <w:spacing w:line="360" w:lineRule="auto"/>
        <w:jc w:val="right"/>
        <w:rPr>
          <w:rFonts w:ascii="Arial" w:hAnsi="Arial" w:cs="Arial"/>
          <w:b/>
          <w:bCs/>
          <w:sz w:val="28"/>
          <w:szCs w:val="28"/>
        </w:rPr>
      </w:pPr>
      <w:r w:rsidRPr="007429E3">
        <w:rPr>
          <w:rFonts w:ascii="Arial" w:hAnsi="Arial" w:cs="Arial"/>
          <w:b/>
          <w:bCs/>
          <w:sz w:val="28"/>
          <w:szCs w:val="28"/>
        </w:rPr>
        <w:tab/>
        <w:t xml:space="preserve">BMIH6007 </w:t>
      </w:r>
    </w:p>
    <w:p w14:paraId="55A3793A" w14:textId="77777777" w:rsidR="007429E3" w:rsidRPr="007429E3" w:rsidRDefault="007429E3" w:rsidP="007429E3">
      <w:pPr>
        <w:tabs>
          <w:tab w:val="left" w:pos="5160"/>
        </w:tabs>
        <w:spacing w:line="360" w:lineRule="auto"/>
        <w:jc w:val="right"/>
        <w:rPr>
          <w:rFonts w:ascii="Arial" w:hAnsi="Arial" w:cs="Arial"/>
          <w:b/>
          <w:bCs/>
          <w:sz w:val="28"/>
          <w:szCs w:val="28"/>
        </w:rPr>
      </w:pPr>
      <w:r w:rsidRPr="007429E3">
        <w:rPr>
          <w:rFonts w:ascii="Arial" w:hAnsi="Arial" w:cs="Arial"/>
          <w:b/>
          <w:bCs/>
          <w:sz w:val="28"/>
          <w:szCs w:val="28"/>
        </w:rPr>
        <w:t xml:space="preserve">  </w:t>
      </w:r>
    </w:p>
    <w:p w14:paraId="7B6E9AF5" w14:textId="26497D6E" w:rsidR="007429E3" w:rsidRPr="007429E3" w:rsidRDefault="007429E3" w:rsidP="007429E3">
      <w:pPr>
        <w:tabs>
          <w:tab w:val="left" w:pos="5160"/>
        </w:tabs>
        <w:spacing w:line="360" w:lineRule="auto"/>
        <w:jc w:val="right"/>
        <w:rPr>
          <w:rFonts w:ascii="Arial" w:hAnsi="Arial" w:cs="Arial"/>
          <w:b/>
          <w:bCs/>
          <w:sz w:val="28"/>
          <w:szCs w:val="28"/>
        </w:rPr>
      </w:pPr>
      <w:r w:rsidRPr="007429E3">
        <w:rPr>
          <w:rFonts w:ascii="Arial" w:hAnsi="Arial" w:cs="Arial"/>
          <w:b/>
          <w:bCs/>
          <w:sz w:val="28"/>
          <w:szCs w:val="28"/>
        </w:rPr>
        <w:t xml:space="preserve">International Meetings Management for the  </w:t>
      </w:r>
    </w:p>
    <w:p w14:paraId="018D39F2" w14:textId="5D3B90A1" w:rsidR="00DF1E07" w:rsidRDefault="007429E3" w:rsidP="007429E3">
      <w:pPr>
        <w:tabs>
          <w:tab w:val="left" w:pos="5160"/>
        </w:tabs>
        <w:spacing w:line="360" w:lineRule="auto"/>
        <w:jc w:val="right"/>
        <w:rPr>
          <w:rFonts w:ascii="Arial" w:hAnsi="Arial" w:cs="Arial"/>
          <w:b/>
          <w:bCs/>
          <w:sz w:val="28"/>
          <w:szCs w:val="28"/>
        </w:rPr>
      </w:pPr>
      <w:r w:rsidRPr="007429E3">
        <w:rPr>
          <w:rFonts w:ascii="Arial" w:hAnsi="Arial" w:cs="Arial"/>
          <w:b/>
          <w:bCs/>
          <w:sz w:val="28"/>
          <w:szCs w:val="28"/>
        </w:rPr>
        <w:t xml:space="preserve">Hotel Industry  </w:t>
      </w:r>
    </w:p>
    <w:p w14:paraId="6003B775" w14:textId="55314469" w:rsidR="007429E3" w:rsidRPr="007429E3" w:rsidRDefault="007429E3" w:rsidP="007429E3">
      <w:pPr>
        <w:tabs>
          <w:tab w:val="left" w:pos="5160"/>
        </w:tabs>
        <w:spacing w:line="360" w:lineRule="auto"/>
        <w:jc w:val="right"/>
        <w:rPr>
          <w:rFonts w:ascii="Arial" w:hAnsi="Arial" w:cs="Arial"/>
          <w:b/>
          <w:bCs/>
          <w:sz w:val="28"/>
          <w:szCs w:val="28"/>
        </w:rPr>
      </w:pPr>
      <w:r>
        <w:rPr>
          <w:rFonts w:ascii="Arial" w:hAnsi="Arial" w:cs="Arial"/>
          <w:b/>
          <w:bCs/>
          <w:sz w:val="28"/>
          <w:szCs w:val="28"/>
        </w:rPr>
        <w:t>Report</w:t>
      </w:r>
    </w:p>
    <w:p w14:paraId="448BC9B8" w14:textId="77777777" w:rsidR="00DF1E07" w:rsidRDefault="00DF1E07"/>
    <w:p w14:paraId="3BC2BB51" w14:textId="77777777" w:rsidR="00C0751C" w:rsidRDefault="00C0751C"/>
    <w:p w14:paraId="7489EDC7" w14:textId="261A1CA3" w:rsidR="00DF1E07" w:rsidRPr="00C0751C" w:rsidRDefault="00C0751C">
      <w:pPr>
        <w:rPr>
          <w:rFonts w:ascii="Arial" w:hAnsi="Arial" w:cs="Arial"/>
          <w:b/>
          <w:bCs/>
          <w:sz w:val="24"/>
          <w:szCs w:val="24"/>
        </w:rPr>
      </w:pPr>
      <w:r w:rsidRPr="00C0751C">
        <w:rPr>
          <w:rFonts w:ascii="Arial" w:hAnsi="Arial" w:cs="Arial"/>
          <w:b/>
          <w:bCs/>
          <w:sz w:val="24"/>
          <w:szCs w:val="24"/>
        </w:rPr>
        <w:t xml:space="preserve">Lecturer name: </w:t>
      </w:r>
      <w:r w:rsidR="00E50BA6">
        <w:rPr>
          <w:rFonts w:ascii="Arial" w:hAnsi="Arial" w:cs="Arial"/>
          <w:b/>
          <w:bCs/>
          <w:sz w:val="24"/>
          <w:szCs w:val="24"/>
        </w:rPr>
        <w:t>Kathryn Flynn</w:t>
      </w:r>
    </w:p>
    <w:p w14:paraId="7A13106B" w14:textId="49B755C3" w:rsidR="00DF1E07" w:rsidRPr="00C0751C" w:rsidRDefault="00C0751C">
      <w:pPr>
        <w:rPr>
          <w:rFonts w:ascii="Arial" w:hAnsi="Arial" w:cs="Arial"/>
          <w:b/>
          <w:bCs/>
          <w:sz w:val="24"/>
          <w:szCs w:val="24"/>
        </w:rPr>
      </w:pPr>
      <w:r w:rsidRPr="00C0751C">
        <w:rPr>
          <w:rFonts w:ascii="Arial" w:hAnsi="Arial" w:cs="Arial"/>
          <w:b/>
          <w:bCs/>
          <w:sz w:val="24"/>
          <w:szCs w:val="24"/>
        </w:rPr>
        <w:t>Student id:</w:t>
      </w:r>
      <w:r w:rsidR="00E50BA6">
        <w:rPr>
          <w:rFonts w:ascii="Arial" w:hAnsi="Arial" w:cs="Arial"/>
          <w:b/>
          <w:bCs/>
          <w:sz w:val="24"/>
          <w:szCs w:val="24"/>
        </w:rPr>
        <w:t>2218469</w:t>
      </w:r>
    </w:p>
    <w:p w14:paraId="1C645D3A" w14:textId="5B690363" w:rsidR="00C0751C" w:rsidRPr="00C0751C" w:rsidRDefault="00C0751C">
      <w:pPr>
        <w:rPr>
          <w:rFonts w:ascii="Arial" w:hAnsi="Arial" w:cs="Arial"/>
          <w:b/>
          <w:bCs/>
          <w:sz w:val="24"/>
          <w:szCs w:val="24"/>
        </w:rPr>
      </w:pPr>
      <w:r w:rsidRPr="00C0751C">
        <w:rPr>
          <w:rFonts w:ascii="Arial" w:hAnsi="Arial" w:cs="Arial"/>
          <w:b/>
          <w:bCs/>
          <w:sz w:val="24"/>
          <w:szCs w:val="24"/>
        </w:rPr>
        <w:t xml:space="preserve">Student name: </w:t>
      </w:r>
      <w:r w:rsidR="00E50BA6">
        <w:rPr>
          <w:rFonts w:ascii="Arial" w:hAnsi="Arial" w:cs="Arial"/>
          <w:b/>
          <w:bCs/>
          <w:sz w:val="24"/>
          <w:szCs w:val="24"/>
        </w:rPr>
        <w:t>Mihaela Caradan</w:t>
      </w:r>
    </w:p>
    <w:p w14:paraId="1E1E7212" w14:textId="77777777" w:rsidR="00DF1E07" w:rsidRDefault="00DF1E07"/>
    <w:p w14:paraId="68DD83F9" w14:textId="77777777" w:rsidR="00DF1E07" w:rsidRDefault="00DF1E07"/>
    <w:p w14:paraId="0F8E7FFA" w14:textId="77777777" w:rsidR="00DF1E07" w:rsidRDefault="00DF1E07"/>
    <w:p w14:paraId="1B5A40F7" w14:textId="77777777" w:rsidR="00DF1E07" w:rsidRDefault="00DF1E07"/>
    <w:p w14:paraId="37FA62F8" w14:textId="77777777" w:rsidR="00DF1E07" w:rsidRDefault="00DF1E07"/>
    <w:p w14:paraId="55C71F99" w14:textId="77777777" w:rsidR="00DF1E07" w:rsidRDefault="00DF1E07"/>
    <w:p w14:paraId="437BDBEC" w14:textId="77777777" w:rsidR="00DF1E07" w:rsidRDefault="00DF1E07"/>
    <w:p w14:paraId="76D2BAA8" w14:textId="77777777" w:rsidR="00DF1E07" w:rsidRDefault="00DF1E07"/>
    <w:p w14:paraId="458B1EF1" w14:textId="77777777" w:rsidR="00DF1E07" w:rsidRDefault="00DF1E07"/>
    <w:p w14:paraId="6F8BD28B" w14:textId="77777777" w:rsidR="00DF1E07" w:rsidRDefault="00DF1E07"/>
    <w:p w14:paraId="77FAF35C" w14:textId="77777777" w:rsidR="00DF1E07" w:rsidRDefault="00DF1E07"/>
    <w:p w14:paraId="3536AFA9" w14:textId="77777777" w:rsidR="00DF1E07" w:rsidRDefault="00DF1E07"/>
    <w:p w14:paraId="5B9F05A3" w14:textId="77777777" w:rsidR="00DF1E07" w:rsidRDefault="00DF1E07"/>
    <w:p w14:paraId="166CAC2F" w14:textId="77777777" w:rsidR="00DF1E07" w:rsidRDefault="00DF1E07"/>
    <w:p w14:paraId="0D96D972" w14:textId="77777777" w:rsidR="00DF1E07" w:rsidRDefault="00DF1E07"/>
    <w:p w14:paraId="50BACC7C" w14:textId="77777777" w:rsidR="00DF1E07" w:rsidRDefault="00DF1E07"/>
    <w:p w14:paraId="1DFD861B" w14:textId="77777777" w:rsidR="00DF1E07" w:rsidRDefault="00DF1E07"/>
    <w:p w14:paraId="21E77423" w14:textId="77777777" w:rsidR="00DF1E07" w:rsidRDefault="00DF1E07"/>
    <w:p w14:paraId="0A292E82" w14:textId="77777777" w:rsidR="00DF1E07" w:rsidRDefault="00DF1E07"/>
    <w:p w14:paraId="71536F69" w14:textId="77777777" w:rsidR="00DF1E07" w:rsidRDefault="00DF1E07"/>
    <w:sdt>
      <w:sdtPr>
        <w:rPr>
          <w:rFonts w:asciiTheme="minorHAnsi" w:eastAsiaTheme="minorHAnsi" w:hAnsiTheme="minorHAnsi" w:cstheme="minorBidi"/>
          <w:color w:val="auto"/>
          <w:kern w:val="2"/>
          <w:sz w:val="22"/>
          <w:szCs w:val="22"/>
          <w:lang w:val="en-GB"/>
          <w14:ligatures w14:val="standardContextual"/>
        </w:rPr>
        <w:id w:val="728048100"/>
        <w:docPartObj>
          <w:docPartGallery w:val="Table of Contents"/>
          <w:docPartUnique/>
        </w:docPartObj>
      </w:sdtPr>
      <w:sdtEndPr>
        <w:rPr>
          <w:b/>
          <w:bCs/>
          <w:noProof/>
        </w:rPr>
      </w:sdtEndPr>
      <w:sdtContent>
        <w:p w14:paraId="03C9F4A4" w14:textId="487A44ED" w:rsidR="007429E3" w:rsidRDefault="007429E3">
          <w:pPr>
            <w:pStyle w:val="TOCHeading"/>
          </w:pPr>
          <w:r>
            <w:t>Table of Contents</w:t>
          </w:r>
        </w:p>
        <w:p w14:paraId="006B5DF8" w14:textId="7C3009ED" w:rsidR="007429E3" w:rsidRDefault="007429E3">
          <w:pPr>
            <w:pStyle w:val="TOC1"/>
            <w:tabs>
              <w:tab w:val="left" w:pos="480"/>
              <w:tab w:val="right" w:leader="dot" w:pos="9016"/>
            </w:tabs>
            <w:rPr>
              <w:noProof/>
            </w:rPr>
          </w:pPr>
          <w:r>
            <w:fldChar w:fldCharType="begin"/>
          </w:r>
          <w:r>
            <w:instrText xml:space="preserve"> TOC \o "1-3" \h \z \u </w:instrText>
          </w:r>
          <w:r>
            <w:fldChar w:fldCharType="separate"/>
          </w:r>
          <w:hyperlink w:anchor="_Toc191673619" w:history="1">
            <w:r w:rsidRPr="002D3F0F">
              <w:rPr>
                <w:rStyle w:val="Hyperlink"/>
                <w:noProof/>
              </w:rPr>
              <w:t>1.</w:t>
            </w:r>
            <w:r>
              <w:rPr>
                <w:noProof/>
              </w:rPr>
              <w:tab/>
            </w:r>
            <w:r w:rsidRPr="002D3F0F">
              <w:rPr>
                <w:rStyle w:val="Hyperlink"/>
                <w:noProof/>
              </w:rPr>
              <w:t>Introduction</w:t>
            </w:r>
            <w:r>
              <w:rPr>
                <w:noProof/>
                <w:webHidden/>
              </w:rPr>
              <w:tab/>
            </w:r>
            <w:r>
              <w:rPr>
                <w:noProof/>
                <w:webHidden/>
              </w:rPr>
              <w:fldChar w:fldCharType="begin"/>
            </w:r>
            <w:r>
              <w:rPr>
                <w:noProof/>
                <w:webHidden/>
              </w:rPr>
              <w:instrText xml:space="preserve"> PAGEREF _Toc191673619 \h </w:instrText>
            </w:r>
            <w:r>
              <w:rPr>
                <w:noProof/>
                <w:webHidden/>
              </w:rPr>
            </w:r>
            <w:r>
              <w:rPr>
                <w:noProof/>
                <w:webHidden/>
              </w:rPr>
              <w:fldChar w:fldCharType="separate"/>
            </w:r>
            <w:r w:rsidR="00C0751C">
              <w:rPr>
                <w:noProof/>
                <w:webHidden/>
              </w:rPr>
              <w:t>3</w:t>
            </w:r>
            <w:r>
              <w:rPr>
                <w:noProof/>
                <w:webHidden/>
              </w:rPr>
              <w:fldChar w:fldCharType="end"/>
            </w:r>
          </w:hyperlink>
        </w:p>
        <w:p w14:paraId="32009B2E" w14:textId="5F6FD7EC" w:rsidR="007429E3" w:rsidRDefault="007429E3">
          <w:pPr>
            <w:pStyle w:val="TOC1"/>
            <w:tabs>
              <w:tab w:val="left" w:pos="480"/>
              <w:tab w:val="right" w:leader="dot" w:pos="9016"/>
            </w:tabs>
            <w:rPr>
              <w:noProof/>
            </w:rPr>
          </w:pPr>
          <w:hyperlink w:anchor="_Toc191673620" w:history="1">
            <w:r w:rsidRPr="002D3F0F">
              <w:rPr>
                <w:rStyle w:val="Hyperlink"/>
                <w:noProof/>
              </w:rPr>
              <w:t>2.</w:t>
            </w:r>
            <w:r>
              <w:rPr>
                <w:noProof/>
              </w:rPr>
              <w:tab/>
            </w:r>
            <w:r w:rsidRPr="002D3F0F">
              <w:rPr>
                <w:rStyle w:val="Hyperlink"/>
                <w:noProof/>
              </w:rPr>
              <w:t>Event Content and Context</w:t>
            </w:r>
            <w:r>
              <w:rPr>
                <w:noProof/>
                <w:webHidden/>
              </w:rPr>
              <w:tab/>
            </w:r>
            <w:r>
              <w:rPr>
                <w:noProof/>
                <w:webHidden/>
              </w:rPr>
              <w:fldChar w:fldCharType="begin"/>
            </w:r>
            <w:r>
              <w:rPr>
                <w:noProof/>
                <w:webHidden/>
              </w:rPr>
              <w:instrText xml:space="preserve"> PAGEREF _Toc191673620 \h </w:instrText>
            </w:r>
            <w:r>
              <w:rPr>
                <w:noProof/>
                <w:webHidden/>
              </w:rPr>
            </w:r>
            <w:r>
              <w:rPr>
                <w:noProof/>
                <w:webHidden/>
              </w:rPr>
              <w:fldChar w:fldCharType="separate"/>
            </w:r>
            <w:r w:rsidR="00C0751C">
              <w:rPr>
                <w:noProof/>
                <w:webHidden/>
              </w:rPr>
              <w:t>4</w:t>
            </w:r>
            <w:r>
              <w:rPr>
                <w:noProof/>
                <w:webHidden/>
              </w:rPr>
              <w:fldChar w:fldCharType="end"/>
            </w:r>
          </w:hyperlink>
        </w:p>
        <w:p w14:paraId="5C4E145E" w14:textId="125509C9" w:rsidR="007429E3" w:rsidRDefault="007429E3">
          <w:pPr>
            <w:pStyle w:val="TOC1"/>
            <w:tabs>
              <w:tab w:val="left" w:pos="480"/>
              <w:tab w:val="right" w:leader="dot" w:pos="9016"/>
            </w:tabs>
            <w:rPr>
              <w:noProof/>
            </w:rPr>
          </w:pPr>
          <w:hyperlink w:anchor="_Toc191673621" w:history="1">
            <w:r w:rsidRPr="002D3F0F">
              <w:rPr>
                <w:rStyle w:val="Hyperlink"/>
                <w:noProof/>
              </w:rPr>
              <w:t>3.</w:t>
            </w:r>
            <w:r>
              <w:rPr>
                <w:noProof/>
              </w:rPr>
              <w:tab/>
            </w:r>
            <w:r w:rsidRPr="002D3F0F">
              <w:rPr>
                <w:rStyle w:val="Hyperlink"/>
                <w:noProof/>
              </w:rPr>
              <w:t>Market Factors</w:t>
            </w:r>
            <w:r>
              <w:rPr>
                <w:noProof/>
                <w:webHidden/>
              </w:rPr>
              <w:tab/>
            </w:r>
            <w:r>
              <w:rPr>
                <w:noProof/>
                <w:webHidden/>
              </w:rPr>
              <w:fldChar w:fldCharType="begin"/>
            </w:r>
            <w:r>
              <w:rPr>
                <w:noProof/>
                <w:webHidden/>
              </w:rPr>
              <w:instrText xml:space="preserve"> PAGEREF _Toc191673621 \h </w:instrText>
            </w:r>
            <w:r>
              <w:rPr>
                <w:noProof/>
                <w:webHidden/>
              </w:rPr>
            </w:r>
            <w:r>
              <w:rPr>
                <w:noProof/>
                <w:webHidden/>
              </w:rPr>
              <w:fldChar w:fldCharType="separate"/>
            </w:r>
            <w:r w:rsidR="00C0751C">
              <w:rPr>
                <w:noProof/>
                <w:webHidden/>
              </w:rPr>
              <w:t>5</w:t>
            </w:r>
            <w:r>
              <w:rPr>
                <w:noProof/>
                <w:webHidden/>
              </w:rPr>
              <w:fldChar w:fldCharType="end"/>
            </w:r>
          </w:hyperlink>
        </w:p>
        <w:p w14:paraId="3A704BA1" w14:textId="3A907A4C" w:rsidR="007429E3" w:rsidRDefault="007429E3">
          <w:pPr>
            <w:pStyle w:val="TOC1"/>
            <w:tabs>
              <w:tab w:val="left" w:pos="480"/>
              <w:tab w:val="right" w:leader="dot" w:pos="9016"/>
            </w:tabs>
            <w:rPr>
              <w:noProof/>
            </w:rPr>
          </w:pPr>
          <w:hyperlink w:anchor="_Toc191673622" w:history="1">
            <w:r w:rsidRPr="002D3F0F">
              <w:rPr>
                <w:rStyle w:val="Hyperlink"/>
                <w:noProof/>
              </w:rPr>
              <w:t>4.</w:t>
            </w:r>
            <w:r>
              <w:rPr>
                <w:noProof/>
              </w:rPr>
              <w:tab/>
            </w:r>
            <w:r w:rsidRPr="002D3F0F">
              <w:rPr>
                <w:rStyle w:val="Hyperlink"/>
                <w:noProof/>
              </w:rPr>
              <w:t>Operational Factors</w:t>
            </w:r>
            <w:r>
              <w:rPr>
                <w:noProof/>
                <w:webHidden/>
              </w:rPr>
              <w:tab/>
            </w:r>
            <w:r>
              <w:rPr>
                <w:noProof/>
                <w:webHidden/>
              </w:rPr>
              <w:fldChar w:fldCharType="begin"/>
            </w:r>
            <w:r>
              <w:rPr>
                <w:noProof/>
                <w:webHidden/>
              </w:rPr>
              <w:instrText xml:space="preserve"> PAGEREF _Toc191673622 \h </w:instrText>
            </w:r>
            <w:r>
              <w:rPr>
                <w:noProof/>
                <w:webHidden/>
              </w:rPr>
            </w:r>
            <w:r>
              <w:rPr>
                <w:noProof/>
                <w:webHidden/>
              </w:rPr>
              <w:fldChar w:fldCharType="separate"/>
            </w:r>
            <w:r w:rsidR="00C0751C">
              <w:rPr>
                <w:noProof/>
                <w:webHidden/>
              </w:rPr>
              <w:t>5</w:t>
            </w:r>
            <w:r>
              <w:rPr>
                <w:noProof/>
                <w:webHidden/>
              </w:rPr>
              <w:fldChar w:fldCharType="end"/>
            </w:r>
          </w:hyperlink>
        </w:p>
        <w:p w14:paraId="011229D2" w14:textId="374B22A6" w:rsidR="007429E3" w:rsidRDefault="007429E3">
          <w:pPr>
            <w:pStyle w:val="TOC1"/>
            <w:tabs>
              <w:tab w:val="left" w:pos="480"/>
              <w:tab w:val="right" w:leader="dot" w:pos="9016"/>
            </w:tabs>
            <w:rPr>
              <w:noProof/>
            </w:rPr>
          </w:pPr>
          <w:hyperlink w:anchor="_Toc191673623" w:history="1">
            <w:r w:rsidRPr="002D3F0F">
              <w:rPr>
                <w:rStyle w:val="Hyperlink"/>
                <w:noProof/>
              </w:rPr>
              <w:t>5.</w:t>
            </w:r>
            <w:r>
              <w:rPr>
                <w:noProof/>
              </w:rPr>
              <w:tab/>
            </w:r>
            <w:r w:rsidRPr="002D3F0F">
              <w:rPr>
                <w:rStyle w:val="Hyperlink"/>
                <w:noProof/>
              </w:rPr>
              <w:t>Financial feasibility</w:t>
            </w:r>
            <w:r>
              <w:rPr>
                <w:noProof/>
                <w:webHidden/>
              </w:rPr>
              <w:tab/>
            </w:r>
            <w:r>
              <w:rPr>
                <w:noProof/>
                <w:webHidden/>
              </w:rPr>
              <w:fldChar w:fldCharType="begin"/>
            </w:r>
            <w:r>
              <w:rPr>
                <w:noProof/>
                <w:webHidden/>
              </w:rPr>
              <w:instrText xml:space="preserve"> PAGEREF _Toc191673623 \h </w:instrText>
            </w:r>
            <w:r>
              <w:rPr>
                <w:noProof/>
                <w:webHidden/>
              </w:rPr>
            </w:r>
            <w:r>
              <w:rPr>
                <w:noProof/>
                <w:webHidden/>
              </w:rPr>
              <w:fldChar w:fldCharType="separate"/>
            </w:r>
            <w:r w:rsidR="00C0751C">
              <w:rPr>
                <w:noProof/>
                <w:webHidden/>
              </w:rPr>
              <w:t>6</w:t>
            </w:r>
            <w:r>
              <w:rPr>
                <w:noProof/>
                <w:webHidden/>
              </w:rPr>
              <w:fldChar w:fldCharType="end"/>
            </w:r>
          </w:hyperlink>
        </w:p>
        <w:p w14:paraId="30DB17F6" w14:textId="50698D66" w:rsidR="007429E3" w:rsidRDefault="007429E3">
          <w:pPr>
            <w:pStyle w:val="TOC1"/>
            <w:tabs>
              <w:tab w:val="left" w:pos="480"/>
              <w:tab w:val="right" w:leader="dot" w:pos="9016"/>
            </w:tabs>
            <w:rPr>
              <w:noProof/>
            </w:rPr>
          </w:pPr>
          <w:hyperlink w:anchor="_Toc191673624" w:history="1">
            <w:r w:rsidRPr="002D3F0F">
              <w:rPr>
                <w:rStyle w:val="Hyperlink"/>
                <w:noProof/>
              </w:rPr>
              <w:t>6.</w:t>
            </w:r>
            <w:r>
              <w:rPr>
                <w:noProof/>
              </w:rPr>
              <w:tab/>
            </w:r>
            <w:r w:rsidRPr="002D3F0F">
              <w:rPr>
                <w:rStyle w:val="Hyperlink"/>
                <w:noProof/>
              </w:rPr>
              <w:t>Marketing and Promotion</w:t>
            </w:r>
            <w:r>
              <w:rPr>
                <w:noProof/>
                <w:webHidden/>
              </w:rPr>
              <w:tab/>
            </w:r>
            <w:r>
              <w:rPr>
                <w:noProof/>
                <w:webHidden/>
              </w:rPr>
              <w:fldChar w:fldCharType="begin"/>
            </w:r>
            <w:r>
              <w:rPr>
                <w:noProof/>
                <w:webHidden/>
              </w:rPr>
              <w:instrText xml:space="preserve"> PAGEREF _Toc191673624 \h </w:instrText>
            </w:r>
            <w:r>
              <w:rPr>
                <w:noProof/>
                <w:webHidden/>
              </w:rPr>
            </w:r>
            <w:r>
              <w:rPr>
                <w:noProof/>
                <w:webHidden/>
              </w:rPr>
              <w:fldChar w:fldCharType="separate"/>
            </w:r>
            <w:r w:rsidR="00C0751C">
              <w:rPr>
                <w:noProof/>
                <w:webHidden/>
              </w:rPr>
              <w:t>8</w:t>
            </w:r>
            <w:r>
              <w:rPr>
                <w:noProof/>
                <w:webHidden/>
              </w:rPr>
              <w:fldChar w:fldCharType="end"/>
            </w:r>
          </w:hyperlink>
        </w:p>
        <w:p w14:paraId="6032F476" w14:textId="6588C50F" w:rsidR="007429E3" w:rsidRDefault="007429E3">
          <w:pPr>
            <w:pStyle w:val="TOC1"/>
            <w:tabs>
              <w:tab w:val="left" w:pos="480"/>
              <w:tab w:val="right" w:leader="dot" w:pos="9016"/>
            </w:tabs>
            <w:rPr>
              <w:noProof/>
            </w:rPr>
          </w:pPr>
          <w:hyperlink w:anchor="_Toc191673625" w:history="1">
            <w:r w:rsidRPr="002D3F0F">
              <w:rPr>
                <w:rStyle w:val="Hyperlink"/>
                <w:noProof/>
              </w:rPr>
              <w:t>7.</w:t>
            </w:r>
            <w:r>
              <w:rPr>
                <w:noProof/>
              </w:rPr>
              <w:tab/>
            </w:r>
            <w:r w:rsidRPr="002D3F0F">
              <w:rPr>
                <w:rStyle w:val="Hyperlink"/>
                <w:noProof/>
              </w:rPr>
              <w:t>Operational and Logistical Considerations</w:t>
            </w:r>
            <w:r>
              <w:rPr>
                <w:noProof/>
                <w:webHidden/>
              </w:rPr>
              <w:tab/>
            </w:r>
            <w:r>
              <w:rPr>
                <w:noProof/>
                <w:webHidden/>
              </w:rPr>
              <w:fldChar w:fldCharType="begin"/>
            </w:r>
            <w:r>
              <w:rPr>
                <w:noProof/>
                <w:webHidden/>
              </w:rPr>
              <w:instrText xml:space="preserve"> PAGEREF _Toc191673625 \h </w:instrText>
            </w:r>
            <w:r>
              <w:rPr>
                <w:noProof/>
                <w:webHidden/>
              </w:rPr>
            </w:r>
            <w:r>
              <w:rPr>
                <w:noProof/>
                <w:webHidden/>
              </w:rPr>
              <w:fldChar w:fldCharType="separate"/>
            </w:r>
            <w:r w:rsidR="00C0751C">
              <w:rPr>
                <w:noProof/>
                <w:webHidden/>
              </w:rPr>
              <w:t>9</w:t>
            </w:r>
            <w:r>
              <w:rPr>
                <w:noProof/>
                <w:webHidden/>
              </w:rPr>
              <w:fldChar w:fldCharType="end"/>
            </w:r>
          </w:hyperlink>
        </w:p>
        <w:p w14:paraId="1DD92BC6" w14:textId="5C28D304" w:rsidR="007429E3" w:rsidRDefault="007429E3">
          <w:pPr>
            <w:pStyle w:val="TOC1"/>
            <w:tabs>
              <w:tab w:val="left" w:pos="480"/>
              <w:tab w:val="right" w:leader="dot" w:pos="9016"/>
            </w:tabs>
            <w:rPr>
              <w:noProof/>
            </w:rPr>
          </w:pPr>
          <w:hyperlink w:anchor="_Toc191673626" w:history="1">
            <w:r w:rsidRPr="002D3F0F">
              <w:rPr>
                <w:rStyle w:val="Hyperlink"/>
                <w:noProof/>
              </w:rPr>
              <w:t>8.</w:t>
            </w:r>
            <w:r>
              <w:rPr>
                <w:noProof/>
              </w:rPr>
              <w:tab/>
            </w:r>
            <w:r w:rsidRPr="002D3F0F">
              <w:rPr>
                <w:rStyle w:val="Hyperlink"/>
                <w:noProof/>
              </w:rPr>
              <w:t>Risk and Sustainability</w:t>
            </w:r>
            <w:r>
              <w:rPr>
                <w:noProof/>
                <w:webHidden/>
              </w:rPr>
              <w:tab/>
            </w:r>
            <w:r>
              <w:rPr>
                <w:noProof/>
                <w:webHidden/>
              </w:rPr>
              <w:fldChar w:fldCharType="begin"/>
            </w:r>
            <w:r>
              <w:rPr>
                <w:noProof/>
                <w:webHidden/>
              </w:rPr>
              <w:instrText xml:space="preserve"> PAGEREF _Toc191673626 \h </w:instrText>
            </w:r>
            <w:r>
              <w:rPr>
                <w:noProof/>
                <w:webHidden/>
              </w:rPr>
            </w:r>
            <w:r>
              <w:rPr>
                <w:noProof/>
                <w:webHidden/>
              </w:rPr>
              <w:fldChar w:fldCharType="separate"/>
            </w:r>
            <w:r w:rsidR="00C0751C">
              <w:rPr>
                <w:noProof/>
                <w:webHidden/>
              </w:rPr>
              <w:t>9</w:t>
            </w:r>
            <w:r>
              <w:rPr>
                <w:noProof/>
                <w:webHidden/>
              </w:rPr>
              <w:fldChar w:fldCharType="end"/>
            </w:r>
          </w:hyperlink>
        </w:p>
        <w:p w14:paraId="2F70FF15" w14:textId="5D6563F3" w:rsidR="007429E3" w:rsidRDefault="007429E3">
          <w:pPr>
            <w:pStyle w:val="TOC1"/>
            <w:tabs>
              <w:tab w:val="left" w:pos="480"/>
              <w:tab w:val="right" w:leader="dot" w:pos="9016"/>
            </w:tabs>
            <w:rPr>
              <w:noProof/>
            </w:rPr>
          </w:pPr>
          <w:hyperlink w:anchor="_Toc191673627" w:history="1">
            <w:r w:rsidRPr="002D3F0F">
              <w:rPr>
                <w:rStyle w:val="Hyperlink"/>
                <w:noProof/>
              </w:rPr>
              <w:t>9.</w:t>
            </w:r>
            <w:r>
              <w:rPr>
                <w:noProof/>
              </w:rPr>
              <w:tab/>
            </w:r>
            <w:r w:rsidRPr="002D3F0F">
              <w:rPr>
                <w:rStyle w:val="Hyperlink"/>
                <w:noProof/>
              </w:rPr>
              <w:t>Industry analysis</w:t>
            </w:r>
            <w:r>
              <w:rPr>
                <w:noProof/>
                <w:webHidden/>
              </w:rPr>
              <w:tab/>
            </w:r>
            <w:r>
              <w:rPr>
                <w:noProof/>
                <w:webHidden/>
              </w:rPr>
              <w:fldChar w:fldCharType="begin"/>
            </w:r>
            <w:r>
              <w:rPr>
                <w:noProof/>
                <w:webHidden/>
              </w:rPr>
              <w:instrText xml:space="preserve"> PAGEREF _Toc191673627 \h </w:instrText>
            </w:r>
            <w:r>
              <w:rPr>
                <w:noProof/>
                <w:webHidden/>
              </w:rPr>
            </w:r>
            <w:r>
              <w:rPr>
                <w:noProof/>
                <w:webHidden/>
              </w:rPr>
              <w:fldChar w:fldCharType="separate"/>
            </w:r>
            <w:r w:rsidR="00C0751C">
              <w:rPr>
                <w:noProof/>
                <w:webHidden/>
              </w:rPr>
              <w:t>10</w:t>
            </w:r>
            <w:r>
              <w:rPr>
                <w:noProof/>
                <w:webHidden/>
              </w:rPr>
              <w:fldChar w:fldCharType="end"/>
            </w:r>
          </w:hyperlink>
        </w:p>
        <w:p w14:paraId="1CF68C4B" w14:textId="5753847C" w:rsidR="007429E3" w:rsidRDefault="007429E3">
          <w:pPr>
            <w:pStyle w:val="TOC1"/>
            <w:tabs>
              <w:tab w:val="left" w:pos="720"/>
              <w:tab w:val="right" w:leader="dot" w:pos="9016"/>
            </w:tabs>
            <w:rPr>
              <w:noProof/>
            </w:rPr>
          </w:pPr>
          <w:hyperlink w:anchor="_Toc191673628" w:history="1">
            <w:r w:rsidRPr="002D3F0F">
              <w:rPr>
                <w:rStyle w:val="Hyperlink"/>
                <w:noProof/>
              </w:rPr>
              <w:t>10.</w:t>
            </w:r>
            <w:r>
              <w:rPr>
                <w:noProof/>
              </w:rPr>
              <w:tab/>
            </w:r>
            <w:r w:rsidRPr="002D3F0F">
              <w:rPr>
                <w:rStyle w:val="Hyperlink"/>
                <w:noProof/>
              </w:rPr>
              <w:t>Conclusion</w:t>
            </w:r>
            <w:r>
              <w:rPr>
                <w:noProof/>
                <w:webHidden/>
              </w:rPr>
              <w:tab/>
            </w:r>
            <w:r>
              <w:rPr>
                <w:noProof/>
                <w:webHidden/>
              </w:rPr>
              <w:fldChar w:fldCharType="begin"/>
            </w:r>
            <w:r>
              <w:rPr>
                <w:noProof/>
                <w:webHidden/>
              </w:rPr>
              <w:instrText xml:space="preserve"> PAGEREF _Toc191673628 \h </w:instrText>
            </w:r>
            <w:r>
              <w:rPr>
                <w:noProof/>
                <w:webHidden/>
              </w:rPr>
            </w:r>
            <w:r>
              <w:rPr>
                <w:noProof/>
                <w:webHidden/>
              </w:rPr>
              <w:fldChar w:fldCharType="separate"/>
            </w:r>
            <w:r w:rsidR="00C0751C">
              <w:rPr>
                <w:noProof/>
                <w:webHidden/>
              </w:rPr>
              <w:t>11</w:t>
            </w:r>
            <w:r>
              <w:rPr>
                <w:noProof/>
                <w:webHidden/>
              </w:rPr>
              <w:fldChar w:fldCharType="end"/>
            </w:r>
          </w:hyperlink>
        </w:p>
        <w:p w14:paraId="3970CD8C" w14:textId="555BEB7B" w:rsidR="007429E3" w:rsidRDefault="007429E3">
          <w:pPr>
            <w:pStyle w:val="TOC1"/>
            <w:tabs>
              <w:tab w:val="right" w:leader="dot" w:pos="9016"/>
            </w:tabs>
            <w:rPr>
              <w:noProof/>
            </w:rPr>
          </w:pPr>
          <w:hyperlink w:anchor="_Toc191673629" w:history="1">
            <w:r w:rsidRPr="002D3F0F">
              <w:rPr>
                <w:rStyle w:val="Hyperlink"/>
                <w:noProof/>
              </w:rPr>
              <w:t>References</w:t>
            </w:r>
            <w:r>
              <w:rPr>
                <w:noProof/>
                <w:webHidden/>
              </w:rPr>
              <w:tab/>
            </w:r>
            <w:r>
              <w:rPr>
                <w:noProof/>
                <w:webHidden/>
              </w:rPr>
              <w:fldChar w:fldCharType="begin"/>
            </w:r>
            <w:r>
              <w:rPr>
                <w:noProof/>
                <w:webHidden/>
              </w:rPr>
              <w:instrText xml:space="preserve"> PAGEREF _Toc191673629 \h </w:instrText>
            </w:r>
            <w:r>
              <w:rPr>
                <w:noProof/>
                <w:webHidden/>
              </w:rPr>
            </w:r>
            <w:r>
              <w:rPr>
                <w:noProof/>
                <w:webHidden/>
              </w:rPr>
              <w:fldChar w:fldCharType="separate"/>
            </w:r>
            <w:r w:rsidR="00C0751C">
              <w:rPr>
                <w:noProof/>
                <w:webHidden/>
              </w:rPr>
              <w:t>12</w:t>
            </w:r>
            <w:r>
              <w:rPr>
                <w:noProof/>
                <w:webHidden/>
              </w:rPr>
              <w:fldChar w:fldCharType="end"/>
            </w:r>
          </w:hyperlink>
        </w:p>
        <w:p w14:paraId="75BAE116" w14:textId="21655BAA" w:rsidR="007429E3" w:rsidRDefault="007429E3">
          <w:r>
            <w:rPr>
              <w:b/>
              <w:bCs/>
              <w:noProof/>
            </w:rPr>
            <w:fldChar w:fldCharType="end"/>
          </w:r>
        </w:p>
      </w:sdtContent>
    </w:sdt>
    <w:p w14:paraId="1CD93BCE" w14:textId="77777777" w:rsidR="00DF1E07" w:rsidRDefault="00DF1E07"/>
    <w:p w14:paraId="7D13531A" w14:textId="77777777" w:rsidR="00DF1E07" w:rsidRDefault="00DF1E07"/>
    <w:p w14:paraId="585DE69B" w14:textId="77777777" w:rsidR="00DF1E07" w:rsidRDefault="00DF1E07"/>
    <w:p w14:paraId="1FE70667" w14:textId="77777777" w:rsidR="00DF1E07" w:rsidRDefault="00DF1E07"/>
    <w:p w14:paraId="3992785A" w14:textId="77777777" w:rsidR="00DF1E07" w:rsidRDefault="00DF1E07"/>
    <w:p w14:paraId="3AE0D183" w14:textId="77777777" w:rsidR="00DF1E07" w:rsidRDefault="00DF1E07"/>
    <w:p w14:paraId="6A4DE908" w14:textId="77777777" w:rsidR="00DF1E07" w:rsidRDefault="00DF1E07"/>
    <w:p w14:paraId="58D23755" w14:textId="77777777" w:rsidR="00DF1E07" w:rsidRDefault="00DF1E07"/>
    <w:p w14:paraId="3AB036E0" w14:textId="77777777" w:rsidR="00DF1E07" w:rsidRDefault="00DF1E07"/>
    <w:p w14:paraId="543D5DF6" w14:textId="77777777" w:rsidR="00DF1E07" w:rsidRDefault="00DF1E07"/>
    <w:p w14:paraId="364CD313" w14:textId="77777777" w:rsidR="00DF1E07" w:rsidRDefault="00DF1E07"/>
    <w:p w14:paraId="0CC60FAA" w14:textId="77777777" w:rsidR="00DF1E07" w:rsidRDefault="00DF1E07"/>
    <w:p w14:paraId="124E4575" w14:textId="77777777" w:rsidR="00DF1E07" w:rsidRDefault="00DF1E07"/>
    <w:p w14:paraId="16C4FA4E" w14:textId="77777777" w:rsidR="00DF1E07" w:rsidRDefault="00DF1E07"/>
    <w:p w14:paraId="6652EE74" w14:textId="77777777" w:rsidR="00DF1E07" w:rsidRDefault="00DF1E07"/>
    <w:p w14:paraId="19D60167" w14:textId="77777777" w:rsidR="00DF1E07" w:rsidRDefault="00DF1E07"/>
    <w:p w14:paraId="2AB56928" w14:textId="77777777" w:rsidR="00DF1E07" w:rsidRDefault="00DF1E07"/>
    <w:p w14:paraId="06073017" w14:textId="77777777" w:rsidR="00DF1E07" w:rsidRDefault="00DF1E07"/>
    <w:p w14:paraId="31128D3D" w14:textId="77777777" w:rsidR="00DF1E07" w:rsidRPr="00C0751C" w:rsidRDefault="00DF1E07" w:rsidP="00C0751C">
      <w:pPr>
        <w:spacing w:line="360" w:lineRule="auto"/>
        <w:rPr>
          <w:rFonts w:ascii="Arial" w:hAnsi="Arial" w:cs="Arial"/>
          <w:sz w:val="24"/>
          <w:szCs w:val="24"/>
        </w:rPr>
      </w:pPr>
    </w:p>
    <w:p w14:paraId="3C502ED5" w14:textId="77777777" w:rsidR="00DF1E07" w:rsidRPr="00C0751C" w:rsidRDefault="00DF1E07" w:rsidP="00C0751C">
      <w:pPr>
        <w:spacing w:line="360" w:lineRule="auto"/>
        <w:rPr>
          <w:rFonts w:ascii="Arial" w:hAnsi="Arial" w:cs="Arial"/>
          <w:sz w:val="24"/>
          <w:szCs w:val="24"/>
        </w:rPr>
      </w:pPr>
    </w:p>
    <w:p w14:paraId="7AD20F6E" w14:textId="4C2B3B9B" w:rsidR="00DF1E07" w:rsidRPr="00C0751C" w:rsidRDefault="00DF1E07" w:rsidP="00C0751C">
      <w:pPr>
        <w:pStyle w:val="EU"/>
        <w:numPr>
          <w:ilvl w:val="0"/>
          <w:numId w:val="1"/>
        </w:numPr>
        <w:spacing w:line="360" w:lineRule="auto"/>
        <w:rPr>
          <w:color w:val="auto"/>
        </w:rPr>
      </w:pPr>
      <w:bookmarkStart w:id="0" w:name="_Toc191673619"/>
      <w:r w:rsidRPr="00C0751C">
        <w:rPr>
          <w:color w:val="auto"/>
        </w:rPr>
        <w:t>Introduction</w:t>
      </w:r>
      <w:bookmarkEnd w:id="0"/>
      <w:r w:rsidRPr="00C0751C">
        <w:rPr>
          <w:color w:val="auto"/>
        </w:rPr>
        <w:t xml:space="preserve"> </w:t>
      </w:r>
    </w:p>
    <w:p w14:paraId="6A57FDB5" w14:textId="18D3C745" w:rsidR="00DF1E07" w:rsidRPr="00C0751C" w:rsidRDefault="008F6FD5" w:rsidP="00C0751C">
      <w:pPr>
        <w:spacing w:line="360" w:lineRule="auto"/>
        <w:jc w:val="both"/>
        <w:rPr>
          <w:rFonts w:ascii="Arial" w:hAnsi="Arial" w:cs="Arial"/>
          <w:sz w:val="24"/>
          <w:szCs w:val="24"/>
        </w:rPr>
      </w:pPr>
      <w:r w:rsidRPr="00C0751C">
        <w:rPr>
          <w:rFonts w:ascii="Arial" w:hAnsi="Arial" w:cs="Arial"/>
          <w:sz w:val="24"/>
          <w:szCs w:val="24"/>
        </w:rPr>
        <w:t>International conferences and meetings are essential for the purpose of facilitating the exchange of knowledge, fostering professional connections, and promoting innovation across a variety of industries (Getz and Page, 2019). International meetings management is founded on a diverse array of theoretical models that assist event coordinators in the organisation and execution of successful events (Rogers and Wynn-Moylan, 2022). The event cycle is a fundamental concept that typically consists of five stages: concept development, feasibility analysis, planning, implementation, and evaluation (Getz and Page, 2019). Organisers identify market gaps, themes, and target audiences during the concept development process. Feasibility analysis then integrates frameworks such as Porter's Five Forces or PESTEL to assess the external influences on costs, attendee motivations, and broader economic conditions (Smith, 2012). In parallel, marketing theories, including the extended 7Ps—product, price, place, promotion, people, process, and physical evidence—offer a structured perspective for event positioning. These components guarantee that the primary offering resonates with participants, pricing is perceived as equitable, and promotion is directed to the appropriate stakeholders (Rogers and Wynn-Moylan, 2022). In the interim, project management concepts delineate the process of assigning responsibilities, establishing milestones, and mitigating risks (Meredith, 2022). The events sector can effectively manage complex logistical requirements, particularly when attendees converge from multiple international locations, by combining strategic insights with robust operational tactics (O'Toole, 2011). In recent years, there has been an increasing acknowledgement of the necessity to enhance the inclusivity, diversity, and equity of these events. This awareness is consistent with the broader societal changes that prioritise equitable representation and accessible opportunities for all participants (</w:t>
      </w:r>
      <w:r w:rsidR="00C0751C" w:rsidRPr="00C0751C">
        <w:rPr>
          <w:rFonts w:ascii="Arial" w:hAnsi="Arial" w:cs="Arial"/>
          <w:sz w:val="24"/>
          <w:szCs w:val="24"/>
        </w:rPr>
        <w:t>Dover et al.</w:t>
      </w:r>
      <w:r w:rsidRPr="00C0751C">
        <w:rPr>
          <w:rFonts w:ascii="Arial" w:hAnsi="Arial" w:cs="Arial"/>
          <w:sz w:val="24"/>
          <w:szCs w:val="24"/>
        </w:rPr>
        <w:t>, 202</w:t>
      </w:r>
      <w:r w:rsidR="00C0751C" w:rsidRPr="00C0751C">
        <w:rPr>
          <w:rFonts w:ascii="Arial" w:hAnsi="Arial" w:cs="Arial"/>
          <w:sz w:val="24"/>
          <w:szCs w:val="24"/>
        </w:rPr>
        <w:t>0</w:t>
      </w:r>
      <w:r w:rsidRPr="00C0751C">
        <w:rPr>
          <w:rFonts w:ascii="Arial" w:hAnsi="Arial" w:cs="Arial"/>
          <w:sz w:val="24"/>
          <w:szCs w:val="24"/>
        </w:rPr>
        <w:t xml:space="preserve">). Equality, Diversity, and Inclusion (EDI) events have become increasingly popular in the global marketplace as organisations acknowledge the competitive advantages of an inclusive culture (García-Rodríguez, Dorta-Afonso </w:t>
      </w:r>
      <w:r w:rsidRPr="00C0751C">
        <w:rPr>
          <w:rFonts w:ascii="Arial" w:hAnsi="Arial" w:cs="Arial"/>
          <w:sz w:val="24"/>
          <w:szCs w:val="24"/>
        </w:rPr>
        <w:lastRenderedPageBreak/>
        <w:t>and González-de-la-Rosa, 2020). A systematic approach to event planning is necessary to create a meaningful and impactful occasion. Fox, Carson, and Ko (2014) provide invaluable guidance in ensuring feasibility, financial viability, and stakeholder satisfaction by incorporating theories from marketing, project planning, and meetings management. The following discussion applies these theoretical insights to a large-scale international conference titled Global Inclusion Summit: EDI in Focus. The objective of this multi-day event is to bring together corporate leaders, policymakers, and practitioners who are committed to the advancement of inclusive workplace practices. This summit, which is held in London, a globally recognised centre for international gatherings, serves as an illustration of the theoretical foundation that underpins each decision, from conceptual design to post-event evaluation.</w:t>
      </w:r>
    </w:p>
    <w:p w14:paraId="021DEA0B" w14:textId="75A30CB2" w:rsidR="008F6FD5" w:rsidRPr="00C0751C" w:rsidRDefault="008F6FD5" w:rsidP="00C0751C">
      <w:pPr>
        <w:pStyle w:val="EU"/>
        <w:numPr>
          <w:ilvl w:val="0"/>
          <w:numId w:val="1"/>
        </w:numPr>
        <w:spacing w:line="360" w:lineRule="auto"/>
        <w:rPr>
          <w:color w:val="auto"/>
        </w:rPr>
      </w:pPr>
      <w:bookmarkStart w:id="1" w:name="_Toc191673620"/>
      <w:r w:rsidRPr="00C0751C">
        <w:rPr>
          <w:color w:val="auto"/>
        </w:rPr>
        <w:t>Event Content and Context</w:t>
      </w:r>
      <w:bookmarkEnd w:id="1"/>
    </w:p>
    <w:p w14:paraId="0EE54388" w14:textId="75358AFC" w:rsidR="008F6FD5" w:rsidRPr="00C0751C" w:rsidRDefault="008F6FD5" w:rsidP="00C0751C">
      <w:pPr>
        <w:spacing w:line="360" w:lineRule="auto"/>
        <w:jc w:val="both"/>
        <w:rPr>
          <w:rFonts w:ascii="Arial" w:hAnsi="Arial" w:cs="Arial"/>
          <w:sz w:val="24"/>
          <w:szCs w:val="24"/>
          <w:lang w:eastAsia="en-GB"/>
        </w:rPr>
      </w:pPr>
      <w:r w:rsidRPr="00C0751C">
        <w:rPr>
          <w:rFonts w:ascii="Arial" w:hAnsi="Arial" w:cs="Arial"/>
          <w:sz w:val="24"/>
          <w:szCs w:val="24"/>
          <w:lang w:eastAsia="en-GB"/>
        </w:rPr>
        <w:t xml:space="preserve">The "Global EDI Forum: Advancing Inclusive Industry Practices" is a proposed international event that would concentrate on the current and emerging challenges that companies encounter in their efforts to cultivate inclusive and diverse work environments. This event would be a multi-day conference that would consist of keynote presentations, panel discussions, and targeted seminars. During the planning phase, organisers would identify subject-matter experts in EDI, including human resource administrators and academics who specialise in workplace equity (Rogers and Wynn-Moylan, 2022). The forum can cater to a diverse range of learning preferences and encourage more profound engagement by offering a diverse selection of session formats, including case study analyses, roundtable debates, and experiential learning laboratories. This method is consistent with the current body of event management literature, which emphasises the importance of interactive and experiential elements in improving delegate satisfaction (Fox, Carson, and Ko, 2014). Additionally, the conference's designation as a knowledge-exchange platform guarantees that attendees will depart with actionable strategies to implement within their organisations. A location that demonstrates multiculturalism and international business presence would be highly appropriate, given the theme's global resonance. London, New York, and Singapore are cities that are known for their extensive infrastructures and their ability to host large-scale international conferences (Smith, 2012). Multinational corporations and government entities seeking a centrally located </w:t>
      </w:r>
      <w:r w:rsidRPr="00C0751C">
        <w:rPr>
          <w:rFonts w:ascii="Arial" w:hAnsi="Arial" w:cs="Arial"/>
          <w:sz w:val="24"/>
          <w:szCs w:val="24"/>
          <w:lang w:eastAsia="en-GB"/>
        </w:rPr>
        <w:lastRenderedPageBreak/>
        <w:t>event space are particularly drawn to London's robust public transport, diversified cultural amenities, and ample conference facilities.</w:t>
      </w:r>
    </w:p>
    <w:p w14:paraId="538EA965" w14:textId="5AA69432" w:rsidR="008F6FD5" w:rsidRPr="00C0751C" w:rsidRDefault="0073214E" w:rsidP="00C0751C">
      <w:pPr>
        <w:pStyle w:val="EU"/>
        <w:numPr>
          <w:ilvl w:val="0"/>
          <w:numId w:val="1"/>
        </w:numPr>
        <w:spacing w:line="360" w:lineRule="auto"/>
        <w:rPr>
          <w:color w:val="auto"/>
        </w:rPr>
      </w:pPr>
      <w:bookmarkStart w:id="2" w:name="_Toc191673621"/>
      <w:r w:rsidRPr="00C0751C">
        <w:rPr>
          <w:color w:val="auto"/>
        </w:rPr>
        <w:t>Market Factors</w:t>
      </w:r>
      <w:bookmarkEnd w:id="2"/>
    </w:p>
    <w:p w14:paraId="09D44C72" w14:textId="085991B2"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lang w:eastAsia="en-GB"/>
        </w:rPr>
        <w:t>Demand, supply, competition, and marketing opportunities are evaluated during a critical analysis of market factors (Rogers and Wynn-Moylan, 2022). Numerous corporations have pledged to enhance their social responsibility and diversity initiatives, which is indicative of the substantial increase in demand for EDI-related content (</w:t>
      </w:r>
      <w:proofErr w:type="spellStart"/>
      <w:r w:rsidRPr="00C0751C">
        <w:rPr>
          <w:rFonts w:ascii="Arial" w:hAnsi="Arial" w:cs="Arial"/>
          <w:sz w:val="24"/>
          <w:szCs w:val="24"/>
          <w:lang w:eastAsia="en-GB"/>
        </w:rPr>
        <w:t>Nedzvedskyi</w:t>
      </w:r>
      <w:proofErr w:type="spellEnd"/>
      <w:r w:rsidRPr="00C0751C">
        <w:rPr>
          <w:rFonts w:ascii="Arial" w:hAnsi="Arial" w:cs="Arial"/>
          <w:sz w:val="24"/>
          <w:szCs w:val="24"/>
          <w:lang w:eastAsia="en-GB"/>
        </w:rPr>
        <w:t xml:space="preserve">, Chang, and Thomson, 2024). A prospective audience of diversity managers, administrators, and human resource specialists is established </w:t>
      </w:r>
      <w:proofErr w:type="gramStart"/>
      <w:r w:rsidRPr="00C0751C">
        <w:rPr>
          <w:rFonts w:ascii="Arial" w:hAnsi="Arial" w:cs="Arial"/>
          <w:sz w:val="24"/>
          <w:szCs w:val="24"/>
          <w:lang w:eastAsia="en-GB"/>
        </w:rPr>
        <w:t>as a result of</w:t>
      </w:r>
      <w:proofErr w:type="gramEnd"/>
      <w:r w:rsidRPr="00C0751C">
        <w:rPr>
          <w:rFonts w:ascii="Arial" w:hAnsi="Arial" w:cs="Arial"/>
          <w:sz w:val="24"/>
          <w:szCs w:val="24"/>
          <w:lang w:eastAsia="en-GB"/>
        </w:rPr>
        <w:t xml:space="preserve"> the significant investment of numerous organisations in professional development and training to foster inclusive leadership. Concurrently, the professional conference market is highly competitive. Corporate social responsibility, leadership development, and human capital themes are currently the focus of a variety of events, both in person and online (Yingling, 2024). The Global EDI Forum's emphasis on in-depth, evidence-based methodologies that participants can customise to their specific industry contexts would serve as a distinctive selling point. This method distinguishes it from generic diversity summits that solely emphasise success tales without exploring the intricacies of effective implementation. Additionally, the forum may include interactive seminars that encourage participants to evaluate their own corporate policies and monitor quantifiable results. It is logical that marketing initiatives would prioritise these distinctive features, utilising targeted campaigns through professional networks, social media platforms, and direct outreach to corporations and industry bodies. The Forum's credibility would be communicated through the prestige of its selected venue, the rigour of its content, and the calibre of its presenters through effective branding (Getz and Page, 2019). In turn, sponsoring organisations could capitalise on branding opportunities to align themselves with a public commitment to promoting equitable workplaces.</w:t>
      </w:r>
    </w:p>
    <w:p w14:paraId="3A87F7F4" w14:textId="433C8DF5" w:rsidR="0073214E" w:rsidRPr="00C0751C" w:rsidRDefault="0073214E" w:rsidP="00C0751C">
      <w:pPr>
        <w:pStyle w:val="EU"/>
        <w:numPr>
          <w:ilvl w:val="0"/>
          <w:numId w:val="1"/>
        </w:numPr>
        <w:spacing w:line="360" w:lineRule="auto"/>
        <w:rPr>
          <w:color w:val="auto"/>
        </w:rPr>
      </w:pPr>
      <w:bookmarkStart w:id="3" w:name="_Toc191673622"/>
      <w:r w:rsidRPr="00C0751C">
        <w:rPr>
          <w:color w:val="auto"/>
        </w:rPr>
        <w:t>Operational Factors</w:t>
      </w:r>
      <w:bookmarkEnd w:id="3"/>
    </w:p>
    <w:p w14:paraId="4179D9D5" w14:textId="177D0AD9"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lang w:eastAsia="en-GB"/>
        </w:rPr>
        <w:t xml:space="preserve">A comprehensive assessment of logistical competencies, resource availability, and venue suitability is required to determine operational feasibility (O'Toole, 2011). In addition to accommodating the anticipated number of attendees, the venue chosen should also offer accessible amenities that align with the event's inclusive mission. </w:t>
      </w:r>
      <w:r w:rsidRPr="00C0751C">
        <w:rPr>
          <w:rFonts w:ascii="Arial" w:hAnsi="Arial" w:cs="Arial"/>
          <w:sz w:val="24"/>
          <w:szCs w:val="24"/>
          <w:lang w:eastAsia="en-GB"/>
        </w:rPr>
        <w:lastRenderedPageBreak/>
        <w:t>Dedicated parking, accessibility for individuals with disabilities, and proximity to public transportation are critical components of a welcoming and comfortable environment for all participants. Event coordinators, technical personnel, and support staff who are adept at overseeing diverse, sizable audiences would be necessary (Meredith, 2022). Resources are not limited to human capital; they also encompass audio-visual requirements, hospitality, exhibit space, and digital infrastructure. The latter is particularly significant, as numerous contemporary conferences integrate hybrid components that enable remote participants to participate in specific sessions virtually. To ensure a seamless delegate experience, it is imperative to meticulously evaluate lighting, sound systems, and Wi-Fi bandwidth (Fox, Carson, and Ko, 2014). If the event is intended to attract global partners who are accustomed to high production values, the credibility of the event could be compromised by a lack of technical expertise or an insufficient IT support at the venue. Furthermore, the event schedule should be designed to ensure that keynote segments are strategically balanced with smaller breakout discussions, which will enable participants to investigate niche topics in focused settings (Rogers and Wynn-Moylan, 2022). To accommodate attendees with diverse physical and linguistic requirements, it may be necessary to provide sign-language interpreters, braille materials, or translation services. It is essential for an event that is focused on EDI to exhibit a tangible commitment to accessibility and diversity in all operational decisions (García-Rodríguez, Dorta-Afonso and González-de-la-Rosa, 2020).</w:t>
      </w:r>
    </w:p>
    <w:p w14:paraId="64AD662F" w14:textId="6406B1F6" w:rsidR="0073214E" w:rsidRPr="00C0751C" w:rsidRDefault="0073214E" w:rsidP="00C0751C">
      <w:pPr>
        <w:pStyle w:val="EU"/>
        <w:numPr>
          <w:ilvl w:val="0"/>
          <w:numId w:val="1"/>
        </w:numPr>
        <w:spacing w:line="360" w:lineRule="auto"/>
        <w:rPr>
          <w:color w:val="auto"/>
        </w:rPr>
      </w:pPr>
      <w:bookmarkStart w:id="4" w:name="_Toc191673623"/>
      <w:r w:rsidRPr="00C0751C">
        <w:rPr>
          <w:color w:val="auto"/>
        </w:rPr>
        <w:t>Financial feasibility</w:t>
      </w:r>
      <w:bookmarkEnd w:id="4"/>
      <w:r w:rsidRPr="00C0751C">
        <w:rPr>
          <w:color w:val="auto"/>
        </w:rPr>
        <w:t xml:space="preserve"> </w:t>
      </w:r>
    </w:p>
    <w:p w14:paraId="37CBD0FC" w14:textId="098A62C5"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lang w:eastAsia="en-GB"/>
        </w:rPr>
        <w:t>The Global EDI Forum's financial sustainability is of the utmost importance, as any deficit could potentially undermine its long-term viability and erode stakeholder confidence (</w:t>
      </w:r>
      <w:proofErr w:type="spellStart"/>
      <w:r w:rsidRPr="00C0751C">
        <w:rPr>
          <w:rFonts w:ascii="Arial" w:hAnsi="Arial" w:cs="Arial"/>
          <w:sz w:val="24"/>
          <w:szCs w:val="24"/>
          <w:lang w:eastAsia="en-GB"/>
        </w:rPr>
        <w:t>Nedzvedskyi</w:t>
      </w:r>
      <w:proofErr w:type="spellEnd"/>
      <w:r w:rsidRPr="00C0751C">
        <w:rPr>
          <w:rFonts w:ascii="Arial" w:hAnsi="Arial" w:cs="Arial"/>
          <w:sz w:val="24"/>
          <w:szCs w:val="24"/>
          <w:lang w:eastAsia="en-GB"/>
        </w:rPr>
        <w:t xml:space="preserve">, Chang, and Thomson, 2024). As a result, </w:t>
      </w:r>
      <w:proofErr w:type="gramStart"/>
      <w:r w:rsidRPr="00C0751C">
        <w:rPr>
          <w:rFonts w:ascii="Arial" w:hAnsi="Arial" w:cs="Arial"/>
          <w:sz w:val="24"/>
          <w:szCs w:val="24"/>
          <w:lang w:eastAsia="en-GB"/>
        </w:rPr>
        <w:t>in order to</w:t>
      </w:r>
      <w:proofErr w:type="gramEnd"/>
      <w:r w:rsidRPr="00C0751C">
        <w:rPr>
          <w:rFonts w:ascii="Arial" w:hAnsi="Arial" w:cs="Arial"/>
          <w:sz w:val="24"/>
          <w:szCs w:val="24"/>
          <w:lang w:eastAsia="en-GB"/>
        </w:rPr>
        <w:t xml:space="preserve"> mitigate risk and protect against market fluctuations, revenue generation must be derived from multiple sources. Consequently, organisers have devised tiered sponsorship packages (Platinum, Gold, and Silver) that provide corporate backers with exclusive networking events, prime speaking slots, and varying degrees of brand exposure. Concurrently, ticket sales—which include early-bird, standard, and VIP tiers—are designed to appeal to a diverse array of delegates, including students and senior executives who are in search of specific EDI insights. Consequently, the forum's appeal is expanded and its dependence on a single income source is reduced. By </w:t>
      </w:r>
      <w:r w:rsidRPr="00C0751C">
        <w:rPr>
          <w:rFonts w:ascii="Arial" w:hAnsi="Arial" w:cs="Arial"/>
          <w:sz w:val="24"/>
          <w:szCs w:val="24"/>
          <w:lang w:eastAsia="en-GB"/>
        </w:rPr>
        <w:lastRenderedPageBreak/>
        <w:t xml:space="preserve">inviting companies that specialise in inclusive recruitment technology, diversity consulting, and other relevant services to exhibit their offerings in designated booth areas, exhibitor fees further strengthen revenue, thereby establishing a practical bridge between academic discourse and market solutions (Meredith, 2022). Merchandise sales, which include publications and manuals that are branded with the conference, generate additional revenue that serves to reinforce the learning outcomes for an extended period following the event. In the interim, anticipated expenditures are focused on critical categories that are intended to improve the attendee experience and the content. Due to the necessity of accessible, state-of-the-art conference facilities that can accommodate large audiences without compromising on technical or mobility requirements, venue hire represents a substantial expenditure. The market rate for thought leaders who </w:t>
      </w:r>
      <w:proofErr w:type="gramStart"/>
      <w:r w:rsidRPr="00C0751C">
        <w:rPr>
          <w:rFonts w:ascii="Arial" w:hAnsi="Arial" w:cs="Arial"/>
          <w:sz w:val="24"/>
          <w:szCs w:val="24"/>
          <w:lang w:eastAsia="en-GB"/>
        </w:rPr>
        <w:t>are capable of delivering</w:t>
      </w:r>
      <w:proofErr w:type="gramEnd"/>
      <w:r w:rsidRPr="00C0751C">
        <w:rPr>
          <w:rFonts w:ascii="Arial" w:hAnsi="Arial" w:cs="Arial"/>
          <w:sz w:val="24"/>
          <w:szCs w:val="24"/>
          <w:lang w:eastAsia="en-GB"/>
        </w:rPr>
        <w:t xml:space="preserve"> evidence-based sessions that are abundant in applied research and best-practice examples is reflected in speaker fees (Rogers and Wynn-Moylan, 2022). Fox, Carson, and Ko (2014) emphasise that tailored campaigns across social media, professional networks, and targeted email databases are the primary focus of substantial marketing and promotion costs, which in turn drive attendee registrations from a global audience. The event's core ethos is affirmed by the meticulously allotted resources for accessibility measures, such as sign-language interpretation and braille materials, while the commitment to inclusivity is underscored by the catering costs. Additionally, a broad variety of dietary options is provided. A distinct line item for technical and audiovisual equipment guarantees that all presentations, seminars, and panel discussions are conducted efficiently, with the assistance of dependable internet connections and high-quality sound systems. Lastly, a modest contingency fund is established to address unforeseen circumstances, such as last-minute logistical adjustments or currency fluctuations. This ensures that the event is both fiscally balanced and professional, as demonstrated by the projected surplus of £80,000. </w:t>
      </w:r>
      <w:r w:rsidR="00C0751C" w:rsidRPr="00C0751C">
        <w:rPr>
          <w:rFonts w:ascii="Arial" w:hAnsi="Arial" w:cs="Arial"/>
          <w:sz w:val="24"/>
          <w:szCs w:val="24"/>
          <w:lang w:eastAsia="en-GB"/>
        </w:rPr>
        <w:t>Thus</w:t>
      </w:r>
      <w:r w:rsidRPr="00C0751C">
        <w:rPr>
          <w:rFonts w:ascii="Arial" w:hAnsi="Arial" w:cs="Arial"/>
          <w:sz w:val="24"/>
          <w:szCs w:val="24"/>
          <w:lang w:eastAsia="en-GB"/>
        </w:rPr>
        <w:t>, this organised strategy for revenue generation and expenditure allocation—supported by data obtained from previous industry presentations and current market research—exemplifies how a meticulously maintained budget can serve as the foundation for an event's objectives without sacrificing quality or financial stability.</w:t>
      </w:r>
    </w:p>
    <w:tbl>
      <w:tblPr>
        <w:tblStyle w:val="TableGrid"/>
        <w:tblW w:w="0" w:type="auto"/>
        <w:tblLook w:val="04A0" w:firstRow="1" w:lastRow="0" w:firstColumn="1" w:lastColumn="0" w:noHBand="0" w:noVBand="1"/>
      </w:tblPr>
      <w:tblGrid>
        <w:gridCol w:w="3005"/>
        <w:gridCol w:w="3005"/>
        <w:gridCol w:w="3006"/>
      </w:tblGrid>
      <w:tr w:rsidR="00C0751C" w:rsidRPr="00C0751C" w14:paraId="6A37C3AF" w14:textId="77777777" w:rsidTr="0073214E">
        <w:tc>
          <w:tcPr>
            <w:tcW w:w="3005" w:type="dxa"/>
          </w:tcPr>
          <w:p w14:paraId="257EBBFF" w14:textId="1F663F4C" w:rsidR="0073214E" w:rsidRPr="00C0751C" w:rsidRDefault="0073214E" w:rsidP="00C0751C">
            <w:pPr>
              <w:spacing w:line="360" w:lineRule="auto"/>
              <w:jc w:val="both"/>
              <w:rPr>
                <w:rFonts w:ascii="Arial" w:hAnsi="Arial" w:cs="Arial"/>
                <w:b/>
                <w:bCs/>
                <w:sz w:val="24"/>
                <w:szCs w:val="24"/>
                <w:lang w:eastAsia="en-GB"/>
              </w:rPr>
            </w:pPr>
            <w:r w:rsidRPr="00C0751C">
              <w:rPr>
                <w:rFonts w:ascii="Arial" w:hAnsi="Arial" w:cs="Arial"/>
                <w:b/>
                <w:bCs/>
                <w:sz w:val="24"/>
                <w:szCs w:val="24"/>
              </w:rPr>
              <w:t>Item</w:t>
            </w:r>
          </w:p>
        </w:tc>
        <w:tc>
          <w:tcPr>
            <w:tcW w:w="3005" w:type="dxa"/>
          </w:tcPr>
          <w:p w14:paraId="09FEEDA5" w14:textId="3096FE6F" w:rsidR="0073214E" w:rsidRPr="00C0751C" w:rsidRDefault="0073214E" w:rsidP="00C0751C">
            <w:pPr>
              <w:spacing w:line="360" w:lineRule="auto"/>
              <w:jc w:val="both"/>
              <w:rPr>
                <w:rFonts w:ascii="Arial" w:hAnsi="Arial" w:cs="Arial"/>
                <w:b/>
                <w:bCs/>
                <w:sz w:val="24"/>
                <w:szCs w:val="24"/>
                <w:lang w:eastAsia="en-GB"/>
              </w:rPr>
            </w:pPr>
            <w:r w:rsidRPr="00C0751C">
              <w:rPr>
                <w:rFonts w:ascii="Arial" w:hAnsi="Arial" w:cs="Arial"/>
                <w:b/>
                <w:bCs/>
                <w:sz w:val="24"/>
                <w:szCs w:val="24"/>
              </w:rPr>
              <w:t>Projected Income (£)</w:t>
            </w:r>
          </w:p>
        </w:tc>
        <w:tc>
          <w:tcPr>
            <w:tcW w:w="3006" w:type="dxa"/>
          </w:tcPr>
          <w:p w14:paraId="13EF9BC6" w14:textId="2BABA82A" w:rsidR="0073214E" w:rsidRPr="00C0751C" w:rsidRDefault="0073214E" w:rsidP="00C0751C">
            <w:pPr>
              <w:spacing w:line="360" w:lineRule="auto"/>
              <w:jc w:val="both"/>
              <w:rPr>
                <w:rFonts w:ascii="Arial" w:hAnsi="Arial" w:cs="Arial"/>
                <w:b/>
                <w:bCs/>
                <w:sz w:val="24"/>
                <w:szCs w:val="24"/>
                <w:lang w:eastAsia="en-GB"/>
              </w:rPr>
            </w:pPr>
            <w:r w:rsidRPr="00C0751C">
              <w:rPr>
                <w:rFonts w:ascii="Arial" w:hAnsi="Arial" w:cs="Arial"/>
                <w:b/>
                <w:bCs/>
                <w:sz w:val="24"/>
                <w:szCs w:val="24"/>
              </w:rPr>
              <w:t>Projected Expenditure (£)</w:t>
            </w:r>
          </w:p>
        </w:tc>
      </w:tr>
      <w:tr w:rsidR="00C0751C" w:rsidRPr="00C0751C" w14:paraId="5A675645" w14:textId="77777777" w:rsidTr="0073214E">
        <w:tc>
          <w:tcPr>
            <w:tcW w:w="3005" w:type="dxa"/>
          </w:tcPr>
          <w:p w14:paraId="785AF8B9" w14:textId="735F23CE"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lastRenderedPageBreak/>
              <w:t>Sponsorship</w:t>
            </w:r>
          </w:p>
        </w:tc>
        <w:tc>
          <w:tcPr>
            <w:tcW w:w="3005" w:type="dxa"/>
          </w:tcPr>
          <w:p w14:paraId="5504BD7A" w14:textId="23ED79CB"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70,000</w:t>
            </w:r>
          </w:p>
        </w:tc>
        <w:tc>
          <w:tcPr>
            <w:tcW w:w="3006" w:type="dxa"/>
          </w:tcPr>
          <w:p w14:paraId="31E5DD4B" w14:textId="68662035"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w:t>
            </w:r>
          </w:p>
        </w:tc>
      </w:tr>
      <w:tr w:rsidR="00C0751C" w:rsidRPr="00C0751C" w14:paraId="3FD46552" w14:textId="77777777" w:rsidTr="0073214E">
        <w:tc>
          <w:tcPr>
            <w:tcW w:w="3005" w:type="dxa"/>
          </w:tcPr>
          <w:p w14:paraId="49656E9B" w14:textId="30EE8BB0"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Ticket Sales (500 Attendees)</w:t>
            </w:r>
          </w:p>
        </w:tc>
        <w:tc>
          <w:tcPr>
            <w:tcW w:w="3005" w:type="dxa"/>
          </w:tcPr>
          <w:p w14:paraId="53510C78" w14:textId="4A71B122"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100,000</w:t>
            </w:r>
          </w:p>
        </w:tc>
        <w:tc>
          <w:tcPr>
            <w:tcW w:w="3006" w:type="dxa"/>
          </w:tcPr>
          <w:p w14:paraId="67584177" w14:textId="06A54929"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w:t>
            </w:r>
          </w:p>
        </w:tc>
      </w:tr>
      <w:tr w:rsidR="00C0751C" w:rsidRPr="00C0751C" w14:paraId="1C3D2AD2" w14:textId="77777777" w:rsidTr="0073214E">
        <w:tc>
          <w:tcPr>
            <w:tcW w:w="3005" w:type="dxa"/>
          </w:tcPr>
          <w:p w14:paraId="523FD4A1" w14:textId="0DF45B47"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Exhibitor Fees (20 Stands)</w:t>
            </w:r>
          </w:p>
        </w:tc>
        <w:tc>
          <w:tcPr>
            <w:tcW w:w="3005" w:type="dxa"/>
          </w:tcPr>
          <w:p w14:paraId="75CCF628" w14:textId="725E5ACD"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50,000</w:t>
            </w:r>
          </w:p>
        </w:tc>
        <w:tc>
          <w:tcPr>
            <w:tcW w:w="3006" w:type="dxa"/>
          </w:tcPr>
          <w:p w14:paraId="530C5C48" w14:textId="28CE6A87"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w:t>
            </w:r>
          </w:p>
        </w:tc>
      </w:tr>
      <w:tr w:rsidR="00C0751C" w:rsidRPr="00C0751C" w14:paraId="6BEE04DA" w14:textId="77777777" w:rsidTr="0073214E">
        <w:tc>
          <w:tcPr>
            <w:tcW w:w="3005" w:type="dxa"/>
          </w:tcPr>
          <w:p w14:paraId="71A08D02" w14:textId="11D980DB"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Merchandise</w:t>
            </w:r>
          </w:p>
        </w:tc>
        <w:tc>
          <w:tcPr>
            <w:tcW w:w="3005" w:type="dxa"/>
          </w:tcPr>
          <w:p w14:paraId="374E73F2" w14:textId="603113CB"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10,000</w:t>
            </w:r>
          </w:p>
        </w:tc>
        <w:tc>
          <w:tcPr>
            <w:tcW w:w="3006" w:type="dxa"/>
          </w:tcPr>
          <w:p w14:paraId="57C2EC3F" w14:textId="55D14277"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w:t>
            </w:r>
          </w:p>
        </w:tc>
      </w:tr>
      <w:tr w:rsidR="00C0751C" w:rsidRPr="00C0751C" w14:paraId="6F2E0436" w14:textId="77777777" w:rsidTr="0073214E">
        <w:tc>
          <w:tcPr>
            <w:tcW w:w="3005" w:type="dxa"/>
          </w:tcPr>
          <w:p w14:paraId="253D027A" w14:textId="57EFA266"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Venue Hire</w:t>
            </w:r>
          </w:p>
        </w:tc>
        <w:tc>
          <w:tcPr>
            <w:tcW w:w="3005" w:type="dxa"/>
          </w:tcPr>
          <w:p w14:paraId="3094CFB9" w14:textId="1F3614B9"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w:t>
            </w:r>
          </w:p>
        </w:tc>
        <w:tc>
          <w:tcPr>
            <w:tcW w:w="3006" w:type="dxa"/>
          </w:tcPr>
          <w:p w14:paraId="57F1B809" w14:textId="78C5C5BC"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40,000</w:t>
            </w:r>
          </w:p>
        </w:tc>
      </w:tr>
      <w:tr w:rsidR="00C0751C" w:rsidRPr="00C0751C" w14:paraId="77A31263" w14:textId="77777777" w:rsidTr="0073214E">
        <w:tc>
          <w:tcPr>
            <w:tcW w:w="3005" w:type="dxa"/>
          </w:tcPr>
          <w:p w14:paraId="53648EBE" w14:textId="563FB6E8"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Speaker Fees</w:t>
            </w:r>
          </w:p>
        </w:tc>
        <w:tc>
          <w:tcPr>
            <w:tcW w:w="3005" w:type="dxa"/>
          </w:tcPr>
          <w:p w14:paraId="53C4E411" w14:textId="6558B4A0"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w:t>
            </w:r>
          </w:p>
        </w:tc>
        <w:tc>
          <w:tcPr>
            <w:tcW w:w="3006" w:type="dxa"/>
          </w:tcPr>
          <w:p w14:paraId="436E403C" w14:textId="17164FDE"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35,000</w:t>
            </w:r>
          </w:p>
        </w:tc>
      </w:tr>
      <w:tr w:rsidR="00C0751C" w:rsidRPr="00C0751C" w14:paraId="28E24BF2" w14:textId="77777777" w:rsidTr="0073214E">
        <w:tc>
          <w:tcPr>
            <w:tcW w:w="3005" w:type="dxa"/>
          </w:tcPr>
          <w:p w14:paraId="460562F0" w14:textId="4E02C726"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Marketing and Promotion</w:t>
            </w:r>
          </w:p>
        </w:tc>
        <w:tc>
          <w:tcPr>
            <w:tcW w:w="3005" w:type="dxa"/>
          </w:tcPr>
          <w:p w14:paraId="57B17E82" w14:textId="5B9ECBED"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w:t>
            </w:r>
          </w:p>
        </w:tc>
        <w:tc>
          <w:tcPr>
            <w:tcW w:w="3006" w:type="dxa"/>
          </w:tcPr>
          <w:p w14:paraId="4F4F1B97" w14:textId="76023C1B"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25,000</w:t>
            </w:r>
          </w:p>
        </w:tc>
      </w:tr>
      <w:tr w:rsidR="00C0751C" w:rsidRPr="00C0751C" w14:paraId="3B401547" w14:textId="77777777" w:rsidTr="0073214E">
        <w:tc>
          <w:tcPr>
            <w:tcW w:w="3005" w:type="dxa"/>
          </w:tcPr>
          <w:p w14:paraId="45A87120" w14:textId="4EC8BF0F"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Catering</w:t>
            </w:r>
          </w:p>
        </w:tc>
        <w:tc>
          <w:tcPr>
            <w:tcW w:w="3005" w:type="dxa"/>
          </w:tcPr>
          <w:p w14:paraId="6A08B11D" w14:textId="065687FB"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w:t>
            </w:r>
          </w:p>
        </w:tc>
        <w:tc>
          <w:tcPr>
            <w:tcW w:w="3006" w:type="dxa"/>
          </w:tcPr>
          <w:p w14:paraId="6A7F933A" w14:textId="40AB6061"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20,000</w:t>
            </w:r>
          </w:p>
        </w:tc>
      </w:tr>
      <w:tr w:rsidR="00C0751C" w:rsidRPr="00C0751C" w14:paraId="601AA8D8" w14:textId="77777777" w:rsidTr="0073214E">
        <w:tc>
          <w:tcPr>
            <w:tcW w:w="3005" w:type="dxa"/>
          </w:tcPr>
          <w:p w14:paraId="1CBFD2F5" w14:textId="099D4BEC"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Accessibility Measures</w:t>
            </w:r>
          </w:p>
        </w:tc>
        <w:tc>
          <w:tcPr>
            <w:tcW w:w="3005" w:type="dxa"/>
          </w:tcPr>
          <w:p w14:paraId="060CC08C" w14:textId="727658AD"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w:t>
            </w:r>
          </w:p>
        </w:tc>
        <w:tc>
          <w:tcPr>
            <w:tcW w:w="3006" w:type="dxa"/>
          </w:tcPr>
          <w:p w14:paraId="32436F89" w14:textId="4134CAAD"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8,000</w:t>
            </w:r>
          </w:p>
        </w:tc>
      </w:tr>
      <w:tr w:rsidR="00C0751C" w:rsidRPr="00C0751C" w14:paraId="48DF1F4F" w14:textId="77777777" w:rsidTr="0073214E">
        <w:tc>
          <w:tcPr>
            <w:tcW w:w="3005" w:type="dxa"/>
          </w:tcPr>
          <w:p w14:paraId="4C2E851A" w14:textId="215022FF"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Technical and AV Equipment</w:t>
            </w:r>
          </w:p>
        </w:tc>
        <w:tc>
          <w:tcPr>
            <w:tcW w:w="3005" w:type="dxa"/>
          </w:tcPr>
          <w:p w14:paraId="2FB50280" w14:textId="1A5B4371"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w:t>
            </w:r>
          </w:p>
        </w:tc>
        <w:tc>
          <w:tcPr>
            <w:tcW w:w="3006" w:type="dxa"/>
          </w:tcPr>
          <w:p w14:paraId="4E2DA9FD" w14:textId="3A36FF5F"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15,000</w:t>
            </w:r>
          </w:p>
        </w:tc>
      </w:tr>
      <w:tr w:rsidR="00C0751C" w:rsidRPr="00C0751C" w14:paraId="4E4CF4E9" w14:textId="77777777" w:rsidTr="0073214E">
        <w:tc>
          <w:tcPr>
            <w:tcW w:w="3005" w:type="dxa"/>
          </w:tcPr>
          <w:p w14:paraId="4BFAA8DA" w14:textId="6AEFB7A0"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Miscellaneous and Contingency</w:t>
            </w:r>
          </w:p>
        </w:tc>
        <w:tc>
          <w:tcPr>
            <w:tcW w:w="3005" w:type="dxa"/>
          </w:tcPr>
          <w:p w14:paraId="6A2C907B" w14:textId="09646658"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w:t>
            </w:r>
          </w:p>
        </w:tc>
        <w:tc>
          <w:tcPr>
            <w:tcW w:w="3006" w:type="dxa"/>
          </w:tcPr>
          <w:p w14:paraId="4AAF9DFE" w14:textId="6BB70320"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7,000</w:t>
            </w:r>
          </w:p>
        </w:tc>
      </w:tr>
      <w:tr w:rsidR="00C0751C" w:rsidRPr="00C0751C" w14:paraId="1AC79799" w14:textId="77777777" w:rsidTr="0073214E">
        <w:tc>
          <w:tcPr>
            <w:tcW w:w="3005" w:type="dxa"/>
          </w:tcPr>
          <w:p w14:paraId="1A4E3B4F" w14:textId="66FFD590"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Total</w:t>
            </w:r>
          </w:p>
        </w:tc>
        <w:tc>
          <w:tcPr>
            <w:tcW w:w="3005" w:type="dxa"/>
          </w:tcPr>
          <w:p w14:paraId="4645F6DA" w14:textId="7FB0E7B9"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230,000</w:t>
            </w:r>
          </w:p>
        </w:tc>
        <w:tc>
          <w:tcPr>
            <w:tcW w:w="3006" w:type="dxa"/>
          </w:tcPr>
          <w:p w14:paraId="051BE908" w14:textId="40B6B26C"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rPr>
              <w:t>150,000</w:t>
            </w:r>
          </w:p>
        </w:tc>
      </w:tr>
    </w:tbl>
    <w:p w14:paraId="08559FC1" w14:textId="77777777" w:rsidR="0073214E" w:rsidRPr="00C0751C" w:rsidRDefault="0073214E" w:rsidP="00C0751C">
      <w:pPr>
        <w:spacing w:line="360" w:lineRule="auto"/>
        <w:jc w:val="both"/>
        <w:rPr>
          <w:rFonts w:ascii="Arial" w:hAnsi="Arial" w:cs="Arial"/>
          <w:sz w:val="24"/>
          <w:szCs w:val="24"/>
          <w:lang w:eastAsia="en-GB"/>
        </w:rPr>
      </w:pPr>
    </w:p>
    <w:p w14:paraId="354D498F" w14:textId="3CE91902" w:rsidR="0073214E" w:rsidRPr="00C0751C" w:rsidRDefault="0073214E" w:rsidP="00C0751C">
      <w:pPr>
        <w:pStyle w:val="EU"/>
        <w:numPr>
          <w:ilvl w:val="0"/>
          <w:numId w:val="1"/>
        </w:numPr>
        <w:spacing w:line="360" w:lineRule="auto"/>
        <w:rPr>
          <w:color w:val="auto"/>
        </w:rPr>
      </w:pPr>
      <w:bookmarkStart w:id="5" w:name="_Toc191673624"/>
      <w:r w:rsidRPr="00C0751C">
        <w:rPr>
          <w:color w:val="auto"/>
        </w:rPr>
        <w:t>Marketing and Promotion</w:t>
      </w:r>
      <w:bookmarkEnd w:id="5"/>
    </w:p>
    <w:p w14:paraId="7204F231" w14:textId="75E962A6" w:rsidR="0073214E" w:rsidRPr="00C0751C" w:rsidRDefault="0073214E" w:rsidP="00C0751C">
      <w:pPr>
        <w:spacing w:line="360" w:lineRule="auto"/>
        <w:jc w:val="both"/>
        <w:rPr>
          <w:rFonts w:ascii="Arial" w:hAnsi="Arial" w:cs="Arial"/>
          <w:sz w:val="24"/>
          <w:szCs w:val="24"/>
          <w:lang w:eastAsia="en-GB"/>
        </w:rPr>
      </w:pPr>
      <w:r w:rsidRPr="00C0751C">
        <w:rPr>
          <w:rFonts w:ascii="Arial" w:hAnsi="Arial" w:cs="Arial"/>
          <w:sz w:val="24"/>
          <w:szCs w:val="24"/>
          <w:lang w:eastAsia="en-GB"/>
        </w:rPr>
        <w:t>An international summit's marketing and promotion strategies are contingent upon a targeted outreach and a well-crafted narrative (Rogers and Wynn-Moylan,2022). The extended 7Ps framework offers a methodical approach to ensure that each marketing component is in alignment with the EDI focus. For the product, the summit provides networking sessions, seminars, and panel discussions that are specifically designed to emphasise practical solutions for inclusive workplaces. The perceived value of expert-led content and high-profile lecturers is reflected in the price, while London's global connectivity is underscored by its location. Promotion utilises traditional channels, including industry press releases and trade publications, as well as digital platforms like LinkedIn and other social media</w:t>
      </w:r>
      <w:r w:rsidR="00C0751C" w:rsidRPr="00C0751C">
        <w:rPr>
          <w:rFonts w:ascii="Arial" w:hAnsi="Arial" w:cs="Arial"/>
          <w:sz w:val="24"/>
          <w:szCs w:val="24"/>
          <w:lang w:eastAsia="en-GB"/>
        </w:rPr>
        <w:t xml:space="preserve"> (</w:t>
      </w:r>
      <w:proofErr w:type="spellStart"/>
      <w:r w:rsidR="00C0751C" w:rsidRPr="00C0751C">
        <w:rPr>
          <w:rFonts w:ascii="Arial" w:hAnsi="Arial" w:cs="Arial"/>
          <w:sz w:val="24"/>
          <w:szCs w:val="24"/>
          <w:lang w:eastAsia="en-GB"/>
        </w:rPr>
        <w:t>Rasson</w:t>
      </w:r>
      <w:proofErr w:type="spellEnd"/>
      <w:r w:rsidR="00C0751C" w:rsidRPr="00C0751C">
        <w:rPr>
          <w:rFonts w:ascii="Arial" w:hAnsi="Arial" w:cs="Arial"/>
          <w:sz w:val="24"/>
          <w:szCs w:val="24"/>
          <w:lang w:eastAsia="en-GB"/>
        </w:rPr>
        <w:t>, 2018)</w:t>
      </w:r>
      <w:r w:rsidRPr="00C0751C">
        <w:rPr>
          <w:rFonts w:ascii="Arial" w:hAnsi="Arial" w:cs="Arial"/>
          <w:sz w:val="24"/>
          <w:szCs w:val="24"/>
          <w:lang w:eastAsia="en-GB"/>
        </w:rPr>
        <w:t xml:space="preserve">. Direct outreach through professional associations or specialised distribution lists can be effective, as potential attendees may include senior executives. In addition to registrants, the term "people" encompasses staff, volunteers, and sponsors who collectively establish an environment that is consistent with the principles of electronic data interchange (EDI) (García-Rodríguez, Dorta-Afonso, and González-de-la-Rosa, 2020). The process </w:t>
      </w:r>
      <w:r w:rsidRPr="00C0751C">
        <w:rPr>
          <w:rFonts w:ascii="Arial" w:hAnsi="Arial" w:cs="Arial"/>
          <w:sz w:val="24"/>
          <w:szCs w:val="24"/>
          <w:lang w:eastAsia="en-GB"/>
        </w:rPr>
        <w:lastRenderedPageBreak/>
        <w:t xml:space="preserve">emphasises the optimisation of on-site services, ticketing, and registration. In the interim, tangible evidence pertains to branding, including signage, promotional materials, and the general atmosphere of the venue, </w:t>
      </w:r>
      <w:proofErr w:type="gramStart"/>
      <w:r w:rsidRPr="00C0751C">
        <w:rPr>
          <w:rFonts w:ascii="Arial" w:hAnsi="Arial" w:cs="Arial"/>
          <w:sz w:val="24"/>
          <w:szCs w:val="24"/>
          <w:lang w:eastAsia="en-GB"/>
        </w:rPr>
        <w:t>in order to</w:t>
      </w:r>
      <w:proofErr w:type="gramEnd"/>
      <w:r w:rsidRPr="00C0751C">
        <w:rPr>
          <w:rFonts w:ascii="Arial" w:hAnsi="Arial" w:cs="Arial"/>
          <w:sz w:val="24"/>
          <w:szCs w:val="24"/>
          <w:lang w:eastAsia="en-GB"/>
        </w:rPr>
        <w:t xml:space="preserve"> substantiate the summit's thematic focus on inclusion, diversity, and equality.</w:t>
      </w:r>
    </w:p>
    <w:p w14:paraId="49781714" w14:textId="4FD89DC5" w:rsidR="0073214E" w:rsidRPr="00C0751C" w:rsidRDefault="0073214E" w:rsidP="00C0751C">
      <w:pPr>
        <w:pStyle w:val="EU"/>
        <w:numPr>
          <w:ilvl w:val="0"/>
          <w:numId w:val="1"/>
        </w:numPr>
        <w:spacing w:line="360" w:lineRule="auto"/>
        <w:rPr>
          <w:color w:val="auto"/>
        </w:rPr>
      </w:pPr>
      <w:bookmarkStart w:id="6" w:name="_Toc191673625"/>
      <w:r w:rsidRPr="00C0751C">
        <w:rPr>
          <w:color w:val="auto"/>
        </w:rPr>
        <w:t>Operational and Logistical Considerations</w:t>
      </w:r>
      <w:bookmarkEnd w:id="6"/>
    </w:p>
    <w:p w14:paraId="099D5E24" w14:textId="6F131E80" w:rsidR="0073214E" w:rsidRPr="00C0751C" w:rsidRDefault="0073214E" w:rsidP="00C0751C">
      <w:pPr>
        <w:spacing w:line="360" w:lineRule="auto"/>
        <w:jc w:val="both"/>
        <w:rPr>
          <w:rFonts w:ascii="Arial" w:hAnsi="Arial" w:cs="Arial"/>
          <w:sz w:val="24"/>
          <w:szCs w:val="24"/>
          <w:lang w:eastAsia="en-GB"/>
        </w:rPr>
      </w:pPr>
      <w:proofErr w:type="gramStart"/>
      <w:r w:rsidRPr="00C0751C">
        <w:rPr>
          <w:rFonts w:ascii="Arial" w:hAnsi="Arial" w:cs="Arial"/>
          <w:sz w:val="24"/>
          <w:szCs w:val="24"/>
          <w:lang w:eastAsia="en-GB"/>
        </w:rPr>
        <w:t>In order to</w:t>
      </w:r>
      <w:proofErr w:type="gramEnd"/>
      <w:r w:rsidRPr="00C0751C">
        <w:rPr>
          <w:rFonts w:ascii="Arial" w:hAnsi="Arial" w:cs="Arial"/>
          <w:sz w:val="24"/>
          <w:szCs w:val="24"/>
          <w:lang w:eastAsia="en-GB"/>
        </w:rPr>
        <w:t xml:space="preserve"> achieve operational success in international meetings management, it is necessary to establish distinct role delineations, rigorous coordination, and structured timelines (Meredith,2022). The Global Inclusion Summit planning team is required to coordinate exhibitor installations, finalise venue logistics, and secure speaker contracts. Tools such as Gantt charts are used to elucidate interdependencies and deadlines, thus ensuring that numerous departments—including finance, communications, and hospitality—remain in alignment with the overarching objectives (O'Toole, 2011). Furthermore, logistical complications that are unique to international events include the management of visas for speakers and attendees, the conversion of currencies for financial transactions, and the consideration of cultural sensitivities in session content or marketing materials</w:t>
      </w:r>
      <w:r w:rsidR="00C0751C" w:rsidRPr="00C0751C">
        <w:rPr>
          <w:rFonts w:ascii="Arial" w:hAnsi="Arial" w:cs="Arial"/>
          <w:sz w:val="24"/>
          <w:szCs w:val="24"/>
          <w:lang w:eastAsia="en-GB"/>
        </w:rPr>
        <w:t xml:space="preserve"> (Silva et al., 2024). </w:t>
      </w:r>
      <w:r w:rsidRPr="00C0751C">
        <w:rPr>
          <w:rFonts w:ascii="Arial" w:hAnsi="Arial" w:cs="Arial"/>
          <w:sz w:val="24"/>
          <w:szCs w:val="24"/>
          <w:lang w:eastAsia="en-GB"/>
        </w:rPr>
        <w:t>The venue in London that is selected should have a wealth of experience in accommodating global delegations. Streamlined processes are particularly beneficial for attendees who are travelling from multiple time zones or require special accommodations, as they reduce confusion. By adhering to operational theories, event managers can refine workflows and anticipate common obstacles, thereby reducing last-minute crises that can undermine delegate satisfaction.</w:t>
      </w:r>
    </w:p>
    <w:p w14:paraId="1295394D" w14:textId="68D0CB16" w:rsidR="0073214E" w:rsidRPr="00C0751C" w:rsidRDefault="0073214E" w:rsidP="00C0751C">
      <w:pPr>
        <w:pStyle w:val="EU"/>
        <w:numPr>
          <w:ilvl w:val="0"/>
          <w:numId w:val="1"/>
        </w:numPr>
        <w:spacing w:line="360" w:lineRule="auto"/>
        <w:rPr>
          <w:color w:val="auto"/>
        </w:rPr>
      </w:pPr>
      <w:bookmarkStart w:id="7" w:name="_Toc191673626"/>
      <w:r w:rsidRPr="00C0751C">
        <w:rPr>
          <w:color w:val="auto"/>
        </w:rPr>
        <w:t>Risk and Sustainability</w:t>
      </w:r>
      <w:bookmarkEnd w:id="7"/>
    </w:p>
    <w:p w14:paraId="3FC56BE6" w14:textId="653BA354" w:rsidR="007429E3" w:rsidRPr="00C0751C" w:rsidRDefault="007429E3" w:rsidP="00C0751C">
      <w:pPr>
        <w:spacing w:line="360" w:lineRule="auto"/>
        <w:jc w:val="both"/>
        <w:rPr>
          <w:rFonts w:ascii="Arial" w:hAnsi="Arial" w:cs="Arial"/>
          <w:sz w:val="24"/>
          <w:szCs w:val="24"/>
          <w:lang w:eastAsia="en-GB"/>
        </w:rPr>
      </w:pPr>
      <w:r w:rsidRPr="00C0751C">
        <w:rPr>
          <w:rFonts w:ascii="Arial" w:hAnsi="Arial" w:cs="Arial"/>
          <w:sz w:val="24"/>
          <w:szCs w:val="24"/>
          <w:lang w:eastAsia="en-GB"/>
        </w:rPr>
        <w:t xml:space="preserve">Despite the presence of unpredictable variables, risk management remains essential for the successful execution of large-scale events (Rogers and Wynn-Moylan, 2022). Speaker cancellations and transport strikes are among the potential disruptions, while more severe incidents, such as political unrest or global health concerns, are also possible. The risk register of the event team categorises threats according to their severity and likelihood, and it assigns explicit mitigation strategies and fallback plans (Meredith, 2022). For example, </w:t>
      </w:r>
      <w:proofErr w:type="gramStart"/>
      <w:r w:rsidRPr="00C0751C">
        <w:rPr>
          <w:rFonts w:ascii="Arial" w:hAnsi="Arial" w:cs="Arial"/>
          <w:sz w:val="24"/>
          <w:szCs w:val="24"/>
          <w:lang w:eastAsia="en-GB"/>
        </w:rPr>
        <w:t>in the event that</w:t>
      </w:r>
      <w:proofErr w:type="gramEnd"/>
      <w:r w:rsidRPr="00C0751C">
        <w:rPr>
          <w:rFonts w:ascii="Arial" w:hAnsi="Arial" w:cs="Arial"/>
          <w:sz w:val="24"/>
          <w:szCs w:val="24"/>
          <w:lang w:eastAsia="en-GB"/>
        </w:rPr>
        <w:t xml:space="preserve"> a keynote speaker cancels at the last minute, a list of alternative experts that have been verified can be used to fill the void. Remote presentation technology provides a hybrid contingency in the event of travel </w:t>
      </w:r>
      <w:r w:rsidRPr="00C0751C">
        <w:rPr>
          <w:rFonts w:ascii="Arial" w:hAnsi="Arial" w:cs="Arial"/>
          <w:sz w:val="24"/>
          <w:szCs w:val="24"/>
          <w:lang w:eastAsia="en-GB"/>
        </w:rPr>
        <w:lastRenderedPageBreak/>
        <w:t>disruptions. The summit's broader commitment to social responsibility is consistent with sustainability considerations. Many attendees now anticipate that event organisers will exhibit eco-conscious practices, such as optimising energy consumption and reducing the use of single-use plastics (Smith, 2012). The event's environmental credentials are enhanced by strategies such as encouraging carbon offset programs for international flights, using recycled materials for conference badges, and providing digital schedules (Fox, Carson, and Ko, 2014). The summit anticipates future regulations and reputational shifts by incorporating sustainability objectives into overall risk management. This method not only resonates with attendees who prioritise environmentally friendly operations, but it also demonstrates financial prudence in the face of changing environmental policies.</w:t>
      </w:r>
    </w:p>
    <w:p w14:paraId="6C232235" w14:textId="7C9BC6FC" w:rsidR="007429E3" w:rsidRPr="00C0751C" w:rsidRDefault="007429E3" w:rsidP="00C0751C">
      <w:pPr>
        <w:pStyle w:val="EU"/>
        <w:numPr>
          <w:ilvl w:val="0"/>
          <w:numId w:val="1"/>
        </w:numPr>
        <w:spacing w:line="360" w:lineRule="auto"/>
        <w:rPr>
          <w:color w:val="auto"/>
        </w:rPr>
      </w:pPr>
      <w:bookmarkStart w:id="8" w:name="_Toc191673627"/>
      <w:r w:rsidRPr="00C0751C">
        <w:rPr>
          <w:color w:val="auto"/>
        </w:rPr>
        <w:t>Industry analysis</w:t>
      </w:r>
      <w:bookmarkEnd w:id="8"/>
      <w:r w:rsidRPr="00C0751C">
        <w:rPr>
          <w:color w:val="auto"/>
        </w:rPr>
        <w:t xml:space="preserve"> </w:t>
      </w:r>
    </w:p>
    <w:p w14:paraId="19733422" w14:textId="760E71C3" w:rsidR="007429E3" w:rsidRPr="00C0751C" w:rsidRDefault="007429E3" w:rsidP="00C0751C">
      <w:pPr>
        <w:spacing w:line="360" w:lineRule="auto"/>
        <w:jc w:val="both"/>
        <w:rPr>
          <w:rFonts w:ascii="Arial" w:hAnsi="Arial" w:cs="Arial"/>
          <w:sz w:val="24"/>
          <w:szCs w:val="24"/>
          <w:lang w:eastAsia="en-GB"/>
        </w:rPr>
      </w:pPr>
      <w:r w:rsidRPr="00C0751C">
        <w:rPr>
          <w:rFonts w:ascii="Arial" w:hAnsi="Arial" w:cs="Arial"/>
          <w:sz w:val="24"/>
          <w:szCs w:val="24"/>
          <w:lang w:eastAsia="en-GB"/>
        </w:rPr>
        <w:t>In terms of politics, government regulations and policies that encourage diversity can establish supportive frameworks; however, they may also necessitate rigorous legal requirements for venues that are accessible (O'Toole, 2011). Sponsorship and ticket revenue can be influenced by fluctuating corporate travel budgets and shifting economic cycles, which can either increase attendance from organisations seeking growth or limit investments in staff training (</w:t>
      </w:r>
      <w:proofErr w:type="spellStart"/>
      <w:r w:rsidRPr="00C0751C">
        <w:rPr>
          <w:rFonts w:ascii="Arial" w:hAnsi="Arial" w:cs="Arial"/>
          <w:sz w:val="24"/>
          <w:szCs w:val="24"/>
          <w:lang w:eastAsia="en-GB"/>
        </w:rPr>
        <w:t>Nedzvedskyi</w:t>
      </w:r>
      <w:proofErr w:type="spellEnd"/>
      <w:r w:rsidRPr="00C0751C">
        <w:rPr>
          <w:rFonts w:ascii="Arial" w:hAnsi="Arial" w:cs="Arial"/>
          <w:sz w:val="24"/>
          <w:szCs w:val="24"/>
          <w:lang w:eastAsia="en-GB"/>
        </w:rPr>
        <w:t xml:space="preserve">, Chang, and Thomson, 2024). The demand for substantive EDI content is driven by the increasing public interest in social justice and inclusive work cultures from a social perspective. However, scepticism regarding corporate "box-ticking" can undermine credibility if the event fails to deliver meaningful, action-oriented sessions (Yingling, 2024). Technological factors, including advanced event applications and high-speed internet connectivity, facilitate hybrid formats, expand delegate reach, and improve data collection. However, they necessitate substantial investments in equipment and experienced technical teams to guarantee seamless delivery. Compliance with international anti-discrimination statutes and accessibility mandates is legally required, which impacts the selection of venues, staff training, and program design (Smith, 2012). Finally, environmental considerations are indicative of an increasing emphasis on sustainable practices, which requires organisers to reduce pollution, utilise environmentally favourable resources, and mitigate the carbon footprints associated with travel. These interrelated PESTLE elements present both opportunities and constraints, necessitating a resilient, adaptable strategy that is consistent with the </w:t>
      </w:r>
      <w:r w:rsidRPr="00C0751C">
        <w:rPr>
          <w:rFonts w:ascii="Arial" w:hAnsi="Arial" w:cs="Arial"/>
          <w:sz w:val="24"/>
          <w:szCs w:val="24"/>
          <w:lang w:eastAsia="en-GB"/>
        </w:rPr>
        <w:lastRenderedPageBreak/>
        <w:t>event's core commitment to promoting genuinely inclusive industry practices, balances financial imperatives, and aligns with evolving stakeholder expectations.</w:t>
      </w:r>
    </w:p>
    <w:p w14:paraId="79FD7A10" w14:textId="033BEECD" w:rsidR="007429E3" w:rsidRPr="00C0751C" w:rsidRDefault="007429E3" w:rsidP="00C0751C">
      <w:pPr>
        <w:pStyle w:val="EU"/>
        <w:numPr>
          <w:ilvl w:val="0"/>
          <w:numId w:val="1"/>
        </w:numPr>
        <w:spacing w:line="360" w:lineRule="auto"/>
        <w:rPr>
          <w:color w:val="auto"/>
        </w:rPr>
      </w:pPr>
      <w:bookmarkStart w:id="9" w:name="_Toc191673628"/>
      <w:r w:rsidRPr="00C0751C">
        <w:rPr>
          <w:color w:val="auto"/>
        </w:rPr>
        <w:t>Conclusion</w:t>
      </w:r>
      <w:bookmarkEnd w:id="9"/>
      <w:r w:rsidRPr="00C0751C">
        <w:rPr>
          <w:color w:val="auto"/>
        </w:rPr>
        <w:t xml:space="preserve"> </w:t>
      </w:r>
    </w:p>
    <w:p w14:paraId="43BA3A30" w14:textId="61069364" w:rsidR="007429E3" w:rsidRPr="00C0751C" w:rsidRDefault="007429E3" w:rsidP="00C0751C">
      <w:pPr>
        <w:spacing w:line="360" w:lineRule="auto"/>
        <w:jc w:val="both"/>
        <w:rPr>
          <w:rFonts w:ascii="Arial" w:hAnsi="Arial" w:cs="Arial"/>
          <w:sz w:val="24"/>
          <w:szCs w:val="24"/>
          <w:lang w:eastAsia="en-GB"/>
        </w:rPr>
      </w:pPr>
      <w:r w:rsidRPr="00C0751C">
        <w:rPr>
          <w:rFonts w:ascii="Arial" w:hAnsi="Arial" w:cs="Arial"/>
          <w:sz w:val="24"/>
          <w:szCs w:val="24"/>
          <w:lang w:eastAsia="en-GB"/>
        </w:rPr>
        <w:t>The Global EDI Forum: Advancing Inclusive Industry Practices' preliminary feasibility analysis suggests that the event has significant potential as a large-scale international forum that is dedicated to Equality, Diversity, and Inclusion. A conducive environment for such a specialised event is established by market trends, corporate funding interests, and societal demands for inclusion. Additionally, the selection of a cosmopolitan city and the investment in operational logistics that are resilient are consistent with the most effective methods of international meetings management (Getz and Page, 2019). Financial stability and resilience against unexpected fluctuations are fostered by strategic budget allocations and diversified revenue streams. In the future, the results of this feasibility analysis will serve as the foundation for more intricate planning phases. The forum can establish itself as a premier platform for the discussion, learning, and implementation of EDI measures within the industry by refining its thematic focus, strengthening marketing outreach, and adhering to rigorous operational standards. This method not only guarantees sustainable results but also serves as an illustration of how a meticulously planned and thoroughly researched event can act as a catalyst for change in modern organisations across the globe.</w:t>
      </w:r>
    </w:p>
    <w:p w14:paraId="52EF3069" w14:textId="77777777" w:rsidR="007429E3" w:rsidRPr="00C0751C" w:rsidRDefault="007429E3" w:rsidP="00C0751C">
      <w:pPr>
        <w:spacing w:line="360" w:lineRule="auto"/>
        <w:jc w:val="both"/>
        <w:rPr>
          <w:rFonts w:ascii="Arial" w:hAnsi="Arial" w:cs="Arial"/>
          <w:sz w:val="24"/>
          <w:szCs w:val="24"/>
          <w:lang w:eastAsia="en-GB"/>
        </w:rPr>
      </w:pPr>
    </w:p>
    <w:p w14:paraId="39F4A36E" w14:textId="77777777" w:rsidR="007429E3" w:rsidRPr="00C0751C" w:rsidRDefault="007429E3" w:rsidP="00C0751C">
      <w:pPr>
        <w:spacing w:line="360" w:lineRule="auto"/>
        <w:jc w:val="both"/>
        <w:rPr>
          <w:rFonts w:ascii="Arial" w:hAnsi="Arial" w:cs="Arial"/>
          <w:sz w:val="24"/>
          <w:szCs w:val="24"/>
          <w:lang w:eastAsia="en-GB"/>
        </w:rPr>
      </w:pPr>
    </w:p>
    <w:p w14:paraId="0A638012" w14:textId="77777777" w:rsidR="007429E3" w:rsidRPr="00C0751C" w:rsidRDefault="007429E3" w:rsidP="00C0751C">
      <w:pPr>
        <w:spacing w:line="360" w:lineRule="auto"/>
        <w:jc w:val="both"/>
        <w:rPr>
          <w:rFonts w:ascii="Arial" w:hAnsi="Arial" w:cs="Arial"/>
          <w:sz w:val="24"/>
          <w:szCs w:val="24"/>
          <w:lang w:eastAsia="en-GB"/>
        </w:rPr>
      </w:pPr>
    </w:p>
    <w:p w14:paraId="5612BD01" w14:textId="77777777" w:rsidR="007429E3" w:rsidRPr="00C0751C" w:rsidRDefault="007429E3" w:rsidP="00C0751C">
      <w:pPr>
        <w:spacing w:line="360" w:lineRule="auto"/>
        <w:jc w:val="both"/>
        <w:rPr>
          <w:rFonts w:ascii="Arial" w:hAnsi="Arial" w:cs="Arial"/>
          <w:sz w:val="24"/>
          <w:szCs w:val="24"/>
          <w:lang w:eastAsia="en-GB"/>
        </w:rPr>
      </w:pPr>
    </w:p>
    <w:p w14:paraId="4B437398" w14:textId="77777777" w:rsidR="007429E3" w:rsidRPr="007429E3" w:rsidRDefault="007429E3" w:rsidP="007429E3">
      <w:pPr>
        <w:spacing w:line="360" w:lineRule="auto"/>
        <w:jc w:val="both"/>
        <w:rPr>
          <w:rFonts w:ascii="Arial" w:hAnsi="Arial" w:cs="Arial"/>
          <w:sz w:val="24"/>
          <w:szCs w:val="24"/>
          <w:lang w:eastAsia="en-GB"/>
        </w:rPr>
      </w:pPr>
    </w:p>
    <w:p w14:paraId="73FBFF83" w14:textId="77777777" w:rsidR="007429E3" w:rsidRPr="007429E3" w:rsidRDefault="007429E3" w:rsidP="007429E3">
      <w:pPr>
        <w:spacing w:line="360" w:lineRule="auto"/>
        <w:jc w:val="both"/>
        <w:rPr>
          <w:rFonts w:ascii="Arial" w:hAnsi="Arial" w:cs="Arial"/>
          <w:sz w:val="24"/>
          <w:szCs w:val="24"/>
          <w:lang w:eastAsia="en-GB"/>
        </w:rPr>
      </w:pPr>
    </w:p>
    <w:p w14:paraId="296C041E" w14:textId="77777777" w:rsidR="007429E3" w:rsidRPr="007429E3" w:rsidRDefault="007429E3" w:rsidP="007429E3">
      <w:pPr>
        <w:spacing w:line="360" w:lineRule="auto"/>
        <w:jc w:val="both"/>
        <w:rPr>
          <w:rFonts w:ascii="Arial" w:hAnsi="Arial" w:cs="Arial"/>
          <w:sz w:val="24"/>
          <w:szCs w:val="24"/>
          <w:lang w:eastAsia="en-GB"/>
        </w:rPr>
      </w:pPr>
    </w:p>
    <w:p w14:paraId="42357842" w14:textId="77777777" w:rsidR="007429E3" w:rsidRPr="007429E3" w:rsidRDefault="007429E3" w:rsidP="007429E3">
      <w:pPr>
        <w:spacing w:line="360" w:lineRule="auto"/>
        <w:jc w:val="both"/>
        <w:rPr>
          <w:rFonts w:ascii="Arial" w:hAnsi="Arial" w:cs="Arial"/>
          <w:sz w:val="24"/>
          <w:szCs w:val="24"/>
          <w:lang w:eastAsia="en-GB"/>
        </w:rPr>
      </w:pPr>
    </w:p>
    <w:p w14:paraId="4F43EDC7" w14:textId="77777777" w:rsidR="007429E3" w:rsidRPr="007429E3" w:rsidRDefault="007429E3" w:rsidP="007429E3">
      <w:pPr>
        <w:spacing w:line="360" w:lineRule="auto"/>
        <w:jc w:val="both"/>
        <w:rPr>
          <w:rFonts w:ascii="Arial" w:hAnsi="Arial" w:cs="Arial"/>
          <w:sz w:val="24"/>
          <w:szCs w:val="24"/>
          <w:lang w:eastAsia="en-GB"/>
        </w:rPr>
      </w:pPr>
    </w:p>
    <w:p w14:paraId="07F1F24A" w14:textId="77777777" w:rsidR="007429E3" w:rsidRPr="007429E3" w:rsidRDefault="007429E3" w:rsidP="007429E3">
      <w:pPr>
        <w:spacing w:line="360" w:lineRule="auto"/>
        <w:jc w:val="both"/>
        <w:rPr>
          <w:rFonts w:ascii="Arial" w:hAnsi="Arial" w:cs="Arial"/>
          <w:sz w:val="24"/>
          <w:szCs w:val="24"/>
          <w:lang w:eastAsia="en-GB"/>
        </w:rPr>
      </w:pPr>
    </w:p>
    <w:p w14:paraId="0526F7AC" w14:textId="77777777" w:rsidR="007429E3" w:rsidRPr="007429E3" w:rsidRDefault="007429E3" w:rsidP="007429E3">
      <w:pPr>
        <w:spacing w:line="360" w:lineRule="auto"/>
        <w:jc w:val="both"/>
        <w:rPr>
          <w:rFonts w:ascii="Arial" w:hAnsi="Arial" w:cs="Arial"/>
          <w:sz w:val="24"/>
          <w:szCs w:val="24"/>
          <w:lang w:eastAsia="en-GB"/>
        </w:rPr>
      </w:pPr>
    </w:p>
    <w:p w14:paraId="2E8B8B1E" w14:textId="5EA080E6" w:rsidR="007429E3" w:rsidRPr="00C0751C" w:rsidRDefault="007429E3" w:rsidP="00C0751C">
      <w:pPr>
        <w:pStyle w:val="EU"/>
        <w:spacing w:line="360" w:lineRule="auto"/>
        <w:rPr>
          <w:color w:val="auto"/>
        </w:rPr>
      </w:pPr>
      <w:bookmarkStart w:id="10" w:name="_Toc191673629"/>
      <w:r w:rsidRPr="00C0751C">
        <w:rPr>
          <w:color w:val="auto"/>
        </w:rPr>
        <w:t>References</w:t>
      </w:r>
      <w:bookmarkEnd w:id="10"/>
      <w:r w:rsidRPr="00C0751C">
        <w:rPr>
          <w:color w:val="auto"/>
        </w:rPr>
        <w:t xml:space="preserve"> </w:t>
      </w:r>
    </w:p>
    <w:p w14:paraId="33D9C019" w14:textId="77777777" w:rsidR="007429E3" w:rsidRPr="00C0751C" w:rsidRDefault="007429E3" w:rsidP="00C0751C">
      <w:pPr>
        <w:spacing w:line="360" w:lineRule="auto"/>
        <w:jc w:val="both"/>
        <w:rPr>
          <w:lang w:eastAsia="en-GB"/>
        </w:rPr>
      </w:pPr>
    </w:p>
    <w:p w14:paraId="1B68D67C" w14:textId="77777777" w:rsidR="007429E3" w:rsidRPr="00C0751C" w:rsidRDefault="007429E3" w:rsidP="00C0751C">
      <w:pPr>
        <w:spacing w:line="360" w:lineRule="auto"/>
        <w:jc w:val="both"/>
        <w:rPr>
          <w:lang w:eastAsia="en-GB"/>
        </w:rPr>
      </w:pPr>
    </w:p>
    <w:p w14:paraId="30004E67" w14:textId="4FB28870" w:rsidR="007429E3" w:rsidRPr="00C0751C" w:rsidRDefault="00C0751C" w:rsidP="00C0751C">
      <w:pPr>
        <w:spacing w:line="360" w:lineRule="auto"/>
        <w:jc w:val="both"/>
        <w:rPr>
          <w:rFonts w:ascii="Arial" w:eastAsiaTheme="majorEastAsia" w:hAnsi="Arial" w:cs="Arial"/>
          <w:bCs/>
          <w:kern w:val="0"/>
          <w:sz w:val="24"/>
          <w:szCs w:val="24"/>
          <w:lang w:eastAsia="en-GB"/>
          <w14:ligatures w14:val="none"/>
        </w:rPr>
      </w:pPr>
      <w:r w:rsidRPr="00C0751C">
        <w:rPr>
          <w:rFonts w:ascii="Arial" w:eastAsiaTheme="majorEastAsia" w:hAnsi="Arial" w:cs="Arial"/>
          <w:bCs/>
          <w:kern w:val="0"/>
          <w:sz w:val="24"/>
          <w:szCs w:val="24"/>
          <w:lang w:eastAsia="en-GB"/>
          <w14:ligatures w14:val="none"/>
        </w:rPr>
        <w:t>Dover, T.L., Kaiser, C.R. and Major, B., 2020. Mixed signals: The unintended effects of diversity initiatives. Social Issues and Policy Review, 14(1), pp.152-181.</w:t>
      </w:r>
    </w:p>
    <w:p w14:paraId="1138921F" w14:textId="05867FC5" w:rsidR="00C0751C" w:rsidRPr="00C0751C" w:rsidRDefault="00C0751C" w:rsidP="00C0751C">
      <w:pPr>
        <w:spacing w:line="360" w:lineRule="auto"/>
        <w:jc w:val="both"/>
        <w:rPr>
          <w:rFonts w:ascii="Arial" w:eastAsiaTheme="majorEastAsia" w:hAnsi="Arial" w:cs="Arial"/>
          <w:bCs/>
          <w:kern w:val="0"/>
          <w:sz w:val="24"/>
          <w:szCs w:val="24"/>
          <w:lang w:eastAsia="en-GB"/>
          <w14:ligatures w14:val="none"/>
        </w:rPr>
      </w:pPr>
      <w:r w:rsidRPr="00C0751C">
        <w:rPr>
          <w:rFonts w:ascii="Arial" w:eastAsiaTheme="majorEastAsia" w:hAnsi="Arial" w:cs="Arial"/>
          <w:bCs/>
          <w:kern w:val="0"/>
          <w:sz w:val="24"/>
          <w:szCs w:val="24"/>
          <w:lang w:eastAsia="en-GB"/>
          <w14:ligatures w14:val="none"/>
        </w:rPr>
        <w:t>Fox, D. et al. (2014) Doing events research: from theory to practice. Routledge: Oxford</w:t>
      </w:r>
    </w:p>
    <w:p w14:paraId="36A7D625" w14:textId="33D8C838" w:rsidR="00C0751C" w:rsidRPr="00C0751C" w:rsidRDefault="00C0751C" w:rsidP="00C0751C">
      <w:pPr>
        <w:spacing w:line="360" w:lineRule="auto"/>
        <w:jc w:val="both"/>
        <w:rPr>
          <w:rFonts w:ascii="Arial" w:eastAsiaTheme="majorEastAsia" w:hAnsi="Arial" w:cs="Arial"/>
          <w:bCs/>
          <w:kern w:val="0"/>
          <w:sz w:val="24"/>
          <w:szCs w:val="24"/>
          <w:lang w:eastAsia="en-GB"/>
          <w14:ligatures w14:val="none"/>
        </w:rPr>
      </w:pPr>
      <w:r w:rsidRPr="00C0751C">
        <w:rPr>
          <w:rFonts w:ascii="Arial" w:eastAsiaTheme="majorEastAsia" w:hAnsi="Arial" w:cs="Arial"/>
          <w:bCs/>
          <w:kern w:val="0"/>
          <w:sz w:val="24"/>
          <w:szCs w:val="24"/>
          <w:lang w:eastAsia="en-GB"/>
          <w14:ligatures w14:val="none"/>
        </w:rPr>
        <w:t>García-Rodríguez, F.J., Dorta-Afonso, D. and González-De-la-Rosa, M., 2020. Hospitality diversity management and job satisfaction: The mediating role of organizational commitment across individual differences. International Journal of Hospitality Management, 91, p.102698.</w:t>
      </w:r>
    </w:p>
    <w:p w14:paraId="434B758B" w14:textId="780A4374" w:rsidR="007429E3" w:rsidRPr="00C0751C" w:rsidRDefault="007429E3" w:rsidP="00C0751C">
      <w:pPr>
        <w:spacing w:line="360" w:lineRule="auto"/>
        <w:jc w:val="both"/>
        <w:rPr>
          <w:rFonts w:ascii="Arial" w:hAnsi="Arial" w:cs="Arial"/>
          <w:bCs/>
          <w:sz w:val="24"/>
          <w:szCs w:val="24"/>
          <w:lang w:eastAsia="en-GB"/>
        </w:rPr>
      </w:pPr>
      <w:r w:rsidRPr="00C0751C">
        <w:rPr>
          <w:rFonts w:ascii="Arial" w:hAnsi="Arial" w:cs="Arial"/>
          <w:bCs/>
          <w:sz w:val="24"/>
          <w:szCs w:val="24"/>
          <w:lang w:eastAsia="en-GB"/>
        </w:rPr>
        <w:t>Getz, D. and Page, S. (2019) Event studies: theory, research and policy for planned events. 3rd Edition. Routledge: Oxford</w:t>
      </w:r>
    </w:p>
    <w:p w14:paraId="57EB4DCC" w14:textId="1982B9DF" w:rsidR="007429E3" w:rsidRPr="00C0751C" w:rsidRDefault="007429E3" w:rsidP="00C0751C">
      <w:pPr>
        <w:spacing w:line="360" w:lineRule="auto"/>
        <w:jc w:val="both"/>
        <w:rPr>
          <w:rFonts w:ascii="Arial" w:hAnsi="Arial" w:cs="Arial"/>
          <w:bCs/>
          <w:sz w:val="24"/>
          <w:szCs w:val="24"/>
          <w:lang w:eastAsia="en-GB"/>
        </w:rPr>
      </w:pPr>
      <w:r w:rsidRPr="00C0751C">
        <w:rPr>
          <w:rFonts w:ascii="Arial" w:hAnsi="Arial" w:cs="Arial"/>
          <w:bCs/>
          <w:sz w:val="24"/>
          <w:szCs w:val="24"/>
          <w:lang w:eastAsia="en-GB"/>
        </w:rPr>
        <w:t>Meredith, J. (2022) Project management: a managerial approach</w:t>
      </w:r>
    </w:p>
    <w:p w14:paraId="6F76C24D" w14:textId="1DCBEB35" w:rsidR="00C0751C" w:rsidRPr="00C0751C" w:rsidRDefault="00C0751C" w:rsidP="00C0751C">
      <w:pPr>
        <w:spacing w:line="360" w:lineRule="auto"/>
        <w:jc w:val="both"/>
        <w:rPr>
          <w:rFonts w:ascii="Arial" w:hAnsi="Arial" w:cs="Arial"/>
          <w:bCs/>
          <w:sz w:val="24"/>
          <w:szCs w:val="24"/>
          <w:lang w:eastAsia="en-GB"/>
        </w:rPr>
      </w:pPr>
      <w:proofErr w:type="spellStart"/>
      <w:r w:rsidRPr="00C0751C">
        <w:rPr>
          <w:rFonts w:ascii="Arial" w:hAnsi="Arial" w:cs="Arial"/>
          <w:bCs/>
          <w:sz w:val="24"/>
          <w:szCs w:val="24"/>
          <w:lang w:eastAsia="en-GB"/>
        </w:rPr>
        <w:t>Nedzvedskyi</w:t>
      </w:r>
      <w:proofErr w:type="spellEnd"/>
      <w:r w:rsidRPr="00C0751C">
        <w:rPr>
          <w:rFonts w:ascii="Arial" w:hAnsi="Arial" w:cs="Arial"/>
          <w:bCs/>
          <w:sz w:val="24"/>
          <w:szCs w:val="24"/>
          <w:lang w:eastAsia="en-GB"/>
        </w:rPr>
        <w:t xml:space="preserve">, Y., </w:t>
      </w:r>
      <w:proofErr w:type="spellStart"/>
      <w:r w:rsidRPr="00C0751C">
        <w:rPr>
          <w:rFonts w:ascii="Arial" w:hAnsi="Arial" w:cs="Arial"/>
          <w:bCs/>
          <w:sz w:val="24"/>
          <w:szCs w:val="24"/>
          <w:lang w:eastAsia="en-GB"/>
        </w:rPr>
        <w:t>Banyeva</w:t>
      </w:r>
      <w:proofErr w:type="spellEnd"/>
      <w:r w:rsidRPr="00C0751C">
        <w:rPr>
          <w:rFonts w:ascii="Arial" w:hAnsi="Arial" w:cs="Arial"/>
          <w:bCs/>
          <w:sz w:val="24"/>
          <w:szCs w:val="24"/>
          <w:lang w:eastAsia="en-GB"/>
        </w:rPr>
        <w:t xml:space="preserve">, I., </w:t>
      </w:r>
      <w:proofErr w:type="spellStart"/>
      <w:r w:rsidRPr="00C0751C">
        <w:rPr>
          <w:rFonts w:ascii="Arial" w:hAnsi="Arial" w:cs="Arial"/>
          <w:bCs/>
          <w:sz w:val="24"/>
          <w:szCs w:val="24"/>
          <w:lang w:eastAsia="en-GB"/>
        </w:rPr>
        <w:t>Kushniruk</w:t>
      </w:r>
      <w:proofErr w:type="spellEnd"/>
      <w:r w:rsidRPr="00C0751C">
        <w:rPr>
          <w:rFonts w:ascii="Arial" w:hAnsi="Arial" w:cs="Arial"/>
          <w:bCs/>
          <w:sz w:val="24"/>
          <w:szCs w:val="24"/>
          <w:lang w:eastAsia="en-GB"/>
        </w:rPr>
        <w:t xml:space="preserve">, V., </w:t>
      </w:r>
      <w:proofErr w:type="spellStart"/>
      <w:r w:rsidRPr="00C0751C">
        <w:rPr>
          <w:rFonts w:ascii="Arial" w:hAnsi="Arial" w:cs="Arial"/>
          <w:bCs/>
          <w:sz w:val="24"/>
          <w:szCs w:val="24"/>
          <w:lang w:eastAsia="en-GB"/>
        </w:rPr>
        <w:t>Velychko</w:t>
      </w:r>
      <w:proofErr w:type="spellEnd"/>
      <w:r w:rsidRPr="00C0751C">
        <w:rPr>
          <w:rFonts w:ascii="Arial" w:hAnsi="Arial" w:cs="Arial"/>
          <w:bCs/>
          <w:sz w:val="24"/>
          <w:szCs w:val="24"/>
          <w:lang w:eastAsia="en-GB"/>
        </w:rPr>
        <w:t>, O. and Cherven, I., 2024. Financial planning and budget management in hospitality and dining establishments: Navigating the financial landscape of the hotel and restaurant sector. Multidisciplinary Reviews, 7.</w:t>
      </w:r>
    </w:p>
    <w:p w14:paraId="68A5E4E0" w14:textId="7E843542" w:rsidR="007429E3" w:rsidRPr="00C0751C" w:rsidRDefault="007429E3" w:rsidP="00C0751C">
      <w:pPr>
        <w:spacing w:line="360" w:lineRule="auto"/>
        <w:jc w:val="both"/>
        <w:rPr>
          <w:rFonts w:ascii="Arial" w:hAnsi="Arial" w:cs="Arial"/>
          <w:bCs/>
          <w:sz w:val="24"/>
          <w:szCs w:val="24"/>
          <w:lang w:eastAsia="en-GB"/>
        </w:rPr>
      </w:pPr>
      <w:r w:rsidRPr="00C0751C">
        <w:rPr>
          <w:rFonts w:ascii="Arial" w:hAnsi="Arial" w:cs="Arial"/>
          <w:bCs/>
          <w:sz w:val="24"/>
          <w:szCs w:val="24"/>
          <w:lang w:eastAsia="en-GB"/>
        </w:rPr>
        <w:t>O’Toole, W. (2011) Events feasibility and development:  from strategy to operations. Elsevier: Oxford</w:t>
      </w:r>
    </w:p>
    <w:p w14:paraId="1686E14E" w14:textId="7B987A85" w:rsidR="00C0751C" w:rsidRPr="00C0751C" w:rsidRDefault="00C0751C" w:rsidP="00C0751C">
      <w:pPr>
        <w:spacing w:line="360" w:lineRule="auto"/>
        <w:jc w:val="both"/>
        <w:rPr>
          <w:rFonts w:ascii="Arial" w:hAnsi="Arial" w:cs="Arial"/>
          <w:bCs/>
          <w:sz w:val="24"/>
          <w:szCs w:val="24"/>
          <w:lang w:eastAsia="en-GB"/>
        </w:rPr>
      </w:pPr>
      <w:proofErr w:type="spellStart"/>
      <w:r w:rsidRPr="00C0751C">
        <w:rPr>
          <w:rFonts w:ascii="Arial" w:hAnsi="Arial" w:cs="Arial"/>
          <w:bCs/>
          <w:sz w:val="24"/>
          <w:szCs w:val="24"/>
          <w:lang w:eastAsia="en-GB"/>
        </w:rPr>
        <w:t>Rasson</w:t>
      </w:r>
      <w:proofErr w:type="spellEnd"/>
      <w:r w:rsidRPr="00C0751C">
        <w:rPr>
          <w:rFonts w:ascii="Arial" w:hAnsi="Arial" w:cs="Arial"/>
          <w:bCs/>
          <w:sz w:val="24"/>
          <w:szCs w:val="24"/>
          <w:lang w:eastAsia="en-GB"/>
        </w:rPr>
        <w:t>, J., 2018. An exploration of social media strategies in the Meeting, Incentive, Conference, Exhibition;(MICE) market in France (Doctoral dissertation, Dublin Business School).</w:t>
      </w:r>
    </w:p>
    <w:p w14:paraId="467D6A94" w14:textId="0F2F0907" w:rsidR="007429E3" w:rsidRPr="00C0751C" w:rsidRDefault="007429E3" w:rsidP="00C0751C">
      <w:pPr>
        <w:spacing w:line="360" w:lineRule="auto"/>
        <w:jc w:val="both"/>
        <w:rPr>
          <w:rFonts w:ascii="Arial" w:hAnsi="Arial" w:cs="Arial"/>
          <w:bCs/>
          <w:sz w:val="24"/>
          <w:szCs w:val="24"/>
          <w:lang w:eastAsia="en-GB"/>
        </w:rPr>
      </w:pPr>
      <w:r w:rsidRPr="00C0751C">
        <w:rPr>
          <w:rFonts w:ascii="Arial" w:hAnsi="Arial" w:cs="Arial"/>
          <w:bCs/>
          <w:sz w:val="24"/>
          <w:szCs w:val="24"/>
          <w:lang w:eastAsia="en-GB"/>
        </w:rPr>
        <w:t>Rogers, T. Wynn-Moylan, P (2022) Conferences and conventions: a global industry. 4th Edition. Routledge: Oxford</w:t>
      </w:r>
    </w:p>
    <w:p w14:paraId="6D4BC362" w14:textId="701B5494" w:rsidR="00C0751C" w:rsidRPr="00C0751C" w:rsidRDefault="00C0751C" w:rsidP="00C0751C">
      <w:pPr>
        <w:spacing w:line="360" w:lineRule="auto"/>
        <w:jc w:val="both"/>
        <w:rPr>
          <w:rFonts w:ascii="Arial" w:hAnsi="Arial" w:cs="Arial"/>
          <w:bCs/>
          <w:sz w:val="24"/>
          <w:szCs w:val="24"/>
          <w:lang w:eastAsia="en-GB"/>
        </w:rPr>
      </w:pPr>
      <w:r w:rsidRPr="00C0751C">
        <w:rPr>
          <w:rFonts w:ascii="Arial" w:hAnsi="Arial" w:cs="Arial"/>
          <w:bCs/>
          <w:sz w:val="24"/>
          <w:szCs w:val="24"/>
          <w:lang w:eastAsia="en-GB"/>
        </w:rPr>
        <w:lastRenderedPageBreak/>
        <w:t xml:space="preserve">Silva, S., Jardim, C., Silva, C. and Martins, D., 2024. MICE </w:t>
      </w:r>
      <w:proofErr w:type="gramStart"/>
      <w:r w:rsidRPr="00C0751C">
        <w:rPr>
          <w:rFonts w:ascii="Arial" w:hAnsi="Arial" w:cs="Arial"/>
          <w:bCs/>
          <w:sz w:val="24"/>
          <w:szCs w:val="24"/>
          <w:lang w:eastAsia="en-GB"/>
        </w:rPr>
        <w:t>segment:</w:t>
      </w:r>
      <w:proofErr w:type="gramEnd"/>
      <w:r w:rsidRPr="00C0751C">
        <w:rPr>
          <w:rFonts w:ascii="Arial" w:hAnsi="Arial" w:cs="Arial"/>
          <w:bCs/>
          <w:sz w:val="24"/>
          <w:szCs w:val="24"/>
          <w:lang w:eastAsia="en-GB"/>
        </w:rPr>
        <w:t xml:space="preserve"> challenges and opportunities to the tourism sector. Proceedings of the INVTUR 2024-Tourism in unprecedented times: looking for new directions, pp.1061-1076.</w:t>
      </w:r>
    </w:p>
    <w:p w14:paraId="2E687F14" w14:textId="21A35967" w:rsidR="007429E3" w:rsidRPr="00C0751C" w:rsidRDefault="007429E3" w:rsidP="00C0751C">
      <w:pPr>
        <w:spacing w:line="360" w:lineRule="auto"/>
        <w:jc w:val="both"/>
        <w:rPr>
          <w:rFonts w:ascii="Arial" w:hAnsi="Arial" w:cs="Arial"/>
          <w:bCs/>
          <w:sz w:val="24"/>
          <w:szCs w:val="24"/>
          <w:lang w:eastAsia="en-GB"/>
        </w:rPr>
      </w:pPr>
      <w:r w:rsidRPr="00C0751C">
        <w:rPr>
          <w:rFonts w:ascii="Arial" w:hAnsi="Arial" w:cs="Arial"/>
          <w:bCs/>
          <w:sz w:val="24"/>
          <w:szCs w:val="24"/>
          <w:lang w:eastAsia="en-GB"/>
        </w:rPr>
        <w:t>Smith, A. (2012) Events and urban regeneration: the strategic use of events to revitalise cities. Routledge: Oxford</w:t>
      </w:r>
    </w:p>
    <w:p w14:paraId="5D455A50" w14:textId="00A24336" w:rsidR="00C0751C" w:rsidRPr="00C0751C" w:rsidRDefault="00C0751C" w:rsidP="00C0751C">
      <w:pPr>
        <w:spacing w:line="360" w:lineRule="auto"/>
        <w:jc w:val="both"/>
        <w:rPr>
          <w:rFonts w:ascii="Arial" w:hAnsi="Arial" w:cs="Arial"/>
          <w:sz w:val="24"/>
          <w:szCs w:val="24"/>
          <w:lang w:eastAsia="en-GB"/>
        </w:rPr>
      </w:pPr>
      <w:r w:rsidRPr="00C0751C">
        <w:rPr>
          <w:rFonts w:ascii="Arial" w:hAnsi="Arial" w:cs="Arial"/>
          <w:sz w:val="24"/>
          <w:szCs w:val="24"/>
          <w:lang w:eastAsia="en-GB"/>
        </w:rPr>
        <w:t>Yingling, J. (2024). How Real Associates Live and Breathe Marriott’s ‘Serve our World’ Philosophy. [online] Life at Marriott Blog. Available at: https://life.marriott.com/blog/serve360-stories</w:t>
      </w:r>
    </w:p>
    <w:sectPr w:rsidR="00C0751C" w:rsidRPr="00C0751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9DD42E" w14:textId="77777777" w:rsidR="0078465E" w:rsidRDefault="0078465E" w:rsidP="00DF1E07">
      <w:pPr>
        <w:spacing w:after="0" w:line="240" w:lineRule="auto"/>
      </w:pPr>
      <w:r>
        <w:separator/>
      </w:r>
    </w:p>
  </w:endnote>
  <w:endnote w:type="continuationSeparator" w:id="0">
    <w:p w14:paraId="044D9445" w14:textId="77777777" w:rsidR="0078465E" w:rsidRDefault="0078465E" w:rsidP="00DF1E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353460"/>
      <w:docPartObj>
        <w:docPartGallery w:val="Page Numbers (Bottom of Page)"/>
        <w:docPartUnique/>
      </w:docPartObj>
    </w:sdtPr>
    <w:sdtEndPr>
      <w:rPr>
        <w:noProof/>
      </w:rPr>
    </w:sdtEndPr>
    <w:sdtContent>
      <w:p w14:paraId="6744599B" w14:textId="4883CEED" w:rsidR="00DF1E07" w:rsidRDefault="00DF1E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BA7059" w14:textId="77777777" w:rsidR="00DF1E07" w:rsidRDefault="00DF1E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004BD7" w14:textId="77777777" w:rsidR="0078465E" w:rsidRDefault="0078465E" w:rsidP="00DF1E07">
      <w:pPr>
        <w:spacing w:after="0" w:line="240" w:lineRule="auto"/>
      </w:pPr>
      <w:r>
        <w:separator/>
      </w:r>
    </w:p>
  </w:footnote>
  <w:footnote w:type="continuationSeparator" w:id="0">
    <w:p w14:paraId="74E6C320" w14:textId="77777777" w:rsidR="0078465E" w:rsidRDefault="0078465E" w:rsidP="00DF1E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E42BD"/>
    <w:multiLevelType w:val="hybridMultilevel"/>
    <w:tmpl w:val="A24A8C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59839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E07"/>
    <w:rsid w:val="00544146"/>
    <w:rsid w:val="005F4A1D"/>
    <w:rsid w:val="0073214E"/>
    <w:rsid w:val="007429E3"/>
    <w:rsid w:val="0078465E"/>
    <w:rsid w:val="007B0CC3"/>
    <w:rsid w:val="008F6FD5"/>
    <w:rsid w:val="00943430"/>
    <w:rsid w:val="00B151A8"/>
    <w:rsid w:val="00C0751C"/>
    <w:rsid w:val="00C82D1F"/>
    <w:rsid w:val="00DF1E07"/>
    <w:rsid w:val="00E50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EB7A2"/>
  <w15:chartTrackingRefBased/>
  <w15:docId w15:val="{1FBFB02E-06F4-4F6B-A200-96472CAA9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DF1E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1E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1E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1E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1E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1E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1E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1E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DF1E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1E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1E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1E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1E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1E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1E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1E07"/>
    <w:rPr>
      <w:rFonts w:eastAsiaTheme="majorEastAsia" w:cstheme="majorBidi"/>
      <w:color w:val="272727" w:themeColor="text1" w:themeTint="D8"/>
    </w:rPr>
  </w:style>
  <w:style w:type="paragraph" w:styleId="Title">
    <w:name w:val="Title"/>
    <w:basedOn w:val="Normal"/>
    <w:next w:val="Normal"/>
    <w:link w:val="TitleChar"/>
    <w:uiPriority w:val="10"/>
    <w:qFormat/>
    <w:rsid w:val="00DF1E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1E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1E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1E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1E07"/>
    <w:pPr>
      <w:spacing w:before="160"/>
      <w:jc w:val="center"/>
    </w:pPr>
    <w:rPr>
      <w:i/>
      <w:iCs/>
      <w:color w:val="404040" w:themeColor="text1" w:themeTint="BF"/>
    </w:rPr>
  </w:style>
  <w:style w:type="character" w:customStyle="1" w:styleId="QuoteChar">
    <w:name w:val="Quote Char"/>
    <w:basedOn w:val="DefaultParagraphFont"/>
    <w:link w:val="Quote"/>
    <w:uiPriority w:val="29"/>
    <w:rsid w:val="00DF1E07"/>
    <w:rPr>
      <w:i/>
      <w:iCs/>
      <w:color w:val="404040" w:themeColor="text1" w:themeTint="BF"/>
    </w:rPr>
  </w:style>
  <w:style w:type="paragraph" w:styleId="ListParagraph">
    <w:name w:val="List Paragraph"/>
    <w:basedOn w:val="Normal"/>
    <w:uiPriority w:val="34"/>
    <w:qFormat/>
    <w:rsid w:val="00DF1E07"/>
    <w:pPr>
      <w:ind w:left="720"/>
      <w:contextualSpacing/>
    </w:pPr>
  </w:style>
  <w:style w:type="character" w:styleId="IntenseEmphasis">
    <w:name w:val="Intense Emphasis"/>
    <w:basedOn w:val="DefaultParagraphFont"/>
    <w:uiPriority w:val="21"/>
    <w:qFormat/>
    <w:rsid w:val="00DF1E07"/>
    <w:rPr>
      <w:i/>
      <w:iCs/>
      <w:color w:val="0F4761" w:themeColor="accent1" w:themeShade="BF"/>
    </w:rPr>
  </w:style>
  <w:style w:type="paragraph" w:styleId="IntenseQuote">
    <w:name w:val="Intense Quote"/>
    <w:basedOn w:val="Normal"/>
    <w:next w:val="Normal"/>
    <w:link w:val="IntenseQuoteChar"/>
    <w:uiPriority w:val="30"/>
    <w:qFormat/>
    <w:rsid w:val="00DF1E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1E07"/>
    <w:rPr>
      <w:i/>
      <w:iCs/>
      <w:color w:val="0F4761" w:themeColor="accent1" w:themeShade="BF"/>
    </w:rPr>
  </w:style>
  <w:style w:type="character" w:styleId="IntenseReference">
    <w:name w:val="Intense Reference"/>
    <w:basedOn w:val="DefaultParagraphFont"/>
    <w:uiPriority w:val="32"/>
    <w:qFormat/>
    <w:rsid w:val="00DF1E07"/>
    <w:rPr>
      <w:b/>
      <w:bCs/>
      <w:smallCaps/>
      <w:color w:val="0F4761" w:themeColor="accent1" w:themeShade="BF"/>
      <w:spacing w:val="5"/>
    </w:rPr>
  </w:style>
  <w:style w:type="paragraph" w:styleId="Header">
    <w:name w:val="header"/>
    <w:basedOn w:val="Normal"/>
    <w:link w:val="HeaderChar"/>
    <w:uiPriority w:val="99"/>
    <w:unhideWhenUsed/>
    <w:rsid w:val="00DF1E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1E07"/>
  </w:style>
  <w:style w:type="paragraph" w:styleId="Footer">
    <w:name w:val="footer"/>
    <w:basedOn w:val="Normal"/>
    <w:link w:val="FooterChar"/>
    <w:uiPriority w:val="99"/>
    <w:unhideWhenUsed/>
    <w:rsid w:val="00DF1E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1E07"/>
  </w:style>
  <w:style w:type="table" w:styleId="TableGrid">
    <w:name w:val="Table Grid"/>
    <w:basedOn w:val="TableNormal"/>
    <w:uiPriority w:val="39"/>
    <w:rsid w:val="00732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429E3"/>
    <w:pPr>
      <w:outlineLvl w:val="9"/>
    </w:pPr>
    <w:rPr>
      <w:kern w:val="0"/>
      <w:lang w:val="en-US"/>
      <w14:ligatures w14:val="none"/>
    </w:rPr>
  </w:style>
  <w:style w:type="paragraph" w:styleId="TOC1">
    <w:name w:val="toc 1"/>
    <w:basedOn w:val="Normal"/>
    <w:next w:val="Normal"/>
    <w:autoRedefine/>
    <w:uiPriority w:val="39"/>
    <w:unhideWhenUsed/>
    <w:rsid w:val="007429E3"/>
    <w:pPr>
      <w:spacing w:after="100"/>
    </w:pPr>
  </w:style>
  <w:style w:type="character" w:styleId="Hyperlink">
    <w:name w:val="Hyperlink"/>
    <w:basedOn w:val="DefaultParagraphFont"/>
    <w:uiPriority w:val="99"/>
    <w:unhideWhenUsed/>
    <w:rsid w:val="007429E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13</Pages>
  <Words>3575</Words>
  <Characters>20383</Characters>
  <Application>Microsoft Office Word</Application>
  <DocSecurity>0</DocSecurity>
  <Lines>169</Lines>
  <Paragraphs>47</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Introduction </vt:lpstr>
      <vt:lpstr>Event Content and Context</vt:lpstr>
      <vt:lpstr>Market Factors</vt:lpstr>
      <vt:lpstr>Operational Factors</vt:lpstr>
      <vt:lpstr>Financial feasibility </vt:lpstr>
      <vt:lpstr>Marketing and Promotion</vt:lpstr>
      <vt:lpstr>Operational and Logistical Considerations</vt:lpstr>
      <vt:lpstr>Risk and Sustainability</vt:lpstr>
      <vt:lpstr>Industry analysis </vt:lpstr>
      <vt:lpstr>Conclusion </vt:lpstr>
      <vt:lpstr>References </vt:lpstr>
    </vt:vector>
  </TitlesOfParts>
  <Company/>
  <LinksUpToDate>false</LinksUpToDate>
  <CharactersWithSpaces>23911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mihaela caradan</cp:lastModifiedBy>
  <cp:revision>2</cp:revision>
  <dcterms:created xsi:type="dcterms:W3CDTF">2025-02-28T21:41:00Z</dcterms:created>
  <dcterms:modified xsi:type="dcterms:W3CDTF">2025-02-28T22:48:00Z</dcterms:modified>
</cp:coreProperties>
</file>