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1BC3128">
      <w:pPr>
        <w:pStyle w:val="12"/>
      </w:pPr>
      <w:r>
        <w:t>A Critical Evaluation of Contemporary Human Resource Challenges and Management Practices at NatWest Group</w:t>
      </w:r>
    </w:p>
    <w:p w14:paraId="1B612687"/>
    <w:p w14:paraId="62E9F6F3"/>
    <w:p w14:paraId="2BB683E1"/>
    <w:p w14:paraId="07403686">
      <w:pPr>
        <w:pStyle w:val="22"/>
        <w:rPr>
          <w:b/>
          <w:sz w:val="26"/>
        </w:rPr>
      </w:pPr>
      <w:r>
        <w:rPr>
          <w:b/>
          <w:sz w:val="26"/>
        </w:rPr>
        <w:t>Module Code – LCLM5002</w:t>
      </w:r>
    </w:p>
    <w:p w14:paraId="45785E70">
      <w:pPr>
        <w:pStyle w:val="22"/>
        <w:rPr>
          <w:b/>
          <w:sz w:val="26"/>
        </w:rPr>
      </w:pPr>
      <w:r>
        <w:rPr>
          <w:b/>
          <w:sz w:val="26"/>
        </w:rPr>
        <w:t>Module Title – Developing and Managing Individuals and Teams</w:t>
      </w:r>
    </w:p>
    <w:p w14:paraId="35CBCB86">
      <w:pPr>
        <w:pStyle w:val="11"/>
        <w:rPr>
          <w:b/>
          <w:sz w:val="26"/>
        </w:rPr>
      </w:pPr>
      <w:r>
        <w:rPr>
          <w:b/>
          <w:sz w:val="26"/>
        </w:rPr>
        <w:t>Assessment Component 2 – Individual Report</w:t>
      </w:r>
    </w:p>
    <w:p w14:paraId="428B48CB">
      <w:pPr>
        <w:jc w:val="both"/>
        <w:rPr>
          <w:rFonts w:hint="default" w:ascii="Arial" w:hAnsi="Arial" w:cs="Arial"/>
          <w:b/>
          <w:sz w:val="24"/>
          <w:szCs w:val="24"/>
          <w:lang w:val="en-GB"/>
        </w:rPr>
      </w:pPr>
      <w:r>
        <w:rPr>
          <w:rFonts w:ascii="Arial" w:hAnsi="Arial" w:cs="Arial"/>
          <w:b/>
          <w:sz w:val="24"/>
          <w:szCs w:val="24"/>
        </w:rPr>
        <w:t>Student Name</w:t>
      </w:r>
      <w:r>
        <w:rPr>
          <w:rFonts w:hint="default" w:ascii="Arial" w:hAnsi="Arial" w:cs="Arial"/>
          <w:b/>
          <w:sz w:val="24"/>
          <w:szCs w:val="24"/>
          <w:lang w:val="en-GB"/>
        </w:rPr>
        <w:t>- Ivelina Oblakova</w:t>
      </w:r>
    </w:p>
    <w:p w14:paraId="74747CA5">
      <w:pPr>
        <w:jc w:val="both"/>
        <w:rPr>
          <w:rFonts w:hint="default" w:ascii="Arial" w:hAnsi="Arial" w:cs="Arial"/>
          <w:b/>
          <w:sz w:val="24"/>
          <w:szCs w:val="24"/>
          <w:lang w:val="en-GB"/>
        </w:rPr>
      </w:pPr>
      <w:r>
        <w:rPr>
          <w:rFonts w:ascii="Arial" w:hAnsi="Arial" w:cs="Arial"/>
          <w:b/>
          <w:sz w:val="24"/>
          <w:szCs w:val="24"/>
        </w:rPr>
        <w:t>Student ID</w:t>
      </w:r>
      <w:r>
        <w:rPr>
          <w:rFonts w:hint="default" w:ascii="Arial" w:hAnsi="Arial" w:cs="Arial"/>
          <w:b/>
          <w:sz w:val="24"/>
          <w:szCs w:val="24"/>
          <w:lang w:val="en-GB"/>
        </w:rPr>
        <w:t xml:space="preserve"> 2437876</w:t>
      </w:r>
    </w:p>
    <w:p w14:paraId="34FDE60B">
      <w:pPr>
        <w:jc w:val="both"/>
        <w:rPr>
          <w:rFonts w:hint="default" w:ascii="Arial" w:hAnsi="Arial" w:cs="Arial"/>
          <w:b/>
          <w:sz w:val="24"/>
          <w:szCs w:val="24"/>
          <w:lang w:val="en-GB"/>
        </w:rPr>
      </w:pPr>
      <w:r>
        <w:rPr>
          <w:rFonts w:ascii="Arial" w:hAnsi="Arial" w:cs="Arial"/>
          <w:b/>
          <w:sz w:val="24"/>
          <w:szCs w:val="24"/>
        </w:rPr>
        <w:t xml:space="preserve">Lecturer </w:t>
      </w:r>
      <w:r>
        <w:rPr>
          <w:rFonts w:hint="default" w:ascii="Arial" w:hAnsi="Arial" w:cs="Arial"/>
          <w:b/>
          <w:sz w:val="24"/>
          <w:szCs w:val="24"/>
          <w:lang w:val="en-GB"/>
        </w:rPr>
        <w:t>- Dr Samson Oladejo</w:t>
      </w:r>
      <w:bookmarkStart w:id="24" w:name="_GoBack"/>
      <w:bookmarkEnd w:id="24"/>
    </w:p>
    <w:p w14:paraId="3DB9473D">
      <w:pPr>
        <w:jc w:val="both"/>
        <w:rPr>
          <w:rFonts w:hint="default" w:ascii="Arial" w:hAnsi="Arial" w:cs="Arial"/>
          <w:b/>
          <w:sz w:val="24"/>
          <w:szCs w:val="24"/>
          <w:lang w:val="en-GB"/>
        </w:rPr>
      </w:pPr>
    </w:p>
    <w:p w14:paraId="4CD3ED1D">
      <w:pPr>
        <w:pStyle w:val="11"/>
        <w:rPr>
          <w:rFonts w:hint="default"/>
          <w:b/>
          <w:sz w:val="26"/>
          <w:lang w:val="en-GB"/>
        </w:rPr>
      </w:pPr>
    </w:p>
    <w:p w14:paraId="37032659">
      <w:pPr>
        <w:pStyle w:val="11"/>
        <w:rPr>
          <w:b/>
          <w:sz w:val="26"/>
        </w:rPr>
      </w:pPr>
      <w:r>
        <w:br w:type="page"/>
      </w:r>
    </w:p>
    <w:sdt>
      <w:sdtPr>
        <w:rPr>
          <w:rFonts w:asciiTheme="minorHAnsi" w:hAnsiTheme="minorHAnsi" w:eastAsiaTheme="minorHAnsi" w:cstheme="minorBidi"/>
          <w:color w:val="auto"/>
          <w:sz w:val="22"/>
          <w:szCs w:val="22"/>
          <w:lang w:val="en-GB"/>
        </w:rPr>
        <w:id w:val="-84531960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14:paraId="0EE2FCAD">
          <w:pPr>
            <w:pStyle w:val="21"/>
          </w:pPr>
          <w:r>
            <w:t>Table of Contents</w:t>
          </w:r>
        </w:p>
        <w:p w14:paraId="35043DB5">
          <w:pPr>
            <w:pStyle w:val="13"/>
            <w:tabs>
              <w:tab w:val="right" w:leader="dot" w:pos="9016"/>
            </w:tabs>
          </w:pPr>
          <w:r>
            <w:rPr>
              <w:b/>
              <w:bCs/>
            </w:rPr>
            <w:fldChar w:fldCharType="begin"/>
          </w:r>
          <w:r>
            <w:rPr>
              <w:b/>
              <w:bCs/>
            </w:rPr>
            <w:instrText xml:space="preserve"> TOC \o "1-3" \h \z \u </w:instrText>
          </w:r>
          <w:r>
            <w:rPr>
              <w:b/>
              <w:bCs/>
            </w:rPr>
            <w:fldChar w:fldCharType="separate"/>
          </w:r>
          <w:r>
            <w:fldChar w:fldCharType="begin"/>
          </w:r>
          <w:r>
            <w:instrText xml:space="preserve"> HYPERLINK \l "_Toc231602195" </w:instrText>
          </w:r>
          <w:r>
            <w:fldChar w:fldCharType="separate"/>
          </w:r>
          <w:r>
            <w:rPr>
              <w:rStyle w:val="10"/>
            </w:rPr>
            <w:t>Introduction</w:t>
          </w:r>
          <w:r>
            <w:tab/>
          </w:r>
          <w:r>
            <w:fldChar w:fldCharType="begin"/>
          </w:r>
          <w:r>
            <w:instrText xml:space="preserve"> PAGEREF _Toc231602195 \h </w:instrText>
          </w:r>
          <w:r>
            <w:fldChar w:fldCharType="separate"/>
          </w:r>
          <w:r>
            <w:t>3</w:t>
          </w:r>
          <w:r>
            <w:fldChar w:fldCharType="end"/>
          </w:r>
          <w:r>
            <w:fldChar w:fldCharType="end"/>
          </w:r>
        </w:p>
        <w:p w14:paraId="7EC01FD1">
          <w:pPr>
            <w:pStyle w:val="13"/>
            <w:tabs>
              <w:tab w:val="right" w:leader="dot" w:pos="9016"/>
            </w:tabs>
          </w:pPr>
          <w:r>
            <w:fldChar w:fldCharType="begin"/>
          </w:r>
          <w:r>
            <w:instrText xml:space="preserve"> HYPERLINK \l "_Toc231602196" </w:instrText>
          </w:r>
          <w:r>
            <w:fldChar w:fldCharType="separate"/>
          </w:r>
          <w:r>
            <w:rPr>
              <w:rStyle w:val="10"/>
            </w:rPr>
            <w:t>Major Contemporary HR Challenges Facing NatWest Group</w:t>
          </w:r>
          <w:r>
            <w:tab/>
          </w:r>
          <w:r>
            <w:fldChar w:fldCharType="begin"/>
          </w:r>
          <w:r>
            <w:instrText xml:space="preserve"> PAGEREF _Toc231602196 \h </w:instrText>
          </w:r>
          <w:r>
            <w:fldChar w:fldCharType="separate"/>
          </w:r>
          <w:r>
            <w:t>3</w:t>
          </w:r>
          <w:r>
            <w:fldChar w:fldCharType="end"/>
          </w:r>
          <w:r>
            <w:fldChar w:fldCharType="end"/>
          </w:r>
        </w:p>
        <w:p w14:paraId="2B9197AD">
          <w:pPr>
            <w:pStyle w:val="14"/>
            <w:tabs>
              <w:tab w:val="right" w:leader="dot" w:pos="9016"/>
            </w:tabs>
          </w:pPr>
          <w:r>
            <w:fldChar w:fldCharType="begin"/>
          </w:r>
          <w:r>
            <w:instrText xml:space="preserve"> HYPERLINK \l "_Toc231602197" </w:instrText>
          </w:r>
          <w:r>
            <w:fldChar w:fldCharType="separate"/>
          </w:r>
          <w:r>
            <w:rPr>
              <w:rStyle w:val="10"/>
            </w:rPr>
            <w:t>Adapting to Technological Advancements</w:t>
          </w:r>
          <w:r>
            <w:tab/>
          </w:r>
          <w:r>
            <w:fldChar w:fldCharType="begin"/>
          </w:r>
          <w:r>
            <w:instrText xml:space="preserve"> PAGEREF _Toc231602197 \h </w:instrText>
          </w:r>
          <w:r>
            <w:fldChar w:fldCharType="separate"/>
          </w:r>
          <w:r>
            <w:t>3</w:t>
          </w:r>
          <w:r>
            <w:fldChar w:fldCharType="end"/>
          </w:r>
          <w:r>
            <w:fldChar w:fldCharType="end"/>
          </w:r>
        </w:p>
        <w:p w14:paraId="0B74A057">
          <w:pPr>
            <w:pStyle w:val="14"/>
            <w:tabs>
              <w:tab w:val="right" w:leader="dot" w:pos="9016"/>
            </w:tabs>
          </w:pPr>
          <w:r>
            <w:fldChar w:fldCharType="begin"/>
          </w:r>
          <w:r>
            <w:instrText xml:space="preserve"> HYPERLINK \l "_Toc231602198" </w:instrText>
          </w:r>
          <w:r>
            <w:fldChar w:fldCharType="separate"/>
          </w:r>
          <w:r>
            <w:rPr>
              <w:rStyle w:val="10"/>
            </w:rPr>
            <w:t>Talent Acquisition and Retention</w:t>
          </w:r>
          <w:r>
            <w:tab/>
          </w:r>
          <w:r>
            <w:fldChar w:fldCharType="begin"/>
          </w:r>
          <w:r>
            <w:instrText xml:space="preserve"> PAGEREF _Toc231602198 \h </w:instrText>
          </w:r>
          <w:r>
            <w:fldChar w:fldCharType="separate"/>
          </w:r>
          <w:r>
            <w:t>4</w:t>
          </w:r>
          <w:r>
            <w:fldChar w:fldCharType="end"/>
          </w:r>
          <w:r>
            <w:fldChar w:fldCharType="end"/>
          </w:r>
        </w:p>
        <w:p w14:paraId="1437F0F1">
          <w:pPr>
            <w:pStyle w:val="15"/>
            <w:tabs>
              <w:tab w:val="right" w:leader="dot" w:pos="9016"/>
            </w:tabs>
          </w:pPr>
          <w:r>
            <w:fldChar w:fldCharType="begin"/>
          </w:r>
          <w:r>
            <w:instrText xml:space="preserve"> HYPERLINK \l "_Toc231602199" </w:instrText>
          </w:r>
          <w:r>
            <w:fldChar w:fldCharType="separate"/>
          </w:r>
          <w:r>
            <w:rPr>
              <w:rStyle w:val="10"/>
            </w:rPr>
            <w:t>High Competition</w:t>
          </w:r>
          <w:r>
            <w:tab/>
          </w:r>
          <w:r>
            <w:fldChar w:fldCharType="begin"/>
          </w:r>
          <w:r>
            <w:instrText xml:space="preserve"> PAGEREF _Toc231602199 \h </w:instrText>
          </w:r>
          <w:r>
            <w:fldChar w:fldCharType="separate"/>
          </w:r>
          <w:r>
            <w:t>4</w:t>
          </w:r>
          <w:r>
            <w:fldChar w:fldCharType="end"/>
          </w:r>
          <w:r>
            <w:fldChar w:fldCharType="end"/>
          </w:r>
        </w:p>
        <w:p w14:paraId="4122FE08">
          <w:pPr>
            <w:pStyle w:val="15"/>
            <w:tabs>
              <w:tab w:val="right" w:leader="dot" w:pos="9016"/>
            </w:tabs>
          </w:pPr>
          <w:r>
            <w:fldChar w:fldCharType="begin"/>
          </w:r>
          <w:r>
            <w:instrText xml:space="preserve"> HYPERLINK \l "_Toc231602200" </w:instrText>
          </w:r>
          <w:r>
            <w:fldChar w:fldCharType="separate"/>
          </w:r>
          <w:r>
            <w:rPr>
              <w:rStyle w:val="10"/>
            </w:rPr>
            <w:t>Organisational Success</w:t>
          </w:r>
          <w:r>
            <w:tab/>
          </w:r>
          <w:r>
            <w:fldChar w:fldCharType="begin"/>
          </w:r>
          <w:r>
            <w:instrText xml:space="preserve"> PAGEREF _Toc231602200 \h </w:instrText>
          </w:r>
          <w:r>
            <w:fldChar w:fldCharType="separate"/>
          </w:r>
          <w:r>
            <w:t>4</w:t>
          </w:r>
          <w:r>
            <w:fldChar w:fldCharType="end"/>
          </w:r>
          <w:r>
            <w:fldChar w:fldCharType="end"/>
          </w:r>
        </w:p>
        <w:p w14:paraId="76784063">
          <w:pPr>
            <w:pStyle w:val="15"/>
            <w:tabs>
              <w:tab w:val="right" w:leader="dot" w:pos="9016"/>
            </w:tabs>
          </w:pPr>
          <w:r>
            <w:fldChar w:fldCharType="begin"/>
          </w:r>
          <w:r>
            <w:instrText xml:space="preserve"> HYPERLINK \l "_Toc231602201" </w:instrText>
          </w:r>
          <w:r>
            <w:fldChar w:fldCharType="separate"/>
          </w:r>
          <w:r>
            <w:rPr>
              <w:rStyle w:val="10"/>
            </w:rPr>
            <w:t>Psychological contract</w:t>
          </w:r>
          <w:r>
            <w:tab/>
          </w:r>
          <w:r>
            <w:fldChar w:fldCharType="begin"/>
          </w:r>
          <w:r>
            <w:instrText xml:space="preserve"> PAGEREF _Toc231602201 \h </w:instrText>
          </w:r>
          <w:r>
            <w:fldChar w:fldCharType="separate"/>
          </w:r>
          <w:r>
            <w:t>4</w:t>
          </w:r>
          <w:r>
            <w:fldChar w:fldCharType="end"/>
          </w:r>
          <w:r>
            <w:fldChar w:fldCharType="end"/>
          </w:r>
        </w:p>
        <w:p w14:paraId="7E4AFABD">
          <w:pPr>
            <w:pStyle w:val="14"/>
            <w:tabs>
              <w:tab w:val="right" w:leader="dot" w:pos="9016"/>
            </w:tabs>
          </w:pPr>
          <w:r>
            <w:fldChar w:fldCharType="begin"/>
          </w:r>
          <w:r>
            <w:instrText xml:space="preserve"> HYPERLINK \l "_Toc231602202" </w:instrText>
          </w:r>
          <w:r>
            <w:fldChar w:fldCharType="separate"/>
          </w:r>
          <w:r>
            <w:rPr>
              <w:rStyle w:val="10"/>
            </w:rPr>
            <w:t>Diversity, Equity and Inclusion (DEI)</w:t>
          </w:r>
          <w:r>
            <w:tab/>
          </w:r>
          <w:r>
            <w:fldChar w:fldCharType="begin"/>
          </w:r>
          <w:r>
            <w:instrText xml:space="preserve"> PAGEREF _Toc231602202 \h </w:instrText>
          </w:r>
          <w:r>
            <w:fldChar w:fldCharType="separate"/>
          </w:r>
          <w:r>
            <w:t>5</w:t>
          </w:r>
          <w:r>
            <w:fldChar w:fldCharType="end"/>
          </w:r>
          <w:r>
            <w:fldChar w:fldCharType="end"/>
          </w:r>
        </w:p>
        <w:p w14:paraId="1D8230B4">
          <w:pPr>
            <w:pStyle w:val="13"/>
            <w:tabs>
              <w:tab w:val="right" w:leader="dot" w:pos="9016"/>
            </w:tabs>
          </w:pPr>
          <w:r>
            <w:fldChar w:fldCharType="begin"/>
          </w:r>
          <w:r>
            <w:instrText xml:space="preserve"> HYPERLINK \l "_Toc231602203" </w:instrText>
          </w:r>
          <w:r>
            <w:fldChar w:fldCharType="separate"/>
          </w:r>
          <w:r>
            <w:rPr>
              <w:rStyle w:val="10"/>
            </w:rPr>
            <w:t>Evaluation of Contemporary HR Practices</w:t>
          </w:r>
          <w:r>
            <w:tab/>
          </w:r>
          <w:r>
            <w:fldChar w:fldCharType="begin"/>
          </w:r>
          <w:r>
            <w:instrText xml:space="preserve"> PAGEREF _Toc231602203 \h </w:instrText>
          </w:r>
          <w:r>
            <w:fldChar w:fldCharType="separate"/>
          </w:r>
          <w:r>
            <w:t>5</w:t>
          </w:r>
          <w:r>
            <w:fldChar w:fldCharType="end"/>
          </w:r>
          <w:r>
            <w:fldChar w:fldCharType="end"/>
          </w:r>
        </w:p>
        <w:p w14:paraId="26932F9A">
          <w:pPr>
            <w:pStyle w:val="14"/>
            <w:tabs>
              <w:tab w:val="right" w:leader="dot" w:pos="9016"/>
            </w:tabs>
          </w:pPr>
          <w:r>
            <w:fldChar w:fldCharType="begin"/>
          </w:r>
          <w:r>
            <w:instrText xml:space="preserve"> HYPERLINK \l "_Toc231602204" </w:instrText>
          </w:r>
          <w:r>
            <w:fldChar w:fldCharType="separate"/>
          </w:r>
          <w:r>
            <w:rPr>
              <w:rStyle w:val="10"/>
            </w:rPr>
            <w:t>Digital HR Systems and Workforce Analytics</w:t>
          </w:r>
          <w:r>
            <w:tab/>
          </w:r>
          <w:r>
            <w:fldChar w:fldCharType="begin"/>
          </w:r>
          <w:r>
            <w:instrText xml:space="preserve"> PAGEREF _Toc231602204 \h </w:instrText>
          </w:r>
          <w:r>
            <w:fldChar w:fldCharType="separate"/>
          </w:r>
          <w:r>
            <w:t>5</w:t>
          </w:r>
          <w:r>
            <w:fldChar w:fldCharType="end"/>
          </w:r>
          <w:r>
            <w:fldChar w:fldCharType="end"/>
          </w:r>
        </w:p>
        <w:p w14:paraId="7795E1FC">
          <w:pPr>
            <w:pStyle w:val="14"/>
            <w:tabs>
              <w:tab w:val="right" w:leader="dot" w:pos="9016"/>
            </w:tabs>
          </w:pPr>
          <w:r>
            <w:fldChar w:fldCharType="begin"/>
          </w:r>
          <w:r>
            <w:instrText xml:space="preserve"> HYPERLINK \l "_Toc231602205" </w:instrText>
          </w:r>
          <w:r>
            <w:fldChar w:fldCharType="separate"/>
          </w:r>
          <w:r>
            <w:rPr>
              <w:rStyle w:val="10"/>
            </w:rPr>
            <w:t>Employer Branding and Strategic Workforce Planning</w:t>
          </w:r>
          <w:r>
            <w:tab/>
          </w:r>
          <w:r>
            <w:fldChar w:fldCharType="begin"/>
          </w:r>
          <w:r>
            <w:instrText xml:space="preserve"> PAGEREF _Toc231602205 \h </w:instrText>
          </w:r>
          <w:r>
            <w:fldChar w:fldCharType="separate"/>
          </w:r>
          <w:r>
            <w:t>6</w:t>
          </w:r>
          <w:r>
            <w:fldChar w:fldCharType="end"/>
          </w:r>
          <w:r>
            <w:fldChar w:fldCharType="end"/>
          </w:r>
        </w:p>
        <w:p w14:paraId="4C0B85D8">
          <w:pPr>
            <w:pStyle w:val="14"/>
            <w:tabs>
              <w:tab w:val="right" w:leader="dot" w:pos="9016"/>
            </w:tabs>
          </w:pPr>
          <w:r>
            <w:fldChar w:fldCharType="begin"/>
          </w:r>
          <w:r>
            <w:instrText xml:space="preserve"> HYPERLINK \l "_Toc231602206" </w:instrText>
          </w:r>
          <w:r>
            <w:fldChar w:fldCharType="separate"/>
          </w:r>
          <w:r>
            <w:rPr>
              <w:rStyle w:val="10"/>
            </w:rPr>
            <w:t>Employee Engagement and Retention Strategies</w:t>
          </w:r>
          <w:r>
            <w:tab/>
          </w:r>
          <w:r>
            <w:fldChar w:fldCharType="begin"/>
          </w:r>
          <w:r>
            <w:instrText xml:space="preserve"> PAGEREF _Toc231602206 \h </w:instrText>
          </w:r>
          <w:r>
            <w:fldChar w:fldCharType="separate"/>
          </w:r>
          <w:r>
            <w:t>6</w:t>
          </w:r>
          <w:r>
            <w:fldChar w:fldCharType="end"/>
          </w:r>
          <w:r>
            <w:fldChar w:fldCharType="end"/>
          </w:r>
        </w:p>
        <w:p w14:paraId="711A8EB3">
          <w:pPr>
            <w:pStyle w:val="14"/>
            <w:tabs>
              <w:tab w:val="right" w:leader="dot" w:pos="9016"/>
            </w:tabs>
          </w:pPr>
          <w:r>
            <w:fldChar w:fldCharType="begin"/>
          </w:r>
          <w:r>
            <w:instrText xml:space="preserve"> HYPERLINK \l "_Toc231602207" </w:instrText>
          </w:r>
          <w:r>
            <w:fldChar w:fldCharType="separate"/>
          </w:r>
          <w:r>
            <w:rPr>
              <w:rStyle w:val="10"/>
            </w:rPr>
            <w:t>Inclusive Recruitment and DEI Initiatives</w:t>
          </w:r>
          <w:r>
            <w:tab/>
          </w:r>
          <w:r>
            <w:fldChar w:fldCharType="begin"/>
          </w:r>
          <w:r>
            <w:instrText xml:space="preserve"> PAGEREF _Toc231602207 \h </w:instrText>
          </w:r>
          <w:r>
            <w:fldChar w:fldCharType="separate"/>
          </w:r>
          <w:r>
            <w:t>7</w:t>
          </w:r>
          <w:r>
            <w:fldChar w:fldCharType="end"/>
          </w:r>
          <w:r>
            <w:fldChar w:fldCharType="end"/>
          </w:r>
        </w:p>
        <w:p w14:paraId="22E16410">
          <w:pPr>
            <w:pStyle w:val="13"/>
            <w:tabs>
              <w:tab w:val="right" w:leader="dot" w:pos="9016"/>
            </w:tabs>
          </w:pPr>
          <w:r>
            <w:fldChar w:fldCharType="begin"/>
          </w:r>
          <w:r>
            <w:instrText xml:space="preserve"> HYPERLINK \l "_Toc231602208" </w:instrText>
          </w:r>
          <w:r>
            <w:fldChar w:fldCharType="separate"/>
          </w:r>
          <w:r>
            <w:rPr>
              <w:rStyle w:val="10"/>
            </w:rPr>
            <w:t>Critical Evaluation of Managerial Implementation</w:t>
          </w:r>
          <w:r>
            <w:tab/>
          </w:r>
          <w:r>
            <w:fldChar w:fldCharType="begin"/>
          </w:r>
          <w:r>
            <w:instrText xml:space="preserve"> PAGEREF _Toc231602208 \h </w:instrText>
          </w:r>
          <w:r>
            <w:fldChar w:fldCharType="separate"/>
          </w:r>
          <w:r>
            <w:t>7</w:t>
          </w:r>
          <w:r>
            <w:fldChar w:fldCharType="end"/>
          </w:r>
          <w:r>
            <w:fldChar w:fldCharType="end"/>
          </w:r>
        </w:p>
        <w:p w14:paraId="3BC8772E">
          <w:pPr>
            <w:pStyle w:val="14"/>
            <w:tabs>
              <w:tab w:val="right" w:leader="dot" w:pos="9016"/>
            </w:tabs>
          </w:pPr>
          <w:r>
            <w:fldChar w:fldCharType="begin"/>
          </w:r>
          <w:r>
            <w:instrText xml:space="preserve"> HYPERLINK \l "_Toc231602209" </w:instrText>
          </w:r>
          <w:r>
            <w:fldChar w:fldCharType="separate"/>
          </w:r>
          <w:r>
            <w:rPr>
              <w:rStyle w:val="10"/>
            </w:rPr>
            <w:t>Leadership Accountability</w:t>
          </w:r>
          <w:r>
            <w:tab/>
          </w:r>
          <w:r>
            <w:fldChar w:fldCharType="begin"/>
          </w:r>
          <w:r>
            <w:instrText xml:space="preserve"> PAGEREF _Toc231602209 \h </w:instrText>
          </w:r>
          <w:r>
            <w:fldChar w:fldCharType="separate"/>
          </w:r>
          <w:r>
            <w:t>7</w:t>
          </w:r>
          <w:r>
            <w:fldChar w:fldCharType="end"/>
          </w:r>
          <w:r>
            <w:fldChar w:fldCharType="end"/>
          </w:r>
        </w:p>
        <w:p w14:paraId="1490F07D">
          <w:pPr>
            <w:pStyle w:val="14"/>
            <w:tabs>
              <w:tab w:val="right" w:leader="dot" w:pos="9016"/>
            </w:tabs>
          </w:pPr>
          <w:r>
            <w:fldChar w:fldCharType="begin"/>
          </w:r>
          <w:r>
            <w:instrText xml:space="preserve"> HYPERLINK \l "_Toc231602210" </w:instrText>
          </w:r>
          <w:r>
            <w:fldChar w:fldCharType="separate"/>
          </w:r>
          <w:r>
            <w:rPr>
              <w:rStyle w:val="10"/>
            </w:rPr>
            <w:t>Communication and Employee Engagement</w:t>
          </w:r>
          <w:r>
            <w:tab/>
          </w:r>
          <w:r>
            <w:fldChar w:fldCharType="begin"/>
          </w:r>
          <w:r>
            <w:instrText xml:space="preserve"> PAGEREF _Toc231602210 \h </w:instrText>
          </w:r>
          <w:r>
            <w:fldChar w:fldCharType="separate"/>
          </w:r>
          <w:r>
            <w:t>8</w:t>
          </w:r>
          <w:r>
            <w:fldChar w:fldCharType="end"/>
          </w:r>
          <w:r>
            <w:fldChar w:fldCharType="end"/>
          </w:r>
        </w:p>
        <w:p w14:paraId="1766978C">
          <w:pPr>
            <w:pStyle w:val="14"/>
            <w:tabs>
              <w:tab w:val="right" w:leader="dot" w:pos="9016"/>
            </w:tabs>
          </w:pPr>
          <w:r>
            <w:fldChar w:fldCharType="begin"/>
          </w:r>
          <w:r>
            <w:instrText xml:space="preserve"> HYPERLINK \l "_Toc231602211" </w:instrText>
          </w:r>
          <w:r>
            <w:fldChar w:fldCharType="separate"/>
          </w:r>
          <w:r>
            <w:rPr>
              <w:rStyle w:val="10"/>
            </w:rPr>
            <w:t>Monitoring and Performance Measurement</w:t>
          </w:r>
          <w:r>
            <w:tab/>
          </w:r>
          <w:r>
            <w:fldChar w:fldCharType="begin"/>
          </w:r>
          <w:r>
            <w:instrText xml:space="preserve"> PAGEREF _Toc231602211 \h </w:instrText>
          </w:r>
          <w:r>
            <w:fldChar w:fldCharType="separate"/>
          </w:r>
          <w:r>
            <w:t>8</w:t>
          </w:r>
          <w:r>
            <w:fldChar w:fldCharType="end"/>
          </w:r>
          <w:r>
            <w:fldChar w:fldCharType="end"/>
          </w:r>
        </w:p>
        <w:p w14:paraId="55D088CF">
          <w:pPr>
            <w:pStyle w:val="14"/>
            <w:tabs>
              <w:tab w:val="right" w:leader="dot" w:pos="9016"/>
            </w:tabs>
          </w:pPr>
          <w:r>
            <w:fldChar w:fldCharType="begin"/>
          </w:r>
          <w:r>
            <w:instrText xml:space="preserve"> HYPERLINK \l "_Toc231602212" </w:instrText>
          </w:r>
          <w:r>
            <w:fldChar w:fldCharType="separate"/>
          </w:r>
          <w:r>
            <w:rPr>
              <w:rStyle w:val="10"/>
            </w:rPr>
            <w:t>Organisational Culture and Implementation Barriers</w:t>
          </w:r>
          <w:r>
            <w:tab/>
          </w:r>
          <w:r>
            <w:fldChar w:fldCharType="begin"/>
          </w:r>
          <w:r>
            <w:instrText xml:space="preserve"> PAGEREF _Toc231602212 \h </w:instrText>
          </w:r>
          <w:r>
            <w:fldChar w:fldCharType="separate"/>
          </w:r>
          <w:r>
            <w:t>8</w:t>
          </w:r>
          <w:r>
            <w:fldChar w:fldCharType="end"/>
          </w:r>
          <w:r>
            <w:fldChar w:fldCharType="end"/>
          </w:r>
        </w:p>
        <w:p w14:paraId="3C1D5AD2">
          <w:pPr>
            <w:pStyle w:val="13"/>
            <w:tabs>
              <w:tab w:val="right" w:leader="dot" w:pos="9016"/>
            </w:tabs>
          </w:pPr>
          <w:r>
            <w:fldChar w:fldCharType="begin"/>
          </w:r>
          <w:r>
            <w:instrText xml:space="preserve"> HYPERLINK \l "_Toc231602213" </w:instrText>
          </w:r>
          <w:r>
            <w:fldChar w:fldCharType="separate"/>
          </w:r>
          <w:r>
            <w:rPr>
              <w:rStyle w:val="10"/>
            </w:rPr>
            <w:t>Recommendations</w:t>
          </w:r>
          <w:r>
            <w:tab/>
          </w:r>
          <w:r>
            <w:fldChar w:fldCharType="begin"/>
          </w:r>
          <w:r>
            <w:instrText xml:space="preserve"> PAGEREF _Toc231602213 \h </w:instrText>
          </w:r>
          <w:r>
            <w:fldChar w:fldCharType="separate"/>
          </w:r>
          <w:r>
            <w:t>9</w:t>
          </w:r>
          <w:r>
            <w:fldChar w:fldCharType="end"/>
          </w:r>
          <w:r>
            <w:fldChar w:fldCharType="end"/>
          </w:r>
        </w:p>
        <w:p w14:paraId="4D31FA2A">
          <w:pPr>
            <w:pStyle w:val="14"/>
            <w:tabs>
              <w:tab w:val="right" w:leader="dot" w:pos="9016"/>
            </w:tabs>
          </w:pPr>
          <w:r>
            <w:fldChar w:fldCharType="begin"/>
          </w:r>
          <w:r>
            <w:instrText xml:space="preserve"> HYPERLINK \l "_Toc231602214" </w:instrText>
          </w:r>
          <w:r>
            <w:fldChar w:fldCharType="separate"/>
          </w:r>
          <w:r>
            <w:rPr>
              <w:rStyle w:val="10"/>
            </w:rPr>
            <w:t>Enhance Workforce Planning and Skills Development</w:t>
          </w:r>
          <w:r>
            <w:tab/>
          </w:r>
          <w:r>
            <w:fldChar w:fldCharType="begin"/>
          </w:r>
          <w:r>
            <w:instrText xml:space="preserve"> PAGEREF _Toc231602214 \h </w:instrText>
          </w:r>
          <w:r>
            <w:fldChar w:fldCharType="separate"/>
          </w:r>
          <w:r>
            <w:t>9</w:t>
          </w:r>
          <w:r>
            <w:fldChar w:fldCharType="end"/>
          </w:r>
          <w:r>
            <w:fldChar w:fldCharType="end"/>
          </w:r>
        </w:p>
        <w:p w14:paraId="1156E8DD">
          <w:pPr>
            <w:pStyle w:val="14"/>
            <w:tabs>
              <w:tab w:val="right" w:leader="dot" w:pos="9016"/>
            </w:tabs>
          </w:pPr>
          <w:r>
            <w:fldChar w:fldCharType="begin"/>
          </w:r>
          <w:r>
            <w:instrText xml:space="preserve"> HYPERLINK \l "_Toc231602215" </w:instrText>
          </w:r>
          <w:r>
            <w:fldChar w:fldCharType="separate"/>
          </w:r>
          <w:r>
            <w:rPr>
              <w:rStyle w:val="10"/>
            </w:rPr>
            <w:t>Improve Employee Engagement and Retention</w:t>
          </w:r>
          <w:r>
            <w:tab/>
          </w:r>
          <w:r>
            <w:fldChar w:fldCharType="begin"/>
          </w:r>
          <w:r>
            <w:instrText xml:space="preserve"> PAGEREF _Toc231602215 \h </w:instrText>
          </w:r>
          <w:r>
            <w:fldChar w:fldCharType="separate"/>
          </w:r>
          <w:r>
            <w:t>9</w:t>
          </w:r>
          <w:r>
            <w:fldChar w:fldCharType="end"/>
          </w:r>
          <w:r>
            <w:fldChar w:fldCharType="end"/>
          </w:r>
        </w:p>
        <w:p w14:paraId="4E302453">
          <w:pPr>
            <w:pStyle w:val="14"/>
            <w:tabs>
              <w:tab w:val="right" w:leader="dot" w:pos="9016"/>
            </w:tabs>
          </w:pPr>
          <w:r>
            <w:fldChar w:fldCharType="begin"/>
          </w:r>
          <w:r>
            <w:instrText xml:space="preserve"> HYPERLINK \l "_Toc231602216" </w:instrText>
          </w:r>
          <w:r>
            <w:fldChar w:fldCharType="separate"/>
          </w:r>
          <w:r>
            <w:rPr>
              <w:rStyle w:val="10"/>
            </w:rPr>
            <w:t>Expand DEI and Leadership Accountability</w:t>
          </w:r>
          <w:r>
            <w:tab/>
          </w:r>
          <w:r>
            <w:fldChar w:fldCharType="begin"/>
          </w:r>
          <w:r>
            <w:instrText xml:space="preserve"> PAGEREF _Toc231602216 \h </w:instrText>
          </w:r>
          <w:r>
            <w:fldChar w:fldCharType="separate"/>
          </w:r>
          <w:r>
            <w:t>9</w:t>
          </w:r>
          <w:r>
            <w:fldChar w:fldCharType="end"/>
          </w:r>
          <w:r>
            <w:fldChar w:fldCharType="end"/>
          </w:r>
        </w:p>
        <w:p w14:paraId="27EE6D47">
          <w:pPr>
            <w:pStyle w:val="13"/>
            <w:tabs>
              <w:tab w:val="right" w:leader="dot" w:pos="9016"/>
            </w:tabs>
          </w:pPr>
          <w:r>
            <w:fldChar w:fldCharType="begin"/>
          </w:r>
          <w:r>
            <w:instrText xml:space="preserve"> HYPERLINK \l "_Toc231602217" </w:instrText>
          </w:r>
          <w:r>
            <w:fldChar w:fldCharType="separate"/>
          </w:r>
          <w:r>
            <w:rPr>
              <w:rStyle w:val="10"/>
            </w:rPr>
            <w:t>Conclusion</w:t>
          </w:r>
          <w:r>
            <w:tab/>
          </w:r>
          <w:r>
            <w:fldChar w:fldCharType="begin"/>
          </w:r>
          <w:r>
            <w:instrText xml:space="preserve"> PAGEREF _Toc231602217 \h </w:instrText>
          </w:r>
          <w:r>
            <w:fldChar w:fldCharType="separate"/>
          </w:r>
          <w:r>
            <w:t>9</w:t>
          </w:r>
          <w:r>
            <w:fldChar w:fldCharType="end"/>
          </w:r>
          <w:r>
            <w:fldChar w:fldCharType="end"/>
          </w:r>
        </w:p>
        <w:p w14:paraId="00E31091">
          <w:pPr>
            <w:pStyle w:val="13"/>
            <w:tabs>
              <w:tab w:val="right" w:leader="dot" w:pos="9016"/>
            </w:tabs>
          </w:pPr>
          <w:r>
            <w:fldChar w:fldCharType="begin"/>
          </w:r>
          <w:r>
            <w:instrText xml:space="preserve"> HYPERLINK \l "_Toc231602218" </w:instrText>
          </w:r>
          <w:r>
            <w:fldChar w:fldCharType="separate"/>
          </w:r>
          <w:r>
            <w:rPr>
              <w:rStyle w:val="10"/>
            </w:rPr>
            <w:t>References</w:t>
          </w:r>
          <w:r>
            <w:tab/>
          </w:r>
          <w:r>
            <w:fldChar w:fldCharType="begin"/>
          </w:r>
          <w:r>
            <w:instrText xml:space="preserve"> PAGEREF _Toc231602218 \h </w:instrText>
          </w:r>
          <w:r>
            <w:fldChar w:fldCharType="separate"/>
          </w:r>
          <w:r>
            <w:t>11</w:t>
          </w:r>
          <w:r>
            <w:fldChar w:fldCharType="end"/>
          </w:r>
          <w:r>
            <w:fldChar w:fldCharType="end"/>
          </w:r>
        </w:p>
        <w:p w14:paraId="21FF4100">
          <w:r>
            <w:rPr>
              <w:b/>
              <w:bCs/>
            </w:rPr>
            <w:fldChar w:fldCharType="end"/>
          </w:r>
        </w:p>
      </w:sdtContent>
    </w:sdt>
    <w:p w14:paraId="586D6AED"/>
    <w:p w14:paraId="78ABE7D7">
      <w:r>
        <w:br w:type="page"/>
      </w:r>
    </w:p>
    <w:p w14:paraId="75EA0E40">
      <w:pPr>
        <w:pStyle w:val="2"/>
        <w:spacing w:line="360" w:lineRule="auto"/>
        <w:jc w:val="both"/>
      </w:pPr>
      <w:bookmarkStart w:id="0" w:name="_Toc231602195"/>
      <w:r>
        <w:t>Introduction</w:t>
      </w:r>
      <w:bookmarkEnd w:id="0"/>
    </w:p>
    <w:p w14:paraId="2F31A3DD">
      <w:pPr>
        <w:pStyle w:val="11"/>
        <w:spacing w:line="360" w:lineRule="auto"/>
        <w:jc w:val="both"/>
      </w:pPr>
      <w:r>
        <w:t>In today’s business environments, Human Resource Management (HRM) is crucial for improving organisations’ responses to different settings and enhancing sustainable competitive advantage. Companies continuously encounter problems related to technological advancement, competition for experienced employees, and high expectations for diversity, equity and inclusion (DEI). Such tools can impact organisational performance, staff engagement and long-term sustainability for businesses (Armstrong and Taylor, 2023; CIPD, 2024). Therefore, strategic HRM indicates the importance of including people management practices in organisational goals to gain business success (Storey, 1995).</w:t>
      </w:r>
    </w:p>
    <w:p w14:paraId="1E681D72">
      <w:pPr>
        <w:pStyle w:val="11"/>
        <w:spacing w:line="360" w:lineRule="auto"/>
        <w:jc w:val="both"/>
      </w:pPr>
      <w:r>
        <w:t>This report uses NatWest Group as an example. The company is among the leading UK financial services organisations, with serious investments in digital transformation, artificial intelligence (AI), and data analytics. The company aims to improve efficiency and customer experience by adopting advanced digital technologies (NatWest Group, 2024). Also, the report analyses the problems occurring with technological change, talent acquisition and retention, and DEI. Moreover, it provides an evaluation of modern HR practices and shows how managers can effectively implement these practices to improve organisational performance and sustainability (Barney, 1991).</w:t>
      </w:r>
    </w:p>
    <w:p w14:paraId="1B3E4ED2">
      <w:pPr>
        <w:pStyle w:val="2"/>
        <w:spacing w:line="360" w:lineRule="auto"/>
        <w:jc w:val="both"/>
      </w:pPr>
      <w:bookmarkStart w:id="1" w:name="_Toc231602196"/>
      <w:r>
        <w:t>Major Contemporary HR Challenges Facing NatWest Group</w:t>
      </w:r>
      <w:bookmarkEnd w:id="1"/>
    </w:p>
    <w:p w14:paraId="40628ECD">
      <w:pPr>
        <w:pStyle w:val="3"/>
        <w:spacing w:line="360" w:lineRule="auto"/>
        <w:jc w:val="both"/>
      </w:pPr>
      <w:bookmarkStart w:id="2" w:name="_Toc231602197"/>
      <w:r>
        <w:t>Adapting to Technological Advancements</w:t>
      </w:r>
      <w:bookmarkEnd w:id="2"/>
    </w:p>
    <w:p w14:paraId="200D3760">
      <w:pPr>
        <w:pStyle w:val="11"/>
        <w:spacing w:line="360" w:lineRule="auto"/>
        <w:jc w:val="both"/>
      </w:pPr>
      <w:r>
        <w:t>Technological advancement is considered one of the most important challenges that modern companies encounter. In addition, the banking industry experiences fast digital transformation caused by artificial intelligence (AI), automation processes, implementing data analytics, and improved digital banking platforms. In order to respond to such challenges, NatWest Group has made substantial investments in technology to provide better customer experiences, increase operational efficiency, and improve its competitive position in the financial services sector (NatWest Group, 2024). Such improvements help the company create new business opportunities, while staff are required to have specific technical and digital skills.</w:t>
      </w:r>
    </w:p>
    <w:p w14:paraId="36121CBE">
      <w:pPr>
        <w:pStyle w:val="11"/>
        <w:spacing w:line="360" w:lineRule="auto"/>
        <w:jc w:val="both"/>
      </w:pPr>
      <w:r>
        <w:t>A key challenge for HR departments remains guaranteeing that all staff can properly adapt to different job requirements. Current staff should be provided with training programmes and continuous development in order to maintain efficiency in technology-driven working environments. Therefore, workforce planning is important, as companies should predict future requirements and identify capability gaps before performance is affected (CIPD, 2024). Failing to meet these requirements related to technological change can increase shortages, limit organisational competitiveness, and decrease productivity.</w:t>
      </w:r>
    </w:p>
    <w:p w14:paraId="6FE567B5">
      <w:pPr>
        <w:pStyle w:val="3"/>
        <w:spacing w:line="360" w:lineRule="auto"/>
        <w:jc w:val="both"/>
      </w:pPr>
      <w:bookmarkStart w:id="3" w:name="_Toc231602198"/>
      <w:r>
        <w:t>Talent Acquisition and Retention</w:t>
      </w:r>
      <w:bookmarkEnd w:id="3"/>
    </w:p>
    <w:p w14:paraId="4EC87DEB">
      <w:pPr>
        <w:pStyle w:val="4"/>
        <w:spacing w:line="360" w:lineRule="auto"/>
        <w:jc w:val="both"/>
      </w:pPr>
      <w:bookmarkStart w:id="4" w:name="_Toc231602199"/>
      <w:r>
        <w:t>High Competition</w:t>
      </w:r>
      <w:bookmarkEnd w:id="4"/>
    </w:p>
    <w:p w14:paraId="7C938140">
      <w:pPr>
        <w:pStyle w:val="11"/>
        <w:spacing w:line="360" w:lineRule="auto"/>
        <w:jc w:val="both"/>
      </w:pPr>
      <w:r>
        <w:t>The high competition among large and small companies for talented professionals has made it complex to attract and retain experienced employees. Moreover, the rising demand for digital professionals, cybersecurity experts, data analysts, and technology talents represents a major concern for businesses in the financial services sector. Therefore, organisations like NatWest face competition by other technology companies, banks, and fintech enterprises to secure high-quality employees.</w:t>
      </w:r>
    </w:p>
    <w:p w14:paraId="41D26F22">
      <w:pPr>
        <w:pStyle w:val="4"/>
        <w:spacing w:line="360" w:lineRule="auto"/>
        <w:jc w:val="both"/>
      </w:pPr>
      <w:bookmarkStart w:id="5" w:name="_Toc231602200"/>
      <w:r>
        <w:t>Organisational Success</w:t>
      </w:r>
      <w:bookmarkEnd w:id="5"/>
    </w:p>
    <w:p w14:paraId="40FE40FF">
      <w:pPr>
        <w:pStyle w:val="11"/>
        <w:spacing w:line="360" w:lineRule="auto"/>
        <w:jc w:val="both"/>
      </w:pPr>
      <w:r>
        <w:t>Organisational success heavily relies on having the right employees with the right knowledge, abilities, and skills in order to achieve strategic goals (Armstrong and Taylor, 2023). So, talent acquisition is crucial for NatWest. Still, if the company focuses only on recruitment, it would be unable to keep talented employees. This can result in high employee turnover, which increases recruitment expenses, limits efficiency, and results in a loss of essential organisational knowledge.</w:t>
      </w:r>
    </w:p>
    <w:p w14:paraId="751041B6">
      <w:pPr>
        <w:pStyle w:val="4"/>
        <w:spacing w:line="360" w:lineRule="auto"/>
        <w:jc w:val="both"/>
      </w:pPr>
      <w:bookmarkStart w:id="6" w:name="_Toc231602201"/>
      <w:r>
        <w:t>Psychological contract</w:t>
      </w:r>
      <w:bookmarkEnd w:id="6"/>
    </w:p>
    <w:p w14:paraId="0BB5E379">
      <w:pPr>
        <w:pStyle w:val="11"/>
        <w:spacing w:line="360" w:lineRule="auto"/>
        <w:jc w:val="both"/>
      </w:pPr>
      <w:r>
        <w:t>The psychological contract is a major element in staff retention. Currently, employees look for career growth opportunities, flexible working arrangements, organisational support and fair treatment from their employers (CIPD, 2019). When companies do not meet these expectations, staff are not motivated, feel disengaged, and look for different opportunities. Based on that, talent acquisition and retention are key HR priorities for NatWest Group, as the organisation should value its employees.</w:t>
      </w:r>
    </w:p>
    <w:p w14:paraId="5BE45247">
      <w:pPr>
        <w:pStyle w:val="3"/>
        <w:spacing w:line="360" w:lineRule="auto"/>
        <w:jc w:val="both"/>
      </w:pPr>
      <w:bookmarkStart w:id="7" w:name="_Toc231602202"/>
      <w:r>
        <w:t>Diversity, Equity and Inclusion (DEI)</w:t>
      </w:r>
      <w:bookmarkEnd w:id="7"/>
    </w:p>
    <w:p w14:paraId="613545E8">
      <w:pPr>
        <w:pStyle w:val="11"/>
        <w:spacing w:line="360" w:lineRule="auto"/>
        <w:jc w:val="both"/>
      </w:pPr>
      <w:r>
        <w:t>Diversity, Equity and Inclusion (DEI) has been prioritised by companies lately. Such organisations look for innovative improvement and apply better decision-making processes and motivate staff engagement. Diversity relates to the individuals’ differences; equity concentrates on fairness and equal growth opportunities, while inclusion guarantees that all staff are valued, respected, and listened to in their workplace (CIPD, 2024).</w:t>
      </w:r>
    </w:p>
    <w:p w14:paraId="53C7C67F">
      <w:pPr>
        <w:pStyle w:val="11"/>
        <w:spacing w:line="360" w:lineRule="auto"/>
        <w:jc w:val="both"/>
      </w:pPr>
      <w:r>
        <w:t>For a large company like NatWest Group, focusing on a diverse and inclusive workforce is crucial as the company possesses a wide range of customers and communities in the United Kingdom. According to Shore et al. (2018), diverse companies generate higher revenues when focusing on wider perspectives, better creativity, and improved problem-solving capabilities in their workforce. In addition, an inclusive working environment can attract highly skilled staff and improve the image of the company.</w:t>
      </w:r>
    </w:p>
    <w:p w14:paraId="3216E196">
      <w:pPr>
        <w:pStyle w:val="11"/>
        <w:spacing w:line="360" w:lineRule="auto"/>
        <w:jc w:val="both"/>
      </w:pPr>
      <w:r>
        <w:t>Although DEI helps organisations improve their overall performance, it poses different contemporary challenges. For instance, unequal career growth opportunities, unconscious bias, and resistance can delay organisational advancement. Therefore, HR departments are crucial facilitators when creating policies and activities that motivate fairness, inclusion, and equality. So, when companies identify DEI challenges, they can enhance staff engagement, organisational performance, and long-term business sustainability, especially in NatWest Group.</w:t>
      </w:r>
    </w:p>
    <w:p w14:paraId="32D8FD1A">
      <w:pPr>
        <w:pStyle w:val="2"/>
        <w:spacing w:line="360" w:lineRule="auto"/>
      </w:pPr>
      <w:bookmarkStart w:id="8" w:name="_Toc231602203"/>
      <w:r>
        <w:t>Evaluation of Contemporary HR Practices</w:t>
      </w:r>
      <w:bookmarkEnd w:id="8"/>
    </w:p>
    <w:p w14:paraId="49729E78">
      <w:pPr>
        <w:pStyle w:val="3"/>
        <w:spacing w:line="360" w:lineRule="auto"/>
      </w:pPr>
      <w:bookmarkStart w:id="9" w:name="_Toc231602204"/>
      <w:r>
        <w:t>Digital HR Systems and Workforce Analytics</w:t>
      </w:r>
      <w:bookmarkEnd w:id="9"/>
    </w:p>
    <w:p w14:paraId="4D363B22">
      <w:pPr>
        <w:pStyle w:val="11"/>
        <w:spacing w:line="360" w:lineRule="auto"/>
        <w:jc w:val="both"/>
      </w:pPr>
      <w:r>
        <w:t>One modern HR practice that can improve the overall performance of NatWest Group is the application of digital HR systems and workforce analytics. In addition, workforce analytics help companies gather and examine staff data in order to improve workforce planning and recruitment processes and increase the level of performance by making better management decisions. Also, predictive analysis can help the organisation recognise future skill shortages and workforce trends. This can help managers in their responsiveness to rapidly changing business requirements (Marler and Boudreau, 2017). In addition, digital HR systems enhance productivity by including automation in the administrative processes and offering real-time staff information. On the other hand, companies can face challenges regarding data privacy, implementation costs and staff resistance to including new technologies. Based on that, workforce analytics must accompany, not replace, managerial judgement in organisations.</w:t>
      </w:r>
    </w:p>
    <w:p w14:paraId="34876384">
      <w:pPr>
        <w:pStyle w:val="3"/>
        <w:spacing w:line="360" w:lineRule="auto"/>
        <w:jc w:val="both"/>
      </w:pPr>
      <w:bookmarkStart w:id="10" w:name="_Toc231602205"/>
      <w:r>
        <w:t>Employer Branding and Strategic Workforce Planning</w:t>
      </w:r>
      <w:bookmarkEnd w:id="10"/>
    </w:p>
    <w:p w14:paraId="49018277">
      <w:pPr>
        <w:pStyle w:val="11"/>
        <w:spacing w:line="360" w:lineRule="auto"/>
        <w:jc w:val="both"/>
      </w:pPr>
      <w:r>
        <w:t>Major practices like employer branding and strategic workforce planning are highly prioritised by companies that attract and retain skilled employees. Moreover, organisations that focus on employer branding can easily communicate their values, culture, and career opportunities to possible candidates. According to Theurer et al. (2018), employer branding also improves organisational attractiveness and recruitment outcomes. Strategic workforce planning allows companies to predict future workforce requirements and indicate capability gaps before they influence organisational performance (Muller-Camen, Croucher and Leigh, 2008). On the other hand, using only employer branding cannot ensure that staff will remain at the company, especially when their expectations are not met. Therefore, NatWest Group must use an employer brand connected to the actual workplace experiences of its employees.</w:t>
      </w:r>
    </w:p>
    <w:p w14:paraId="59F6DBF5">
      <w:pPr>
        <w:pStyle w:val="3"/>
        <w:spacing w:line="360" w:lineRule="auto"/>
        <w:jc w:val="both"/>
      </w:pPr>
      <w:bookmarkStart w:id="11" w:name="_Toc231602206"/>
      <w:r>
        <w:t>Employee Engagement and Retention Strategies</w:t>
      </w:r>
      <w:bookmarkEnd w:id="11"/>
    </w:p>
    <w:p w14:paraId="6E611FD7">
      <w:pPr>
        <w:pStyle w:val="11"/>
        <w:spacing w:line="360" w:lineRule="auto"/>
        <w:jc w:val="both"/>
      </w:pPr>
      <w:r>
        <w:t>Staff engagement is considered another crucial modern HR practice. Employees that are engaged with the company show more dedication, encouragement, and better performance (CIPD, 2023). Companies can also improve engagement by providing career development opportunities, flexible working arrangements, giving regular feedback, and focusing on recognition programs. In terms of motivation perspective, staff will remain in a company when they assume that their relationship is grounded on effort, performance and rewards (Saks, 2022). Nevertheless, engagement initiatives may have limited impact if leadership is weak or organisational culture does not motivate employees to participate in the decisions. Based on that, NatWest Group should include engagement strategies in the organisation, not use them as isolated HR initiatives.</w:t>
      </w:r>
    </w:p>
    <w:p w14:paraId="1F0F7325">
      <w:pPr>
        <w:pStyle w:val="3"/>
        <w:spacing w:line="360" w:lineRule="auto"/>
        <w:jc w:val="both"/>
      </w:pPr>
      <w:bookmarkStart w:id="12" w:name="_Toc231602207"/>
      <w:r>
        <w:t>Inclusive Recruitment and DEI Initiatives</w:t>
      </w:r>
      <w:bookmarkEnd w:id="12"/>
    </w:p>
    <w:p w14:paraId="2EC1059E">
      <w:pPr>
        <w:pStyle w:val="11"/>
        <w:spacing w:line="360" w:lineRule="auto"/>
        <w:jc w:val="both"/>
      </w:pPr>
      <w:r>
        <w:t>Inclusive recruitment and DEI initiatives can improve organisational performance at NatWest by helping the company create a diverse workforce. Practices including job advertisements, unconscious bias training programs, and diverse recruitment panels can improve access to staff opportunities and decrease discrimination (Roberson, 2019). Moreover, leadership development initiatives can provide better career opportunities for underrepresented groups. Diverse companies achieve better overall performance by improved innovation, creativity, and decision-making. Nonetheless, DEI initiatives can pose challenges when staff see them as compliance exercises, not inclusive organisational commitments. Based on that, NatWest Group should use DEI strategies that focus on long-term leadership, responsibility, and cultural change.</w:t>
      </w:r>
    </w:p>
    <w:p w14:paraId="3E015A90">
      <w:pPr>
        <w:pStyle w:val="2"/>
        <w:spacing w:line="360" w:lineRule="auto"/>
      </w:pPr>
      <w:bookmarkStart w:id="13" w:name="_Toc231602208"/>
      <w:r>
        <w:t>Critical Evaluation of Managerial Implementation</w:t>
      </w:r>
      <w:bookmarkEnd w:id="13"/>
    </w:p>
    <w:p w14:paraId="54FC09D2">
      <w:pPr>
        <w:pStyle w:val="11"/>
        <w:spacing w:line="360" w:lineRule="auto"/>
        <w:jc w:val="both"/>
      </w:pPr>
      <w:r>
        <w:t>Well-implemented modern HR practices are connected to certain actions of departmental managers. Creating policies and procedures is a responsibility of HR departments, while managers should implement them into the daily practice. Therefore, managerial efficacy is a major contributor in examining if HR strategies can achieve their intended outcomes for an organisation (Armstrong and Taylor, 2023; Storey, 1995).</w:t>
      </w:r>
    </w:p>
    <w:p w14:paraId="6411B061">
      <w:pPr>
        <w:pStyle w:val="3"/>
        <w:spacing w:line="360" w:lineRule="auto"/>
        <w:jc w:val="both"/>
      </w:pPr>
      <w:bookmarkStart w:id="14" w:name="_Toc231602209"/>
      <w:r>
        <w:t>Leadership Accountability</w:t>
      </w:r>
      <w:bookmarkEnd w:id="14"/>
    </w:p>
    <w:p w14:paraId="15A85315">
      <w:pPr>
        <w:pStyle w:val="11"/>
        <w:spacing w:line="360" w:lineRule="auto"/>
        <w:jc w:val="both"/>
      </w:pPr>
      <w:r>
        <w:t>Accountability should be demonstrated by managers when using HR initiatives aligned with technological change, talent management and DEI. Leadership is crucial as staff are more motivated to support organisational change when being actively encouraged by managers. In addition, strategic HRM focuses on people management that must be related to organisational objectives in order to improve organisational performance (Storey, 1995). Nonetheless, some managers often focus on short-term operational targets and avoid long-term people development. Thus, NatWest Group should include HR-related objectives in managerial performance measures to increase responsibility.</w:t>
      </w:r>
    </w:p>
    <w:p w14:paraId="7587F7EF">
      <w:pPr>
        <w:pStyle w:val="3"/>
        <w:spacing w:line="360" w:lineRule="auto"/>
        <w:jc w:val="both"/>
      </w:pPr>
      <w:bookmarkStart w:id="15" w:name="_Toc231602210"/>
      <w:r>
        <w:t>Communication and Employee Engagement</w:t>
      </w:r>
      <w:bookmarkEnd w:id="15"/>
    </w:p>
    <w:p w14:paraId="7C3F8B93">
      <w:pPr>
        <w:pStyle w:val="11"/>
        <w:spacing w:line="360" w:lineRule="auto"/>
        <w:jc w:val="both"/>
      </w:pPr>
      <w:r>
        <w:t>Communication is crucial when periods of organisational change occur. Staff often face uncertainty when they have to work with new processes, practices, or technologies. Therefore, managers should state organisational objectives clearly and provide often opportunities for staff. According to CIPD (2023), staff who are engaged will be more likely to help organisations achieve their goals and be adapted to new initiatives. However, communication does not guarantee that companies will achieve success immediately. So, staff will trust a company like NatWest Group when consistency between communication and actions by managers is shown.</w:t>
      </w:r>
    </w:p>
    <w:p w14:paraId="2CDA7B11">
      <w:pPr>
        <w:pStyle w:val="3"/>
        <w:spacing w:line="360" w:lineRule="auto"/>
        <w:jc w:val="both"/>
      </w:pPr>
      <w:bookmarkStart w:id="16" w:name="_Toc231602211"/>
      <w:r>
        <w:t>Monitoring and Performance Measurement</w:t>
      </w:r>
      <w:bookmarkEnd w:id="16"/>
    </w:p>
    <w:p w14:paraId="54B00DF8">
      <w:pPr>
        <w:pStyle w:val="11"/>
        <w:spacing w:line="360" w:lineRule="auto"/>
        <w:jc w:val="both"/>
      </w:pPr>
      <w:r>
        <w:t>Managers must constantly supervise the efficiency of HR initiatives by using the correct appropriate performance measures. Also, performance management systems can be applied to assess staff development, involvement, retention, and diversity outcomes. According to Aguinis (2023), performance management improves organisational efficiency by relating individuals to organisational objectives. Likewise, the Balanced Scorecard approach motivates companies to assess performance regarding financial, customer, internal process, and learning dimensions (Kaplan and Norton, 2004). Nevertheless, higher dependence on performance metrics can motivate managers to emphasise measurable outcomes instead of focusing on staff wellbeing and organisational culture. So, NatWest Group should use quantitative and qualitative indicators.</w:t>
      </w:r>
    </w:p>
    <w:p w14:paraId="0114D849">
      <w:pPr>
        <w:pStyle w:val="3"/>
        <w:spacing w:line="360" w:lineRule="auto"/>
        <w:jc w:val="both"/>
      </w:pPr>
      <w:bookmarkStart w:id="17" w:name="_Toc231602212"/>
      <w:r>
        <w:t>Organisational Culture and Implementation Barriers</w:t>
      </w:r>
      <w:bookmarkEnd w:id="17"/>
    </w:p>
    <w:p w14:paraId="17BA1F4B">
      <w:pPr>
        <w:pStyle w:val="11"/>
        <w:spacing w:line="360" w:lineRule="auto"/>
        <w:jc w:val="both"/>
      </w:pPr>
      <w:r>
        <w:t>Organisational culture impacts the success of HR initiatives. For instance, a culture that focuses on learning, inclusion, and innovation will include staff in change programs (CIPD, 2024). On the other hand, skills shortages, resistance to change, and limited managerial capability can hinder successful implementation. So, managers at NatWest Group must create a working environment where staff are involved, supported, and valued, especially in organisational decision-making processes. Moreover, training and development programs can help managers create necessary competencies for leading the change properly. Lastly, the successful use of modern HR practices demands severe leadership, good communication, and a culture that focuses on continuous improvement.</w:t>
      </w:r>
    </w:p>
    <w:p w14:paraId="5A4F519E">
      <w:pPr>
        <w:pStyle w:val="2"/>
        <w:spacing w:line="360" w:lineRule="auto"/>
        <w:jc w:val="both"/>
      </w:pPr>
      <w:bookmarkStart w:id="18" w:name="_Toc231602213"/>
      <w:r>
        <w:t>Recommendations</w:t>
      </w:r>
      <w:bookmarkEnd w:id="18"/>
    </w:p>
    <w:p w14:paraId="2FFB09C8">
      <w:pPr>
        <w:pStyle w:val="3"/>
        <w:spacing w:line="360" w:lineRule="auto"/>
        <w:jc w:val="both"/>
      </w:pPr>
      <w:bookmarkStart w:id="19" w:name="_Toc231602214"/>
      <w:r>
        <w:t>Enhance Workforce Planning and Skills Development</w:t>
      </w:r>
      <w:bookmarkEnd w:id="19"/>
    </w:p>
    <w:p w14:paraId="4CB304B0">
      <w:pPr>
        <w:pStyle w:val="11"/>
        <w:spacing w:line="360" w:lineRule="auto"/>
        <w:jc w:val="both"/>
      </w:pPr>
      <w:r>
        <w:t>NatWest Group must continuously invest in workforce planning and staff development to identify skills gaps caused by the digital transformation. Making skills assessments regularly and using training programs can assist employees in adapting to technological improvements and further business requirements (CIPD, 2024).</w:t>
      </w:r>
    </w:p>
    <w:p w14:paraId="0AC7B546">
      <w:pPr>
        <w:pStyle w:val="3"/>
        <w:spacing w:line="360" w:lineRule="auto"/>
        <w:jc w:val="both"/>
      </w:pPr>
      <w:bookmarkStart w:id="20" w:name="_Toc231602215"/>
      <w:r>
        <w:t>Improve Employee Engagement and Retention</w:t>
      </w:r>
      <w:bookmarkEnd w:id="20"/>
    </w:p>
    <w:p w14:paraId="2A81F009">
      <w:pPr>
        <w:pStyle w:val="11"/>
        <w:spacing w:line="360" w:lineRule="auto"/>
        <w:jc w:val="both"/>
      </w:pPr>
      <w:r>
        <w:t>NatWest Group must improve staff engagement by providing clear career development opportunities, flexible working arrangements, and consistent feedback. These activities can enhance staff satisfaction, decrease turnover rates, and ensure better long-term talent retention (CIPD, 2023).</w:t>
      </w:r>
    </w:p>
    <w:p w14:paraId="55E2462F">
      <w:pPr>
        <w:pStyle w:val="3"/>
        <w:spacing w:line="360" w:lineRule="auto"/>
        <w:jc w:val="both"/>
      </w:pPr>
      <w:bookmarkStart w:id="21" w:name="_Toc231602216"/>
      <w:r>
        <w:t>Expand DEI and Leadership Accountability</w:t>
      </w:r>
      <w:bookmarkEnd w:id="21"/>
    </w:p>
    <w:p w14:paraId="64AB6CC3">
      <w:pPr>
        <w:pStyle w:val="11"/>
        <w:spacing w:line="360" w:lineRule="auto"/>
        <w:jc w:val="both"/>
      </w:pPr>
      <w:r>
        <w:t>NatWest must improve its DEI initiatives by constantly increasing leadership accountability, supervising diversity outcomes and endorsing inclusive recruitment activities. Moreover, this will build a more inclusive workplace culture and help the organisation achieve better performance (Roberson, 2019).</w:t>
      </w:r>
    </w:p>
    <w:p w14:paraId="1F786011">
      <w:pPr>
        <w:pStyle w:val="2"/>
        <w:spacing w:line="360" w:lineRule="auto"/>
        <w:jc w:val="both"/>
      </w:pPr>
      <w:bookmarkStart w:id="22" w:name="_Toc231602217"/>
      <w:r>
        <w:t>Conclusion</w:t>
      </w:r>
      <w:bookmarkEnd w:id="22"/>
    </w:p>
    <w:p w14:paraId="680A1CE1">
      <w:pPr>
        <w:pStyle w:val="11"/>
        <w:spacing w:line="360" w:lineRule="auto"/>
        <w:jc w:val="both"/>
      </w:pPr>
      <w:r>
        <w:t>NatWest Group faces different modern HR challenges, which can seriously impact organisational performance and long-term sustainability. Technological improvements force the company to constantly focus on improving workforce capabilities and identify major skills gaps. Also, high competition for talented employees underscores the importance of efficient talent acquisition and innovative retention strategies. Diversity, equity and inclusion (DEI) are also important for building an efficient, innovative and improved working environment.</w:t>
      </w:r>
    </w:p>
    <w:p w14:paraId="6702C01F">
      <w:pPr>
        <w:pStyle w:val="11"/>
        <w:spacing w:line="360" w:lineRule="auto"/>
        <w:jc w:val="both"/>
      </w:pPr>
      <w:r>
        <w:t>This report has shown that modern HR practices like workforce analytics, employer branding, employee engagement initiatives, and inclusive recruitment can help companies identify and address these challenges. Nevertheless, the success depends on good managerial implementation, responsible leadership, clear communication, and a positive organisational culture. Relating HR practices to organisational objectives, supported by investment in staff development, engagement and inclusion, can improve the competitive position of NatWest Group. Using these practices properly can also enhance organisational efficiency and achieve long-term sustainable success in a fast-changing business environment.</w:t>
      </w:r>
    </w:p>
    <w:p w14:paraId="6F91640A"/>
    <w:p w14:paraId="37B7BA5C"/>
    <w:p w14:paraId="1E753676"/>
    <w:p w14:paraId="11B71AF2"/>
    <w:p w14:paraId="389173BB"/>
    <w:p w14:paraId="3F11A127"/>
    <w:p w14:paraId="2260354E"/>
    <w:p w14:paraId="5FE9A689"/>
    <w:p w14:paraId="21A6AE43"/>
    <w:p w14:paraId="127807AD"/>
    <w:p w14:paraId="21CB2854"/>
    <w:p w14:paraId="09D6E600"/>
    <w:p w14:paraId="14424C6B"/>
    <w:p w14:paraId="4E7A641C"/>
    <w:p w14:paraId="485F6BB3"/>
    <w:p w14:paraId="0FB39097"/>
    <w:p w14:paraId="76BEAD2B"/>
    <w:p w14:paraId="0C06534B"/>
    <w:p w14:paraId="69B623B5"/>
    <w:p w14:paraId="0B84D131"/>
    <w:p w14:paraId="0159F0A3">
      <w:pPr>
        <w:pStyle w:val="2"/>
        <w:spacing w:line="360" w:lineRule="auto"/>
        <w:jc w:val="both"/>
      </w:pPr>
      <w:bookmarkStart w:id="23" w:name="_Toc231602218"/>
      <w:r>
        <w:t>References</w:t>
      </w:r>
      <w:bookmarkEnd w:id="23"/>
    </w:p>
    <w:p w14:paraId="72715AA7">
      <w:pPr>
        <w:pStyle w:val="11"/>
        <w:spacing w:line="360" w:lineRule="auto"/>
        <w:jc w:val="both"/>
      </w:pPr>
      <w:r>
        <w:t xml:space="preserve">Aguinis, H. (2023) </w:t>
      </w:r>
      <w:r>
        <w:rPr>
          <w:rStyle w:val="7"/>
          <w:rFonts w:eastAsiaTheme="majorEastAsia"/>
        </w:rPr>
        <w:t>Performance Management</w:t>
      </w:r>
      <w:r>
        <w:t>. 5th ed. Chicago: Chicago Business Press.</w:t>
      </w:r>
    </w:p>
    <w:p w14:paraId="01AFB6C7">
      <w:pPr>
        <w:pStyle w:val="11"/>
        <w:spacing w:line="360" w:lineRule="auto"/>
        <w:jc w:val="both"/>
      </w:pPr>
      <w:r>
        <w:t xml:space="preserve">Armstrong, M. and Taylor, S. (2023) </w:t>
      </w:r>
      <w:r>
        <w:rPr>
          <w:rStyle w:val="7"/>
          <w:rFonts w:eastAsiaTheme="majorEastAsia"/>
        </w:rPr>
        <w:t>Armstrong's Handbook of Human Resource Management Practice</w:t>
      </w:r>
      <w:r>
        <w:t>. 16th ed. London: Kogan Page.</w:t>
      </w:r>
    </w:p>
    <w:p w14:paraId="4D03A3EB">
      <w:pPr>
        <w:pStyle w:val="11"/>
        <w:spacing w:line="360" w:lineRule="auto"/>
        <w:jc w:val="both"/>
      </w:pPr>
      <w:r>
        <w:t xml:space="preserve">Barney, J. (1991) ‘Firm resources and sustained competitive advantage’, </w:t>
      </w:r>
      <w:r>
        <w:rPr>
          <w:rStyle w:val="7"/>
          <w:rFonts w:eastAsiaTheme="majorEastAsia"/>
        </w:rPr>
        <w:t>Journal of Management</w:t>
      </w:r>
      <w:r>
        <w:t>, 17(1), pp. 99–120.</w:t>
      </w:r>
    </w:p>
    <w:p w14:paraId="1FB44DFC">
      <w:pPr>
        <w:pStyle w:val="11"/>
        <w:spacing w:line="360" w:lineRule="auto"/>
        <w:jc w:val="both"/>
      </w:pPr>
      <w:r>
        <w:t xml:space="preserve">CIPD (2019) </w:t>
      </w:r>
      <w:r>
        <w:rPr>
          <w:rStyle w:val="7"/>
          <w:rFonts w:eastAsiaTheme="majorEastAsia"/>
        </w:rPr>
        <w:t>The Psychological Contract Factsheet</w:t>
      </w:r>
      <w:r>
        <w:t>. London: Chartered Institute of Personnel and Development.</w:t>
      </w:r>
    </w:p>
    <w:p w14:paraId="63207E55">
      <w:pPr>
        <w:pStyle w:val="11"/>
        <w:spacing w:line="360" w:lineRule="auto"/>
        <w:jc w:val="both"/>
      </w:pPr>
      <w:r>
        <w:t xml:space="preserve">CIPD (2023) </w:t>
      </w:r>
      <w:r>
        <w:rPr>
          <w:rStyle w:val="7"/>
          <w:rFonts w:eastAsiaTheme="majorEastAsia"/>
        </w:rPr>
        <w:t>Employee Engagement Factsheet</w:t>
      </w:r>
      <w:r>
        <w:t>. London: Chartered Institute of Personnel and Development.</w:t>
      </w:r>
    </w:p>
    <w:p w14:paraId="709B6F26">
      <w:pPr>
        <w:pStyle w:val="11"/>
        <w:spacing w:line="360" w:lineRule="auto"/>
        <w:jc w:val="both"/>
      </w:pPr>
      <w:r>
        <w:t xml:space="preserve">CIPD (2024) </w:t>
      </w:r>
      <w:r>
        <w:rPr>
          <w:rStyle w:val="7"/>
          <w:rFonts w:eastAsiaTheme="majorEastAsia"/>
        </w:rPr>
        <w:t>Workforce Planning Factsheet</w:t>
      </w:r>
      <w:r>
        <w:t>. London: Chartered Institute of Personnel and Development.</w:t>
      </w:r>
    </w:p>
    <w:p w14:paraId="1603F0B4">
      <w:pPr>
        <w:pStyle w:val="11"/>
        <w:spacing w:line="360" w:lineRule="auto"/>
        <w:jc w:val="both"/>
      </w:pPr>
      <w:r>
        <w:t xml:space="preserve">Kaplan, R.S. and Norton, D.P. (2004) </w:t>
      </w:r>
      <w:r>
        <w:rPr>
          <w:rStyle w:val="7"/>
          <w:rFonts w:eastAsiaTheme="majorEastAsia"/>
        </w:rPr>
        <w:t>Strategy Maps: Converting Intangible Assets into Tangible Outcomes</w:t>
      </w:r>
      <w:r>
        <w:t>. Boston, MA: Harvard Business School Press.</w:t>
      </w:r>
    </w:p>
    <w:p w14:paraId="3035F272">
      <w:pPr>
        <w:pStyle w:val="11"/>
        <w:spacing w:line="360" w:lineRule="auto"/>
        <w:jc w:val="both"/>
      </w:pPr>
      <w:r>
        <w:t xml:space="preserve">Marler, J.H. and Boudreau, J.W. (2017) ‘An evidence-based review of HR analytics’, </w:t>
      </w:r>
      <w:r>
        <w:rPr>
          <w:rStyle w:val="7"/>
          <w:rFonts w:eastAsiaTheme="majorEastAsia"/>
        </w:rPr>
        <w:t>The International Journal of Human Resource Management</w:t>
      </w:r>
      <w:r>
        <w:t>, 28(1), pp. 3–26.</w:t>
      </w:r>
    </w:p>
    <w:p w14:paraId="20A2DD14">
      <w:pPr>
        <w:pStyle w:val="11"/>
        <w:spacing w:line="360" w:lineRule="auto"/>
        <w:jc w:val="both"/>
      </w:pPr>
      <w:r>
        <w:t xml:space="preserve">Muller-Camen, M., Croucher, R. and Leigh, S. (2008) </w:t>
      </w:r>
      <w:r>
        <w:rPr>
          <w:rStyle w:val="7"/>
          <w:rFonts w:eastAsiaTheme="majorEastAsia"/>
        </w:rPr>
        <w:t>Human Resource Management: A Case Study Approach</w:t>
      </w:r>
      <w:r>
        <w:t>. London: Chartered Institute of Personnel and Development.</w:t>
      </w:r>
    </w:p>
    <w:p w14:paraId="2307FDB1">
      <w:pPr>
        <w:pStyle w:val="11"/>
        <w:spacing w:line="360" w:lineRule="auto"/>
        <w:jc w:val="both"/>
      </w:pPr>
      <w:r>
        <w:t xml:space="preserve">NatWest Group (2024) </w:t>
      </w:r>
      <w:r>
        <w:rPr>
          <w:rStyle w:val="7"/>
          <w:rFonts w:eastAsiaTheme="majorEastAsia"/>
        </w:rPr>
        <w:t>Annual Report and Accounts 2024</w:t>
      </w:r>
      <w:r>
        <w:t>. Edinburgh: NatWest Group.</w:t>
      </w:r>
    </w:p>
    <w:p w14:paraId="049C3656">
      <w:pPr>
        <w:pStyle w:val="11"/>
        <w:spacing w:line="360" w:lineRule="auto"/>
        <w:jc w:val="both"/>
      </w:pPr>
      <w:r>
        <w:t xml:space="preserve">Roberson, Q.M. (2019) ‘Diversity in the workplace: A review, synthesis, and future research agenda’, </w:t>
      </w:r>
      <w:r>
        <w:rPr>
          <w:rStyle w:val="7"/>
          <w:rFonts w:eastAsiaTheme="majorEastAsia"/>
        </w:rPr>
        <w:t>Annual Review of Organizational Psychology and Organizational Behavior</w:t>
      </w:r>
      <w:r>
        <w:t>, 6, pp. 69–88.</w:t>
      </w:r>
    </w:p>
    <w:p w14:paraId="77DD3C35">
      <w:pPr>
        <w:pStyle w:val="11"/>
        <w:spacing w:line="360" w:lineRule="auto"/>
        <w:jc w:val="both"/>
      </w:pPr>
      <w:r>
        <w:t xml:space="preserve">Saks, A.M. (2022) ‘Caring human resources management and employee engagement’, </w:t>
      </w:r>
      <w:r>
        <w:rPr>
          <w:rStyle w:val="7"/>
          <w:rFonts w:eastAsiaTheme="majorEastAsia"/>
        </w:rPr>
        <w:t>Human Resource Management Review</w:t>
      </w:r>
      <w:r>
        <w:t>, 32(3), pp. 1–12.</w:t>
      </w:r>
    </w:p>
    <w:p w14:paraId="7D5BBB94">
      <w:pPr>
        <w:pStyle w:val="11"/>
        <w:spacing w:line="360" w:lineRule="auto"/>
        <w:jc w:val="both"/>
      </w:pPr>
      <w:r>
        <w:t xml:space="preserve">Shore, L.M., Cleveland, J.N. and Sanchez, D. (2018) ‘Inclusive workplaces: A review and model’, </w:t>
      </w:r>
      <w:r>
        <w:rPr>
          <w:rStyle w:val="7"/>
          <w:rFonts w:eastAsiaTheme="majorEastAsia"/>
        </w:rPr>
        <w:t>Human Resource Management Review</w:t>
      </w:r>
      <w:r>
        <w:t>, 28(2), pp. 176–189.</w:t>
      </w:r>
    </w:p>
    <w:p w14:paraId="4338268F">
      <w:pPr>
        <w:pStyle w:val="11"/>
        <w:spacing w:line="360" w:lineRule="auto"/>
        <w:jc w:val="both"/>
      </w:pPr>
      <w:r>
        <w:t xml:space="preserve">Storey, J. (1995) </w:t>
      </w:r>
      <w:r>
        <w:rPr>
          <w:rStyle w:val="7"/>
          <w:rFonts w:eastAsiaTheme="majorEastAsia"/>
        </w:rPr>
        <w:t>Human Resource Management: A Critical Text</w:t>
      </w:r>
      <w:r>
        <w:t>. London: Routledge.</w:t>
      </w:r>
    </w:p>
    <w:p w14:paraId="5C2C1749">
      <w:pPr>
        <w:pStyle w:val="11"/>
        <w:spacing w:line="360" w:lineRule="auto"/>
        <w:jc w:val="both"/>
      </w:pPr>
      <w:r>
        <w:t xml:space="preserve">Theurer, C., Tumasjan, A., Welpe, I.M. and Lievens, F. (2018) ‘Employer branding: A brand equity-based literature review’, </w:t>
      </w:r>
      <w:r>
        <w:rPr>
          <w:rStyle w:val="7"/>
          <w:rFonts w:eastAsiaTheme="majorEastAsia"/>
        </w:rPr>
        <w:t>Human Resource Management Review</w:t>
      </w:r>
      <w:r>
        <w:t>, 28(3), pp. 155–179.</w:t>
      </w:r>
    </w:p>
    <w:sectPr>
      <w:head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egoe UI">
    <w:panose1 w:val="020B0502040204020203"/>
    <w:charset w:val="00"/>
    <w:family w:val="auto"/>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7122514"/>
      <w:docPartObj>
        <w:docPartGallery w:val="autotext"/>
      </w:docPartObj>
    </w:sdtPr>
    <w:sdtContent>
      <w:p w14:paraId="2F5E38BB">
        <w:pPr>
          <w:pStyle w:val="9"/>
        </w:pPr>
        <w:r>
          <w:rPr>
            <w:lang w:eastAsia="en-GB"/>
          </w:rPr>
          <mc:AlternateContent>
            <mc:Choice Requires="wps">
              <w:drawing>
                <wp:anchor distT="0" distB="0" distL="114300" distR="114300" simplePos="0" relativeHeight="251659264" behindDoc="0" locked="0" layoutInCell="0" allowOverlap="1">
                  <wp:simplePos x="0" y="0"/>
                  <wp:positionH relativeFrom="margin">
                    <wp:posOffset>4673600</wp:posOffset>
                  </wp:positionH>
                  <wp:positionV relativeFrom="page">
                    <wp:posOffset>88900</wp:posOffset>
                  </wp:positionV>
                  <wp:extent cx="1316355" cy="1169035"/>
                  <wp:effectExtent l="0" t="0" r="0" b="0"/>
                  <wp:wrapNone/>
                  <wp:docPr id="1" name="Rectangle 1"/>
                  <wp:cNvGraphicFramePr/>
                  <a:graphic xmlns:a="http://schemas.openxmlformats.org/drawingml/2006/main">
                    <a:graphicData uri="http://schemas.microsoft.com/office/word/2010/wordprocessingShape">
                      <wps:wsp>
                        <wps:cNvSpPr>
                          <a:spLocks noChangeArrowheads="1"/>
                        </wps:cNvSpPr>
                        <wps:spPr bwMode="auto">
                          <a:xfrm>
                            <a:off x="0" y="0"/>
                            <a:ext cx="1316355" cy="1169035"/>
                          </a:xfrm>
                          <a:prstGeom prst="rect">
                            <a:avLst/>
                          </a:prstGeom>
                          <a:solidFill>
                            <a:srgbClr val="FFFFFF"/>
                          </a:solidFill>
                          <a:ln>
                            <a:noFill/>
                          </a:ln>
                        </wps:spPr>
                        <wps:txbx>
                          <w:txbxContent>
                            <w:p w14:paraId="55018895">
                              <w:pPr>
                                <w:jc w:val="right"/>
                                <w:rPr>
                                  <w:color w:val="A6A6A6" w:themeColor="background1" w:themeShade="A6"/>
                                  <w:sz w:val="2"/>
                                  <w:szCs w:val="144"/>
                                </w:rPr>
                              </w:pPr>
                              <w:r>
                                <w:rPr>
                                  <w:sz w:val="2"/>
                                </w:rPr>
                                <w:fldChar w:fldCharType="begin"/>
                              </w:r>
                              <w:r>
                                <w:rPr>
                                  <w:sz w:val="2"/>
                                </w:rPr>
                                <w:instrText xml:space="preserve"> PAGE    \* MERGEFORMAT </w:instrText>
                              </w:r>
                              <w:r>
                                <w:rPr>
                                  <w:sz w:val="2"/>
                                </w:rPr>
                                <w:fldChar w:fldCharType="separate"/>
                              </w:r>
                              <w:r>
                                <w:rPr>
                                  <w:color w:val="A6A6A6" w:themeColor="background1" w:themeShade="A6"/>
                                  <w:sz w:val="108"/>
                                  <w:szCs w:val="144"/>
                                </w:rPr>
                                <w:t>12</w:t>
                              </w:r>
                              <w:r>
                                <w:rPr>
                                  <w:color w:val="A6A6A6" w:themeColor="background1" w:themeShade="A6"/>
                                  <w:sz w:val="108"/>
                                  <w:szCs w:val="144"/>
                                </w:rPr>
                                <w:fldChar w:fldCharType="end"/>
                              </w:r>
                            </w:p>
                          </w:txbxContent>
                        </wps:txbx>
                        <wps:bodyPr rot="0" vert="horz" wrap="square" lIns="91440" tIns="45720" rIns="91440" bIns="45720" anchor="t" anchorCtr="0" upright="1">
                          <a:noAutofit/>
                        </wps:bodyPr>
                      </wps:wsp>
                    </a:graphicData>
                  </a:graphic>
                </wp:anchor>
              </w:drawing>
            </mc:Choice>
            <mc:Fallback>
              <w:pict>
                <v:rect id="_x0000_s1026" o:spid="_x0000_s1026" o:spt="1" style="position:absolute;left:0pt;margin-left:368pt;margin-top:7pt;height:92.05pt;width:103.65pt;mso-position-horizontal-relative:margin;mso-position-vertical-relative:page;z-index:251659264;mso-width-relative:page;mso-height-relative:page;" fillcolor="#FFFFFF" filled="t" stroked="f" coordsize="21600,21600" o:allowincell="f" o:gfxdata="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">
                  <v:fill on="t" focussize="0,0"/>
                  <v:stroke on="f"/>
                  <v:imagedata o:title=""/>
                  <o:lock v:ext="edit" aspectratio="f"/>
                  <v:textbox>
                    <w:txbxContent>
                      <w:p w14:paraId="55018895">
                        <w:pPr>
                          <w:jc w:val="right"/>
                          <w:rPr>
                            <w:color w:val="A6A6A6" w:themeColor="background1" w:themeShade="A6"/>
                            <w:sz w:val="2"/>
                            <w:szCs w:val="144"/>
                          </w:rPr>
                        </w:pPr>
                        <w:r>
                          <w:rPr>
                            <w:sz w:val="2"/>
                          </w:rPr>
                          <w:fldChar w:fldCharType="begin"/>
                        </w:r>
                        <w:r>
                          <w:rPr>
                            <w:sz w:val="2"/>
                          </w:rPr>
                          <w:instrText xml:space="preserve"> PAGE    \* MERGEFORMAT </w:instrText>
                        </w:r>
                        <w:r>
                          <w:rPr>
                            <w:sz w:val="2"/>
                          </w:rPr>
                          <w:fldChar w:fldCharType="separate"/>
                        </w:r>
                        <w:r>
                          <w:rPr>
                            <w:color w:val="A6A6A6" w:themeColor="background1" w:themeShade="A6"/>
                            <w:sz w:val="108"/>
                            <w:szCs w:val="144"/>
                          </w:rPr>
                          <w:t>12</w:t>
                        </w:r>
                        <w:r>
                          <w:rPr>
                            <w:color w:val="A6A6A6" w:themeColor="background1" w:themeShade="A6"/>
                            <w:sz w:val="108"/>
                            <w:szCs w:val="144"/>
                          </w:rPr>
                          <w:fldChar w:fldCharType="end"/>
                        </w:r>
                      </w:p>
                    </w:txbxContent>
                  </v:textbox>
                </v:rect>
              </w:pict>
            </mc:Fallback>
          </mc:AlternateContent>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58E2"/>
    <w:rsid w:val="00010E87"/>
    <w:rsid w:val="000126B3"/>
    <w:rsid w:val="00024BA0"/>
    <w:rsid w:val="00027BB5"/>
    <w:rsid w:val="00027D73"/>
    <w:rsid w:val="00036FF3"/>
    <w:rsid w:val="00041241"/>
    <w:rsid w:val="00041610"/>
    <w:rsid w:val="00045D8F"/>
    <w:rsid w:val="000521C8"/>
    <w:rsid w:val="00054218"/>
    <w:rsid w:val="000623C4"/>
    <w:rsid w:val="00070721"/>
    <w:rsid w:val="000974FE"/>
    <w:rsid w:val="000E62C3"/>
    <w:rsid w:val="001019F3"/>
    <w:rsid w:val="00105893"/>
    <w:rsid w:val="0010701B"/>
    <w:rsid w:val="001174C0"/>
    <w:rsid w:val="00137BCC"/>
    <w:rsid w:val="001621BC"/>
    <w:rsid w:val="00165CF8"/>
    <w:rsid w:val="00184096"/>
    <w:rsid w:val="0018630C"/>
    <w:rsid w:val="001A0020"/>
    <w:rsid w:val="001A4F72"/>
    <w:rsid w:val="001A4FFD"/>
    <w:rsid w:val="001B0000"/>
    <w:rsid w:val="001B15C2"/>
    <w:rsid w:val="001C1AEF"/>
    <w:rsid w:val="001D7699"/>
    <w:rsid w:val="001E2C3E"/>
    <w:rsid w:val="001E455E"/>
    <w:rsid w:val="001E6DBD"/>
    <w:rsid w:val="001E7878"/>
    <w:rsid w:val="001F4B8D"/>
    <w:rsid w:val="001F5990"/>
    <w:rsid w:val="00211A18"/>
    <w:rsid w:val="002145EF"/>
    <w:rsid w:val="002163EA"/>
    <w:rsid w:val="0022256B"/>
    <w:rsid w:val="00245671"/>
    <w:rsid w:val="002643B8"/>
    <w:rsid w:val="0028017E"/>
    <w:rsid w:val="002A1E93"/>
    <w:rsid w:val="002B2920"/>
    <w:rsid w:val="002E3C59"/>
    <w:rsid w:val="002F3D07"/>
    <w:rsid w:val="002F4301"/>
    <w:rsid w:val="003018E3"/>
    <w:rsid w:val="00332BB7"/>
    <w:rsid w:val="00334341"/>
    <w:rsid w:val="00346EF2"/>
    <w:rsid w:val="003476D9"/>
    <w:rsid w:val="0036150F"/>
    <w:rsid w:val="003736C2"/>
    <w:rsid w:val="00384E9D"/>
    <w:rsid w:val="003954E2"/>
    <w:rsid w:val="003A3D52"/>
    <w:rsid w:val="003B16E4"/>
    <w:rsid w:val="003E4070"/>
    <w:rsid w:val="00401EBD"/>
    <w:rsid w:val="00426244"/>
    <w:rsid w:val="00437793"/>
    <w:rsid w:val="00445DCD"/>
    <w:rsid w:val="00450189"/>
    <w:rsid w:val="00465F09"/>
    <w:rsid w:val="00466F64"/>
    <w:rsid w:val="00485DBE"/>
    <w:rsid w:val="004875E0"/>
    <w:rsid w:val="0049435B"/>
    <w:rsid w:val="00496978"/>
    <w:rsid w:val="004A56E5"/>
    <w:rsid w:val="004A6C9D"/>
    <w:rsid w:val="004B223E"/>
    <w:rsid w:val="004C2136"/>
    <w:rsid w:val="005007FE"/>
    <w:rsid w:val="005127FB"/>
    <w:rsid w:val="005324C6"/>
    <w:rsid w:val="0053366F"/>
    <w:rsid w:val="00536317"/>
    <w:rsid w:val="005404C2"/>
    <w:rsid w:val="005547C0"/>
    <w:rsid w:val="005623E5"/>
    <w:rsid w:val="005704F1"/>
    <w:rsid w:val="005821DB"/>
    <w:rsid w:val="00593B72"/>
    <w:rsid w:val="00596582"/>
    <w:rsid w:val="005A2E19"/>
    <w:rsid w:val="005A5B1D"/>
    <w:rsid w:val="005B013D"/>
    <w:rsid w:val="005D5648"/>
    <w:rsid w:val="005E02BF"/>
    <w:rsid w:val="005E2C18"/>
    <w:rsid w:val="00600680"/>
    <w:rsid w:val="006113BE"/>
    <w:rsid w:val="00613F4D"/>
    <w:rsid w:val="00615CF1"/>
    <w:rsid w:val="0063708C"/>
    <w:rsid w:val="0064459A"/>
    <w:rsid w:val="006469DD"/>
    <w:rsid w:val="00651CE9"/>
    <w:rsid w:val="00656DF7"/>
    <w:rsid w:val="0066581D"/>
    <w:rsid w:val="0067620E"/>
    <w:rsid w:val="00686F0E"/>
    <w:rsid w:val="006E7F03"/>
    <w:rsid w:val="006F0925"/>
    <w:rsid w:val="006F0C82"/>
    <w:rsid w:val="00723D75"/>
    <w:rsid w:val="007365EE"/>
    <w:rsid w:val="00736E21"/>
    <w:rsid w:val="00744392"/>
    <w:rsid w:val="007459A5"/>
    <w:rsid w:val="00750CF3"/>
    <w:rsid w:val="00757156"/>
    <w:rsid w:val="00762756"/>
    <w:rsid w:val="00766631"/>
    <w:rsid w:val="0077486D"/>
    <w:rsid w:val="007B0E9C"/>
    <w:rsid w:val="007D613D"/>
    <w:rsid w:val="007F4882"/>
    <w:rsid w:val="00801F43"/>
    <w:rsid w:val="008102AD"/>
    <w:rsid w:val="00816AB5"/>
    <w:rsid w:val="00856A29"/>
    <w:rsid w:val="00875355"/>
    <w:rsid w:val="00876509"/>
    <w:rsid w:val="00880128"/>
    <w:rsid w:val="00895A74"/>
    <w:rsid w:val="008A1A7A"/>
    <w:rsid w:val="008A57EF"/>
    <w:rsid w:val="008B1540"/>
    <w:rsid w:val="008C30C1"/>
    <w:rsid w:val="008D52A7"/>
    <w:rsid w:val="008E1754"/>
    <w:rsid w:val="008E700C"/>
    <w:rsid w:val="009027C0"/>
    <w:rsid w:val="00911407"/>
    <w:rsid w:val="00924F9B"/>
    <w:rsid w:val="009253EF"/>
    <w:rsid w:val="00941769"/>
    <w:rsid w:val="0095441E"/>
    <w:rsid w:val="0096681D"/>
    <w:rsid w:val="009668EC"/>
    <w:rsid w:val="009A754B"/>
    <w:rsid w:val="009B07E2"/>
    <w:rsid w:val="009B1EB1"/>
    <w:rsid w:val="009B542C"/>
    <w:rsid w:val="009B582D"/>
    <w:rsid w:val="009C060C"/>
    <w:rsid w:val="009D78A3"/>
    <w:rsid w:val="009E4439"/>
    <w:rsid w:val="009F153A"/>
    <w:rsid w:val="009F381E"/>
    <w:rsid w:val="00A015F1"/>
    <w:rsid w:val="00A118A3"/>
    <w:rsid w:val="00A35A48"/>
    <w:rsid w:val="00A405BC"/>
    <w:rsid w:val="00A458E2"/>
    <w:rsid w:val="00A7435E"/>
    <w:rsid w:val="00A867D7"/>
    <w:rsid w:val="00A93823"/>
    <w:rsid w:val="00AA7DC3"/>
    <w:rsid w:val="00AC4072"/>
    <w:rsid w:val="00AE5CFC"/>
    <w:rsid w:val="00AE7F49"/>
    <w:rsid w:val="00AF21BF"/>
    <w:rsid w:val="00B10193"/>
    <w:rsid w:val="00B13A98"/>
    <w:rsid w:val="00B14030"/>
    <w:rsid w:val="00B42175"/>
    <w:rsid w:val="00B43528"/>
    <w:rsid w:val="00B51138"/>
    <w:rsid w:val="00B54B1F"/>
    <w:rsid w:val="00B81F03"/>
    <w:rsid w:val="00B86161"/>
    <w:rsid w:val="00B9623D"/>
    <w:rsid w:val="00BD041B"/>
    <w:rsid w:val="00BD7647"/>
    <w:rsid w:val="00BE3146"/>
    <w:rsid w:val="00C01263"/>
    <w:rsid w:val="00C126D1"/>
    <w:rsid w:val="00C2024E"/>
    <w:rsid w:val="00C27714"/>
    <w:rsid w:val="00C42089"/>
    <w:rsid w:val="00C45282"/>
    <w:rsid w:val="00C56FAE"/>
    <w:rsid w:val="00C7282D"/>
    <w:rsid w:val="00C75D22"/>
    <w:rsid w:val="00C93F3B"/>
    <w:rsid w:val="00CB02D8"/>
    <w:rsid w:val="00CB1B7D"/>
    <w:rsid w:val="00CB2C63"/>
    <w:rsid w:val="00CB33C4"/>
    <w:rsid w:val="00CB4226"/>
    <w:rsid w:val="00CB71D6"/>
    <w:rsid w:val="00CB7BBE"/>
    <w:rsid w:val="00CD3210"/>
    <w:rsid w:val="00CD4354"/>
    <w:rsid w:val="00CD7B6E"/>
    <w:rsid w:val="00CE0100"/>
    <w:rsid w:val="00CE198E"/>
    <w:rsid w:val="00D060F1"/>
    <w:rsid w:val="00D15343"/>
    <w:rsid w:val="00D2128E"/>
    <w:rsid w:val="00D23A7B"/>
    <w:rsid w:val="00D266EA"/>
    <w:rsid w:val="00D26739"/>
    <w:rsid w:val="00D444FC"/>
    <w:rsid w:val="00D50C6E"/>
    <w:rsid w:val="00D67DF2"/>
    <w:rsid w:val="00D706A6"/>
    <w:rsid w:val="00D8394D"/>
    <w:rsid w:val="00D92220"/>
    <w:rsid w:val="00DA4F8E"/>
    <w:rsid w:val="00DB09AD"/>
    <w:rsid w:val="00DB1913"/>
    <w:rsid w:val="00DB3C00"/>
    <w:rsid w:val="00DB7BD7"/>
    <w:rsid w:val="00DB7F75"/>
    <w:rsid w:val="00DC28FC"/>
    <w:rsid w:val="00DC74F8"/>
    <w:rsid w:val="00DD3C0E"/>
    <w:rsid w:val="00DD48E7"/>
    <w:rsid w:val="00DE1ABA"/>
    <w:rsid w:val="00DE333C"/>
    <w:rsid w:val="00E06507"/>
    <w:rsid w:val="00E20E3C"/>
    <w:rsid w:val="00E21F39"/>
    <w:rsid w:val="00E27EA1"/>
    <w:rsid w:val="00E31289"/>
    <w:rsid w:val="00E3433A"/>
    <w:rsid w:val="00E45F18"/>
    <w:rsid w:val="00E475C3"/>
    <w:rsid w:val="00E5365F"/>
    <w:rsid w:val="00E612D0"/>
    <w:rsid w:val="00E661D3"/>
    <w:rsid w:val="00E67B42"/>
    <w:rsid w:val="00E73CDE"/>
    <w:rsid w:val="00E85C3F"/>
    <w:rsid w:val="00E8639D"/>
    <w:rsid w:val="00E969F7"/>
    <w:rsid w:val="00EA7C80"/>
    <w:rsid w:val="00EB374E"/>
    <w:rsid w:val="00EB6C43"/>
    <w:rsid w:val="00EB7B51"/>
    <w:rsid w:val="00ED1C06"/>
    <w:rsid w:val="00F412BE"/>
    <w:rsid w:val="00F51F22"/>
    <w:rsid w:val="00F56254"/>
    <w:rsid w:val="00F5650B"/>
    <w:rsid w:val="00F62392"/>
    <w:rsid w:val="00F7189F"/>
    <w:rsid w:val="00F8696A"/>
    <w:rsid w:val="00F87A6E"/>
    <w:rsid w:val="00FA5191"/>
    <w:rsid w:val="00FB5284"/>
    <w:rsid w:val="00FB73E1"/>
    <w:rsid w:val="00FD48E6"/>
    <w:rsid w:val="00FE51E3"/>
    <w:rsid w:val="00FF041F"/>
    <w:rsid w:val="070B481C"/>
    <w:rsid w:val="7AE07F9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link w:val="17"/>
    <w:qFormat/>
    <w:uiPriority w:val="9"/>
    <w:pPr>
      <w:spacing w:before="100" w:beforeAutospacing="1" w:after="100" w:afterAutospacing="1" w:line="240" w:lineRule="auto"/>
      <w:outlineLvl w:val="0"/>
    </w:pPr>
    <w:rPr>
      <w:rFonts w:ascii="Times New Roman" w:hAnsi="Times New Roman" w:eastAsia="Times New Roman" w:cs="Times New Roman"/>
      <w:b/>
      <w:bCs/>
      <w:color w:val="2E75B6" w:themeColor="accent1" w:themeShade="BF"/>
      <w:kern w:val="36"/>
      <w:sz w:val="44"/>
      <w:szCs w:val="48"/>
      <w:lang w:eastAsia="en-GB"/>
    </w:rPr>
  </w:style>
  <w:style w:type="paragraph" w:styleId="3">
    <w:name w:val="heading 2"/>
    <w:basedOn w:val="1"/>
    <w:next w:val="1"/>
    <w:link w:val="18"/>
    <w:unhideWhenUsed/>
    <w:qFormat/>
    <w:uiPriority w:val="9"/>
    <w:pPr>
      <w:keepNext/>
      <w:keepLines/>
      <w:spacing w:before="40" w:after="0"/>
      <w:outlineLvl w:val="1"/>
    </w:pPr>
    <w:rPr>
      <w:rFonts w:ascii="Times New Roman" w:hAnsi="Times New Roman" w:eastAsiaTheme="majorEastAsia" w:cstheme="majorBidi"/>
      <w:b/>
      <w:color w:val="2E75B6" w:themeColor="accent1" w:themeShade="BF"/>
      <w:sz w:val="36"/>
      <w:szCs w:val="26"/>
    </w:rPr>
  </w:style>
  <w:style w:type="paragraph" w:styleId="4">
    <w:name w:val="heading 3"/>
    <w:basedOn w:val="1"/>
    <w:next w:val="1"/>
    <w:link w:val="19"/>
    <w:unhideWhenUsed/>
    <w:qFormat/>
    <w:uiPriority w:val="9"/>
    <w:pPr>
      <w:keepNext/>
      <w:keepLines/>
      <w:spacing w:before="40" w:after="0"/>
      <w:outlineLvl w:val="2"/>
    </w:pPr>
    <w:rPr>
      <w:rFonts w:ascii="Times New Roman" w:hAnsi="Times New Roman" w:eastAsiaTheme="majorEastAsia" w:cstheme="majorBidi"/>
      <w:b/>
      <w:color w:val="2E75B6" w:themeColor="accent1" w:themeShade="BF"/>
      <w:sz w:val="32"/>
      <w:szCs w:val="24"/>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character" w:styleId="7">
    <w:name w:val="Emphasis"/>
    <w:basedOn w:val="5"/>
    <w:qFormat/>
    <w:uiPriority w:val="20"/>
    <w:rPr>
      <w:i/>
      <w:iCs/>
    </w:rPr>
  </w:style>
  <w:style w:type="paragraph" w:styleId="8">
    <w:name w:val="footer"/>
    <w:basedOn w:val="1"/>
    <w:link w:val="24"/>
    <w:unhideWhenUsed/>
    <w:qFormat/>
    <w:uiPriority w:val="99"/>
    <w:pPr>
      <w:tabs>
        <w:tab w:val="center" w:pos="4513"/>
        <w:tab w:val="right" w:pos="9026"/>
      </w:tabs>
      <w:spacing w:after="0" w:line="240" w:lineRule="auto"/>
    </w:pPr>
  </w:style>
  <w:style w:type="paragraph" w:styleId="9">
    <w:name w:val="header"/>
    <w:basedOn w:val="1"/>
    <w:link w:val="23"/>
    <w:unhideWhenUsed/>
    <w:qFormat/>
    <w:uiPriority w:val="99"/>
    <w:pPr>
      <w:tabs>
        <w:tab w:val="center" w:pos="4513"/>
        <w:tab w:val="right" w:pos="9026"/>
      </w:tabs>
      <w:spacing w:after="0" w:line="240" w:lineRule="auto"/>
    </w:pPr>
  </w:style>
  <w:style w:type="character" w:styleId="10">
    <w:name w:val="Hyperlink"/>
    <w:basedOn w:val="5"/>
    <w:unhideWhenUsed/>
    <w:qFormat/>
    <w:uiPriority w:val="99"/>
    <w:rPr>
      <w:color w:val="0563C1" w:themeColor="hyperlink"/>
      <w:u w:val="single"/>
      <w14:textFill>
        <w14:solidFill>
          <w14:schemeClr w14:val="hlink"/>
        </w14:solidFill>
      </w14:textFill>
    </w:rPr>
  </w:style>
  <w:style w:type="paragraph" w:styleId="11">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12">
    <w:name w:val="Title"/>
    <w:basedOn w:val="1"/>
    <w:next w:val="1"/>
    <w:link w:val="16"/>
    <w:qFormat/>
    <w:uiPriority w:val="10"/>
    <w:pPr>
      <w:spacing w:after="0" w:line="240" w:lineRule="auto"/>
      <w:contextualSpacing/>
    </w:pPr>
    <w:rPr>
      <w:rFonts w:ascii="Times New Roman" w:hAnsi="Times New Roman" w:eastAsiaTheme="majorEastAsia" w:cstheme="majorBidi"/>
      <w:b/>
      <w:color w:val="000000" w:themeColor="text1"/>
      <w:spacing w:val="-10"/>
      <w:kern w:val="28"/>
      <w:sz w:val="56"/>
      <w:szCs w:val="56"/>
      <w14:textFill>
        <w14:solidFill>
          <w14:schemeClr w14:val="tx1"/>
        </w14:solidFill>
      </w14:textFill>
    </w:rPr>
  </w:style>
  <w:style w:type="paragraph" w:styleId="13">
    <w:name w:val="toc 1"/>
    <w:basedOn w:val="1"/>
    <w:next w:val="1"/>
    <w:autoRedefine/>
    <w:unhideWhenUsed/>
    <w:qFormat/>
    <w:uiPriority w:val="39"/>
    <w:pPr>
      <w:spacing w:after="100"/>
    </w:pPr>
  </w:style>
  <w:style w:type="paragraph" w:styleId="14">
    <w:name w:val="toc 2"/>
    <w:basedOn w:val="1"/>
    <w:next w:val="1"/>
    <w:autoRedefine/>
    <w:unhideWhenUsed/>
    <w:qFormat/>
    <w:uiPriority w:val="39"/>
    <w:pPr>
      <w:spacing w:after="100"/>
      <w:ind w:left="220"/>
    </w:pPr>
  </w:style>
  <w:style w:type="paragraph" w:styleId="15">
    <w:name w:val="toc 3"/>
    <w:basedOn w:val="1"/>
    <w:next w:val="1"/>
    <w:autoRedefine/>
    <w:unhideWhenUsed/>
    <w:qFormat/>
    <w:uiPriority w:val="39"/>
    <w:pPr>
      <w:spacing w:after="100"/>
      <w:ind w:left="440"/>
    </w:pPr>
  </w:style>
  <w:style w:type="character" w:customStyle="1" w:styleId="16">
    <w:name w:val="Title Char"/>
    <w:basedOn w:val="5"/>
    <w:link w:val="12"/>
    <w:qFormat/>
    <w:uiPriority w:val="10"/>
    <w:rPr>
      <w:rFonts w:ascii="Times New Roman" w:hAnsi="Times New Roman" w:eastAsiaTheme="majorEastAsia" w:cstheme="majorBidi"/>
      <w:b/>
      <w:color w:val="000000" w:themeColor="text1"/>
      <w:spacing w:val="-10"/>
      <w:kern w:val="28"/>
      <w:sz w:val="56"/>
      <w:szCs w:val="56"/>
      <w14:textFill>
        <w14:solidFill>
          <w14:schemeClr w14:val="tx1"/>
        </w14:solidFill>
      </w14:textFill>
    </w:rPr>
  </w:style>
  <w:style w:type="character" w:customStyle="1" w:styleId="17">
    <w:name w:val="Heading 1 Char"/>
    <w:basedOn w:val="5"/>
    <w:link w:val="2"/>
    <w:qFormat/>
    <w:uiPriority w:val="9"/>
    <w:rPr>
      <w:rFonts w:ascii="Times New Roman" w:hAnsi="Times New Roman" w:eastAsia="Times New Roman" w:cs="Times New Roman"/>
      <w:b/>
      <w:bCs/>
      <w:color w:val="2E75B6" w:themeColor="accent1" w:themeShade="BF"/>
      <w:kern w:val="36"/>
      <w:sz w:val="44"/>
      <w:szCs w:val="48"/>
      <w:lang w:eastAsia="en-GB"/>
    </w:rPr>
  </w:style>
  <w:style w:type="character" w:customStyle="1" w:styleId="18">
    <w:name w:val="Heading 2 Char"/>
    <w:basedOn w:val="5"/>
    <w:link w:val="3"/>
    <w:qFormat/>
    <w:uiPriority w:val="9"/>
    <w:rPr>
      <w:rFonts w:ascii="Times New Roman" w:hAnsi="Times New Roman" w:eastAsiaTheme="majorEastAsia" w:cstheme="majorBidi"/>
      <w:b/>
      <w:color w:val="2E75B6" w:themeColor="accent1" w:themeShade="BF"/>
      <w:sz w:val="36"/>
      <w:szCs w:val="26"/>
    </w:rPr>
  </w:style>
  <w:style w:type="character" w:customStyle="1" w:styleId="19">
    <w:name w:val="Heading 3 Char"/>
    <w:basedOn w:val="5"/>
    <w:link w:val="4"/>
    <w:qFormat/>
    <w:uiPriority w:val="9"/>
    <w:rPr>
      <w:rFonts w:ascii="Times New Roman" w:hAnsi="Times New Roman" w:eastAsiaTheme="majorEastAsia" w:cstheme="majorBidi"/>
      <w:b/>
      <w:color w:val="2E75B6" w:themeColor="accent1" w:themeShade="BF"/>
      <w:sz w:val="32"/>
      <w:szCs w:val="24"/>
    </w:rPr>
  </w:style>
  <w:style w:type="paragraph" w:styleId="20">
    <w:name w:val="No Spacing"/>
    <w:qFormat/>
    <w:uiPriority w:val="1"/>
    <w:pPr>
      <w:spacing w:after="0" w:line="240" w:lineRule="auto"/>
    </w:pPr>
    <w:rPr>
      <w:rFonts w:asciiTheme="minorHAnsi" w:hAnsiTheme="minorHAnsi" w:eastAsiaTheme="minorHAnsi" w:cstheme="minorBidi"/>
      <w:sz w:val="22"/>
      <w:szCs w:val="22"/>
      <w:lang w:val="en-GB" w:eastAsia="en-US" w:bidi="ar-SA"/>
    </w:rPr>
  </w:style>
  <w:style w:type="paragraph" w:customStyle="1" w:styleId="21">
    <w:name w:val="TOC Heading"/>
    <w:basedOn w:val="2"/>
    <w:next w:val="1"/>
    <w:unhideWhenUsed/>
    <w:qFormat/>
    <w:uiPriority w:val="39"/>
    <w:pPr>
      <w:keepNext/>
      <w:keepLines/>
      <w:spacing w:before="240" w:beforeAutospacing="0" w:after="0" w:afterAutospacing="0" w:line="259" w:lineRule="auto"/>
      <w:outlineLvl w:val="9"/>
    </w:pPr>
    <w:rPr>
      <w:rFonts w:asciiTheme="majorHAnsi" w:hAnsiTheme="majorHAnsi" w:eastAsiaTheme="majorEastAsia" w:cstheme="majorBidi"/>
      <w:b w:val="0"/>
      <w:bCs w:val="0"/>
      <w:kern w:val="0"/>
      <w:sz w:val="32"/>
      <w:szCs w:val="32"/>
      <w:lang w:val="en-US" w:eastAsia="en-US"/>
    </w:rPr>
  </w:style>
  <w:style w:type="paragraph" w:customStyle="1" w:styleId="22">
    <w:name w:val="isselectedend"/>
    <w:basedOn w:val="1"/>
    <w:qFormat/>
    <w:uiPriority w:val="0"/>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customStyle="1" w:styleId="23">
    <w:name w:val="Header Char"/>
    <w:basedOn w:val="5"/>
    <w:link w:val="9"/>
    <w:qFormat/>
    <w:uiPriority w:val="99"/>
  </w:style>
  <w:style w:type="character" w:customStyle="1" w:styleId="24">
    <w:name w:val="Footer Char"/>
    <w:basedOn w:val="5"/>
    <w:link w:val="8"/>
    <w:qFormat/>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26951224-3E49-4FBF-B6B3-263BDE26FF30}">
  <ds:schemaRefs/>
</ds:datastoreItem>
</file>

<file path=docProps/app.xml><?xml version="1.0" encoding="utf-8"?>
<Properties xmlns="http://schemas.openxmlformats.org/officeDocument/2006/extended-properties" xmlns:vt="http://schemas.openxmlformats.org/officeDocument/2006/docPropsVTypes">
  <Template>Normal</Template>
  <Pages>12</Pages>
  <Words>2421</Words>
  <Characters>16104</Characters>
  <Lines>142</Lines>
  <Paragraphs>40</Paragraphs>
  <TotalTime>3</TotalTime>
  <ScaleCrop>false</ScaleCrop>
  <LinksUpToDate>false</LinksUpToDate>
  <CharactersWithSpaces>18481</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2026-06-08T16:53:00Z</dcterms:created>
  <dcterms:modified xsi:type="dcterms:W3CDTF">2026-07-14T09:30:02Z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eyJoZGlkIjoiZWJhMTQwYzQ2NTkwZGZiNTA2YTE5OTE0MWViNTA4NWIifQ==</vt:lpwstr>
  </property>
  <property fmtid="{D5CDD505-2E9C-101B-9397-08002B2CF9AE}" pid="3" name="KSOProductBuildVer">
    <vt:lpwstr>1033-12.1.0.26880</vt:lpwstr>
  </property>
  <property fmtid="{D5CDD505-2E9C-101B-9397-08002B2CF9AE}" pid="4" name="ICV">
    <vt:lpwstr>E1707C5E1DCD48F29B920CC00835CE93_12</vt:lpwstr>
  </property>
</Properties>
</file>