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39F2" w:rsidRDefault="0041355B" w:rsidP="0041355B">
      <w:pPr>
        <w:jc w:val="center"/>
        <w:rPr>
          <w:rFonts w:ascii="Segoe UI" w:hAnsi="Segoe UI" w:cs="Segoe UI"/>
          <w:u w:val="single"/>
        </w:rPr>
      </w:pPr>
      <w:r>
        <w:rPr>
          <w:rFonts w:ascii="Segoe UI" w:hAnsi="Segoe UI" w:cs="Segoe UI"/>
          <w:u w:val="single"/>
        </w:rPr>
        <w:t>Evaluate in-depth an organisation’s policy in relation to supervision and support drawing on relevant theoretical perspectives to inform your discussion and recommendations; you may want to draw upon your own practise and reflect upon strengths and areas for further development.</w:t>
      </w:r>
    </w:p>
    <w:p w:rsidR="00E74C39" w:rsidRDefault="00E74C39">
      <w:pPr>
        <w:rPr>
          <w:rFonts w:ascii="Segoe UI" w:hAnsi="Segoe UI" w:cs="Segoe UI"/>
        </w:rPr>
      </w:pPr>
    </w:p>
    <w:p w:rsidR="00E74C39" w:rsidRDefault="00E74C39">
      <w:pPr>
        <w:rPr>
          <w:rFonts w:ascii="Segoe UI" w:hAnsi="Segoe UI" w:cs="Segoe UI"/>
        </w:rPr>
      </w:pPr>
      <w:r>
        <w:rPr>
          <w:rFonts w:ascii="Segoe UI" w:hAnsi="Segoe UI" w:cs="Segoe UI"/>
        </w:rPr>
        <w:t>The current paper is written to discuss an organisations supervision policy in relation to theory</w:t>
      </w:r>
      <w:r w:rsidR="0020214F">
        <w:rPr>
          <w:rFonts w:ascii="Segoe UI" w:hAnsi="Segoe UI" w:cs="Segoe UI"/>
        </w:rPr>
        <w:t xml:space="preserve"> (this policy can be found in Appendix 1)</w:t>
      </w:r>
      <w:r>
        <w:rPr>
          <w:rFonts w:ascii="Segoe UI" w:hAnsi="Segoe UI" w:cs="Segoe UI"/>
        </w:rPr>
        <w:t>. Due to the complexity of the paper, the essay shall follow a specific pattern in order to guide the reader.</w:t>
      </w:r>
      <w:r w:rsidRPr="00E74C39">
        <w:rPr>
          <w:rFonts w:ascii="Segoe UI" w:hAnsi="Segoe UI" w:cs="Segoe UI"/>
        </w:rPr>
        <w:t xml:space="preserve"> </w:t>
      </w:r>
      <w:r>
        <w:rPr>
          <w:rFonts w:ascii="Segoe UI" w:hAnsi="Segoe UI" w:cs="Segoe UI"/>
        </w:rPr>
        <w:t xml:space="preserve">Firstly, this paper </w:t>
      </w:r>
      <w:r w:rsidR="003C5074">
        <w:rPr>
          <w:rFonts w:ascii="Segoe UI" w:hAnsi="Segoe UI" w:cs="Segoe UI"/>
        </w:rPr>
        <w:t>shall define</w:t>
      </w:r>
      <w:r>
        <w:rPr>
          <w:rFonts w:ascii="Segoe UI" w:hAnsi="Segoe UI" w:cs="Segoe UI"/>
        </w:rPr>
        <w:t xml:space="preserve"> what is meant by ‘supervision’</w:t>
      </w:r>
      <w:r w:rsidR="003C5074">
        <w:rPr>
          <w:rFonts w:ascii="Segoe UI" w:hAnsi="Segoe UI" w:cs="Segoe UI"/>
        </w:rPr>
        <w:t xml:space="preserve"> as well as what makes supervision effective</w:t>
      </w:r>
      <w:r>
        <w:rPr>
          <w:rFonts w:ascii="Segoe UI" w:hAnsi="Segoe UI" w:cs="Segoe UI"/>
        </w:rPr>
        <w:t xml:space="preserve">. Secondly, the paper shall address </w:t>
      </w:r>
      <w:r w:rsidR="003C5074">
        <w:rPr>
          <w:rFonts w:ascii="Segoe UI" w:hAnsi="Segoe UI" w:cs="Segoe UI"/>
        </w:rPr>
        <w:t xml:space="preserve">which organisation is being used </w:t>
      </w:r>
      <w:r>
        <w:rPr>
          <w:rFonts w:ascii="Segoe UI" w:hAnsi="Segoe UI" w:cs="Segoe UI"/>
        </w:rPr>
        <w:t xml:space="preserve">and why supervision is important in this context. The paper shall then briefly </w:t>
      </w:r>
      <w:r w:rsidR="003C5074">
        <w:rPr>
          <w:rFonts w:ascii="Segoe UI" w:hAnsi="Segoe UI" w:cs="Segoe UI"/>
        </w:rPr>
        <w:t>present</w:t>
      </w:r>
      <w:r>
        <w:rPr>
          <w:rFonts w:ascii="Segoe UI" w:hAnsi="Segoe UI" w:cs="Segoe UI"/>
        </w:rPr>
        <w:t xml:space="preserve"> an overview of the organisation’s policy before identifying the specific types of supervision it uses. The paper will then explore the strengths and weakness of the policy in relation to research in this area and will then go onto discuss the writer’s personal experience of supervision in the workplace. Finally, the paper shall outline some recommendations for the organisation, again drawing upon relevant theoretical perspectives and the writer shall then conclude the paper</w:t>
      </w:r>
      <w:r w:rsidR="003C5074">
        <w:rPr>
          <w:rFonts w:ascii="Segoe UI" w:hAnsi="Segoe UI" w:cs="Segoe UI"/>
        </w:rPr>
        <w:t xml:space="preserve"> by giving a brief overview of </w:t>
      </w:r>
      <w:r>
        <w:rPr>
          <w:rFonts w:ascii="Segoe UI" w:hAnsi="Segoe UI" w:cs="Segoe UI"/>
        </w:rPr>
        <w:t>the paper.</w:t>
      </w:r>
    </w:p>
    <w:p w:rsidR="00E74C39" w:rsidRDefault="003C5074">
      <w:pPr>
        <w:rPr>
          <w:rFonts w:ascii="Segoe UI" w:hAnsi="Segoe UI" w:cs="Segoe UI"/>
        </w:rPr>
      </w:pPr>
      <w:r>
        <w:rPr>
          <w:rFonts w:ascii="Segoe UI" w:hAnsi="Segoe UI" w:cs="Segoe UI"/>
        </w:rPr>
        <w:t>Firstly, it is important to outline a clear definition of s</w:t>
      </w:r>
      <w:r w:rsidR="0041355B">
        <w:rPr>
          <w:rFonts w:ascii="Segoe UI" w:hAnsi="Segoe UI" w:cs="Segoe UI"/>
        </w:rPr>
        <w:t>upervision</w:t>
      </w:r>
      <w:r>
        <w:rPr>
          <w:rFonts w:ascii="Segoe UI" w:hAnsi="Segoe UI" w:cs="Segoe UI"/>
        </w:rPr>
        <w:t xml:space="preserve"> as it is</w:t>
      </w:r>
      <w:r w:rsidR="0041355B">
        <w:rPr>
          <w:rFonts w:ascii="Segoe UI" w:hAnsi="Segoe UI" w:cs="Segoe UI"/>
        </w:rPr>
        <w:t xml:space="preserve"> an incredibly powerful tool (McNamara, Lawley &amp; Towler, 2007), especially when wielded correctly. When translated from the original Latin (“</w:t>
      </w:r>
      <w:r w:rsidR="0041355B" w:rsidRPr="0041355B">
        <w:rPr>
          <w:rFonts w:ascii="Segoe UI" w:hAnsi="Segoe UI" w:cs="Segoe UI"/>
          <w:i/>
        </w:rPr>
        <w:t>super</w:t>
      </w:r>
      <w:r w:rsidR="0041355B">
        <w:rPr>
          <w:rFonts w:ascii="Segoe UI" w:hAnsi="Segoe UI" w:cs="Segoe UI"/>
        </w:rPr>
        <w:t>” and “</w:t>
      </w:r>
      <w:r w:rsidR="0041355B" w:rsidRPr="0041355B">
        <w:rPr>
          <w:rFonts w:ascii="Segoe UI" w:hAnsi="Segoe UI" w:cs="Segoe UI"/>
          <w:i/>
        </w:rPr>
        <w:t>videre</w:t>
      </w:r>
      <w:r w:rsidR="0041355B">
        <w:rPr>
          <w:rFonts w:ascii="Segoe UI" w:hAnsi="Segoe UI" w:cs="Segoe UI"/>
        </w:rPr>
        <w:t>”), supervision simply means to ‘oversee’ (Kadushin &amp; Harkness, 2014, p.8). However, in recent times the definition of ‘supervision’ has become highly contested and varies tremendously depending on different professions. Despite this, Kadushin and Harkness</w:t>
      </w:r>
      <w:r w:rsidR="0020214F">
        <w:rPr>
          <w:rFonts w:ascii="Segoe UI" w:hAnsi="Segoe UI" w:cs="Segoe UI"/>
        </w:rPr>
        <w:t>’</w:t>
      </w:r>
      <w:r w:rsidR="0041355B">
        <w:rPr>
          <w:rFonts w:ascii="Segoe UI" w:hAnsi="Segoe UI" w:cs="Segoe UI"/>
        </w:rPr>
        <w:t xml:space="preserve"> (2014, p.11) </w:t>
      </w:r>
      <w:r w:rsidR="0020214F">
        <w:rPr>
          <w:rFonts w:ascii="Segoe UI" w:hAnsi="Segoe UI" w:cs="Segoe UI"/>
        </w:rPr>
        <w:t xml:space="preserve">definition of ‘supervision’ is the one which shall be used in the current paper and is summarised as </w:t>
      </w:r>
      <w:r w:rsidR="0041355B">
        <w:rPr>
          <w:rFonts w:ascii="Segoe UI" w:hAnsi="Segoe UI" w:cs="Segoe UI"/>
        </w:rPr>
        <w:t xml:space="preserve">an opportunity to “direct, coordinate, enhance and evaluate” the work-based performance of employees. </w:t>
      </w:r>
      <w:r w:rsidR="00C35664">
        <w:rPr>
          <w:rFonts w:ascii="Segoe UI" w:hAnsi="Segoe UI" w:cs="Segoe UI"/>
        </w:rPr>
        <w:t xml:space="preserve">This definition links into the importance of supervision </w:t>
      </w:r>
      <w:r w:rsidR="00346FA5">
        <w:rPr>
          <w:rFonts w:ascii="Segoe UI" w:hAnsi="Segoe UI" w:cs="Segoe UI"/>
        </w:rPr>
        <w:t>in a youth work setting as</w:t>
      </w:r>
      <w:r w:rsidR="00C35664">
        <w:rPr>
          <w:rFonts w:ascii="Segoe UI" w:hAnsi="Segoe UI" w:cs="Segoe UI"/>
        </w:rPr>
        <w:t xml:space="preserve"> demonstrated by YW31</w:t>
      </w:r>
      <w:r w:rsidR="0063511C">
        <w:rPr>
          <w:rFonts w:ascii="Segoe UI" w:hAnsi="Segoe UI" w:cs="Segoe UI"/>
        </w:rPr>
        <w:t xml:space="preserve"> and MLD5</w:t>
      </w:r>
      <w:r w:rsidR="00C35664">
        <w:rPr>
          <w:rFonts w:ascii="Segoe UI" w:hAnsi="Segoe UI" w:cs="Segoe UI"/>
        </w:rPr>
        <w:t xml:space="preserve"> of the National Occupational Standards for Youth Work (LSIS, 2012), specifically points K3 and K5 (p.137). These points further illustrate the need to support one another through supervision practises as well as the need to reflect upon situations and discuss them openly. These standards shall again be linked with the current supervision policy. </w:t>
      </w:r>
    </w:p>
    <w:p w:rsidR="00E74C39" w:rsidRDefault="007F21CE">
      <w:pPr>
        <w:rPr>
          <w:rFonts w:ascii="Segoe UI" w:hAnsi="Segoe UI" w:cs="Segoe UI"/>
        </w:rPr>
      </w:pPr>
      <w:r>
        <w:rPr>
          <w:rFonts w:ascii="Segoe UI" w:hAnsi="Segoe UI" w:cs="Segoe UI"/>
        </w:rPr>
        <w:t>Secondly</w:t>
      </w:r>
      <w:r w:rsidR="003C5074">
        <w:rPr>
          <w:rFonts w:ascii="Segoe UI" w:hAnsi="Segoe UI" w:cs="Segoe UI"/>
        </w:rPr>
        <w:t xml:space="preserve">, before explaining who Threshold-DAS are it is vital to outline what makes </w:t>
      </w:r>
      <w:r w:rsidR="0063511C">
        <w:rPr>
          <w:rFonts w:ascii="Segoe UI" w:hAnsi="Segoe UI" w:cs="Segoe UI"/>
        </w:rPr>
        <w:t xml:space="preserve">supervision </w:t>
      </w:r>
      <w:r w:rsidR="003C5074">
        <w:rPr>
          <w:rFonts w:ascii="Segoe UI" w:hAnsi="Segoe UI" w:cs="Segoe UI"/>
        </w:rPr>
        <w:t xml:space="preserve">effective. Neill (2014, p.14) illustrates seven key components to effective supervision which are as follows: [1] an agreement of clear aims, roles and outcomes for supervision sessions including [2] a written contract at the end of the session; [3] preparation before supervision and [4] openness to feedback during supervision; [5] </w:t>
      </w:r>
      <w:r w:rsidR="003C5074">
        <w:rPr>
          <w:rFonts w:ascii="Segoe UI" w:hAnsi="Segoe UI" w:cs="Segoe UI"/>
        </w:rPr>
        <w:lastRenderedPageBreak/>
        <w:t xml:space="preserve">the ability to ask for what is needed during supervision </w:t>
      </w:r>
      <w:r w:rsidR="0063511C">
        <w:rPr>
          <w:rFonts w:ascii="Segoe UI" w:hAnsi="Segoe UI" w:cs="Segoe UI"/>
        </w:rPr>
        <w:t>and</w:t>
      </w:r>
      <w:r w:rsidR="003C5074">
        <w:rPr>
          <w:rFonts w:ascii="Segoe UI" w:hAnsi="Segoe UI" w:cs="Segoe UI"/>
        </w:rPr>
        <w:t xml:space="preserve"> [6] confidentiality for what is discussed; and [7] a specific time and space set aside for supervision. Whilst Neill’s proposal focuses on the practicalities of the supervision sessions themselves, </w:t>
      </w:r>
      <w:r w:rsidR="0020214F">
        <w:rPr>
          <w:rFonts w:ascii="Segoe UI" w:hAnsi="Segoe UI" w:cs="Segoe UI"/>
        </w:rPr>
        <w:t>Carifio and Hess (1989) outline qualities needed by supervisors, which are equally important in effective supervision. Some of these crucial characteristics are: empathy and understanding, warmth and concern, abilit</w:t>
      </w:r>
      <w:r w:rsidR="0063511C">
        <w:rPr>
          <w:rFonts w:ascii="Segoe UI" w:hAnsi="Segoe UI" w:cs="Segoe UI"/>
        </w:rPr>
        <w:t>y to handle power appropriately and</w:t>
      </w:r>
      <w:r w:rsidR="0020214F">
        <w:rPr>
          <w:rFonts w:ascii="Segoe UI" w:hAnsi="Segoe UI" w:cs="Segoe UI"/>
        </w:rPr>
        <w:t xml:space="preserve"> ability to view situations from various perspectives. When Neill’s practical recommendations are combined with Carifio and Hess’ personal qualities supervision is able to be an effective tool utilised by organisations. These qualities shall be discussed in more detail later in relation to the current policy. </w:t>
      </w:r>
    </w:p>
    <w:p w:rsidR="0041355B" w:rsidRDefault="007F21CE">
      <w:pPr>
        <w:rPr>
          <w:rFonts w:ascii="Segoe UI" w:hAnsi="Segoe UI" w:cs="Segoe UI"/>
        </w:rPr>
      </w:pPr>
      <w:r>
        <w:rPr>
          <w:rFonts w:ascii="Segoe UI" w:hAnsi="Segoe UI" w:cs="Segoe UI"/>
        </w:rPr>
        <w:t xml:space="preserve">The aforementioned organisation used for this essay is Threshold-DAS. Threshold-DAS are a domestic abuse organisation, based in Llanelli, which grew out of the national charity Women’s Aid in </w:t>
      </w:r>
      <w:r w:rsidR="00410437">
        <w:rPr>
          <w:rFonts w:ascii="Segoe UI" w:hAnsi="Segoe UI" w:cs="Segoe UI"/>
        </w:rPr>
        <w:t xml:space="preserve">1984 (Tomlinson, 2018). Since </w:t>
      </w:r>
      <w:r w:rsidR="0063511C">
        <w:rPr>
          <w:rFonts w:ascii="Segoe UI" w:hAnsi="Segoe UI" w:cs="Segoe UI"/>
        </w:rPr>
        <w:t>then</w:t>
      </w:r>
      <w:r w:rsidR="00410437">
        <w:rPr>
          <w:rFonts w:ascii="Segoe UI" w:hAnsi="Segoe UI" w:cs="Segoe UI"/>
        </w:rPr>
        <w:t xml:space="preserve"> the organisation has not only changed its name but it has also grown in size, now employing thirty-two staff members who support </w:t>
      </w:r>
      <w:r w:rsidR="0063511C">
        <w:rPr>
          <w:rFonts w:ascii="Segoe UI" w:hAnsi="Segoe UI" w:cs="Segoe UI"/>
        </w:rPr>
        <w:t xml:space="preserve">any individual </w:t>
      </w:r>
      <w:r w:rsidR="00410437">
        <w:rPr>
          <w:rFonts w:ascii="Segoe UI" w:hAnsi="Segoe UI" w:cs="Segoe UI"/>
        </w:rPr>
        <w:t xml:space="preserve">who </w:t>
      </w:r>
      <w:r w:rsidR="0063511C">
        <w:rPr>
          <w:rFonts w:ascii="Segoe UI" w:hAnsi="Segoe UI" w:cs="Segoe UI"/>
        </w:rPr>
        <w:t>has</w:t>
      </w:r>
      <w:r w:rsidR="00410437">
        <w:rPr>
          <w:rFonts w:ascii="Segoe UI" w:hAnsi="Segoe UI" w:cs="Segoe UI"/>
        </w:rPr>
        <w:t xml:space="preserve"> </w:t>
      </w:r>
      <w:r w:rsidR="0063511C">
        <w:rPr>
          <w:rFonts w:ascii="Segoe UI" w:hAnsi="Segoe UI" w:cs="Segoe UI"/>
        </w:rPr>
        <w:t>been effected by domestic abuse</w:t>
      </w:r>
      <w:r w:rsidR="00410437">
        <w:rPr>
          <w:rFonts w:ascii="Segoe UI" w:hAnsi="Segoe UI" w:cs="Segoe UI"/>
        </w:rPr>
        <w:t xml:space="preserve"> (Tomlinson, 2018). The writer started working for Threshold-DAS in August 2017 as a Peripatetic Support Worker and has engaged in supervision in this workplace. Supervision is vitally important for this organisations due to the hard-hitting and complex situations workers deal with on a daily basis. The organisations view of supervision is illustrated in numerous ways including; a written Supervision Policy (see Appendix 1), an Individual Supervision Record sheet (see Appendix 2), the frequency of supervision sessions (every 6-weeks) and through the recent hiring of a Human Resources </w:t>
      </w:r>
      <w:r w:rsidR="0063511C">
        <w:rPr>
          <w:rFonts w:ascii="Segoe UI" w:hAnsi="Segoe UI" w:cs="Segoe UI"/>
        </w:rPr>
        <w:t>(HR) and Well</w:t>
      </w:r>
      <w:r w:rsidR="00410437">
        <w:rPr>
          <w:rFonts w:ascii="Segoe UI" w:hAnsi="Segoe UI" w:cs="Segoe UI"/>
        </w:rPr>
        <w:t>being Officer who, amongst other duties, carries out impartial, regular supervision with all staff members. These form the basis of the subsequent essay as the writer explores Threshold-DAS’ view of supervision.</w:t>
      </w:r>
    </w:p>
    <w:p w:rsidR="00C35664" w:rsidRDefault="00C35664" w:rsidP="00346FA5">
      <w:pPr>
        <w:rPr>
          <w:rFonts w:ascii="Segoe UI" w:hAnsi="Segoe UI" w:cs="Segoe UI"/>
        </w:rPr>
      </w:pPr>
      <w:r>
        <w:rPr>
          <w:rFonts w:ascii="Segoe UI" w:hAnsi="Segoe UI" w:cs="Segoe UI"/>
        </w:rPr>
        <w:t xml:space="preserve">With this in mind, the writer shall now briefly summarise </w:t>
      </w:r>
      <w:r w:rsidR="00346FA5">
        <w:rPr>
          <w:rFonts w:ascii="Segoe UI" w:hAnsi="Segoe UI" w:cs="Segoe UI"/>
        </w:rPr>
        <w:t>the current supervision policy. Threshold-DAS takes a multi-faceted approach to supervision as previously stated with both a written policy and an individual record sheet. Firstly, in terms of the policy, the document begins with a clear purpose and introduction</w:t>
      </w:r>
      <w:r w:rsidR="0063511C">
        <w:rPr>
          <w:rFonts w:ascii="Segoe UI" w:hAnsi="Segoe UI" w:cs="Segoe UI"/>
        </w:rPr>
        <w:t xml:space="preserve"> which also links</w:t>
      </w:r>
      <w:r w:rsidR="00346FA5">
        <w:rPr>
          <w:rFonts w:ascii="Segoe UI" w:hAnsi="Segoe UI" w:cs="Segoe UI"/>
        </w:rPr>
        <w:t xml:space="preserve"> in with other, related policies providing a robust framework to work within. The document then splits into two sections; a [1] policy statement and [2] procedural guidance. The policy statement reiterates and elaborates the key aims of the policy including; why supervision is required, the benefits </w:t>
      </w:r>
      <w:r w:rsidR="0063511C">
        <w:rPr>
          <w:rFonts w:ascii="Segoe UI" w:hAnsi="Segoe UI" w:cs="Segoe UI"/>
        </w:rPr>
        <w:t xml:space="preserve">of </w:t>
      </w:r>
      <w:r w:rsidR="00346FA5">
        <w:rPr>
          <w:rFonts w:ascii="Segoe UI" w:hAnsi="Segoe UI" w:cs="Segoe UI"/>
        </w:rPr>
        <w:t xml:space="preserve">supervision and the additional supervision entitlement for new staff. The procedural guidance provides a comprehensive list of how supervision sessions will be conducted and what shall occur within these sessions including; frequency of sessions, expectations of </w:t>
      </w:r>
      <w:r w:rsidR="0063511C">
        <w:rPr>
          <w:rFonts w:ascii="Segoe UI" w:hAnsi="Segoe UI" w:cs="Segoe UI"/>
        </w:rPr>
        <w:t>those involved</w:t>
      </w:r>
      <w:r w:rsidR="00346FA5">
        <w:rPr>
          <w:rFonts w:ascii="Segoe UI" w:hAnsi="Segoe UI" w:cs="Segoe UI"/>
        </w:rPr>
        <w:t>, an outline of the supervision process, guidance on what to expect following a supervision session and finally, a suggested agenda and checklist to be completed</w:t>
      </w:r>
      <w:r w:rsidR="009B6B85">
        <w:rPr>
          <w:rFonts w:ascii="Segoe UI" w:hAnsi="Segoe UI" w:cs="Segoe UI"/>
        </w:rPr>
        <w:t>.</w:t>
      </w:r>
      <w:r w:rsidR="00346FA5">
        <w:rPr>
          <w:rFonts w:ascii="Segoe UI" w:hAnsi="Segoe UI" w:cs="Segoe UI"/>
        </w:rPr>
        <w:t xml:space="preserve"> </w:t>
      </w:r>
    </w:p>
    <w:p w:rsidR="00155973" w:rsidRDefault="00155973" w:rsidP="00346FA5">
      <w:pPr>
        <w:rPr>
          <w:rFonts w:ascii="Segoe UI" w:hAnsi="Segoe UI" w:cs="Segoe UI"/>
        </w:rPr>
      </w:pPr>
      <w:r>
        <w:rPr>
          <w:rFonts w:ascii="Segoe UI" w:hAnsi="Segoe UI" w:cs="Segoe UI"/>
        </w:rPr>
        <w:lastRenderedPageBreak/>
        <w:t>Furthermore, the Indi</w:t>
      </w:r>
      <w:r w:rsidR="005B25E7">
        <w:rPr>
          <w:rFonts w:ascii="Segoe UI" w:hAnsi="Segoe UI" w:cs="Segoe UI"/>
        </w:rPr>
        <w:t>vidual Record Sheet is a simplistic,</w:t>
      </w:r>
      <w:r>
        <w:rPr>
          <w:rFonts w:ascii="Segoe UI" w:hAnsi="Segoe UI" w:cs="Segoe UI"/>
        </w:rPr>
        <w:t xml:space="preserve"> user-friendly </w:t>
      </w:r>
      <w:r w:rsidR="0063511C">
        <w:rPr>
          <w:rFonts w:ascii="Segoe UI" w:hAnsi="Segoe UI" w:cs="Segoe UI"/>
        </w:rPr>
        <w:t>single</w:t>
      </w:r>
      <w:r>
        <w:rPr>
          <w:rFonts w:ascii="Segoe UI" w:hAnsi="Segoe UI" w:cs="Segoe UI"/>
        </w:rPr>
        <w:t xml:space="preserve"> sheet which outlines a clear agenda for the </w:t>
      </w:r>
      <w:r w:rsidR="005B25E7">
        <w:rPr>
          <w:rFonts w:ascii="Segoe UI" w:hAnsi="Segoe UI" w:cs="Segoe UI"/>
        </w:rPr>
        <w:t>supervision session and provides space for actionable points including who is responsible. The agenda includes twelve bullet-points which are asked to all staff members continuing in the standardised manner initiated in the Supervision Policy. Whilst this document is much shorter than the Policy is still provides a helpful guide for supervision sessions. Both of these documents have been updated</w:t>
      </w:r>
      <w:r w:rsidR="0063511C">
        <w:rPr>
          <w:rFonts w:ascii="Segoe UI" w:hAnsi="Segoe UI" w:cs="Segoe UI"/>
        </w:rPr>
        <w:t xml:space="preserve"> within the last year</w:t>
      </w:r>
      <w:r w:rsidR="005B25E7">
        <w:rPr>
          <w:rFonts w:ascii="Segoe UI" w:hAnsi="Segoe UI" w:cs="Segoe UI"/>
        </w:rPr>
        <w:t xml:space="preserve"> and are accessible to all. Next, the writer shall discuss the types of supervision </w:t>
      </w:r>
      <w:r w:rsidR="0063511C">
        <w:rPr>
          <w:rFonts w:ascii="Segoe UI" w:hAnsi="Segoe UI" w:cs="Segoe UI"/>
        </w:rPr>
        <w:t>used</w:t>
      </w:r>
      <w:r w:rsidR="005B25E7">
        <w:rPr>
          <w:rFonts w:ascii="Segoe UI" w:hAnsi="Segoe UI" w:cs="Segoe UI"/>
        </w:rPr>
        <w:t xml:space="preserve"> as outlined by Kadushin (</w:t>
      </w:r>
      <w:r w:rsidR="00A80A46">
        <w:rPr>
          <w:rFonts w:ascii="Segoe UI" w:hAnsi="Segoe UI" w:cs="Segoe UI"/>
        </w:rPr>
        <w:t>1976</w:t>
      </w:r>
      <w:r w:rsidR="005B25E7">
        <w:rPr>
          <w:rFonts w:ascii="Segoe UI" w:hAnsi="Segoe UI" w:cs="Segoe UI"/>
        </w:rPr>
        <w:t>).</w:t>
      </w:r>
    </w:p>
    <w:p w:rsidR="00A80A46" w:rsidRDefault="00A80A46" w:rsidP="00346FA5">
      <w:pPr>
        <w:rPr>
          <w:rFonts w:ascii="Segoe UI" w:hAnsi="Segoe UI" w:cs="Segoe UI"/>
        </w:rPr>
      </w:pPr>
      <w:r>
        <w:rPr>
          <w:rFonts w:ascii="Segoe UI" w:hAnsi="Segoe UI" w:cs="Segoe UI"/>
        </w:rPr>
        <w:t>Kadushin, in his 1976 book, outlined three types of supervision practise which</w:t>
      </w:r>
      <w:r w:rsidR="004F61F3">
        <w:rPr>
          <w:rFonts w:ascii="Segoe UI" w:hAnsi="Segoe UI" w:cs="Segoe UI"/>
        </w:rPr>
        <w:t>,</w:t>
      </w:r>
      <w:r>
        <w:rPr>
          <w:rFonts w:ascii="Segoe UI" w:hAnsi="Segoe UI" w:cs="Segoe UI"/>
        </w:rPr>
        <w:t xml:space="preserve"> he argues</w:t>
      </w:r>
      <w:r w:rsidR="004F61F3">
        <w:rPr>
          <w:rFonts w:ascii="Segoe UI" w:hAnsi="Segoe UI" w:cs="Segoe UI"/>
        </w:rPr>
        <w:t>,</w:t>
      </w:r>
      <w:r>
        <w:rPr>
          <w:rFonts w:ascii="Segoe UI" w:hAnsi="Segoe UI" w:cs="Segoe UI"/>
        </w:rPr>
        <w:t xml:space="preserve"> are required for effective supervision. Whilst these three areas may not always get equal time (Harrison &amp; Wise, 2005) it is still vital each of them is present. Kadushin (1976) calls these three types; [1] Supportive, [2] </w:t>
      </w:r>
      <w:r w:rsidR="004F61F3">
        <w:rPr>
          <w:rFonts w:ascii="Segoe UI" w:hAnsi="Segoe UI" w:cs="Segoe UI"/>
        </w:rPr>
        <w:t>Educative</w:t>
      </w:r>
      <w:r>
        <w:rPr>
          <w:rFonts w:ascii="Segoe UI" w:hAnsi="Segoe UI" w:cs="Segoe UI"/>
        </w:rPr>
        <w:t xml:space="preserve"> and [3] Administrative – this third type is often called ‘managerial’ </w:t>
      </w:r>
      <w:r w:rsidR="004F61F3">
        <w:rPr>
          <w:rFonts w:ascii="Segoe UI" w:hAnsi="Segoe UI" w:cs="Segoe UI"/>
        </w:rPr>
        <w:t>in more recent research (Neill, 2014, p.9)</w:t>
      </w:r>
      <w:r>
        <w:rPr>
          <w:rFonts w:ascii="Segoe UI" w:hAnsi="Segoe UI" w:cs="Segoe UI"/>
        </w:rPr>
        <w:t>.</w:t>
      </w:r>
      <w:r w:rsidR="004F61F3">
        <w:rPr>
          <w:rFonts w:ascii="Segoe UI" w:hAnsi="Segoe UI" w:cs="Segoe UI"/>
        </w:rPr>
        <w:t xml:space="preserve"> Looking first at the Supportive element, Kadushin related this to “reassurance, encouragement and recognition of achievement” (p.161) </w:t>
      </w:r>
      <w:r w:rsidR="0063511C">
        <w:rPr>
          <w:rFonts w:ascii="Segoe UI" w:hAnsi="Segoe UI" w:cs="Segoe UI"/>
        </w:rPr>
        <w:t>and the</w:t>
      </w:r>
      <w:r w:rsidR="004F61F3">
        <w:rPr>
          <w:rFonts w:ascii="Segoe UI" w:hAnsi="Segoe UI" w:cs="Segoe UI"/>
        </w:rPr>
        <w:t xml:space="preserve"> opportunity to talk openly and purposefully about the pressures of their positions in the workforce (Neill, 2014, p.9). This branch can be identified most prominently in agenda item </w:t>
      </w:r>
      <w:r w:rsidR="00430C4F">
        <w:rPr>
          <w:rFonts w:ascii="Segoe UI" w:hAnsi="Segoe UI" w:cs="Segoe UI"/>
        </w:rPr>
        <w:t>ten</w:t>
      </w:r>
      <w:r w:rsidR="004F61F3">
        <w:rPr>
          <w:rFonts w:ascii="Segoe UI" w:hAnsi="Segoe UI" w:cs="Segoe UI"/>
        </w:rPr>
        <w:t xml:space="preserve"> “</w:t>
      </w:r>
      <w:r w:rsidR="004F61F3" w:rsidRPr="00430C4F">
        <w:rPr>
          <w:rFonts w:ascii="Segoe UI" w:hAnsi="Segoe UI" w:cs="Segoe UI"/>
          <w:i/>
        </w:rPr>
        <w:t>Personal Issues</w:t>
      </w:r>
      <w:r w:rsidR="004F61F3">
        <w:rPr>
          <w:rFonts w:ascii="Segoe UI" w:hAnsi="Segoe UI" w:cs="Segoe UI"/>
        </w:rPr>
        <w:t xml:space="preserve">” in the Individual Record. Furthermore, it can also be identified in the Supervision Policy under section four </w:t>
      </w:r>
      <w:r w:rsidR="0063511C">
        <w:rPr>
          <w:rFonts w:ascii="Segoe UI" w:hAnsi="Segoe UI" w:cs="Segoe UI"/>
        </w:rPr>
        <w:t>where</w:t>
      </w:r>
      <w:r w:rsidR="004F61F3">
        <w:rPr>
          <w:rFonts w:ascii="Segoe UI" w:hAnsi="Segoe UI" w:cs="Segoe UI"/>
        </w:rPr>
        <w:t xml:space="preserve"> it states “. . . </w:t>
      </w:r>
      <w:r w:rsidR="004F61F3" w:rsidRPr="004F61F3">
        <w:rPr>
          <w:rFonts w:ascii="Segoe UI" w:hAnsi="Segoe UI" w:cs="Segoe UI"/>
          <w:i/>
        </w:rPr>
        <w:t>The aim is to support the person.</w:t>
      </w:r>
      <w:r w:rsidR="004F61F3">
        <w:rPr>
          <w:rFonts w:ascii="Segoe UI" w:hAnsi="Segoe UI" w:cs="Segoe UI"/>
        </w:rPr>
        <w:t xml:space="preserve"> . .” and “. . . </w:t>
      </w:r>
      <w:r w:rsidR="004F61F3">
        <w:rPr>
          <w:rFonts w:ascii="Segoe UI" w:hAnsi="Segoe UI" w:cs="Segoe UI"/>
          <w:i/>
        </w:rPr>
        <w:t xml:space="preserve">It is equally important to identify and recognised the strengths of an individual and to praise and congratulate good performance” </w:t>
      </w:r>
      <w:r w:rsidR="004F61F3">
        <w:rPr>
          <w:rFonts w:ascii="Segoe UI" w:hAnsi="Segoe UI" w:cs="Segoe UI"/>
        </w:rPr>
        <w:t xml:space="preserve">(p.3). </w:t>
      </w:r>
      <w:r w:rsidR="00A71843">
        <w:rPr>
          <w:rFonts w:ascii="Segoe UI" w:hAnsi="Segoe UI" w:cs="Segoe UI"/>
        </w:rPr>
        <w:t>All</w:t>
      </w:r>
      <w:r w:rsidR="004F61F3">
        <w:rPr>
          <w:rFonts w:ascii="Segoe UI" w:hAnsi="Segoe UI" w:cs="Segoe UI"/>
        </w:rPr>
        <w:t xml:space="preserve"> these points highlight what Kadushin described as </w:t>
      </w:r>
      <w:r w:rsidR="00A71843">
        <w:rPr>
          <w:rFonts w:ascii="Segoe UI" w:hAnsi="Segoe UI" w:cs="Segoe UI"/>
        </w:rPr>
        <w:t xml:space="preserve">Supportive supervision in that supervisees are supported in the role they are doing through the opportunity to discuss problems and </w:t>
      </w:r>
      <w:r w:rsidR="0063511C">
        <w:rPr>
          <w:rFonts w:ascii="Segoe UI" w:hAnsi="Segoe UI" w:cs="Segoe UI"/>
        </w:rPr>
        <w:t>through</w:t>
      </w:r>
      <w:r w:rsidR="00A71843">
        <w:rPr>
          <w:rFonts w:ascii="Segoe UI" w:hAnsi="Segoe UI" w:cs="Segoe UI"/>
        </w:rPr>
        <w:t xml:space="preserve"> identifying strengths.</w:t>
      </w:r>
    </w:p>
    <w:p w:rsidR="004F61F3" w:rsidRDefault="004F61F3" w:rsidP="00346FA5">
      <w:pPr>
        <w:rPr>
          <w:rFonts w:ascii="Segoe UI" w:hAnsi="Segoe UI" w:cs="Segoe UI"/>
        </w:rPr>
      </w:pPr>
      <w:r>
        <w:rPr>
          <w:rFonts w:ascii="Segoe UI" w:hAnsi="Segoe UI" w:cs="Segoe UI"/>
        </w:rPr>
        <w:t xml:space="preserve">Similarly, the second supervision type is also found within Threshold-DAS’ policies. </w:t>
      </w:r>
      <w:r w:rsidR="00A71843">
        <w:rPr>
          <w:rFonts w:ascii="Segoe UI" w:hAnsi="Segoe UI" w:cs="Segoe UI"/>
        </w:rPr>
        <w:t xml:space="preserve">Educative supervision refers to the provision of opportunities to develop and improve skills </w:t>
      </w:r>
      <w:r w:rsidR="0063511C">
        <w:rPr>
          <w:rFonts w:ascii="Segoe UI" w:hAnsi="Segoe UI" w:cs="Segoe UI"/>
        </w:rPr>
        <w:t>or</w:t>
      </w:r>
      <w:r w:rsidR="00A71843">
        <w:rPr>
          <w:rFonts w:ascii="Segoe UI" w:hAnsi="Segoe UI" w:cs="Segoe UI"/>
        </w:rPr>
        <w:t xml:space="preserve"> knowledge (Neill, 2014, p.9). This type requires both the supervisor and supervisee </w:t>
      </w:r>
      <w:r w:rsidR="00430C4F">
        <w:rPr>
          <w:rFonts w:ascii="Segoe UI" w:hAnsi="Segoe UI" w:cs="Segoe UI"/>
        </w:rPr>
        <w:t>to ide</w:t>
      </w:r>
      <w:r w:rsidR="00A71843">
        <w:rPr>
          <w:rFonts w:ascii="Segoe UI" w:hAnsi="Segoe UI" w:cs="Segoe UI"/>
        </w:rPr>
        <w:t xml:space="preserve">ntify areas for improvement or learning. This could include areas of interest by the supervisee or mandatory training sessions from the employer. Again, </w:t>
      </w:r>
      <w:r w:rsidR="00430C4F">
        <w:rPr>
          <w:rFonts w:ascii="Segoe UI" w:hAnsi="Segoe UI" w:cs="Segoe UI"/>
        </w:rPr>
        <w:t>this is most clearly seen in the Individual Record under agenda item six “</w:t>
      </w:r>
      <w:r w:rsidR="00430C4F">
        <w:rPr>
          <w:rFonts w:ascii="Segoe UI" w:hAnsi="Segoe UI" w:cs="Segoe UI"/>
          <w:i/>
        </w:rPr>
        <w:t xml:space="preserve">Feedback on training attended”. </w:t>
      </w:r>
      <w:r w:rsidR="00430C4F">
        <w:rPr>
          <w:rFonts w:ascii="Segoe UI" w:hAnsi="Segoe UI" w:cs="Segoe UI"/>
        </w:rPr>
        <w:t xml:space="preserve">In this section individuals are encouraged to provide constructive feedback on any training sessions they have attended and also highlight additional trainings they would like to receive. The supervisor can also use this agenda item to signpost upcoming trainings which they believe staff may benefit from. Furthermore, the Supervision Policy also includes this </w:t>
      </w:r>
      <w:r w:rsidR="0063511C">
        <w:rPr>
          <w:rFonts w:ascii="Segoe UI" w:hAnsi="Segoe UI" w:cs="Segoe UI"/>
        </w:rPr>
        <w:t xml:space="preserve">in </w:t>
      </w:r>
      <w:r w:rsidR="00430C4F">
        <w:rPr>
          <w:rFonts w:ascii="Segoe UI" w:hAnsi="Segoe UI" w:cs="Segoe UI"/>
        </w:rPr>
        <w:t>area four “</w:t>
      </w:r>
      <w:r w:rsidR="00430C4F">
        <w:rPr>
          <w:rFonts w:ascii="Segoe UI" w:hAnsi="Segoe UI" w:cs="Segoe UI"/>
          <w:i/>
        </w:rPr>
        <w:t xml:space="preserve">Training and Development” </w:t>
      </w:r>
      <w:r w:rsidR="00430C4F">
        <w:rPr>
          <w:rFonts w:ascii="Segoe UI" w:hAnsi="Segoe UI" w:cs="Segoe UI"/>
        </w:rPr>
        <w:t>(p.5). This section specifically refers to “</w:t>
      </w:r>
      <w:r w:rsidR="00430C4F">
        <w:rPr>
          <w:rFonts w:ascii="Segoe UI" w:hAnsi="Segoe UI" w:cs="Segoe UI"/>
          <w:i/>
        </w:rPr>
        <w:t xml:space="preserve">Identification of any un-met training needs or wants” </w:t>
      </w:r>
      <w:r w:rsidR="00430C4F">
        <w:rPr>
          <w:rFonts w:ascii="Segoe UI" w:hAnsi="Segoe UI" w:cs="Segoe UI"/>
        </w:rPr>
        <w:t>and “</w:t>
      </w:r>
      <w:r w:rsidR="00430C4F">
        <w:rPr>
          <w:rFonts w:ascii="Segoe UI" w:hAnsi="Segoe UI" w:cs="Segoe UI"/>
          <w:i/>
        </w:rPr>
        <w:t xml:space="preserve">Identification of any un-met development needs or wants”. </w:t>
      </w:r>
      <w:r w:rsidR="00430C4F">
        <w:rPr>
          <w:rFonts w:ascii="Segoe UI" w:hAnsi="Segoe UI" w:cs="Segoe UI"/>
        </w:rPr>
        <w:t xml:space="preserve">Again these guidelines in the policy all contribute towards the Educative </w:t>
      </w:r>
      <w:r w:rsidR="00430C4F">
        <w:rPr>
          <w:rFonts w:ascii="Segoe UI" w:hAnsi="Segoe UI" w:cs="Segoe UI"/>
        </w:rPr>
        <w:lastRenderedPageBreak/>
        <w:t>supervision type ensuring staff members can receive any desired trai</w:t>
      </w:r>
      <w:r w:rsidR="0063511C">
        <w:rPr>
          <w:rFonts w:ascii="Segoe UI" w:hAnsi="Segoe UI" w:cs="Segoe UI"/>
        </w:rPr>
        <w:t>ning, appropriate to their role whilst also adhering to NOS guideline MLD7 (LSIS, 2012).</w:t>
      </w:r>
    </w:p>
    <w:p w:rsidR="00430C4F" w:rsidRDefault="00430C4F" w:rsidP="00346FA5">
      <w:pPr>
        <w:rPr>
          <w:rFonts w:ascii="Segoe UI" w:hAnsi="Segoe UI" w:cs="Segoe UI"/>
        </w:rPr>
      </w:pPr>
      <w:r>
        <w:rPr>
          <w:rFonts w:ascii="Segoe UI" w:hAnsi="Segoe UI" w:cs="Segoe UI"/>
        </w:rPr>
        <w:t xml:space="preserve">Finally, in terms of Administrative supervision, this is the most </w:t>
      </w:r>
      <w:r w:rsidR="0063511C">
        <w:rPr>
          <w:rFonts w:ascii="Segoe UI" w:hAnsi="Segoe UI" w:cs="Segoe UI"/>
        </w:rPr>
        <w:t>frequent</w:t>
      </w:r>
      <w:r>
        <w:rPr>
          <w:rFonts w:ascii="Segoe UI" w:hAnsi="Segoe UI" w:cs="Segoe UI"/>
        </w:rPr>
        <w:t xml:space="preserve"> type in Threshold-DAS’ policies. Administrative supervision refers to ensuring the supervisee is completing all work to standards set by the organisation and </w:t>
      </w:r>
      <w:r w:rsidR="0063511C">
        <w:rPr>
          <w:rFonts w:ascii="Segoe UI" w:hAnsi="Segoe UI" w:cs="Segoe UI"/>
        </w:rPr>
        <w:t xml:space="preserve">ethical standards are adhered </w:t>
      </w:r>
      <w:r>
        <w:rPr>
          <w:rFonts w:ascii="Segoe UI" w:hAnsi="Segoe UI" w:cs="Segoe UI"/>
        </w:rPr>
        <w:t>(Neill, 2014, p.9). Almost every point on the Supervision Policy has some aspect of this Administrative supervision present including setting out the specifics of supervisory practice (points 1 – 4, p.3), ensuring practise guidelines are followed (point 6, p.4) and exploration of “</w:t>
      </w:r>
      <w:r>
        <w:rPr>
          <w:rFonts w:ascii="Segoe UI" w:hAnsi="Segoe UI" w:cs="Segoe UI"/>
          <w:i/>
        </w:rPr>
        <w:t xml:space="preserve">Operational Issues” </w:t>
      </w:r>
      <w:r>
        <w:rPr>
          <w:rFonts w:ascii="Segoe UI" w:hAnsi="Segoe UI" w:cs="Segoe UI"/>
        </w:rPr>
        <w:t xml:space="preserve"> and “</w:t>
      </w:r>
      <w:r>
        <w:rPr>
          <w:rFonts w:ascii="Segoe UI" w:hAnsi="Segoe UI" w:cs="Segoe UI"/>
          <w:i/>
        </w:rPr>
        <w:t>Annual Leave and TOIL</w:t>
      </w:r>
      <w:r>
        <w:rPr>
          <w:rFonts w:ascii="Segoe UI" w:hAnsi="Segoe UI" w:cs="Segoe UI"/>
        </w:rPr>
        <w:t>” (points 2 and 5, p.5). Likewise, the Individual Record is also underpinned with these aspects including agenda items 3 (</w:t>
      </w:r>
      <w:r>
        <w:rPr>
          <w:rFonts w:ascii="Segoe UI" w:hAnsi="Segoe UI" w:cs="Segoe UI"/>
          <w:i/>
        </w:rPr>
        <w:t xml:space="preserve">Performance management issues), </w:t>
      </w:r>
      <w:r>
        <w:rPr>
          <w:rFonts w:ascii="Segoe UI" w:hAnsi="Segoe UI" w:cs="Segoe UI"/>
        </w:rPr>
        <w:t>4 (</w:t>
      </w:r>
      <w:r>
        <w:rPr>
          <w:rFonts w:ascii="Segoe UI" w:hAnsi="Segoe UI" w:cs="Segoe UI"/>
          <w:i/>
        </w:rPr>
        <w:t>Day to day work)</w:t>
      </w:r>
      <w:r>
        <w:rPr>
          <w:rFonts w:ascii="Segoe UI" w:hAnsi="Segoe UI" w:cs="Segoe UI"/>
        </w:rPr>
        <w:t>, 5 (</w:t>
      </w:r>
      <w:r>
        <w:rPr>
          <w:rFonts w:ascii="Segoe UI" w:hAnsi="Segoe UI" w:cs="Segoe UI"/>
          <w:i/>
        </w:rPr>
        <w:t xml:space="preserve">Health and Safety and Wellbeing issues) </w:t>
      </w:r>
      <w:r>
        <w:rPr>
          <w:rFonts w:ascii="Segoe UI" w:hAnsi="Segoe UI" w:cs="Segoe UI"/>
        </w:rPr>
        <w:t>and 9 (</w:t>
      </w:r>
      <w:r>
        <w:rPr>
          <w:rFonts w:ascii="Segoe UI" w:hAnsi="Segoe UI" w:cs="Segoe UI"/>
          <w:i/>
        </w:rPr>
        <w:t>Workload issues and file checks)</w:t>
      </w:r>
      <w:r>
        <w:rPr>
          <w:rFonts w:ascii="Segoe UI" w:hAnsi="Segoe UI" w:cs="Segoe UI"/>
        </w:rPr>
        <w:t>. These each demonstrate the prevalence of Administrative supervision throughout Threshold</w:t>
      </w:r>
      <w:r w:rsidR="0063511C">
        <w:rPr>
          <w:rFonts w:ascii="Segoe UI" w:hAnsi="Segoe UI" w:cs="Segoe UI"/>
        </w:rPr>
        <w:t>-DAS’ supervision documentation as well as adhering to NOS guidelines, specifically HSS1 (LSIS, 2012).</w:t>
      </w:r>
      <w:r>
        <w:rPr>
          <w:rFonts w:ascii="Segoe UI" w:hAnsi="Segoe UI" w:cs="Segoe UI"/>
        </w:rPr>
        <w:t xml:space="preserve"> Next the writer shall explore the strengths and weaknesses </w:t>
      </w:r>
      <w:r w:rsidR="0063511C">
        <w:rPr>
          <w:rFonts w:ascii="Segoe UI" w:hAnsi="Segoe UI" w:cs="Segoe UI"/>
        </w:rPr>
        <w:t>of</w:t>
      </w:r>
      <w:r>
        <w:rPr>
          <w:rFonts w:ascii="Segoe UI" w:hAnsi="Segoe UI" w:cs="Segoe UI"/>
        </w:rPr>
        <w:t xml:space="preserve"> supervisory documents</w:t>
      </w:r>
      <w:r w:rsidR="0063511C">
        <w:rPr>
          <w:rFonts w:ascii="Segoe UI" w:hAnsi="Segoe UI" w:cs="Segoe UI"/>
        </w:rPr>
        <w:t>, these are, in part, linked with the writers experience of supervision which is further discussed later</w:t>
      </w:r>
      <w:r>
        <w:rPr>
          <w:rFonts w:ascii="Segoe UI" w:hAnsi="Segoe UI" w:cs="Segoe UI"/>
        </w:rPr>
        <w:t>.</w:t>
      </w:r>
    </w:p>
    <w:p w:rsidR="00821FF7" w:rsidRDefault="00BD7901" w:rsidP="00346FA5">
      <w:pPr>
        <w:rPr>
          <w:rFonts w:ascii="Segoe UI" w:hAnsi="Segoe UI" w:cs="Segoe UI"/>
        </w:rPr>
      </w:pPr>
      <w:r>
        <w:rPr>
          <w:rFonts w:ascii="Segoe UI" w:hAnsi="Segoe UI" w:cs="Segoe UI"/>
        </w:rPr>
        <w:t xml:space="preserve">Often, as students, we are told an organisation’s view of supervision is reflected in whether or not it has a policy </w:t>
      </w:r>
      <w:r w:rsidR="00A01C73">
        <w:rPr>
          <w:rFonts w:ascii="Segoe UI" w:hAnsi="Segoe UI" w:cs="Segoe UI"/>
        </w:rPr>
        <w:t>(Lewis, 2018)</w:t>
      </w:r>
      <w:r>
        <w:rPr>
          <w:rFonts w:ascii="Segoe UI" w:hAnsi="Segoe UI" w:cs="Segoe UI"/>
        </w:rPr>
        <w:t>. With this in mind, arguably Threshold-DAS consider supervision to be importan</w:t>
      </w:r>
      <w:r w:rsidR="00821FF7">
        <w:rPr>
          <w:rFonts w:ascii="Segoe UI" w:hAnsi="Segoe UI" w:cs="Segoe UI"/>
        </w:rPr>
        <w:t>t</w:t>
      </w:r>
      <w:r>
        <w:rPr>
          <w:rFonts w:ascii="Segoe UI" w:hAnsi="Segoe UI" w:cs="Segoe UI"/>
        </w:rPr>
        <w:t xml:space="preserve"> as it </w:t>
      </w:r>
      <w:r w:rsidR="00821FF7">
        <w:rPr>
          <w:rFonts w:ascii="Segoe UI" w:hAnsi="Segoe UI" w:cs="Segoe UI"/>
        </w:rPr>
        <w:t>has</w:t>
      </w:r>
      <w:r>
        <w:rPr>
          <w:rFonts w:ascii="Segoe UI" w:hAnsi="Segoe UI" w:cs="Segoe UI"/>
        </w:rPr>
        <w:t xml:space="preserve"> a written policy accessible to all </w:t>
      </w:r>
      <w:r w:rsidR="00821FF7">
        <w:rPr>
          <w:rFonts w:ascii="Segoe UI" w:hAnsi="Segoe UI" w:cs="Segoe UI"/>
        </w:rPr>
        <w:t>which is also</w:t>
      </w:r>
      <w:r>
        <w:rPr>
          <w:rFonts w:ascii="Segoe UI" w:hAnsi="Segoe UI" w:cs="Segoe UI"/>
        </w:rPr>
        <w:t xml:space="preserve"> mandatory reading prior to the commencement of employment.</w:t>
      </w:r>
      <w:r w:rsidR="00821FF7">
        <w:rPr>
          <w:rFonts w:ascii="Segoe UI" w:hAnsi="Segoe UI" w:cs="Segoe UI"/>
        </w:rPr>
        <w:t xml:space="preserve"> B</w:t>
      </w:r>
      <w:r>
        <w:rPr>
          <w:rFonts w:ascii="Segoe UI" w:hAnsi="Segoe UI" w:cs="Segoe UI"/>
        </w:rPr>
        <w:t xml:space="preserve">ased on this alone, Threshold-DAS have clearly made a decision to frequently implement supervision within </w:t>
      </w:r>
      <w:r w:rsidR="00A01C73">
        <w:rPr>
          <w:rFonts w:ascii="Segoe UI" w:hAnsi="Segoe UI" w:cs="Segoe UI"/>
        </w:rPr>
        <w:t>its</w:t>
      </w:r>
      <w:r>
        <w:rPr>
          <w:rFonts w:ascii="Segoe UI" w:hAnsi="Segoe UI" w:cs="Segoe UI"/>
        </w:rPr>
        <w:t xml:space="preserve"> organisation. </w:t>
      </w:r>
      <w:r w:rsidR="00A01C73">
        <w:rPr>
          <w:rFonts w:ascii="Segoe UI" w:hAnsi="Segoe UI" w:cs="Segoe UI"/>
        </w:rPr>
        <w:t xml:space="preserve">This is in line with one of the supervision statements suggested by Morrison (2001) which states “all staff require, and are entitled to supervision” (p.16). </w:t>
      </w:r>
    </w:p>
    <w:p w:rsidR="00BD7901" w:rsidRDefault="00BD7901" w:rsidP="00346FA5">
      <w:pPr>
        <w:rPr>
          <w:rFonts w:ascii="Segoe UI" w:hAnsi="Segoe UI" w:cs="Segoe UI"/>
        </w:rPr>
      </w:pPr>
      <w:r>
        <w:rPr>
          <w:rFonts w:ascii="Segoe UI" w:hAnsi="Segoe UI" w:cs="Segoe UI"/>
        </w:rPr>
        <w:t>Furthermore, not only is there a written policy but it is updated often with the most recent update</w:t>
      </w:r>
      <w:r w:rsidR="00821FF7">
        <w:rPr>
          <w:rFonts w:ascii="Segoe UI" w:hAnsi="Segoe UI" w:cs="Segoe UI"/>
        </w:rPr>
        <w:t xml:space="preserve"> made in 2017</w:t>
      </w:r>
      <w:r>
        <w:rPr>
          <w:rFonts w:ascii="Segoe UI" w:hAnsi="Segoe UI" w:cs="Segoe UI"/>
        </w:rPr>
        <w:t xml:space="preserve">, again reflecting an organisation committed to adapting and changing policy based on need. </w:t>
      </w:r>
      <w:r w:rsidR="00A01C73">
        <w:rPr>
          <w:rFonts w:ascii="Segoe UI" w:hAnsi="Segoe UI" w:cs="Segoe UI"/>
        </w:rPr>
        <w:t>Peninsula, a</w:t>
      </w:r>
      <w:r w:rsidR="00821FF7">
        <w:rPr>
          <w:rFonts w:ascii="Segoe UI" w:hAnsi="Segoe UI" w:cs="Segoe UI"/>
        </w:rPr>
        <w:t>n</w:t>
      </w:r>
      <w:r w:rsidR="00A01C73">
        <w:rPr>
          <w:rFonts w:ascii="Segoe UI" w:hAnsi="Segoe UI" w:cs="Segoe UI"/>
        </w:rPr>
        <w:t xml:space="preserve"> </w:t>
      </w:r>
      <w:r w:rsidR="00821FF7">
        <w:rPr>
          <w:rFonts w:ascii="Segoe UI" w:hAnsi="Segoe UI" w:cs="Segoe UI"/>
        </w:rPr>
        <w:t>organisation</w:t>
      </w:r>
      <w:r w:rsidR="00A01C73">
        <w:rPr>
          <w:rFonts w:ascii="Segoe UI" w:hAnsi="Segoe UI" w:cs="Segoe UI"/>
        </w:rPr>
        <w:t xml:space="preserve"> aimed at assisting with the HR component of businesses, state on their website the importance of updating polici</w:t>
      </w:r>
      <w:r w:rsidR="00821FF7">
        <w:rPr>
          <w:rFonts w:ascii="Segoe UI" w:hAnsi="Segoe UI" w:cs="Segoe UI"/>
        </w:rPr>
        <w:t>es frequently (Peninsula, 2018); thus reinforcing this comment.</w:t>
      </w:r>
      <w:r w:rsidR="00A01C73">
        <w:rPr>
          <w:rFonts w:ascii="Segoe UI" w:hAnsi="Segoe UI" w:cs="Segoe UI"/>
        </w:rPr>
        <w:t xml:space="preserve"> When paired with the aforementioned hiring of a </w:t>
      </w:r>
      <w:r w:rsidR="00821FF7">
        <w:rPr>
          <w:rFonts w:ascii="Segoe UI" w:hAnsi="Segoe UI" w:cs="Segoe UI"/>
        </w:rPr>
        <w:t>HR and Wellb</w:t>
      </w:r>
      <w:r w:rsidR="00A01C73">
        <w:rPr>
          <w:rFonts w:ascii="Segoe UI" w:hAnsi="Segoe UI" w:cs="Segoe UI"/>
        </w:rPr>
        <w:t>eing Officer, it is clear the organisation has committed to providing supervision to its employees. These actions reflect Hoggarth’s statement that “…supervision of staff is one of the most important roles of the manager” (2009, p.48).</w:t>
      </w:r>
    </w:p>
    <w:p w:rsidR="00A01C73" w:rsidRDefault="00A01C73" w:rsidP="00346FA5">
      <w:pPr>
        <w:rPr>
          <w:rFonts w:ascii="Segoe UI" w:hAnsi="Segoe UI" w:cs="Segoe UI"/>
        </w:rPr>
      </w:pPr>
      <w:r>
        <w:rPr>
          <w:rFonts w:ascii="Segoe UI" w:hAnsi="Segoe UI" w:cs="Segoe UI"/>
        </w:rPr>
        <w:t>Finally, in terms of strengths, Morrison (2001, p.16) asserts supervision must be a “negotiated, co-operative, structured relationship”. Again, Threshold-DAS demonstrates this</w:t>
      </w:r>
      <w:r w:rsidR="00821FF7">
        <w:rPr>
          <w:rFonts w:ascii="Segoe UI" w:hAnsi="Segoe UI" w:cs="Segoe UI"/>
        </w:rPr>
        <w:t xml:space="preserve"> specifically in </w:t>
      </w:r>
      <w:r>
        <w:rPr>
          <w:rFonts w:ascii="Segoe UI" w:hAnsi="Segoe UI" w:cs="Segoe UI"/>
        </w:rPr>
        <w:t>segment 3 of the Supervision Policy (p.3) whereby it states “</w:t>
      </w:r>
      <w:r w:rsidRPr="00821FF7">
        <w:rPr>
          <w:rFonts w:ascii="Segoe UI" w:hAnsi="Segoe UI" w:cs="Segoe UI"/>
          <w:i/>
        </w:rPr>
        <w:t>Agree appropriate action</w:t>
      </w:r>
      <w:r>
        <w:rPr>
          <w:rFonts w:ascii="Segoe UI" w:hAnsi="Segoe UI" w:cs="Segoe UI"/>
        </w:rPr>
        <w:t xml:space="preserve">”. This furthers Threshold-DAS’ commitment to </w:t>
      </w:r>
      <w:r>
        <w:rPr>
          <w:rFonts w:ascii="Segoe UI" w:hAnsi="Segoe UI" w:cs="Segoe UI"/>
        </w:rPr>
        <w:lastRenderedPageBreak/>
        <w:t xml:space="preserve">meaningful supervision by clarifying it is a joint process requiring the input of both supervisor and supervisee. This joint process is also reflected in the run-up to supervision where employees are encouraged to consider </w:t>
      </w:r>
      <w:r w:rsidR="00821FF7">
        <w:rPr>
          <w:rFonts w:ascii="Segoe UI" w:hAnsi="Segoe UI" w:cs="Segoe UI"/>
        </w:rPr>
        <w:t xml:space="preserve">the topics they wish to discuss. This </w:t>
      </w:r>
      <w:r>
        <w:rPr>
          <w:rFonts w:ascii="Segoe UI" w:hAnsi="Segoe UI" w:cs="Segoe UI"/>
        </w:rPr>
        <w:t>reflects a similarity to Hawkins and Smith’s CLEAR Model of Supervision (2006) which shows a process</w:t>
      </w:r>
      <w:r w:rsidR="00821FF7">
        <w:rPr>
          <w:rFonts w:ascii="Segoe UI" w:hAnsi="Segoe UI" w:cs="Segoe UI"/>
        </w:rPr>
        <w:t xml:space="preserve"> ensuring </w:t>
      </w:r>
      <w:r>
        <w:rPr>
          <w:rFonts w:ascii="Segoe UI" w:hAnsi="Segoe UI" w:cs="Segoe UI"/>
        </w:rPr>
        <w:t xml:space="preserve">sessions </w:t>
      </w:r>
      <w:r w:rsidR="00821FF7">
        <w:rPr>
          <w:rFonts w:ascii="Segoe UI" w:hAnsi="Segoe UI" w:cs="Segoe UI"/>
        </w:rPr>
        <w:t xml:space="preserve">are </w:t>
      </w:r>
      <w:r>
        <w:rPr>
          <w:rFonts w:ascii="Segoe UI" w:hAnsi="Segoe UI" w:cs="Segoe UI"/>
        </w:rPr>
        <w:t>effective and efficient.</w:t>
      </w:r>
      <w:r w:rsidR="00821FF7">
        <w:rPr>
          <w:rFonts w:ascii="Segoe UI" w:hAnsi="Segoe UI" w:cs="Segoe UI"/>
        </w:rPr>
        <w:t xml:space="preserve"> This is also something the writer has witnessed during supervision sessions.</w:t>
      </w:r>
      <w:r>
        <w:rPr>
          <w:rFonts w:ascii="Segoe UI" w:hAnsi="Segoe UI" w:cs="Segoe UI"/>
        </w:rPr>
        <w:t xml:space="preserve"> </w:t>
      </w:r>
    </w:p>
    <w:p w:rsidR="00D62955" w:rsidRDefault="00821FF7" w:rsidP="00346FA5">
      <w:pPr>
        <w:rPr>
          <w:rFonts w:ascii="Segoe UI" w:hAnsi="Segoe UI" w:cs="Segoe UI"/>
        </w:rPr>
      </w:pPr>
      <w:r>
        <w:rPr>
          <w:rFonts w:ascii="Segoe UI" w:hAnsi="Segoe UI" w:cs="Segoe UI"/>
        </w:rPr>
        <w:t>Nevertheless,</w:t>
      </w:r>
      <w:r w:rsidR="00D62955">
        <w:rPr>
          <w:rFonts w:ascii="Segoe UI" w:hAnsi="Segoe UI" w:cs="Segoe UI"/>
        </w:rPr>
        <w:t xml:space="preserve"> the policies do have weaknesses which need addressing. Firstly, the same </w:t>
      </w:r>
      <w:r w:rsidR="004511E3">
        <w:rPr>
          <w:rFonts w:ascii="Segoe UI" w:hAnsi="Segoe UI" w:cs="Segoe UI"/>
        </w:rPr>
        <w:t>Supervision Outline (Supervision Policy, p.6 – 8)</w:t>
      </w:r>
      <w:r w:rsidR="00D62955">
        <w:rPr>
          <w:rFonts w:ascii="Segoe UI" w:hAnsi="Segoe UI" w:cs="Segoe UI"/>
        </w:rPr>
        <w:t xml:space="preserve"> is used for each staff member. Whilst this does ensure standardisation, this template is not </w:t>
      </w:r>
      <w:r>
        <w:rPr>
          <w:rFonts w:ascii="Segoe UI" w:hAnsi="Segoe UI" w:cs="Segoe UI"/>
        </w:rPr>
        <w:t xml:space="preserve">appropriate </w:t>
      </w:r>
      <w:r w:rsidR="00D62955">
        <w:rPr>
          <w:rFonts w:ascii="Segoe UI" w:hAnsi="Segoe UI" w:cs="Segoe UI"/>
        </w:rPr>
        <w:t xml:space="preserve">for all roles within the organisation. </w:t>
      </w:r>
      <w:r w:rsidR="004511E3">
        <w:rPr>
          <w:rFonts w:ascii="Segoe UI" w:hAnsi="Segoe UI" w:cs="Segoe UI"/>
        </w:rPr>
        <w:t xml:space="preserve">For instance on page 6 the first heading covered states “S/U issues”. These issues would only be applicable to </w:t>
      </w:r>
      <w:r>
        <w:rPr>
          <w:rFonts w:ascii="Segoe UI" w:hAnsi="Segoe UI" w:cs="Segoe UI"/>
        </w:rPr>
        <w:t xml:space="preserve">child or </w:t>
      </w:r>
      <w:r w:rsidR="004511E3">
        <w:rPr>
          <w:rFonts w:ascii="Segoe UI" w:hAnsi="Segoe UI" w:cs="Segoe UI"/>
        </w:rPr>
        <w:t xml:space="preserve">support workers </w:t>
      </w:r>
      <w:r>
        <w:rPr>
          <w:rFonts w:ascii="Segoe UI" w:hAnsi="Segoe UI" w:cs="Segoe UI"/>
        </w:rPr>
        <w:t xml:space="preserve">and would be redundant for </w:t>
      </w:r>
      <w:r w:rsidR="004511E3">
        <w:rPr>
          <w:rFonts w:ascii="Segoe UI" w:hAnsi="Segoe UI" w:cs="Segoe UI"/>
        </w:rPr>
        <w:t xml:space="preserve">finance workers or administrative staff. </w:t>
      </w:r>
    </w:p>
    <w:p w:rsidR="004511E3" w:rsidRDefault="004511E3" w:rsidP="00346FA5">
      <w:pPr>
        <w:rPr>
          <w:rFonts w:ascii="Segoe UI" w:hAnsi="Segoe UI" w:cs="Segoe UI"/>
        </w:rPr>
      </w:pPr>
      <w:r>
        <w:rPr>
          <w:rFonts w:ascii="Segoe UI" w:hAnsi="Segoe UI" w:cs="Segoe UI"/>
        </w:rPr>
        <w:t>Furthermore, there is little consistency between this Supervision Outline and the Individual Record, thus it is uncertain which th</w:t>
      </w:r>
      <w:r w:rsidR="00821FF7">
        <w:rPr>
          <w:rFonts w:ascii="Segoe UI" w:hAnsi="Segoe UI" w:cs="Segoe UI"/>
        </w:rPr>
        <w:t>e supervisor is meant to follow</w:t>
      </w:r>
      <w:r>
        <w:rPr>
          <w:rFonts w:ascii="Segoe UI" w:hAnsi="Segoe UI" w:cs="Segoe UI"/>
        </w:rPr>
        <w:t xml:space="preserve">. The discrepancies between these two documents cause confusion which is further compounded by the lack of a clear definition of supervision or boundaries as to what shall be discussed. This leaves the supervision open to interpretation which is likely to take sessions off-topic and perhaps could lead to unprofessionalism or gossiping by either party. This gossiping in the workplace has been shown to relate to increased workplace cynicism (Kuo, Chang, Quinton, Lu &amp; Lee, 2015) which would have a </w:t>
      </w:r>
      <w:r w:rsidR="00821FF7">
        <w:rPr>
          <w:rFonts w:ascii="Segoe UI" w:hAnsi="Segoe UI" w:cs="Segoe UI"/>
        </w:rPr>
        <w:t>negative consequence</w:t>
      </w:r>
      <w:r>
        <w:rPr>
          <w:rFonts w:ascii="Segoe UI" w:hAnsi="Segoe UI" w:cs="Segoe UI"/>
        </w:rPr>
        <w:t xml:space="preserve"> to service-users. </w:t>
      </w:r>
    </w:p>
    <w:p w:rsidR="004511E3" w:rsidRDefault="00CF26E6" w:rsidP="00346FA5">
      <w:pPr>
        <w:rPr>
          <w:rFonts w:ascii="Segoe UI" w:hAnsi="Segoe UI" w:cs="Segoe UI"/>
        </w:rPr>
      </w:pPr>
      <w:r>
        <w:rPr>
          <w:rFonts w:ascii="Segoe UI" w:hAnsi="Segoe UI" w:cs="Segoe UI"/>
        </w:rPr>
        <w:t xml:space="preserve">Finally, the current supervision policy focusses primarily on the here-and-now rather than looking further ahead. Whilst it does address training needs, it does not develop vision in the way Harrison and Wise (2005) suggest. Additionally, the policy and supporting documents are heavily slanted towards </w:t>
      </w:r>
      <w:r w:rsidR="00821FF7">
        <w:rPr>
          <w:rFonts w:ascii="Segoe UI" w:hAnsi="Segoe UI" w:cs="Segoe UI"/>
        </w:rPr>
        <w:t>A</w:t>
      </w:r>
      <w:r>
        <w:rPr>
          <w:rFonts w:ascii="Segoe UI" w:hAnsi="Segoe UI" w:cs="Segoe UI"/>
        </w:rPr>
        <w:t xml:space="preserve">dministrative supervision, which whilst important, should not lead to the neglect of the </w:t>
      </w:r>
      <w:r w:rsidR="00821FF7">
        <w:rPr>
          <w:rFonts w:ascii="Segoe UI" w:hAnsi="Segoe UI" w:cs="Segoe UI"/>
        </w:rPr>
        <w:t>E</w:t>
      </w:r>
      <w:r>
        <w:rPr>
          <w:rFonts w:ascii="Segoe UI" w:hAnsi="Segoe UI" w:cs="Segoe UI"/>
        </w:rPr>
        <w:t xml:space="preserve">ducative and </w:t>
      </w:r>
      <w:r w:rsidR="00821FF7">
        <w:rPr>
          <w:rFonts w:ascii="Segoe UI" w:hAnsi="Segoe UI" w:cs="Segoe UI"/>
        </w:rPr>
        <w:t>Su</w:t>
      </w:r>
      <w:r>
        <w:rPr>
          <w:rFonts w:ascii="Segoe UI" w:hAnsi="Segoe UI" w:cs="Segoe UI"/>
        </w:rPr>
        <w:t>pportive elements. These</w:t>
      </w:r>
      <w:r w:rsidR="00821FF7">
        <w:rPr>
          <w:rFonts w:ascii="Segoe UI" w:hAnsi="Segoe UI" w:cs="Segoe UI"/>
        </w:rPr>
        <w:t xml:space="preserve"> are</w:t>
      </w:r>
      <w:r>
        <w:rPr>
          <w:rFonts w:ascii="Segoe UI" w:hAnsi="Segoe UI" w:cs="Segoe UI"/>
        </w:rPr>
        <w:t xml:space="preserve"> just as </w:t>
      </w:r>
      <w:r w:rsidR="00821FF7">
        <w:rPr>
          <w:rFonts w:ascii="Segoe UI" w:hAnsi="Segoe UI" w:cs="Segoe UI"/>
        </w:rPr>
        <w:t>essential</w:t>
      </w:r>
      <w:r>
        <w:rPr>
          <w:rFonts w:ascii="Segoe UI" w:hAnsi="Segoe UI" w:cs="Segoe UI"/>
        </w:rPr>
        <w:t xml:space="preserve"> and past research has </w:t>
      </w:r>
      <w:r w:rsidR="00821FF7">
        <w:rPr>
          <w:rFonts w:ascii="Segoe UI" w:hAnsi="Segoe UI" w:cs="Segoe UI"/>
        </w:rPr>
        <w:t>demonstrated</w:t>
      </w:r>
      <w:r>
        <w:rPr>
          <w:rFonts w:ascii="Segoe UI" w:hAnsi="Segoe UI" w:cs="Segoe UI"/>
        </w:rPr>
        <w:t xml:space="preserve"> a lack of consideration of these aspects can increase the </w:t>
      </w:r>
      <w:r w:rsidR="00BB7DBB">
        <w:rPr>
          <w:rFonts w:ascii="Segoe UI" w:hAnsi="Segoe UI" w:cs="Segoe UI"/>
        </w:rPr>
        <w:t>likelihood</w:t>
      </w:r>
      <w:r>
        <w:rPr>
          <w:rFonts w:ascii="Segoe UI" w:hAnsi="Segoe UI" w:cs="Segoe UI"/>
        </w:rPr>
        <w:t xml:space="preserve"> of staff looking for alternative employment (Kadushin, 1993, cited in Woods, 2001).</w:t>
      </w:r>
    </w:p>
    <w:p w:rsidR="003E169E" w:rsidRDefault="00CF26E6" w:rsidP="00346FA5">
      <w:pPr>
        <w:rPr>
          <w:rFonts w:ascii="Segoe UI" w:hAnsi="Segoe UI" w:cs="Segoe UI"/>
        </w:rPr>
      </w:pPr>
      <w:r>
        <w:rPr>
          <w:rFonts w:ascii="Segoe UI" w:hAnsi="Segoe UI" w:cs="Segoe UI"/>
        </w:rPr>
        <w:t xml:space="preserve">Prior to discussing the recommendations for this policy, the writer shall briefly reflect upon their </w:t>
      </w:r>
      <w:r w:rsidR="00821FF7">
        <w:rPr>
          <w:rFonts w:ascii="Segoe UI" w:hAnsi="Segoe UI" w:cs="Segoe UI"/>
        </w:rPr>
        <w:t xml:space="preserve">supervision </w:t>
      </w:r>
      <w:r>
        <w:rPr>
          <w:rFonts w:ascii="Segoe UI" w:hAnsi="Segoe UI" w:cs="Segoe UI"/>
        </w:rPr>
        <w:t xml:space="preserve">experience in </w:t>
      </w:r>
      <w:r w:rsidR="00821FF7">
        <w:rPr>
          <w:rFonts w:ascii="Segoe UI" w:hAnsi="Segoe UI" w:cs="Segoe UI"/>
        </w:rPr>
        <w:t>Threshold-DAS</w:t>
      </w:r>
      <w:r>
        <w:rPr>
          <w:rFonts w:ascii="Segoe UI" w:hAnsi="Segoe UI" w:cs="Segoe UI"/>
        </w:rPr>
        <w:t xml:space="preserve">. The writer has only had one supervision session since </w:t>
      </w:r>
      <w:r w:rsidR="00821FF7">
        <w:rPr>
          <w:rFonts w:ascii="Segoe UI" w:hAnsi="Segoe UI" w:cs="Segoe UI"/>
        </w:rPr>
        <w:t>commencing</w:t>
      </w:r>
      <w:r>
        <w:rPr>
          <w:rFonts w:ascii="Segoe UI" w:hAnsi="Segoe UI" w:cs="Segoe UI"/>
        </w:rPr>
        <w:t xml:space="preserve"> employment with Threshold-DAS which straight away highlights the fail</w:t>
      </w:r>
      <w:r w:rsidR="003E169E">
        <w:rPr>
          <w:rFonts w:ascii="Segoe UI" w:hAnsi="Segoe UI" w:cs="Segoe UI"/>
        </w:rPr>
        <w:t>ure to match policy to practise. T</w:t>
      </w:r>
      <w:r>
        <w:rPr>
          <w:rFonts w:ascii="Segoe UI" w:hAnsi="Segoe UI" w:cs="Segoe UI"/>
        </w:rPr>
        <w:t>he Supervision Policy states employees, particularly newcomers, will engage in supervision often. However, this could be</w:t>
      </w:r>
      <w:r w:rsidR="003E169E">
        <w:rPr>
          <w:rFonts w:ascii="Segoe UI" w:hAnsi="Segoe UI" w:cs="Segoe UI"/>
        </w:rPr>
        <w:t xml:space="preserve"> justified by</w:t>
      </w:r>
      <w:r>
        <w:rPr>
          <w:rFonts w:ascii="Segoe UI" w:hAnsi="Segoe UI" w:cs="Segoe UI"/>
        </w:rPr>
        <w:t xml:space="preserve"> no-one being employed in this role until January 2018. Although formal supervision had not occurred until February, the writer has engaged in peer supervision </w:t>
      </w:r>
      <w:r w:rsidR="003E169E">
        <w:rPr>
          <w:rFonts w:ascii="Segoe UI" w:hAnsi="Segoe UI" w:cs="Segoe UI"/>
        </w:rPr>
        <w:t>almost</w:t>
      </w:r>
      <w:r>
        <w:rPr>
          <w:rFonts w:ascii="Segoe UI" w:hAnsi="Segoe UI" w:cs="Segoe UI"/>
        </w:rPr>
        <w:t xml:space="preserve"> daily. This peer supervision has allowed the writer to learn more about the role, develop an idea of what to expect, identify areas of </w:t>
      </w:r>
      <w:r>
        <w:rPr>
          <w:rFonts w:ascii="Segoe UI" w:hAnsi="Segoe UI" w:cs="Segoe UI"/>
        </w:rPr>
        <w:lastRenderedPageBreak/>
        <w:t>improvement and gain much needed support throughout the past six months. This peer support has also led to good working relationships being formed and an increase in confidence by the writer, enabling her to better fulfi</w:t>
      </w:r>
      <w:r w:rsidR="003E169E">
        <w:rPr>
          <w:rFonts w:ascii="Segoe UI" w:hAnsi="Segoe UI" w:cs="Segoe UI"/>
        </w:rPr>
        <w:t>l her role in the organisation (enabling NOS outcome YW31, K5, LSIS, 2012).</w:t>
      </w:r>
    </w:p>
    <w:p w:rsidR="00CF26E6" w:rsidRDefault="00CF26E6" w:rsidP="00346FA5">
      <w:pPr>
        <w:rPr>
          <w:rFonts w:ascii="Segoe UI" w:hAnsi="Segoe UI" w:cs="Segoe UI"/>
        </w:rPr>
      </w:pPr>
      <w:r>
        <w:rPr>
          <w:rFonts w:ascii="Segoe UI" w:hAnsi="Segoe UI" w:cs="Segoe UI"/>
        </w:rPr>
        <w:t>In relation to the supervision session which did occur, the writer felt very positive about it. She was able to address concerns, raise issues and discuss additional trainings which would be beneficial to practice. This supervision was both improved and limited by the fact the writer and the supervisor are good friends. Firstly, this pre-existent friendship helped the supervision as trust is already present allowing both parties to be honest with each other and to address areas of concern knowing confidentiality would be maintained. This relationship also provided further reassurance to the writer that issues raised would be tackled due to p</w:t>
      </w:r>
      <w:r w:rsidR="003E169E">
        <w:rPr>
          <w:rFonts w:ascii="Segoe UI" w:hAnsi="Segoe UI" w:cs="Segoe UI"/>
        </w:rPr>
        <w:t xml:space="preserve">rior experience working with this </w:t>
      </w:r>
      <w:r>
        <w:rPr>
          <w:rFonts w:ascii="Segoe UI" w:hAnsi="Segoe UI" w:cs="Segoe UI"/>
        </w:rPr>
        <w:t>individual. However, on the other hand the prior relationship meant it was more challenging to stay on topic and to be open about certain situations. This was mainly on the part of the writer as they did not want to compromis</w:t>
      </w:r>
      <w:r w:rsidR="00B800D1">
        <w:rPr>
          <w:rFonts w:ascii="Segoe UI" w:hAnsi="Segoe UI" w:cs="Segoe UI"/>
        </w:rPr>
        <w:t>e the supervisor through any suggestion of perceived bias</w:t>
      </w:r>
      <w:r>
        <w:rPr>
          <w:rFonts w:ascii="Segoe UI" w:hAnsi="Segoe UI" w:cs="Segoe UI"/>
        </w:rPr>
        <w:t>.</w:t>
      </w:r>
      <w:r w:rsidR="00B800D1">
        <w:rPr>
          <w:rFonts w:ascii="Segoe UI" w:hAnsi="Segoe UI" w:cs="Segoe UI"/>
        </w:rPr>
        <w:t xml:space="preserve"> T</w:t>
      </w:r>
      <w:r>
        <w:rPr>
          <w:rFonts w:ascii="Segoe UI" w:hAnsi="Segoe UI" w:cs="Segoe UI"/>
        </w:rPr>
        <w:t xml:space="preserve">he supervision which occurred was good, efficient and effective by resolving some of the issues raised </w:t>
      </w:r>
      <w:r w:rsidR="00B800D1">
        <w:rPr>
          <w:rFonts w:ascii="Segoe UI" w:hAnsi="Segoe UI" w:cs="Segoe UI"/>
        </w:rPr>
        <w:t xml:space="preserve">leaving </w:t>
      </w:r>
      <w:r>
        <w:rPr>
          <w:rFonts w:ascii="Segoe UI" w:hAnsi="Segoe UI" w:cs="Segoe UI"/>
        </w:rPr>
        <w:t>the writer feeling more confident about their position in the organisation and better equipped to deal with any outstanding issues.</w:t>
      </w:r>
    </w:p>
    <w:p w:rsidR="00CF26E6" w:rsidRDefault="00CF26E6" w:rsidP="00346FA5">
      <w:pPr>
        <w:rPr>
          <w:rFonts w:ascii="Segoe UI" w:hAnsi="Segoe UI" w:cs="Segoe UI"/>
        </w:rPr>
      </w:pPr>
      <w:r>
        <w:rPr>
          <w:rFonts w:ascii="Segoe UI" w:hAnsi="Segoe UI" w:cs="Segoe UI"/>
        </w:rPr>
        <w:t xml:space="preserve">Based on </w:t>
      </w:r>
      <w:r w:rsidR="00B800D1">
        <w:rPr>
          <w:rFonts w:ascii="Segoe UI" w:hAnsi="Segoe UI" w:cs="Segoe UI"/>
        </w:rPr>
        <w:t>this experience of supervision</w:t>
      </w:r>
      <w:r>
        <w:rPr>
          <w:rFonts w:ascii="Segoe UI" w:hAnsi="Segoe UI" w:cs="Segoe UI"/>
        </w:rPr>
        <w:t xml:space="preserve"> it is important to make some </w:t>
      </w:r>
      <w:r w:rsidR="00B800D1">
        <w:rPr>
          <w:rFonts w:ascii="Segoe UI" w:hAnsi="Segoe UI" w:cs="Segoe UI"/>
        </w:rPr>
        <w:t>suggestions</w:t>
      </w:r>
      <w:r>
        <w:rPr>
          <w:rFonts w:ascii="Segoe UI" w:hAnsi="Segoe UI" w:cs="Segoe UI"/>
        </w:rPr>
        <w:t xml:space="preserve"> for the organisation</w:t>
      </w:r>
      <w:r w:rsidR="00B800D1">
        <w:rPr>
          <w:rFonts w:ascii="Segoe UI" w:hAnsi="Segoe UI" w:cs="Segoe UI"/>
        </w:rPr>
        <w:t>, which also ties in with NOS outcome MA3 (LSIS, 2012, p.149)</w:t>
      </w:r>
      <w:r>
        <w:rPr>
          <w:rFonts w:ascii="Segoe UI" w:hAnsi="Segoe UI" w:cs="Segoe UI"/>
        </w:rPr>
        <w:t xml:space="preserve">. These recommendations are important and need considering as “the quality of supervision </w:t>
      </w:r>
      <w:r w:rsidR="00BB7DBB">
        <w:rPr>
          <w:rFonts w:ascii="Segoe UI" w:hAnsi="Segoe UI" w:cs="Segoe UI"/>
        </w:rPr>
        <w:t>has</w:t>
      </w:r>
      <w:r>
        <w:rPr>
          <w:rFonts w:ascii="Segoe UI" w:hAnsi="Segoe UI" w:cs="Segoe UI"/>
        </w:rPr>
        <w:t xml:space="preserve"> a direct bearing on the quality of services and outcomes for users</w:t>
      </w:r>
      <w:r w:rsidR="00B800D1">
        <w:rPr>
          <w:rFonts w:ascii="Segoe UI" w:hAnsi="Segoe UI" w:cs="Segoe UI"/>
        </w:rPr>
        <w:t>” (Morrison, 2001, p.16)</w:t>
      </w:r>
      <w:r>
        <w:rPr>
          <w:rFonts w:ascii="Segoe UI" w:hAnsi="Segoe UI" w:cs="Segoe UI"/>
        </w:rPr>
        <w:t>. The writer will assist</w:t>
      </w:r>
      <w:r w:rsidR="00B800D1">
        <w:rPr>
          <w:rFonts w:ascii="Segoe UI" w:hAnsi="Segoe UI" w:cs="Segoe UI"/>
        </w:rPr>
        <w:t xml:space="preserve"> Threshold-DAS in reviewing its supervision policy by</w:t>
      </w:r>
      <w:r>
        <w:rPr>
          <w:rFonts w:ascii="Segoe UI" w:hAnsi="Segoe UI" w:cs="Segoe UI"/>
        </w:rPr>
        <w:t xml:space="preserve"> providing copies of </w:t>
      </w:r>
      <w:r w:rsidR="00B800D1">
        <w:rPr>
          <w:rFonts w:ascii="Segoe UI" w:hAnsi="Segoe UI" w:cs="Segoe UI"/>
        </w:rPr>
        <w:t>this</w:t>
      </w:r>
      <w:r>
        <w:rPr>
          <w:rFonts w:ascii="Segoe UI" w:hAnsi="Segoe UI" w:cs="Segoe UI"/>
        </w:rPr>
        <w:t xml:space="preserve"> essay to the CEO </w:t>
      </w:r>
      <w:r w:rsidR="00B800D1">
        <w:rPr>
          <w:rFonts w:ascii="Segoe UI" w:hAnsi="Segoe UI" w:cs="Segoe UI"/>
        </w:rPr>
        <w:t>and</w:t>
      </w:r>
      <w:r>
        <w:rPr>
          <w:rFonts w:ascii="Segoe UI" w:hAnsi="Segoe UI" w:cs="Segoe UI"/>
        </w:rPr>
        <w:t xml:space="preserve"> HR and Wellbeing Officer for their consideration</w:t>
      </w:r>
      <w:r w:rsidR="00B800D1">
        <w:rPr>
          <w:rFonts w:ascii="Segoe UI" w:hAnsi="Segoe UI" w:cs="Segoe UI"/>
        </w:rPr>
        <w:t xml:space="preserve"> including the five key recommendations which are as follows:</w:t>
      </w:r>
    </w:p>
    <w:p w:rsidR="00CF26E6" w:rsidRDefault="00CF26E6" w:rsidP="00346FA5">
      <w:pPr>
        <w:rPr>
          <w:rFonts w:ascii="Segoe UI" w:hAnsi="Segoe UI" w:cs="Segoe UI"/>
        </w:rPr>
      </w:pPr>
      <w:r>
        <w:rPr>
          <w:rFonts w:ascii="Segoe UI" w:hAnsi="Segoe UI" w:cs="Segoe UI"/>
        </w:rPr>
        <w:t xml:space="preserve">Firstly, the writer suggests a new supervision record is written for each core role. For </w:t>
      </w:r>
      <w:r w:rsidR="00FA5C88">
        <w:rPr>
          <w:rFonts w:ascii="Segoe UI" w:hAnsi="Segoe UI" w:cs="Segoe UI"/>
        </w:rPr>
        <w:t>example</w:t>
      </w:r>
      <w:r>
        <w:rPr>
          <w:rFonts w:ascii="Segoe UI" w:hAnsi="Segoe UI" w:cs="Segoe UI"/>
        </w:rPr>
        <w:t xml:space="preserve"> one record for</w:t>
      </w:r>
      <w:r w:rsidR="00FA5C88">
        <w:rPr>
          <w:rFonts w:ascii="Segoe UI" w:hAnsi="Segoe UI" w:cs="Segoe UI"/>
        </w:rPr>
        <w:t xml:space="preserve"> those in a “support” position </w:t>
      </w:r>
      <w:r>
        <w:rPr>
          <w:rFonts w:ascii="Segoe UI" w:hAnsi="Segoe UI" w:cs="Segoe UI"/>
        </w:rPr>
        <w:t xml:space="preserve">and another record for administrative or managerial staff such as reception or finance workers. This would allow supervision to be more tailored towards all staff rather than </w:t>
      </w:r>
      <w:r w:rsidR="00FA5C88">
        <w:rPr>
          <w:rFonts w:ascii="Segoe UI" w:hAnsi="Segoe UI" w:cs="Segoe UI"/>
        </w:rPr>
        <w:t>persisting</w:t>
      </w:r>
      <w:r>
        <w:rPr>
          <w:rFonts w:ascii="Segoe UI" w:hAnsi="Segoe UI" w:cs="Segoe UI"/>
        </w:rPr>
        <w:t xml:space="preserve"> with </w:t>
      </w:r>
      <w:r w:rsidR="00FA5C88">
        <w:rPr>
          <w:rFonts w:ascii="Segoe UI" w:hAnsi="Segoe UI" w:cs="Segoe UI"/>
        </w:rPr>
        <w:t>a</w:t>
      </w:r>
      <w:r>
        <w:rPr>
          <w:rFonts w:ascii="Segoe UI" w:hAnsi="Segoe UI" w:cs="Segoe UI"/>
        </w:rPr>
        <w:t xml:space="preserve"> one size fits all approach. This leads onto the second suggestion </w:t>
      </w:r>
      <w:r w:rsidR="00FA5C88">
        <w:rPr>
          <w:rFonts w:ascii="Segoe UI" w:hAnsi="Segoe UI" w:cs="Segoe UI"/>
        </w:rPr>
        <w:t>of</w:t>
      </w:r>
      <w:r>
        <w:rPr>
          <w:rFonts w:ascii="Segoe UI" w:hAnsi="Segoe UI" w:cs="Segoe UI"/>
        </w:rPr>
        <w:t xml:space="preserve"> consistency in supervision. The current documents contradict each other, thus it is important once a new supervision record is written this is updated onto the Supervision Policy to ensure continuity</w:t>
      </w:r>
      <w:r w:rsidR="00FA5C88">
        <w:rPr>
          <w:rFonts w:ascii="Segoe UI" w:hAnsi="Segoe UI" w:cs="Segoe UI"/>
        </w:rPr>
        <w:t>, this</w:t>
      </w:r>
      <w:r>
        <w:rPr>
          <w:rFonts w:ascii="Segoe UI" w:hAnsi="Segoe UI" w:cs="Segoe UI"/>
        </w:rPr>
        <w:t xml:space="preserve"> </w:t>
      </w:r>
      <w:r w:rsidR="00FA5C88">
        <w:rPr>
          <w:rFonts w:ascii="Segoe UI" w:hAnsi="Segoe UI" w:cs="Segoe UI"/>
        </w:rPr>
        <w:t>will also</w:t>
      </w:r>
      <w:r>
        <w:rPr>
          <w:rFonts w:ascii="Segoe UI" w:hAnsi="Segoe UI" w:cs="Segoe UI"/>
        </w:rPr>
        <w:t xml:space="preserve"> decrease confusion by employees.</w:t>
      </w:r>
    </w:p>
    <w:p w:rsidR="00CF26E6" w:rsidRDefault="00CF26E6" w:rsidP="00346FA5">
      <w:pPr>
        <w:rPr>
          <w:rFonts w:ascii="Segoe UI" w:hAnsi="Segoe UI" w:cs="Segoe UI"/>
        </w:rPr>
      </w:pPr>
      <w:r>
        <w:rPr>
          <w:rFonts w:ascii="Segoe UI" w:hAnsi="Segoe UI" w:cs="Segoe UI"/>
        </w:rPr>
        <w:t>This confusion would be further reduced by adding a new section to the Policy clearly stat</w:t>
      </w:r>
      <w:r w:rsidR="00FA5C88">
        <w:rPr>
          <w:rFonts w:ascii="Segoe UI" w:hAnsi="Segoe UI" w:cs="Segoe UI"/>
        </w:rPr>
        <w:t>ing</w:t>
      </w:r>
      <w:r>
        <w:rPr>
          <w:rFonts w:ascii="Segoe UI" w:hAnsi="Segoe UI" w:cs="Segoe UI"/>
        </w:rPr>
        <w:t xml:space="preserve"> what “supervision” </w:t>
      </w:r>
      <w:r w:rsidR="00FA5C88">
        <w:rPr>
          <w:rFonts w:ascii="Segoe UI" w:hAnsi="Segoe UI" w:cs="Segoe UI"/>
        </w:rPr>
        <w:t xml:space="preserve">is including </w:t>
      </w:r>
      <w:r>
        <w:rPr>
          <w:rFonts w:ascii="Segoe UI" w:hAnsi="Segoe UI" w:cs="Segoe UI"/>
        </w:rPr>
        <w:t xml:space="preserve">clear boundaries in terms of what is and is not appropriate for discussion </w:t>
      </w:r>
      <w:r w:rsidR="00FA5C88">
        <w:rPr>
          <w:rFonts w:ascii="Segoe UI" w:hAnsi="Segoe UI" w:cs="Segoe UI"/>
        </w:rPr>
        <w:t>during</w:t>
      </w:r>
      <w:r>
        <w:rPr>
          <w:rFonts w:ascii="Segoe UI" w:hAnsi="Segoe UI" w:cs="Segoe UI"/>
        </w:rPr>
        <w:t xml:space="preserve"> sessions. </w:t>
      </w:r>
      <w:r w:rsidR="00EB159D">
        <w:rPr>
          <w:rFonts w:ascii="Segoe UI" w:hAnsi="Segoe UI" w:cs="Segoe UI"/>
        </w:rPr>
        <w:t xml:space="preserve">These boundaries should enable staff to keep on-task during supervision sessions and enable a professional </w:t>
      </w:r>
      <w:r w:rsidR="00EB159D">
        <w:rPr>
          <w:rFonts w:ascii="Segoe UI" w:hAnsi="Segoe UI" w:cs="Segoe UI"/>
        </w:rPr>
        <w:lastRenderedPageBreak/>
        <w:t>approach to be taken. Fourthly, the Supervision Policy and Individual Record should be reassessed to include more ‘</w:t>
      </w:r>
      <w:r w:rsidR="00FA5C88">
        <w:rPr>
          <w:rFonts w:ascii="Segoe UI" w:hAnsi="Segoe UI" w:cs="Segoe UI"/>
        </w:rPr>
        <w:t>Supportive’ and ‘E</w:t>
      </w:r>
      <w:r w:rsidR="00EB159D">
        <w:rPr>
          <w:rFonts w:ascii="Segoe UI" w:hAnsi="Segoe UI" w:cs="Segoe UI"/>
        </w:rPr>
        <w:t xml:space="preserve">ducative’ components </w:t>
      </w:r>
      <w:r w:rsidR="00FA5C88">
        <w:rPr>
          <w:rFonts w:ascii="Segoe UI" w:hAnsi="Segoe UI" w:cs="Segoe UI"/>
        </w:rPr>
        <w:t>which w</w:t>
      </w:r>
      <w:r w:rsidR="00EB159D">
        <w:rPr>
          <w:rFonts w:ascii="Segoe UI" w:hAnsi="Segoe UI" w:cs="Segoe UI"/>
        </w:rPr>
        <w:t xml:space="preserve">ould increase </w:t>
      </w:r>
      <w:r w:rsidR="00BB7DBB">
        <w:rPr>
          <w:rFonts w:ascii="Segoe UI" w:hAnsi="Segoe UI" w:cs="Segoe UI"/>
        </w:rPr>
        <w:t>employee’s</w:t>
      </w:r>
      <w:r w:rsidR="00EB159D">
        <w:rPr>
          <w:rFonts w:ascii="Segoe UI" w:hAnsi="Segoe UI" w:cs="Segoe UI"/>
        </w:rPr>
        <w:t xml:space="preserve"> satisfaction. Finally, the writer suggests the policy also be adapted to reflect a greater desire to “develop vision” amongst employees.  This could perhaps be achieved by encouraging staff to develop personal/professional development plans (PDP’s). These PDP’s are already mentioned in the current policy however</w:t>
      </w:r>
      <w:r w:rsidR="00FA5C88">
        <w:rPr>
          <w:rFonts w:ascii="Segoe UI" w:hAnsi="Segoe UI" w:cs="Segoe UI"/>
        </w:rPr>
        <w:t>,</w:t>
      </w:r>
      <w:r w:rsidR="00EB159D">
        <w:rPr>
          <w:rFonts w:ascii="Segoe UI" w:hAnsi="Segoe UI" w:cs="Segoe UI"/>
        </w:rPr>
        <w:t xml:space="preserve"> as far as the writer is aware</w:t>
      </w:r>
      <w:r w:rsidR="00FA5C88">
        <w:rPr>
          <w:rFonts w:ascii="Segoe UI" w:hAnsi="Segoe UI" w:cs="Segoe UI"/>
        </w:rPr>
        <w:t>,</w:t>
      </w:r>
      <w:r w:rsidR="00EB159D">
        <w:rPr>
          <w:rFonts w:ascii="Segoe UI" w:hAnsi="Segoe UI" w:cs="Segoe UI"/>
        </w:rPr>
        <w:t xml:space="preserve"> no</w:t>
      </w:r>
      <w:r w:rsidR="00FA5C88">
        <w:rPr>
          <w:rFonts w:ascii="Segoe UI" w:hAnsi="Segoe UI" w:cs="Segoe UI"/>
        </w:rPr>
        <w:t xml:space="preserve"> </w:t>
      </w:r>
      <w:r w:rsidR="00EB159D">
        <w:rPr>
          <w:rFonts w:ascii="Segoe UI" w:hAnsi="Segoe UI" w:cs="Segoe UI"/>
        </w:rPr>
        <w:t xml:space="preserve">employee </w:t>
      </w:r>
      <w:r w:rsidR="00FA5C88">
        <w:rPr>
          <w:rFonts w:ascii="Segoe UI" w:hAnsi="Segoe UI" w:cs="Segoe UI"/>
        </w:rPr>
        <w:t>has one. Thus b</w:t>
      </w:r>
      <w:r w:rsidR="00EB159D">
        <w:rPr>
          <w:rFonts w:ascii="Segoe UI" w:hAnsi="Segoe UI" w:cs="Segoe UI"/>
        </w:rPr>
        <w:t xml:space="preserve">y making </w:t>
      </w:r>
      <w:r w:rsidR="00FA5C88">
        <w:rPr>
          <w:rFonts w:ascii="Segoe UI" w:hAnsi="Segoe UI" w:cs="Segoe UI"/>
        </w:rPr>
        <w:t xml:space="preserve">PDP’s </w:t>
      </w:r>
      <w:r w:rsidR="00EB159D">
        <w:rPr>
          <w:rFonts w:ascii="Segoe UI" w:hAnsi="Segoe UI" w:cs="Segoe UI"/>
        </w:rPr>
        <w:t xml:space="preserve">a more active </w:t>
      </w:r>
      <w:r w:rsidR="00FA5C88">
        <w:rPr>
          <w:rFonts w:ascii="Segoe UI" w:hAnsi="Segoe UI" w:cs="Segoe UI"/>
        </w:rPr>
        <w:t xml:space="preserve">component </w:t>
      </w:r>
      <w:r w:rsidR="00EB159D">
        <w:rPr>
          <w:rFonts w:ascii="Segoe UI" w:hAnsi="Segoe UI" w:cs="Segoe UI"/>
        </w:rPr>
        <w:t xml:space="preserve">of supervision the organisation </w:t>
      </w:r>
      <w:r w:rsidR="00FA5C88">
        <w:rPr>
          <w:rFonts w:ascii="Segoe UI" w:hAnsi="Segoe UI" w:cs="Segoe UI"/>
        </w:rPr>
        <w:t>could</w:t>
      </w:r>
      <w:r w:rsidR="00EB159D">
        <w:rPr>
          <w:rFonts w:ascii="Segoe UI" w:hAnsi="Segoe UI" w:cs="Segoe UI"/>
        </w:rPr>
        <w:t xml:space="preserve"> improve their ability to develop vision </w:t>
      </w:r>
      <w:r w:rsidR="00FA5C88">
        <w:rPr>
          <w:rFonts w:ascii="Segoe UI" w:hAnsi="Segoe UI" w:cs="Segoe UI"/>
        </w:rPr>
        <w:t>thus</w:t>
      </w:r>
      <w:r w:rsidR="00EB159D">
        <w:rPr>
          <w:rFonts w:ascii="Segoe UI" w:hAnsi="Segoe UI" w:cs="Segoe UI"/>
        </w:rPr>
        <w:t xml:space="preserve"> improve their inclusion of </w:t>
      </w:r>
      <w:r w:rsidR="00FA5C88">
        <w:rPr>
          <w:rFonts w:ascii="Segoe UI" w:hAnsi="Segoe UI" w:cs="Segoe UI"/>
        </w:rPr>
        <w:t>the ‘E</w:t>
      </w:r>
      <w:r w:rsidR="00EB159D">
        <w:rPr>
          <w:rFonts w:ascii="Segoe UI" w:hAnsi="Segoe UI" w:cs="Segoe UI"/>
        </w:rPr>
        <w:t xml:space="preserve">ducative’ element </w:t>
      </w:r>
      <w:r w:rsidR="00FA5C88">
        <w:rPr>
          <w:rFonts w:ascii="Segoe UI" w:hAnsi="Segoe UI" w:cs="Segoe UI"/>
        </w:rPr>
        <w:t>simultaneously.</w:t>
      </w:r>
      <w:r w:rsidR="00EB159D">
        <w:rPr>
          <w:rFonts w:ascii="Segoe UI" w:hAnsi="Segoe UI" w:cs="Segoe UI"/>
        </w:rPr>
        <w:t xml:space="preserve"> </w:t>
      </w:r>
    </w:p>
    <w:p w:rsidR="00EB159D" w:rsidRDefault="00EB159D" w:rsidP="00346FA5">
      <w:pPr>
        <w:rPr>
          <w:rFonts w:ascii="Segoe UI" w:hAnsi="Segoe UI" w:cs="Segoe UI"/>
        </w:rPr>
      </w:pPr>
      <w:r>
        <w:rPr>
          <w:rFonts w:ascii="Segoe UI" w:hAnsi="Segoe UI" w:cs="Segoe UI"/>
        </w:rPr>
        <w:t>In conclusion, the writer has clearly presented the Supervision Policy of Threshold-DAS through briefly explaining the policy and the types of supervision present within the policy</w:t>
      </w:r>
      <w:r w:rsidR="00FA5C88">
        <w:rPr>
          <w:rFonts w:ascii="Segoe UI" w:hAnsi="Segoe UI" w:cs="Segoe UI"/>
        </w:rPr>
        <w:t>, demonstrating a favouritism to Administrative</w:t>
      </w:r>
      <w:r>
        <w:rPr>
          <w:rFonts w:ascii="Segoe UI" w:hAnsi="Segoe UI" w:cs="Segoe UI"/>
        </w:rPr>
        <w:t xml:space="preserve">. The writer explored pros and cons of the current policy and suggested recommendations as well as presenting their own experience of supervision in this setting. </w:t>
      </w:r>
      <w:r w:rsidR="00BB7DBB">
        <w:rPr>
          <w:rFonts w:ascii="Segoe UI" w:hAnsi="Segoe UI" w:cs="Segoe UI"/>
        </w:rPr>
        <w:t xml:space="preserve"> Whilst Threshold-DAS is an organisation primarily working with adults, it also does a lot of work with children and young people and this work will increase with the implementation of the new program, Project-Y. Thus the recommendations listed here are not outside of a youth work context. </w:t>
      </w:r>
      <w:r>
        <w:rPr>
          <w:rFonts w:ascii="Segoe UI" w:hAnsi="Segoe UI" w:cs="Segoe UI"/>
        </w:rPr>
        <w:t>Threshold-DAS has illustrated they are committed to supervision however there are several improvements which could happen to strengthen their policies in relation to this area</w:t>
      </w:r>
      <w:r w:rsidR="00FA5C88">
        <w:rPr>
          <w:rFonts w:ascii="Segoe UI" w:hAnsi="Segoe UI" w:cs="Segoe UI"/>
        </w:rPr>
        <w:t>.</w:t>
      </w:r>
      <w:r>
        <w:rPr>
          <w:rFonts w:ascii="Segoe UI" w:hAnsi="Segoe UI" w:cs="Segoe UI"/>
        </w:rPr>
        <w:t xml:space="preserve"> </w:t>
      </w:r>
      <w:r w:rsidR="00FA5C88">
        <w:rPr>
          <w:rFonts w:ascii="Segoe UI" w:hAnsi="Segoe UI" w:cs="Segoe UI"/>
        </w:rPr>
        <w:t>This</w:t>
      </w:r>
      <w:r>
        <w:rPr>
          <w:rFonts w:ascii="Segoe UI" w:hAnsi="Segoe UI" w:cs="Segoe UI"/>
        </w:rPr>
        <w:t xml:space="preserve"> would not only improve the organisation from a business standpoint but it would also assist staff members and ultimately, service-users thus ensuring a better quality of service is provided.</w:t>
      </w:r>
      <w:r w:rsidR="00BB7DBB">
        <w:rPr>
          <w:rFonts w:ascii="Segoe UI" w:hAnsi="Segoe UI" w:cs="Segoe UI"/>
        </w:rPr>
        <w:t xml:space="preserve"> </w:t>
      </w:r>
    </w:p>
    <w:p w:rsidR="00EB4B92" w:rsidRDefault="00EB4B92" w:rsidP="00346FA5">
      <w:pPr>
        <w:rPr>
          <w:rFonts w:ascii="Segoe UI" w:hAnsi="Segoe UI" w:cs="Segoe UI"/>
        </w:rPr>
      </w:pPr>
    </w:p>
    <w:p w:rsidR="00EB4B92" w:rsidRDefault="00EB4B92" w:rsidP="00346FA5">
      <w:pPr>
        <w:rPr>
          <w:rFonts w:ascii="Segoe UI" w:hAnsi="Segoe UI" w:cs="Segoe UI"/>
        </w:rPr>
      </w:pPr>
    </w:p>
    <w:p w:rsidR="00EB4B92" w:rsidRDefault="00EB4B92" w:rsidP="00346FA5">
      <w:pPr>
        <w:rPr>
          <w:rFonts w:ascii="Segoe UI" w:hAnsi="Segoe UI" w:cs="Segoe UI"/>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FA5C88" w:rsidRDefault="00FA5C88" w:rsidP="00346FA5">
      <w:pPr>
        <w:rPr>
          <w:rFonts w:ascii="Segoe UI" w:hAnsi="Segoe UI" w:cs="Segoe UI"/>
          <w:u w:val="single"/>
        </w:rPr>
      </w:pPr>
    </w:p>
    <w:p w:rsidR="00EB4B92" w:rsidRDefault="00EB4B92" w:rsidP="00346FA5">
      <w:pPr>
        <w:rPr>
          <w:rFonts w:ascii="Segoe UI" w:hAnsi="Segoe UI" w:cs="Segoe UI"/>
          <w:u w:val="single"/>
        </w:rPr>
      </w:pPr>
      <w:r>
        <w:rPr>
          <w:rFonts w:ascii="Segoe UI" w:hAnsi="Segoe UI" w:cs="Segoe UI"/>
          <w:u w:val="single"/>
        </w:rPr>
        <w:lastRenderedPageBreak/>
        <w:t xml:space="preserve">References </w:t>
      </w:r>
    </w:p>
    <w:p w:rsidR="002A6C1A" w:rsidRDefault="002A6C1A">
      <w:pPr>
        <w:rPr>
          <w:rFonts w:ascii="Segoe UI" w:hAnsi="Segoe UI" w:cs="Segoe UI"/>
        </w:rPr>
      </w:pPr>
      <w:r>
        <w:rPr>
          <w:rFonts w:ascii="Segoe UI" w:hAnsi="Segoe UI" w:cs="Segoe UI"/>
        </w:rPr>
        <w:t xml:space="preserve">Carifio, M. S., &amp; Hess, A. (1989). Who is the Ideal Supervisor? </w:t>
      </w:r>
      <w:r>
        <w:rPr>
          <w:rFonts w:ascii="Segoe UI" w:hAnsi="Segoe UI" w:cs="Segoe UI"/>
          <w:i/>
        </w:rPr>
        <w:t>Professional Psychology; Research and Practise</w:t>
      </w:r>
      <w:r>
        <w:rPr>
          <w:rFonts w:ascii="Segoe UI" w:hAnsi="Segoe UI" w:cs="Segoe UI"/>
        </w:rPr>
        <w:t xml:space="preserve">. 18 (3), pp 244 – 250. </w:t>
      </w:r>
    </w:p>
    <w:p w:rsidR="002A6C1A" w:rsidRDefault="002A6C1A">
      <w:pPr>
        <w:rPr>
          <w:rFonts w:ascii="Segoe UI" w:hAnsi="Segoe UI" w:cs="Segoe UI"/>
        </w:rPr>
      </w:pPr>
      <w:r>
        <w:rPr>
          <w:rFonts w:ascii="Segoe UI" w:hAnsi="Segoe UI" w:cs="Segoe UI"/>
        </w:rPr>
        <w:t xml:space="preserve">Harrison, R. &amp; Wise, C. (2005). </w:t>
      </w:r>
      <w:r>
        <w:rPr>
          <w:rFonts w:ascii="Segoe UI" w:hAnsi="Segoe UI" w:cs="Segoe UI"/>
          <w:i/>
        </w:rPr>
        <w:t>Working with Young People</w:t>
      </w:r>
      <w:r>
        <w:rPr>
          <w:rFonts w:ascii="Segoe UI" w:hAnsi="Segoe UI" w:cs="Segoe UI"/>
        </w:rPr>
        <w:t xml:space="preserve">. London; Sage Publications. </w:t>
      </w:r>
    </w:p>
    <w:p w:rsidR="002A6C1A" w:rsidRPr="002A6C1A" w:rsidRDefault="002A6C1A">
      <w:pPr>
        <w:rPr>
          <w:rFonts w:ascii="Segoe UI" w:hAnsi="Segoe UI" w:cs="Segoe UI"/>
        </w:rPr>
      </w:pPr>
      <w:r>
        <w:rPr>
          <w:rFonts w:ascii="Segoe UI" w:hAnsi="Segoe UI" w:cs="Segoe UI"/>
        </w:rPr>
        <w:t xml:space="preserve">Hoggarth, L. (2009) </w:t>
      </w:r>
      <w:r>
        <w:rPr>
          <w:rFonts w:ascii="Segoe UI" w:hAnsi="Segoe UI" w:cs="Segoe UI"/>
          <w:i/>
        </w:rPr>
        <w:t xml:space="preserve">Managing in Organisations. </w:t>
      </w:r>
      <w:r>
        <w:rPr>
          <w:rFonts w:ascii="Segoe UI" w:hAnsi="Segoe UI" w:cs="Segoe UI"/>
        </w:rPr>
        <w:t xml:space="preserve">Exeter: Learning Matters, pp. 28 – 40. </w:t>
      </w:r>
    </w:p>
    <w:p w:rsidR="002A6C1A" w:rsidRPr="002A6C1A" w:rsidRDefault="002A6C1A">
      <w:pPr>
        <w:rPr>
          <w:rFonts w:ascii="Segoe UI" w:hAnsi="Segoe UI" w:cs="Segoe UI"/>
        </w:rPr>
      </w:pPr>
      <w:r>
        <w:rPr>
          <w:rFonts w:ascii="Segoe UI" w:hAnsi="Segoe UI" w:cs="Segoe UI"/>
        </w:rPr>
        <w:t xml:space="preserve">Kadushin, A. (1976) </w:t>
      </w:r>
      <w:r>
        <w:rPr>
          <w:rFonts w:ascii="Segoe UI" w:hAnsi="Segoe UI" w:cs="Segoe UI"/>
          <w:i/>
        </w:rPr>
        <w:t xml:space="preserve">Supervision in Social Work. </w:t>
      </w:r>
      <w:r>
        <w:rPr>
          <w:rFonts w:ascii="Segoe UI" w:hAnsi="Segoe UI" w:cs="Segoe UI"/>
        </w:rPr>
        <w:t xml:space="preserve">New York: Columbia University Press. </w:t>
      </w:r>
    </w:p>
    <w:p w:rsidR="002A6C1A" w:rsidRDefault="002A6C1A">
      <w:pPr>
        <w:rPr>
          <w:rFonts w:ascii="Segoe UI" w:hAnsi="Segoe UI" w:cs="Segoe UI"/>
        </w:rPr>
      </w:pPr>
      <w:r>
        <w:rPr>
          <w:rFonts w:ascii="Segoe UI" w:hAnsi="Segoe UI" w:cs="Segoe UI"/>
        </w:rPr>
        <w:t>Kadushin, A., &amp; Harkness, D. (2014). 4</w:t>
      </w:r>
      <w:r w:rsidRPr="002A6C1A">
        <w:rPr>
          <w:rFonts w:ascii="Segoe UI" w:hAnsi="Segoe UI" w:cs="Segoe UI"/>
          <w:vertAlign w:val="superscript"/>
        </w:rPr>
        <w:t>th</w:t>
      </w:r>
      <w:r>
        <w:rPr>
          <w:rFonts w:ascii="Segoe UI" w:hAnsi="Segoe UI" w:cs="Segoe UI"/>
        </w:rPr>
        <w:t xml:space="preserve"> Edition. </w:t>
      </w:r>
      <w:r>
        <w:rPr>
          <w:rFonts w:ascii="Segoe UI" w:hAnsi="Segoe UI" w:cs="Segoe UI"/>
          <w:i/>
        </w:rPr>
        <w:t>Supervision in Social Work</w:t>
      </w:r>
      <w:r>
        <w:rPr>
          <w:rFonts w:ascii="Segoe UI" w:hAnsi="Segoe UI" w:cs="Segoe UI"/>
        </w:rPr>
        <w:t xml:space="preserve">. New York: Columbia University Press. </w:t>
      </w:r>
    </w:p>
    <w:p w:rsidR="002A6C1A" w:rsidRDefault="002A6C1A">
      <w:pPr>
        <w:rPr>
          <w:rFonts w:ascii="Segoe UI" w:hAnsi="Segoe UI" w:cs="Segoe UI"/>
        </w:rPr>
      </w:pPr>
      <w:r>
        <w:rPr>
          <w:rFonts w:ascii="Segoe UI" w:hAnsi="Segoe UI" w:cs="Segoe UI"/>
        </w:rPr>
        <w:t xml:space="preserve">Kuo, C.C, Chang, K., Quinton, S., Lu, CY., &amp; Lee, L. (2015). Gossip in the workplace and the implications for HR management: A study of gossip and its relationship to employee cynicism, </w:t>
      </w:r>
      <w:r>
        <w:rPr>
          <w:rFonts w:ascii="Segoe UI" w:hAnsi="Segoe UI" w:cs="Segoe UI"/>
          <w:i/>
        </w:rPr>
        <w:t>The International Journal of Human Resource Management</w:t>
      </w:r>
      <w:r>
        <w:rPr>
          <w:rFonts w:ascii="Segoe UI" w:hAnsi="Segoe UI" w:cs="Segoe UI"/>
        </w:rPr>
        <w:t>, 26 (18), pp.2288 – 2307.</w:t>
      </w:r>
    </w:p>
    <w:p w:rsidR="002A6C1A" w:rsidRDefault="002A6C1A">
      <w:pPr>
        <w:rPr>
          <w:rFonts w:ascii="Segoe UI" w:hAnsi="Segoe UI" w:cs="Segoe UI"/>
        </w:rPr>
      </w:pPr>
      <w:r>
        <w:rPr>
          <w:rFonts w:ascii="Segoe UI" w:hAnsi="Segoe UI" w:cs="Segoe UI"/>
        </w:rPr>
        <w:t xml:space="preserve">Lewis, A. (2018). Supervision and Support Skills, </w:t>
      </w:r>
      <w:r>
        <w:rPr>
          <w:rFonts w:ascii="Segoe UI" w:hAnsi="Segoe UI" w:cs="Segoe UI"/>
          <w:i/>
        </w:rPr>
        <w:t>Supervision and Support Skills</w:t>
      </w:r>
      <w:r>
        <w:rPr>
          <w:rFonts w:ascii="Segoe UI" w:hAnsi="Segoe UI" w:cs="Segoe UI"/>
        </w:rPr>
        <w:t xml:space="preserve"> (09/02/2018)</w:t>
      </w:r>
    </w:p>
    <w:p w:rsidR="002A6C1A" w:rsidRDefault="002A6C1A">
      <w:pPr>
        <w:rPr>
          <w:rFonts w:ascii="Segoe UI" w:hAnsi="Segoe UI" w:cs="Segoe UI"/>
        </w:rPr>
      </w:pPr>
      <w:r>
        <w:rPr>
          <w:rFonts w:ascii="Segoe UI" w:hAnsi="Segoe UI" w:cs="Segoe UI"/>
        </w:rPr>
        <w:t xml:space="preserve">McNamara, Y., Lawley, M., &amp; Towler, J. (2007). Supervision in the context of Youth and Community Work Training. </w:t>
      </w:r>
      <w:r>
        <w:rPr>
          <w:rFonts w:ascii="Segoe UI" w:hAnsi="Segoe UI" w:cs="Segoe UI"/>
          <w:i/>
        </w:rPr>
        <w:t xml:space="preserve">Youth and Policy, </w:t>
      </w:r>
      <w:r>
        <w:rPr>
          <w:rFonts w:ascii="Segoe UI" w:hAnsi="Segoe UI" w:cs="Segoe UI"/>
        </w:rPr>
        <w:t>97, pp. 73 – 90.</w:t>
      </w:r>
    </w:p>
    <w:p w:rsidR="002A6C1A" w:rsidRDefault="002A6C1A">
      <w:pPr>
        <w:rPr>
          <w:rFonts w:ascii="Segoe UI" w:hAnsi="Segoe UI" w:cs="Segoe UI"/>
        </w:rPr>
      </w:pPr>
      <w:r>
        <w:rPr>
          <w:rFonts w:ascii="Segoe UI" w:hAnsi="Segoe UI" w:cs="Segoe UI"/>
        </w:rPr>
        <w:t xml:space="preserve">Morrison, T. (2001). </w:t>
      </w:r>
      <w:r>
        <w:rPr>
          <w:rFonts w:ascii="Segoe UI" w:hAnsi="Segoe UI" w:cs="Segoe UI"/>
          <w:i/>
        </w:rPr>
        <w:t xml:space="preserve">Staff Supervision in Social Care. </w:t>
      </w:r>
      <w:r>
        <w:rPr>
          <w:rFonts w:ascii="Segoe UI" w:hAnsi="Segoe UI" w:cs="Segoe UI"/>
        </w:rPr>
        <w:t>Brighton: Pavilion Publishing.</w:t>
      </w:r>
    </w:p>
    <w:p w:rsidR="002A6C1A" w:rsidRDefault="002A6C1A">
      <w:pPr>
        <w:rPr>
          <w:rFonts w:ascii="Segoe UI" w:hAnsi="Segoe UI" w:cs="Segoe UI"/>
        </w:rPr>
      </w:pPr>
      <w:r w:rsidRPr="002A6C1A">
        <w:rPr>
          <w:rFonts w:ascii="Segoe UI" w:hAnsi="Segoe UI" w:cs="Segoe UI"/>
        </w:rPr>
        <w:t xml:space="preserve">National Occupational Standards for Youth Work (2012) </w:t>
      </w:r>
      <w:r w:rsidRPr="002A6C1A">
        <w:rPr>
          <w:rFonts w:ascii="Segoe UI" w:hAnsi="Segoe UI" w:cs="Segoe UI"/>
          <w:i/>
        </w:rPr>
        <w:t xml:space="preserve">Learning and Skills Improvement Service. </w:t>
      </w:r>
      <w:r w:rsidRPr="002A6C1A">
        <w:rPr>
          <w:rFonts w:ascii="Segoe UI" w:hAnsi="Segoe UI" w:cs="Segoe UI"/>
        </w:rPr>
        <w:t>Coventry, LSIS.</w:t>
      </w:r>
    </w:p>
    <w:p w:rsidR="002A6C1A" w:rsidRDefault="002A6C1A">
      <w:pPr>
        <w:rPr>
          <w:rFonts w:ascii="Segoe UI" w:hAnsi="Segoe UI" w:cs="Segoe UI"/>
        </w:rPr>
      </w:pPr>
      <w:r>
        <w:rPr>
          <w:rFonts w:ascii="Segoe UI" w:hAnsi="Segoe UI" w:cs="Segoe UI"/>
        </w:rPr>
        <w:t xml:space="preserve">Neill, G. (2014). Implementing Effective Support and Supervision in the Youth Work Setting, pp. 1 -28. </w:t>
      </w:r>
    </w:p>
    <w:p w:rsidR="002A6C1A" w:rsidRDefault="002A6C1A">
      <w:pPr>
        <w:rPr>
          <w:rFonts w:ascii="Segoe UI" w:hAnsi="Segoe UI" w:cs="Segoe UI"/>
        </w:rPr>
      </w:pPr>
      <w:r>
        <w:rPr>
          <w:rFonts w:ascii="Segoe UI" w:hAnsi="Segoe UI" w:cs="Segoe UI"/>
        </w:rPr>
        <w:t xml:space="preserve">Peninsula. (2018). </w:t>
      </w:r>
      <w:r>
        <w:rPr>
          <w:rFonts w:ascii="Segoe UI" w:hAnsi="Segoe UI" w:cs="Segoe UI"/>
          <w:i/>
        </w:rPr>
        <w:t>How Often Should I Be Checking My Policies and Procedures</w:t>
      </w:r>
      <w:r w:rsidR="004836F1">
        <w:rPr>
          <w:rFonts w:ascii="Segoe UI" w:hAnsi="Segoe UI" w:cs="Segoe UI"/>
          <w:i/>
        </w:rPr>
        <w:t>?</w:t>
      </w:r>
      <w:r>
        <w:rPr>
          <w:rFonts w:ascii="Segoe UI" w:hAnsi="Segoe UI" w:cs="Segoe UI"/>
          <w:i/>
        </w:rPr>
        <w:t xml:space="preserve"> </w:t>
      </w:r>
      <w:r w:rsidRPr="00C23BF4">
        <w:rPr>
          <w:rFonts w:ascii="Segoe UI" w:hAnsi="Segoe UI" w:cs="Segoe UI"/>
        </w:rPr>
        <w:t>https://www.peninsulagrouplimited.com/blog/how-often-should-i-be-checking-my-policies-and-procedures</w:t>
      </w:r>
      <w:r>
        <w:rPr>
          <w:rFonts w:ascii="Segoe UI" w:hAnsi="Segoe UI" w:cs="Segoe UI"/>
        </w:rPr>
        <w:t>. (Accessed: March 12</w:t>
      </w:r>
      <w:r w:rsidRPr="00C23BF4">
        <w:rPr>
          <w:rFonts w:ascii="Segoe UI" w:hAnsi="Segoe UI" w:cs="Segoe UI"/>
          <w:vertAlign w:val="superscript"/>
        </w:rPr>
        <w:t>th</w:t>
      </w:r>
      <w:r>
        <w:rPr>
          <w:rFonts w:ascii="Segoe UI" w:hAnsi="Segoe UI" w:cs="Segoe UI"/>
        </w:rPr>
        <w:t>, 2018).</w:t>
      </w:r>
    </w:p>
    <w:p w:rsidR="002A6C1A" w:rsidRDefault="002A6C1A">
      <w:pPr>
        <w:rPr>
          <w:rFonts w:ascii="Segoe UI" w:hAnsi="Segoe UI" w:cs="Segoe UI"/>
        </w:rPr>
      </w:pPr>
      <w:r>
        <w:rPr>
          <w:rFonts w:ascii="Segoe UI" w:hAnsi="Segoe UI" w:cs="Segoe UI"/>
        </w:rPr>
        <w:t xml:space="preserve">Tomlinson, K. (2018). </w:t>
      </w:r>
      <w:r w:rsidRPr="00114A0A">
        <w:rPr>
          <w:rFonts w:ascii="Segoe UI" w:hAnsi="Segoe UI" w:cs="Segoe UI"/>
          <w:i/>
        </w:rPr>
        <w:t>Threshold-DAS Impact Report</w:t>
      </w:r>
      <w:r>
        <w:rPr>
          <w:rFonts w:ascii="Segoe UI" w:hAnsi="Segoe UI" w:cs="Segoe UI"/>
        </w:rPr>
        <w:t xml:space="preserve">. Llanelli, Threshold Domestic Abuse Services. </w:t>
      </w:r>
    </w:p>
    <w:p w:rsidR="002A6C1A" w:rsidRDefault="002A6C1A">
      <w:pPr>
        <w:rPr>
          <w:rFonts w:ascii="Segoe UI" w:hAnsi="Segoe UI" w:cs="Segoe UI"/>
        </w:rPr>
      </w:pPr>
      <w:r>
        <w:rPr>
          <w:rFonts w:ascii="Segoe UI" w:hAnsi="Segoe UI" w:cs="Segoe UI"/>
        </w:rPr>
        <w:t xml:space="preserve">Woods, J. (2001) Using Supervision for Professional Development in </w:t>
      </w:r>
      <w:r>
        <w:rPr>
          <w:rFonts w:ascii="Segoe UI" w:hAnsi="Segoe UI" w:cs="Segoe UI"/>
          <w:i/>
        </w:rPr>
        <w:t>Principles and Practice of Informal Education</w:t>
      </w:r>
      <w:r>
        <w:rPr>
          <w:rFonts w:ascii="Segoe UI" w:hAnsi="Segoe UI" w:cs="Segoe UI"/>
        </w:rPr>
        <w:t xml:space="preserve">. Routledge-Falmer. </w:t>
      </w:r>
    </w:p>
    <w:p w:rsidR="002A6C1A" w:rsidRPr="002A6C1A" w:rsidRDefault="002A6C1A">
      <w:pPr>
        <w:rPr>
          <w:rFonts w:ascii="Segoe UI" w:hAnsi="Segoe UI" w:cs="Segoe UI"/>
        </w:rPr>
      </w:pPr>
    </w:p>
    <w:p w:rsidR="002A6C1A" w:rsidRPr="00114A0A" w:rsidRDefault="002A6C1A">
      <w:pPr>
        <w:rPr>
          <w:rFonts w:ascii="Segoe UI" w:hAnsi="Segoe UI" w:cs="Segoe UI"/>
        </w:rPr>
      </w:pPr>
    </w:p>
    <w:p w:rsidR="002A6C1A" w:rsidRDefault="002A6C1A" w:rsidP="00346FA5">
      <w:pPr>
        <w:rPr>
          <w:rFonts w:ascii="Segoe UI" w:hAnsi="Segoe UI" w:cs="Segoe UI"/>
          <w:u w:val="single"/>
        </w:rPr>
      </w:pPr>
    </w:p>
    <w:p w:rsidR="00EB4B92" w:rsidRDefault="00EB4B92" w:rsidP="00346FA5">
      <w:pPr>
        <w:rPr>
          <w:rFonts w:ascii="Segoe UI" w:hAnsi="Segoe UI" w:cs="Segoe UI"/>
          <w:u w:val="single"/>
        </w:rPr>
      </w:pPr>
      <w:r>
        <w:rPr>
          <w:rFonts w:ascii="Segoe UI" w:hAnsi="Segoe UI" w:cs="Segoe UI"/>
          <w:u w:val="single"/>
        </w:rPr>
        <w:lastRenderedPageBreak/>
        <w:t>Appendices</w:t>
      </w:r>
    </w:p>
    <w:p w:rsidR="00EB4B92" w:rsidRDefault="00EB4B92" w:rsidP="00346FA5">
      <w:pPr>
        <w:rPr>
          <w:rFonts w:ascii="Segoe UI" w:hAnsi="Segoe UI" w:cs="Segoe UI"/>
          <w:b/>
        </w:rPr>
      </w:pPr>
      <w:r>
        <w:rPr>
          <w:rFonts w:ascii="Segoe UI" w:hAnsi="Segoe UI" w:cs="Segoe UI"/>
          <w:b/>
        </w:rPr>
        <w:t>Appendix One – Supervision Policy for Threshold-DAS</w:t>
      </w:r>
    </w:p>
    <w:p w:rsidR="002A6C1A" w:rsidRDefault="00D75E9D">
      <w:pPr>
        <w:rPr>
          <w:rFonts w:ascii="Segoe UI" w:hAnsi="Segoe UI" w:cs="Segoe UI"/>
          <w:b/>
        </w:rPr>
      </w:pPr>
      <w:r>
        <w:rPr>
          <w:rFonts w:ascii="Segoe UI" w:hAnsi="Segoe UI" w:cs="Segoe UI"/>
        </w:rPr>
        <w:t>See the PDF files sent separately</w:t>
      </w:r>
      <w:bookmarkStart w:id="0" w:name="_GoBack"/>
      <w:bookmarkEnd w:id="0"/>
      <w:r>
        <w:rPr>
          <w:rFonts w:ascii="Segoe UI" w:hAnsi="Segoe UI" w:cs="Segoe UI"/>
        </w:rPr>
        <w:t xml:space="preserve">. </w:t>
      </w:r>
      <w:r w:rsidR="002A6C1A">
        <w:rPr>
          <w:rFonts w:ascii="Segoe UI" w:hAnsi="Segoe UI" w:cs="Segoe UI"/>
          <w:b/>
        </w:rPr>
        <w:br w:type="page"/>
      </w:r>
    </w:p>
    <w:p w:rsidR="00EB4B92" w:rsidRDefault="0044783C" w:rsidP="00346FA5">
      <w:pPr>
        <w:rPr>
          <w:rFonts w:ascii="Segoe UI" w:hAnsi="Segoe UI" w:cs="Segoe UI"/>
          <w:b/>
        </w:rPr>
      </w:pPr>
      <w:r>
        <w:rPr>
          <w:noProof/>
          <w:lang w:eastAsia="en-GB"/>
        </w:rPr>
        <w:lastRenderedPageBreak/>
        <w:drawing>
          <wp:anchor distT="0" distB="0" distL="114300" distR="114300" simplePos="0" relativeHeight="251659264" behindDoc="0" locked="0" layoutInCell="1" allowOverlap="1" wp14:anchorId="0A303123" wp14:editId="75D9B1A0">
            <wp:simplePos x="0" y="0"/>
            <wp:positionH relativeFrom="page">
              <wp:align>left</wp:align>
            </wp:positionH>
            <wp:positionV relativeFrom="paragraph">
              <wp:posOffset>302111</wp:posOffset>
            </wp:positionV>
            <wp:extent cx="7438583" cy="825109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4503" t="26904" r="23267" b="9412"/>
                    <a:stretch/>
                  </pic:blipFill>
                  <pic:spPr bwMode="auto">
                    <a:xfrm>
                      <a:off x="0" y="0"/>
                      <a:ext cx="7438583" cy="8251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4B92">
        <w:rPr>
          <w:rFonts w:ascii="Segoe UI" w:hAnsi="Segoe UI" w:cs="Segoe UI"/>
          <w:b/>
        </w:rPr>
        <w:t xml:space="preserve">Appendix 2 – Individual Record </w:t>
      </w:r>
    </w:p>
    <w:p w:rsidR="002A6C1A" w:rsidRPr="00EB4B92" w:rsidRDefault="002A6C1A" w:rsidP="00346FA5">
      <w:pPr>
        <w:rPr>
          <w:rFonts w:ascii="Segoe UI" w:hAnsi="Segoe UI" w:cs="Segoe UI"/>
        </w:rPr>
      </w:pPr>
    </w:p>
    <w:sectPr w:rsidR="002A6C1A" w:rsidRPr="00EB4B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4B92" w:rsidRDefault="00EB4B92" w:rsidP="00EB4B92">
      <w:pPr>
        <w:spacing w:after="0" w:line="240" w:lineRule="auto"/>
      </w:pPr>
      <w:r>
        <w:separator/>
      </w:r>
    </w:p>
  </w:endnote>
  <w:endnote w:type="continuationSeparator" w:id="0">
    <w:p w:rsidR="00EB4B92" w:rsidRDefault="00EB4B92" w:rsidP="00EB4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4B92" w:rsidRDefault="00EB4B92" w:rsidP="00EB4B92">
      <w:pPr>
        <w:spacing w:after="0" w:line="240" w:lineRule="auto"/>
      </w:pPr>
      <w:r>
        <w:separator/>
      </w:r>
    </w:p>
  </w:footnote>
  <w:footnote w:type="continuationSeparator" w:id="0">
    <w:p w:rsidR="00EB4B92" w:rsidRDefault="00EB4B92" w:rsidP="00EB4B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BF6"/>
    <w:rsid w:val="00114A0A"/>
    <w:rsid w:val="00155973"/>
    <w:rsid w:val="0020214F"/>
    <w:rsid w:val="002A6C1A"/>
    <w:rsid w:val="00346FA5"/>
    <w:rsid w:val="003C5074"/>
    <w:rsid w:val="003E169E"/>
    <w:rsid w:val="00410437"/>
    <w:rsid w:val="0041355B"/>
    <w:rsid w:val="00430C4F"/>
    <w:rsid w:val="0044783C"/>
    <w:rsid w:val="004511E3"/>
    <w:rsid w:val="004836F1"/>
    <w:rsid w:val="004F61F3"/>
    <w:rsid w:val="005B25E7"/>
    <w:rsid w:val="0063511C"/>
    <w:rsid w:val="007F21CE"/>
    <w:rsid w:val="00821FF7"/>
    <w:rsid w:val="009B6B85"/>
    <w:rsid w:val="00A01C73"/>
    <w:rsid w:val="00A71843"/>
    <w:rsid w:val="00A80A46"/>
    <w:rsid w:val="00AD39F2"/>
    <w:rsid w:val="00B66E22"/>
    <w:rsid w:val="00B800D1"/>
    <w:rsid w:val="00BB7DBB"/>
    <w:rsid w:val="00BD7901"/>
    <w:rsid w:val="00C23BF4"/>
    <w:rsid w:val="00C35664"/>
    <w:rsid w:val="00C50BF6"/>
    <w:rsid w:val="00CF26E6"/>
    <w:rsid w:val="00D62955"/>
    <w:rsid w:val="00D75E9D"/>
    <w:rsid w:val="00E74C39"/>
    <w:rsid w:val="00EB159D"/>
    <w:rsid w:val="00EB4B92"/>
    <w:rsid w:val="00FA5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DDB5E6-3D62-43B2-8037-CD80948B7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4B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B92"/>
    <w:rPr>
      <w:rFonts w:ascii="Segoe UI" w:hAnsi="Segoe UI" w:cs="Segoe UI"/>
      <w:sz w:val="18"/>
      <w:szCs w:val="18"/>
    </w:rPr>
  </w:style>
  <w:style w:type="character" w:styleId="Hyperlink">
    <w:name w:val="Hyperlink"/>
    <w:basedOn w:val="DefaultParagraphFont"/>
    <w:uiPriority w:val="99"/>
    <w:unhideWhenUsed/>
    <w:rsid w:val="00C23B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5166092">
      <w:bodyDiv w:val="1"/>
      <w:marLeft w:val="0"/>
      <w:marRight w:val="0"/>
      <w:marTop w:val="0"/>
      <w:marBottom w:val="0"/>
      <w:divBdr>
        <w:top w:val="none" w:sz="0" w:space="0" w:color="auto"/>
        <w:left w:val="none" w:sz="0" w:space="0" w:color="auto"/>
        <w:bottom w:val="none" w:sz="0" w:space="0" w:color="auto"/>
        <w:right w:val="none" w:sz="0" w:space="0" w:color="auto"/>
      </w:divBdr>
    </w:div>
    <w:div w:id="681274697">
      <w:bodyDiv w:val="1"/>
      <w:marLeft w:val="0"/>
      <w:marRight w:val="0"/>
      <w:marTop w:val="0"/>
      <w:marBottom w:val="0"/>
      <w:divBdr>
        <w:top w:val="none" w:sz="0" w:space="0" w:color="auto"/>
        <w:left w:val="none" w:sz="0" w:space="0" w:color="auto"/>
        <w:bottom w:val="none" w:sz="0" w:space="0" w:color="auto"/>
        <w:right w:val="none" w:sz="0" w:space="0" w:color="auto"/>
      </w:divBdr>
    </w:div>
    <w:div w:id="827982405">
      <w:bodyDiv w:val="1"/>
      <w:marLeft w:val="0"/>
      <w:marRight w:val="0"/>
      <w:marTop w:val="0"/>
      <w:marBottom w:val="0"/>
      <w:divBdr>
        <w:top w:val="none" w:sz="0" w:space="0" w:color="auto"/>
        <w:left w:val="none" w:sz="0" w:space="0" w:color="auto"/>
        <w:bottom w:val="none" w:sz="0" w:space="0" w:color="auto"/>
        <w:right w:val="none" w:sz="0" w:space="0" w:color="auto"/>
      </w:divBdr>
    </w:div>
    <w:div w:id="1337609933">
      <w:bodyDiv w:val="1"/>
      <w:marLeft w:val="0"/>
      <w:marRight w:val="0"/>
      <w:marTop w:val="0"/>
      <w:marBottom w:val="0"/>
      <w:divBdr>
        <w:top w:val="none" w:sz="0" w:space="0" w:color="auto"/>
        <w:left w:val="none" w:sz="0" w:space="0" w:color="auto"/>
        <w:bottom w:val="none" w:sz="0" w:space="0" w:color="auto"/>
        <w:right w:val="none" w:sz="0" w:space="0" w:color="auto"/>
      </w:divBdr>
    </w:div>
    <w:div w:id="1580168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10</Pages>
  <Words>3294</Words>
  <Characters>18782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Kelly-Leanne Tomlinson</dc:creator>
  <cp:keywords/>
  <dc:description/>
  <cp:lastModifiedBy>Kelly-Leanne Tomlinson</cp:lastModifiedBy>
  <cp:revision>13</cp:revision>
  <cp:lastPrinted>2018-03-12T20:13:00Z</cp:lastPrinted>
  <dcterms:created xsi:type="dcterms:W3CDTF">2018-03-07T17:09:00Z</dcterms:created>
  <dcterms:modified xsi:type="dcterms:W3CDTF">2018-03-30T08:15:00Z</dcterms:modified>
</cp:coreProperties>
</file>