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C5813B" w14:textId="55A01D35" w:rsidR="000F39E4" w:rsidRPr="00EF5AE0" w:rsidRDefault="000F39E4" w:rsidP="000F39E4">
      <w:pPr>
        <w:rPr>
          <w:b/>
          <w:bCs/>
          <w:color w:val="595959" w:themeColor="text1" w:themeTint="A6"/>
        </w:rPr>
      </w:pPr>
      <w:r w:rsidRPr="00EF5AE0">
        <w:rPr>
          <w:b/>
          <w:bCs/>
          <w:color w:val="595959" w:themeColor="text1" w:themeTint="A6"/>
        </w:rPr>
        <w:drawing>
          <wp:inline distT="0" distB="0" distL="0" distR="0" wp14:anchorId="51023EEB" wp14:editId="5E34AA04">
            <wp:extent cx="1813560" cy="899160"/>
            <wp:effectExtent l="0" t="0" r="0" b="0"/>
            <wp:docPr id="21045074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13560" cy="899160"/>
                    </a:xfrm>
                    <a:prstGeom prst="rect">
                      <a:avLst/>
                    </a:prstGeom>
                    <a:noFill/>
                    <a:ln>
                      <a:noFill/>
                    </a:ln>
                  </pic:spPr>
                </pic:pic>
              </a:graphicData>
            </a:graphic>
          </wp:inline>
        </w:drawing>
      </w:r>
    </w:p>
    <w:p w14:paraId="5EE1DC2D" w14:textId="77777777" w:rsidR="00EF5AE0" w:rsidRDefault="00EF5AE0" w:rsidP="000F39E4">
      <w:pPr>
        <w:rPr>
          <w:b/>
          <w:bCs/>
          <w:color w:val="595959" w:themeColor="text1" w:themeTint="A6"/>
        </w:rPr>
      </w:pPr>
    </w:p>
    <w:p w14:paraId="3E588208" w14:textId="77777777" w:rsidR="00EF5AE0" w:rsidRDefault="00EF5AE0" w:rsidP="000F39E4">
      <w:pPr>
        <w:rPr>
          <w:b/>
          <w:bCs/>
          <w:color w:val="595959" w:themeColor="text1" w:themeTint="A6"/>
        </w:rPr>
      </w:pPr>
    </w:p>
    <w:p w14:paraId="4B846197" w14:textId="77777777" w:rsidR="00EF5AE0" w:rsidRDefault="00EF5AE0" w:rsidP="000F39E4">
      <w:pPr>
        <w:rPr>
          <w:b/>
          <w:bCs/>
          <w:color w:val="595959" w:themeColor="text1" w:themeTint="A6"/>
        </w:rPr>
      </w:pPr>
    </w:p>
    <w:p w14:paraId="1ECE2F32" w14:textId="77777777" w:rsidR="00EF5AE0" w:rsidRDefault="00EF5AE0" w:rsidP="000F39E4">
      <w:pPr>
        <w:rPr>
          <w:b/>
          <w:bCs/>
          <w:color w:val="595959" w:themeColor="text1" w:themeTint="A6"/>
        </w:rPr>
      </w:pPr>
    </w:p>
    <w:p w14:paraId="6B28EFCF" w14:textId="77777777" w:rsidR="00EF5AE0" w:rsidRDefault="00EF5AE0" w:rsidP="000F39E4">
      <w:pPr>
        <w:rPr>
          <w:b/>
          <w:bCs/>
          <w:color w:val="595959" w:themeColor="text1" w:themeTint="A6"/>
        </w:rPr>
      </w:pPr>
    </w:p>
    <w:p w14:paraId="2A8691C2" w14:textId="77777777" w:rsidR="00EF5AE0" w:rsidRDefault="00EF5AE0" w:rsidP="000F39E4">
      <w:pPr>
        <w:rPr>
          <w:b/>
          <w:bCs/>
          <w:color w:val="595959" w:themeColor="text1" w:themeTint="A6"/>
        </w:rPr>
      </w:pPr>
    </w:p>
    <w:p w14:paraId="25FB86DB" w14:textId="1C84B7A9" w:rsidR="000F39E4" w:rsidRPr="00EF5AE0" w:rsidRDefault="000F39E4" w:rsidP="000F39E4">
      <w:pPr>
        <w:rPr>
          <w:b/>
          <w:bCs/>
          <w:color w:val="595959" w:themeColor="text1" w:themeTint="A6"/>
        </w:rPr>
      </w:pPr>
      <w:r w:rsidRPr="00EF5AE0">
        <w:rPr>
          <w:b/>
          <w:bCs/>
          <w:color w:val="595959" w:themeColor="text1" w:themeTint="A6"/>
        </w:rPr>
        <w:t xml:space="preserve">Module name: Principles of Health and Social Care Practice  </w:t>
      </w:r>
    </w:p>
    <w:p w14:paraId="3D7151E8" w14:textId="77777777" w:rsidR="000F39E4" w:rsidRPr="00EF5AE0" w:rsidRDefault="000F39E4" w:rsidP="000F39E4">
      <w:pPr>
        <w:rPr>
          <w:b/>
          <w:bCs/>
          <w:color w:val="595959" w:themeColor="text1" w:themeTint="A6"/>
        </w:rPr>
      </w:pPr>
      <w:r w:rsidRPr="00EF5AE0">
        <w:rPr>
          <w:b/>
          <w:bCs/>
          <w:color w:val="595959" w:themeColor="text1" w:themeTint="A6"/>
        </w:rPr>
        <w:t>Module code: (BMHP5016)</w:t>
      </w:r>
    </w:p>
    <w:p w14:paraId="3F5FFCA9" w14:textId="0D9D2A4A" w:rsidR="000F39E4" w:rsidRPr="00EF5AE0" w:rsidRDefault="000F39E4" w:rsidP="000F39E4">
      <w:pPr>
        <w:rPr>
          <w:b/>
          <w:bCs/>
          <w:color w:val="595959" w:themeColor="text1" w:themeTint="A6"/>
        </w:rPr>
      </w:pPr>
      <w:r w:rsidRPr="00EF5AE0">
        <w:rPr>
          <w:b/>
          <w:bCs/>
          <w:color w:val="595959" w:themeColor="text1" w:themeTint="A6"/>
        </w:rPr>
        <w:t>Student name: Dia</w:t>
      </w:r>
      <w:r w:rsidR="00EF5AE0">
        <w:rPr>
          <w:b/>
          <w:bCs/>
          <w:color w:val="595959" w:themeColor="text1" w:themeTint="A6"/>
        </w:rPr>
        <w:t>na</w:t>
      </w:r>
      <w:r w:rsidRPr="00EF5AE0">
        <w:rPr>
          <w:b/>
          <w:bCs/>
          <w:color w:val="595959" w:themeColor="text1" w:themeTint="A6"/>
        </w:rPr>
        <w:t xml:space="preserve"> Asare Adu</w:t>
      </w:r>
    </w:p>
    <w:p w14:paraId="606CAEE4" w14:textId="77777777" w:rsidR="000F39E4" w:rsidRPr="00EF5AE0" w:rsidRDefault="000F39E4" w:rsidP="000F39E4">
      <w:pPr>
        <w:rPr>
          <w:b/>
          <w:bCs/>
          <w:color w:val="595959" w:themeColor="text1" w:themeTint="A6"/>
        </w:rPr>
      </w:pPr>
      <w:r w:rsidRPr="00EF5AE0">
        <w:rPr>
          <w:b/>
          <w:bCs/>
          <w:color w:val="595959" w:themeColor="text1" w:themeTint="A6"/>
        </w:rPr>
        <w:t>Student ID:2427141</w:t>
      </w:r>
    </w:p>
    <w:p w14:paraId="447E5651" w14:textId="5CB8F54A" w:rsidR="00EF5AE0" w:rsidRDefault="000F39E4" w:rsidP="000F39E4">
      <w:pPr>
        <w:rPr>
          <w:b/>
          <w:bCs/>
          <w:color w:val="595959" w:themeColor="text1" w:themeTint="A6"/>
        </w:rPr>
      </w:pPr>
      <w:r w:rsidRPr="00EF5AE0">
        <w:rPr>
          <w:b/>
          <w:bCs/>
          <w:color w:val="595959" w:themeColor="text1" w:themeTint="A6"/>
        </w:rPr>
        <w:t>Lecturer Name: Lou Wells</w:t>
      </w:r>
    </w:p>
    <w:p w14:paraId="3EA6FB63" w14:textId="77777777" w:rsidR="00EF5AE0" w:rsidRDefault="00EF5AE0">
      <w:pPr>
        <w:rPr>
          <w:b/>
          <w:bCs/>
          <w:color w:val="595959" w:themeColor="text1" w:themeTint="A6"/>
        </w:rPr>
      </w:pPr>
      <w:r>
        <w:rPr>
          <w:b/>
          <w:bCs/>
          <w:color w:val="595959" w:themeColor="text1" w:themeTint="A6"/>
        </w:rPr>
        <w:br w:type="page"/>
      </w:r>
    </w:p>
    <w:sdt>
      <w:sdtPr>
        <w:id w:val="-1836453669"/>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5629408B" w14:textId="134B428E" w:rsidR="00EF5AE0" w:rsidRDefault="00EF5AE0">
          <w:pPr>
            <w:pStyle w:val="TOCHeading"/>
          </w:pPr>
          <w:r>
            <w:t>Table of Contents</w:t>
          </w:r>
        </w:p>
        <w:p w14:paraId="243CFC15" w14:textId="52DB8B29" w:rsidR="00EF5AE0" w:rsidRDefault="00EF5AE0">
          <w:pPr>
            <w:pStyle w:val="TOC1"/>
            <w:tabs>
              <w:tab w:val="right" w:leader="dot" w:pos="9016"/>
            </w:tabs>
            <w:rPr>
              <w:noProof/>
            </w:rPr>
          </w:pPr>
          <w:r>
            <w:fldChar w:fldCharType="begin"/>
          </w:r>
          <w:r>
            <w:instrText xml:space="preserve"> TOC \o "1-3" \h \z \u </w:instrText>
          </w:r>
          <w:r>
            <w:fldChar w:fldCharType="separate"/>
          </w:r>
          <w:hyperlink w:anchor="_Toc236044473" w:history="1">
            <w:r w:rsidRPr="008B44C3">
              <w:rPr>
                <w:rStyle w:val="Hyperlink"/>
                <w:noProof/>
              </w:rPr>
              <w:t>Introduction</w:t>
            </w:r>
            <w:r>
              <w:rPr>
                <w:noProof/>
                <w:webHidden/>
              </w:rPr>
              <w:tab/>
            </w:r>
            <w:r>
              <w:rPr>
                <w:noProof/>
                <w:webHidden/>
              </w:rPr>
              <w:fldChar w:fldCharType="begin"/>
            </w:r>
            <w:r>
              <w:rPr>
                <w:noProof/>
                <w:webHidden/>
              </w:rPr>
              <w:instrText xml:space="preserve"> PAGEREF _Toc236044473 \h </w:instrText>
            </w:r>
            <w:r>
              <w:rPr>
                <w:noProof/>
                <w:webHidden/>
              </w:rPr>
            </w:r>
            <w:r>
              <w:rPr>
                <w:noProof/>
                <w:webHidden/>
              </w:rPr>
              <w:fldChar w:fldCharType="separate"/>
            </w:r>
            <w:r>
              <w:rPr>
                <w:noProof/>
                <w:webHidden/>
              </w:rPr>
              <w:t>3</w:t>
            </w:r>
            <w:r>
              <w:rPr>
                <w:noProof/>
                <w:webHidden/>
              </w:rPr>
              <w:fldChar w:fldCharType="end"/>
            </w:r>
          </w:hyperlink>
        </w:p>
        <w:p w14:paraId="529F6B66" w14:textId="1D82D2CC" w:rsidR="00EF5AE0" w:rsidRDefault="00EF5AE0">
          <w:pPr>
            <w:pStyle w:val="TOC2"/>
            <w:tabs>
              <w:tab w:val="right" w:leader="dot" w:pos="9016"/>
            </w:tabs>
            <w:rPr>
              <w:noProof/>
            </w:rPr>
          </w:pPr>
          <w:hyperlink w:anchor="_Toc236044474" w:history="1">
            <w:r w:rsidRPr="008B44C3">
              <w:rPr>
                <w:rStyle w:val="Hyperlink"/>
                <w:noProof/>
              </w:rPr>
              <w:t>Task 1: Reflection on the Importance of Principles of Health and Social Care Practice</w:t>
            </w:r>
            <w:r>
              <w:rPr>
                <w:noProof/>
                <w:webHidden/>
              </w:rPr>
              <w:tab/>
            </w:r>
            <w:r>
              <w:rPr>
                <w:noProof/>
                <w:webHidden/>
              </w:rPr>
              <w:fldChar w:fldCharType="begin"/>
            </w:r>
            <w:r>
              <w:rPr>
                <w:noProof/>
                <w:webHidden/>
              </w:rPr>
              <w:instrText xml:space="preserve"> PAGEREF _Toc236044474 \h </w:instrText>
            </w:r>
            <w:r>
              <w:rPr>
                <w:noProof/>
                <w:webHidden/>
              </w:rPr>
            </w:r>
            <w:r>
              <w:rPr>
                <w:noProof/>
                <w:webHidden/>
              </w:rPr>
              <w:fldChar w:fldCharType="separate"/>
            </w:r>
            <w:r>
              <w:rPr>
                <w:noProof/>
                <w:webHidden/>
              </w:rPr>
              <w:t>3</w:t>
            </w:r>
            <w:r>
              <w:rPr>
                <w:noProof/>
                <w:webHidden/>
              </w:rPr>
              <w:fldChar w:fldCharType="end"/>
            </w:r>
          </w:hyperlink>
        </w:p>
        <w:p w14:paraId="48E8039E" w14:textId="562D6FE7" w:rsidR="00EF5AE0" w:rsidRDefault="00EF5AE0">
          <w:pPr>
            <w:pStyle w:val="TOC2"/>
            <w:tabs>
              <w:tab w:val="right" w:leader="dot" w:pos="9016"/>
            </w:tabs>
            <w:rPr>
              <w:noProof/>
            </w:rPr>
          </w:pPr>
          <w:hyperlink w:anchor="_Toc236044475" w:history="1">
            <w:r w:rsidRPr="008B44C3">
              <w:rPr>
                <w:rStyle w:val="Hyperlink"/>
                <w:noProof/>
              </w:rPr>
              <w:t>Task 2: Practical Examples of Concepts in Practice</w:t>
            </w:r>
            <w:r>
              <w:rPr>
                <w:noProof/>
                <w:webHidden/>
              </w:rPr>
              <w:tab/>
            </w:r>
            <w:r>
              <w:rPr>
                <w:noProof/>
                <w:webHidden/>
              </w:rPr>
              <w:fldChar w:fldCharType="begin"/>
            </w:r>
            <w:r>
              <w:rPr>
                <w:noProof/>
                <w:webHidden/>
              </w:rPr>
              <w:instrText xml:space="preserve"> PAGEREF _Toc236044475 \h </w:instrText>
            </w:r>
            <w:r>
              <w:rPr>
                <w:noProof/>
                <w:webHidden/>
              </w:rPr>
            </w:r>
            <w:r>
              <w:rPr>
                <w:noProof/>
                <w:webHidden/>
              </w:rPr>
              <w:fldChar w:fldCharType="separate"/>
            </w:r>
            <w:r>
              <w:rPr>
                <w:noProof/>
                <w:webHidden/>
              </w:rPr>
              <w:t>4</w:t>
            </w:r>
            <w:r>
              <w:rPr>
                <w:noProof/>
                <w:webHidden/>
              </w:rPr>
              <w:fldChar w:fldCharType="end"/>
            </w:r>
          </w:hyperlink>
        </w:p>
        <w:p w14:paraId="07DF9CE4" w14:textId="0E7D3176" w:rsidR="00EF5AE0" w:rsidRDefault="00EF5AE0">
          <w:pPr>
            <w:pStyle w:val="TOC2"/>
            <w:tabs>
              <w:tab w:val="right" w:leader="dot" w:pos="9016"/>
            </w:tabs>
            <w:rPr>
              <w:noProof/>
            </w:rPr>
          </w:pPr>
          <w:hyperlink w:anchor="_Toc236044476" w:history="1">
            <w:r w:rsidRPr="008B44C3">
              <w:rPr>
                <w:rStyle w:val="Hyperlink"/>
                <w:noProof/>
              </w:rPr>
              <w:t>Task 3: Model Reflective Report: Self-Reflection as a Health and Social Care professional</w:t>
            </w:r>
            <w:r>
              <w:rPr>
                <w:noProof/>
                <w:webHidden/>
              </w:rPr>
              <w:tab/>
            </w:r>
            <w:r>
              <w:rPr>
                <w:noProof/>
                <w:webHidden/>
              </w:rPr>
              <w:fldChar w:fldCharType="begin"/>
            </w:r>
            <w:r>
              <w:rPr>
                <w:noProof/>
                <w:webHidden/>
              </w:rPr>
              <w:instrText xml:space="preserve"> PAGEREF _Toc236044476 \h </w:instrText>
            </w:r>
            <w:r>
              <w:rPr>
                <w:noProof/>
                <w:webHidden/>
              </w:rPr>
            </w:r>
            <w:r>
              <w:rPr>
                <w:noProof/>
                <w:webHidden/>
              </w:rPr>
              <w:fldChar w:fldCharType="separate"/>
            </w:r>
            <w:r>
              <w:rPr>
                <w:noProof/>
                <w:webHidden/>
              </w:rPr>
              <w:t>5</w:t>
            </w:r>
            <w:r>
              <w:rPr>
                <w:noProof/>
                <w:webHidden/>
              </w:rPr>
              <w:fldChar w:fldCharType="end"/>
            </w:r>
          </w:hyperlink>
        </w:p>
        <w:p w14:paraId="28929E29" w14:textId="5302E1D5" w:rsidR="00EF5AE0" w:rsidRDefault="00EF5AE0">
          <w:pPr>
            <w:pStyle w:val="TOC1"/>
            <w:tabs>
              <w:tab w:val="right" w:leader="dot" w:pos="9016"/>
            </w:tabs>
            <w:rPr>
              <w:noProof/>
            </w:rPr>
          </w:pPr>
          <w:hyperlink w:anchor="_Toc236044477" w:history="1">
            <w:r w:rsidRPr="008B44C3">
              <w:rPr>
                <w:rStyle w:val="Hyperlink"/>
                <w:noProof/>
              </w:rPr>
              <w:t>Conclusion</w:t>
            </w:r>
            <w:r>
              <w:rPr>
                <w:noProof/>
                <w:webHidden/>
              </w:rPr>
              <w:tab/>
            </w:r>
            <w:r>
              <w:rPr>
                <w:noProof/>
                <w:webHidden/>
              </w:rPr>
              <w:fldChar w:fldCharType="begin"/>
            </w:r>
            <w:r>
              <w:rPr>
                <w:noProof/>
                <w:webHidden/>
              </w:rPr>
              <w:instrText xml:space="preserve"> PAGEREF _Toc236044477 \h </w:instrText>
            </w:r>
            <w:r>
              <w:rPr>
                <w:noProof/>
                <w:webHidden/>
              </w:rPr>
            </w:r>
            <w:r>
              <w:rPr>
                <w:noProof/>
                <w:webHidden/>
              </w:rPr>
              <w:fldChar w:fldCharType="separate"/>
            </w:r>
            <w:r>
              <w:rPr>
                <w:noProof/>
                <w:webHidden/>
              </w:rPr>
              <w:t>8</w:t>
            </w:r>
            <w:r>
              <w:rPr>
                <w:noProof/>
                <w:webHidden/>
              </w:rPr>
              <w:fldChar w:fldCharType="end"/>
            </w:r>
          </w:hyperlink>
        </w:p>
        <w:p w14:paraId="1BCA61BD" w14:textId="4BA5F3A3" w:rsidR="00EF5AE0" w:rsidRDefault="00EF5AE0">
          <w:pPr>
            <w:pStyle w:val="TOC1"/>
            <w:tabs>
              <w:tab w:val="right" w:leader="dot" w:pos="9016"/>
            </w:tabs>
            <w:rPr>
              <w:noProof/>
            </w:rPr>
          </w:pPr>
          <w:hyperlink w:anchor="_Toc236044478" w:history="1">
            <w:r w:rsidRPr="008B44C3">
              <w:rPr>
                <w:rStyle w:val="Hyperlink"/>
                <w:noProof/>
              </w:rPr>
              <w:t>References</w:t>
            </w:r>
            <w:r>
              <w:rPr>
                <w:noProof/>
                <w:webHidden/>
              </w:rPr>
              <w:tab/>
            </w:r>
            <w:r>
              <w:rPr>
                <w:noProof/>
                <w:webHidden/>
              </w:rPr>
              <w:fldChar w:fldCharType="begin"/>
            </w:r>
            <w:r>
              <w:rPr>
                <w:noProof/>
                <w:webHidden/>
              </w:rPr>
              <w:instrText xml:space="preserve"> PAGEREF _Toc236044478 \h </w:instrText>
            </w:r>
            <w:r>
              <w:rPr>
                <w:noProof/>
                <w:webHidden/>
              </w:rPr>
            </w:r>
            <w:r>
              <w:rPr>
                <w:noProof/>
                <w:webHidden/>
              </w:rPr>
              <w:fldChar w:fldCharType="separate"/>
            </w:r>
            <w:r>
              <w:rPr>
                <w:noProof/>
                <w:webHidden/>
              </w:rPr>
              <w:t>8</w:t>
            </w:r>
            <w:r>
              <w:rPr>
                <w:noProof/>
                <w:webHidden/>
              </w:rPr>
              <w:fldChar w:fldCharType="end"/>
            </w:r>
          </w:hyperlink>
        </w:p>
        <w:p w14:paraId="079E0292" w14:textId="3E145724" w:rsidR="00EF5AE0" w:rsidRDefault="00EF5AE0">
          <w:r>
            <w:rPr>
              <w:b/>
              <w:bCs/>
            </w:rPr>
            <w:fldChar w:fldCharType="end"/>
          </w:r>
        </w:p>
      </w:sdtContent>
    </w:sdt>
    <w:p w14:paraId="07798A3D" w14:textId="0D37E660" w:rsidR="00EF5AE0" w:rsidRDefault="00EF5AE0" w:rsidP="000F39E4">
      <w:pPr>
        <w:rPr>
          <w:b/>
          <w:bCs/>
          <w:color w:val="595959" w:themeColor="text1" w:themeTint="A6"/>
        </w:rPr>
      </w:pPr>
    </w:p>
    <w:p w14:paraId="348D9C56" w14:textId="77777777" w:rsidR="00EF5AE0" w:rsidRDefault="00EF5AE0">
      <w:pPr>
        <w:rPr>
          <w:b/>
          <w:bCs/>
          <w:color w:val="595959" w:themeColor="text1" w:themeTint="A6"/>
        </w:rPr>
      </w:pPr>
      <w:r>
        <w:rPr>
          <w:b/>
          <w:bCs/>
          <w:color w:val="595959" w:themeColor="text1" w:themeTint="A6"/>
        </w:rPr>
        <w:br w:type="page"/>
      </w:r>
    </w:p>
    <w:p w14:paraId="5E547DCA" w14:textId="5B892CFC" w:rsidR="000F39E4" w:rsidRPr="00EF5AE0" w:rsidRDefault="00EF5AE0" w:rsidP="00EF5AE0">
      <w:pPr>
        <w:pStyle w:val="Heading1"/>
      </w:pPr>
      <w:bookmarkStart w:id="0" w:name="_Toc236044473"/>
      <w:r w:rsidRPr="00EF5AE0">
        <w:t>Introduction</w:t>
      </w:r>
      <w:bookmarkEnd w:id="0"/>
    </w:p>
    <w:p w14:paraId="6A6A93C2" w14:textId="77777777" w:rsidR="000F39E4" w:rsidRPr="00EF5AE0" w:rsidRDefault="000F39E4" w:rsidP="00EF5AE0">
      <w:pPr>
        <w:pStyle w:val="Heading2"/>
      </w:pPr>
      <w:bookmarkStart w:id="1" w:name="_Toc236044474"/>
      <w:r w:rsidRPr="00EF5AE0">
        <w:t>Task 1: Reflection on the Importance of Principles of Health and Social Care Practice</w:t>
      </w:r>
      <w:bookmarkEnd w:id="1"/>
    </w:p>
    <w:p w14:paraId="15B37077" w14:textId="77777777" w:rsidR="000F39E4" w:rsidRPr="00EF5AE0" w:rsidRDefault="000F39E4" w:rsidP="000F39E4">
      <w:pPr>
        <w:rPr>
          <w:color w:val="595959" w:themeColor="text1" w:themeTint="A6"/>
        </w:rPr>
      </w:pPr>
      <w:r w:rsidRPr="00EF5AE0">
        <w:rPr>
          <w:color w:val="595959" w:themeColor="text1" w:themeTint="A6"/>
        </w:rPr>
        <w:t xml:space="preserve">By encouraging person-cantered approaches, collaboration, and respect for individual needs, the principles of health and social care offer a basis for providing safe, efficient, and moral services. In contrast to traditional service-led models, person-centred care acknowledges people as active participants in decisions regarding their health and well-being (Health Foundation, 2016). </w:t>
      </w:r>
    </w:p>
    <w:p w14:paraId="1FEE49CB" w14:textId="77777777" w:rsidR="000F39E4" w:rsidRPr="00EF5AE0" w:rsidRDefault="000F39E4" w:rsidP="000F39E4">
      <w:pPr>
        <w:rPr>
          <w:color w:val="595959" w:themeColor="text1" w:themeTint="A6"/>
        </w:rPr>
      </w:pPr>
      <w:r w:rsidRPr="00EF5AE0">
        <w:rPr>
          <w:color w:val="595959" w:themeColor="text1" w:themeTint="A6"/>
        </w:rPr>
        <w:t>Person-cantered care is a fundamental principle in health and social care practice because it canters the provision of care around the choices, values, dignity, and rights of the individual. According to the Health Foundation (2016), person-cantered care involves developing respectful relationships, understanding each person's particular circumstances, and ensuring that care is focused on the individual's priorities rather than just clinical issues.</w:t>
      </w:r>
    </w:p>
    <w:p w14:paraId="1391ABF1" w14:textId="77777777" w:rsidR="000F39E4" w:rsidRPr="00EF5AE0" w:rsidRDefault="000F39E4" w:rsidP="000F39E4">
      <w:pPr>
        <w:rPr>
          <w:color w:val="595959" w:themeColor="text1" w:themeTint="A6"/>
        </w:rPr>
      </w:pPr>
      <w:r w:rsidRPr="00EF5AE0">
        <w:rPr>
          <w:color w:val="595959" w:themeColor="text1" w:themeTint="A6"/>
        </w:rPr>
        <w:t xml:space="preserve"> This tactic is supported by Carl Rogers' humanistic theory, which highlights empathy, respect, and acceptance as essential components of supportive relationships (Rogers, 1961). In health and social care settings, person-cantered approaches result in improved experiences, increased autonomy, and increased involvement in care planning. Examples of how this philosophy is implemented include individualized treatment plans, informed consent processes, and respect for individual, societal, and cultural differences. </w:t>
      </w:r>
    </w:p>
    <w:p w14:paraId="567E030F" w14:textId="77777777" w:rsidR="000F39E4" w:rsidRPr="00EF5AE0" w:rsidRDefault="000F39E4" w:rsidP="000F39E4">
      <w:pPr>
        <w:rPr>
          <w:color w:val="595959" w:themeColor="text1" w:themeTint="A6"/>
        </w:rPr>
      </w:pPr>
      <w:r w:rsidRPr="00EF5AE0">
        <w:rPr>
          <w:color w:val="595959" w:themeColor="text1" w:themeTint="A6"/>
        </w:rPr>
        <w:t>Partnership cooperation is another essential concept that promotes positive health and social care outcomes. In collaborative practice, professionals, patients, families, and outside organizations must work together to accomplish shared goals. The National Health Service (NHS) promotes integrated working to reduce fragmented services and improve continuity of care (NHS England, 2023).</w:t>
      </w:r>
    </w:p>
    <w:p w14:paraId="2587C417" w14:textId="77777777" w:rsidR="00EF5AE0" w:rsidRPr="00EF5AE0" w:rsidRDefault="000F39E4" w:rsidP="000F39E4">
      <w:pPr>
        <w:rPr>
          <w:color w:val="595959" w:themeColor="text1" w:themeTint="A6"/>
        </w:rPr>
      </w:pPr>
      <w:r w:rsidRPr="00EF5AE0">
        <w:rPr>
          <w:color w:val="595959" w:themeColor="text1" w:themeTint="A6"/>
        </w:rPr>
        <w:t xml:space="preserve"> The basis of partnership functioning is the idea of interprofessional collaboration, which maintains that effective communication, shared responsibilities, and respect among professionals enhance the quality and safety of services (Reeves et al., 2017).</w:t>
      </w:r>
    </w:p>
    <w:p w14:paraId="7DEB474E" w14:textId="461B6F40" w:rsidR="00EF5AE0" w:rsidRPr="00EF5AE0" w:rsidRDefault="000F39E4" w:rsidP="000F39E4">
      <w:pPr>
        <w:rPr>
          <w:color w:val="595959" w:themeColor="text1" w:themeTint="A6"/>
        </w:rPr>
      </w:pPr>
      <w:r w:rsidRPr="00EF5AE0">
        <w:rPr>
          <w:color w:val="595959" w:themeColor="text1" w:themeTint="A6"/>
        </w:rPr>
        <w:t xml:space="preserve"> Coordinated interventions and a deeper comprehension of individual needs are made possible by collaboration between nurses, social workers, healthcare assistants, and other specialists. Adherence to ethical principles is also necessary to maintain health and social care quality standards. As part of ethical practice, professionals must consider autonomy, confidentiality, equality, and safety when making decisions.</w:t>
      </w:r>
    </w:p>
    <w:p w14:paraId="129B5E63" w14:textId="6D80B6A2" w:rsidR="00EF5AE0" w:rsidRPr="00EF5AE0" w:rsidRDefault="000F39E4" w:rsidP="000F39E4">
      <w:pPr>
        <w:rPr>
          <w:color w:val="595959" w:themeColor="text1" w:themeTint="A6"/>
        </w:rPr>
      </w:pPr>
      <w:r w:rsidRPr="00EF5AE0">
        <w:rPr>
          <w:color w:val="595959" w:themeColor="text1" w:themeTint="A6"/>
        </w:rPr>
        <w:t xml:space="preserve"> Tom Beauchamp and James Childress identify autonomy, beneficence, non-maleficence, and justice as the four core ideas of biological ethics (Beauchamp and Childress, 2019). These recommendations assist professionals in balancing their personal preferences with their responsibilities to protect health and welfare. For example, respecting autonomy requires that individuals take part in decisions about their care, even though protective obligations ensure protection from harm.</w:t>
      </w:r>
    </w:p>
    <w:p w14:paraId="3B482D5E" w14:textId="2B91C766" w:rsidR="000F39E4" w:rsidRPr="00EF5AE0" w:rsidRDefault="000F39E4" w:rsidP="000F39E4">
      <w:pPr>
        <w:rPr>
          <w:color w:val="595959" w:themeColor="text1" w:themeTint="A6"/>
        </w:rPr>
      </w:pPr>
      <w:r w:rsidRPr="00EF5AE0">
        <w:rPr>
          <w:color w:val="595959" w:themeColor="text1" w:themeTint="A6"/>
        </w:rPr>
        <w:t xml:space="preserve"> Through the application and evaluation of laws, policies, and professional guidelines, these values are maintained throughout the health and social care systems in the United Kingdom. Laws like the Care Act of 2014 and professional standards established by regulatory bodies offer frameworks for promoting equity, dignity, and person-cantered practice. By assessing the quality of care through audits, reviews, and feedback, organizations can identify areas for improvement and ensure that services remain responsive and efficient.</w:t>
      </w:r>
    </w:p>
    <w:p w14:paraId="307067AB" w14:textId="41EC915F" w:rsidR="00EF5AE0" w:rsidRPr="00EF5AE0" w:rsidRDefault="000F39E4" w:rsidP="000F39E4">
      <w:pPr>
        <w:rPr>
          <w:color w:val="595959" w:themeColor="text1" w:themeTint="A6"/>
        </w:rPr>
      </w:pPr>
      <w:r w:rsidRPr="00EF5AE0">
        <w:rPr>
          <w:color w:val="595959" w:themeColor="text1" w:themeTint="A6"/>
        </w:rPr>
        <w:t>High-quality health and social care are generally supported by the interconnected ideas of ethical practice, partnership working, and person-cantered care. Through theoretical understanding and practical application, these ideas foster polite interactions, effective teamwork, and responsible decision-making, ultimately improving outcomes for individuals using health and social care services in the UK.</w:t>
      </w:r>
    </w:p>
    <w:p w14:paraId="28ADC524" w14:textId="1FC77552" w:rsidR="000F39E4" w:rsidRPr="00EF5AE0" w:rsidRDefault="000F39E4" w:rsidP="00EF5AE0">
      <w:pPr>
        <w:pStyle w:val="Heading2"/>
      </w:pPr>
      <w:bookmarkStart w:id="2" w:name="_Toc236044475"/>
      <w:r w:rsidRPr="00EF5AE0">
        <w:t>Task 2: Practical Examples of Concepts in Practice</w:t>
      </w:r>
      <w:bookmarkEnd w:id="2"/>
      <w:r w:rsidRPr="00EF5AE0">
        <w:t xml:space="preserve"> </w:t>
      </w:r>
    </w:p>
    <w:p w14:paraId="2D70B1B9" w14:textId="77558422" w:rsidR="000F39E4" w:rsidRPr="00EF5AE0" w:rsidRDefault="000F39E4" w:rsidP="000F39E4">
      <w:pPr>
        <w:rPr>
          <w:color w:val="595959" w:themeColor="text1" w:themeTint="A6"/>
        </w:rPr>
      </w:pPr>
      <w:r w:rsidRPr="00EF5AE0">
        <w:rPr>
          <w:color w:val="595959" w:themeColor="text1" w:themeTint="A6"/>
        </w:rPr>
        <w:t>The care of an elderly person with dementia in a UK residential care facility provides a real-world illustration of person-cantered care, partnership working, and ethical practice. Health and social care providers must provide dementia care that respects personal preferences, encourages independence, and upholds the person's dignity while guaranteeing their safety</w:t>
      </w:r>
      <w:r w:rsidR="00EF5AE0" w:rsidRPr="00EF5AE0">
        <w:rPr>
          <w:color w:val="595959" w:themeColor="text1" w:themeTint="A6"/>
        </w:rPr>
        <w:t>.</w:t>
      </w:r>
    </w:p>
    <w:p w14:paraId="575ED029" w14:textId="388F950A" w:rsidR="000F39E4" w:rsidRPr="00EF5AE0" w:rsidRDefault="000F39E4" w:rsidP="000F39E4">
      <w:pPr>
        <w:rPr>
          <w:color w:val="595959" w:themeColor="text1" w:themeTint="A6"/>
        </w:rPr>
      </w:pPr>
      <w:r w:rsidRPr="00EF5AE0">
        <w:rPr>
          <w:color w:val="595959" w:themeColor="text1" w:themeTint="A6"/>
        </w:rPr>
        <w:t xml:space="preserve"> Professionals can provide high-quality care that addresses social, emotional, and physical needs by putting these principles into practice.</w:t>
      </w:r>
    </w:p>
    <w:p w14:paraId="0D5FA17B" w14:textId="721F66D8" w:rsidR="000F39E4" w:rsidRPr="00EF5AE0" w:rsidRDefault="000F39E4" w:rsidP="000F39E4">
      <w:pPr>
        <w:rPr>
          <w:color w:val="595959" w:themeColor="text1" w:themeTint="A6"/>
        </w:rPr>
      </w:pPr>
      <w:r w:rsidRPr="00EF5AE0">
        <w:rPr>
          <w:color w:val="595959" w:themeColor="text1" w:themeTint="A6"/>
        </w:rPr>
        <w:t xml:space="preserve"> An example of person-centred care is developing a customized treatment plan based on the patient's medical requirements, preferences, cultural background, and life experiences</w:t>
      </w:r>
    </w:p>
    <w:p w14:paraId="4B3E9223" w14:textId="39B971FE" w:rsidR="000F39E4" w:rsidRPr="00EF5AE0" w:rsidRDefault="000F39E4" w:rsidP="000F39E4">
      <w:pPr>
        <w:rPr>
          <w:color w:val="595959" w:themeColor="text1" w:themeTint="A6"/>
        </w:rPr>
      </w:pPr>
      <w:r w:rsidRPr="00EF5AE0">
        <w:rPr>
          <w:color w:val="595959" w:themeColor="text1" w:themeTint="A6"/>
        </w:rPr>
        <w:t xml:space="preserve"> If possible, people with dementia should actively participate in decisions about their care, according to National Institute for Health and Care Excellence (NICE) Guideline NG97. Family and caregivers should be included when appropriate (NICE, 2018). For example, a patient who used to enjoy gardening might be encouraged to participate in gardening activities as part of daily care.</w:t>
      </w:r>
    </w:p>
    <w:p w14:paraId="5679D8E0" w14:textId="1A56EB20" w:rsidR="000F39E4" w:rsidRPr="00EF5AE0" w:rsidRDefault="000F39E4" w:rsidP="000F39E4">
      <w:pPr>
        <w:rPr>
          <w:color w:val="595959" w:themeColor="text1" w:themeTint="A6"/>
        </w:rPr>
      </w:pPr>
      <w:r w:rsidRPr="00EF5AE0">
        <w:rPr>
          <w:color w:val="595959" w:themeColor="text1" w:themeTint="A6"/>
        </w:rPr>
        <w:t xml:space="preserve"> The Care Act of 2014 encourages integrated collaboration between health and social care organizations to improve outcomes and promote individual wellbeing. At frequent multidisciplinary team meetings, professionals can assess care plans, discuss changing needs, and plan next steps. This collaborative approach reduces service duplication, improves communication, and fosters continuity of care.</w:t>
      </w:r>
    </w:p>
    <w:p w14:paraId="495B7DEF" w14:textId="77777777" w:rsidR="00EF5AE0" w:rsidRPr="00EF5AE0" w:rsidRDefault="000F39E4" w:rsidP="000F39E4">
      <w:pPr>
        <w:rPr>
          <w:color w:val="595959" w:themeColor="text1" w:themeTint="A6"/>
        </w:rPr>
      </w:pPr>
      <w:r w:rsidRPr="00EF5AE0">
        <w:rPr>
          <w:color w:val="595959" w:themeColor="text1" w:themeTint="A6"/>
        </w:rPr>
        <w:t xml:space="preserve"> When giving care, ethical behaviour is crucial because individuals with dementia may not be able to make certain decisions. The Mental Ability Act of 2005 requires experts to decide what is best for a person who lacks ability. Additionally, it provides a legal framework for assessing the ability to make decisions. Ethical principles like autonomy, beneficence, non-maleficence, and fairness are important throughout the decision-making process (Beauchamp and Childress, 2019). </w:t>
      </w:r>
    </w:p>
    <w:p w14:paraId="1B81E610" w14:textId="2AFF8BC0" w:rsidR="000F39E4" w:rsidRPr="00EF5AE0" w:rsidRDefault="000F39E4" w:rsidP="000F39E4">
      <w:pPr>
        <w:rPr>
          <w:color w:val="595959" w:themeColor="text1" w:themeTint="A6"/>
        </w:rPr>
      </w:pPr>
      <w:r w:rsidRPr="00EF5AE0">
        <w:rPr>
          <w:color w:val="595959" w:themeColor="text1" w:themeTint="A6"/>
        </w:rPr>
        <w:t>Clinicians should, for example, ascertain the reasons for a resident's medication rejection, provide relevant information, and assess mental competence before passing judgment. This process balances respect for people's autonomy with the need to protect their health and safety</w:t>
      </w:r>
      <w:r w:rsidR="00EF5AE0" w:rsidRPr="00EF5AE0">
        <w:rPr>
          <w:color w:val="595959" w:themeColor="text1" w:themeTint="A6"/>
        </w:rPr>
        <w:t>.</w:t>
      </w:r>
    </w:p>
    <w:p w14:paraId="6329C985" w14:textId="77777777" w:rsidR="00EF5AE0" w:rsidRPr="00EF5AE0" w:rsidRDefault="000F39E4" w:rsidP="000F39E4">
      <w:pPr>
        <w:rPr>
          <w:color w:val="595959" w:themeColor="text1" w:themeTint="A6"/>
        </w:rPr>
      </w:pPr>
      <w:r w:rsidRPr="00EF5AE0">
        <w:rPr>
          <w:color w:val="595959" w:themeColor="text1" w:themeTint="A6"/>
        </w:rPr>
        <w:t xml:space="preserve"> Current UK policies and professional recommendations further support these ideas. The NHS Long Term Plan encourages individuals to actively manage their health, while the Health and Care Act 2022 support integrated care systems that improve cooperation between healthcare providers and local authorities (Department of Health and Social Care, 2022). </w:t>
      </w:r>
    </w:p>
    <w:p w14:paraId="6163C1BC" w14:textId="7597FF4B" w:rsidR="000F39E4" w:rsidRPr="00EF5AE0" w:rsidRDefault="000F39E4" w:rsidP="000F39E4">
      <w:pPr>
        <w:rPr>
          <w:color w:val="595959" w:themeColor="text1" w:themeTint="A6"/>
        </w:rPr>
      </w:pPr>
      <w:r w:rsidRPr="00EF5AE0">
        <w:rPr>
          <w:color w:val="595959" w:themeColor="text1" w:themeTint="A6"/>
        </w:rPr>
        <w:t>To ensure that health and social care services are well-run, safe, effective, compassionate, and responsive, the Care Quality Commission (CQC) also monitors these services.</w:t>
      </w:r>
    </w:p>
    <w:p w14:paraId="4255058A" w14:textId="77777777" w:rsidR="00EF5AE0" w:rsidRPr="00EF5AE0" w:rsidRDefault="000F39E4" w:rsidP="000F39E4">
      <w:pPr>
        <w:rPr>
          <w:color w:val="595959" w:themeColor="text1" w:themeTint="A6"/>
        </w:rPr>
      </w:pPr>
      <w:r w:rsidRPr="00EF5AE0">
        <w:rPr>
          <w:color w:val="595959" w:themeColor="text1" w:themeTint="A6"/>
        </w:rPr>
        <w:t xml:space="preserve">Despite these advancements, several issues still exist in practice, such as a lack of employees, rising service demand, a lack of funding, and obstacles to interorganizational communication. These difficulties could shorten the amount of time available for individualized care and postpone planned interventions. </w:t>
      </w:r>
    </w:p>
    <w:p w14:paraId="1A70A67A" w14:textId="6EFB861D" w:rsidR="00EF5AE0" w:rsidRPr="00EF5AE0" w:rsidRDefault="000F39E4" w:rsidP="000F39E4">
      <w:pPr>
        <w:rPr>
          <w:color w:val="595959" w:themeColor="text1" w:themeTint="A6"/>
        </w:rPr>
      </w:pPr>
      <w:r w:rsidRPr="00EF5AE0">
        <w:rPr>
          <w:color w:val="595959" w:themeColor="text1" w:themeTint="A6"/>
        </w:rPr>
        <w:t>The consistent application of person-centred care and moral decision-making may be strengthened by increased funding for workforce training, better digital information exchange, and more robust interdisciplinary cooperation.</w:t>
      </w:r>
    </w:p>
    <w:p w14:paraId="45C0D3D1" w14:textId="77777777" w:rsidR="00EF5AE0" w:rsidRPr="00EF5AE0" w:rsidRDefault="000F39E4" w:rsidP="000F39E4">
      <w:pPr>
        <w:rPr>
          <w:color w:val="595959" w:themeColor="text1" w:themeTint="A6"/>
        </w:rPr>
      </w:pPr>
      <w:r w:rsidRPr="00EF5AE0">
        <w:rPr>
          <w:color w:val="595959" w:themeColor="text1" w:themeTint="A6"/>
        </w:rPr>
        <w:t xml:space="preserve"> Improving patient outcomes and service quality would also be strengthened by ongoing professional development and routine assessment of care procedures.</w:t>
      </w:r>
    </w:p>
    <w:p w14:paraId="13C7B1C5" w14:textId="48B8A6D8" w:rsidR="00EF5AE0" w:rsidRPr="00EF5AE0" w:rsidRDefault="000F39E4" w:rsidP="000F39E4">
      <w:pPr>
        <w:rPr>
          <w:color w:val="595959" w:themeColor="text1" w:themeTint="A6"/>
        </w:rPr>
      </w:pPr>
      <w:r w:rsidRPr="00EF5AE0">
        <w:rPr>
          <w:color w:val="595959" w:themeColor="text1" w:themeTint="A6"/>
        </w:rPr>
        <w:t xml:space="preserve">In general, the treatment of dementia patients shows how ethical behaviour, teamwork, and person-centred care are successfully implemented in UK health and social care. </w:t>
      </w:r>
    </w:p>
    <w:p w14:paraId="7E09E79E" w14:textId="118AC581" w:rsidR="000F39E4" w:rsidRPr="00EF5AE0" w:rsidRDefault="000F39E4" w:rsidP="000F39E4">
      <w:pPr>
        <w:rPr>
          <w:color w:val="595959" w:themeColor="text1" w:themeTint="A6"/>
        </w:rPr>
      </w:pPr>
      <w:r w:rsidRPr="00EF5AE0">
        <w:rPr>
          <w:color w:val="595959" w:themeColor="text1" w:themeTint="A6"/>
        </w:rPr>
        <w:t>These principles, which are upheld by contemporary legislation, regulations, and professional standards, enhance health and wellness outcomes by defending individual rights, encouraging collaboration, and raising the standard of care</w:t>
      </w:r>
      <w:r w:rsidR="00EF5AE0" w:rsidRPr="00EF5AE0">
        <w:rPr>
          <w:color w:val="595959" w:themeColor="text1" w:themeTint="A6"/>
        </w:rPr>
        <w:t>.</w:t>
      </w:r>
    </w:p>
    <w:p w14:paraId="5D07A15E" w14:textId="4F9C3BE1" w:rsidR="000F39E4" w:rsidRPr="00EF5AE0" w:rsidRDefault="00EF5AE0" w:rsidP="00EF5AE0">
      <w:pPr>
        <w:pStyle w:val="Heading2"/>
      </w:pPr>
      <w:bookmarkStart w:id="3" w:name="_Toc236044476"/>
      <w:r w:rsidRPr="00EF5AE0">
        <w:t xml:space="preserve">Task 3: </w:t>
      </w:r>
      <w:r w:rsidR="000F39E4" w:rsidRPr="00EF5AE0">
        <w:t>Model Reflective Report: Self-Reflection as a Health and Social Car</w:t>
      </w:r>
      <w:r w:rsidRPr="00EF5AE0">
        <w:t>e professional</w:t>
      </w:r>
      <w:bookmarkEnd w:id="3"/>
    </w:p>
    <w:p w14:paraId="042FA1E4" w14:textId="77777777" w:rsidR="00EF5AE0" w:rsidRPr="00EF5AE0" w:rsidRDefault="000F39E4" w:rsidP="000F39E4">
      <w:pPr>
        <w:rPr>
          <w:color w:val="595959" w:themeColor="text1" w:themeTint="A6"/>
        </w:rPr>
      </w:pPr>
      <w:r w:rsidRPr="00EF5AE0">
        <w:rPr>
          <w:color w:val="595959" w:themeColor="text1" w:themeTint="A6"/>
        </w:rPr>
        <w:t>Reflective practice is an essential component of professional development in the health and social care sectors.</w:t>
      </w:r>
    </w:p>
    <w:p w14:paraId="595ADE7E" w14:textId="32626BF0" w:rsidR="00EF5AE0" w:rsidRPr="00EF5AE0" w:rsidRDefault="000F39E4" w:rsidP="000F39E4">
      <w:pPr>
        <w:rPr>
          <w:color w:val="595959" w:themeColor="text1" w:themeTint="A6"/>
        </w:rPr>
      </w:pPr>
      <w:r w:rsidRPr="00EF5AE0">
        <w:rPr>
          <w:color w:val="595959" w:themeColor="text1" w:themeTint="A6"/>
        </w:rPr>
        <w:t>It enables professionals to evaluate their experiences, improve the quality of care they provide, and continue to advance their professional competency (Schön, 1983).</w:t>
      </w:r>
    </w:p>
    <w:p w14:paraId="3F8974FF" w14:textId="15BDB2E1" w:rsidR="000F39E4" w:rsidRPr="00EF5AE0" w:rsidRDefault="000F39E4" w:rsidP="000F39E4">
      <w:pPr>
        <w:rPr>
          <w:color w:val="595959" w:themeColor="text1" w:themeTint="A6"/>
        </w:rPr>
      </w:pPr>
      <w:r w:rsidRPr="00EF5AE0">
        <w:rPr>
          <w:color w:val="595959" w:themeColor="text1" w:themeTint="A6"/>
        </w:rPr>
        <w:t xml:space="preserve">This essay explores how the principles of person-centred care, partnership working, and ethical practice influence my day-to-day responsibilities as a future health and social care professional. It critically evaluates my current strengths and areas for development in addition to outlining strategies to enhance my professional knowledge and skills through continuous learning. </w:t>
      </w:r>
    </w:p>
    <w:p w14:paraId="175A2E56" w14:textId="77777777" w:rsidR="000F39E4" w:rsidRPr="00EF5AE0" w:rsidRDefault="000F39E4" w:rsidP="000F39E4">
      <w:pPr>
        <w:rPr>
          <w:color w:val="595959" w:themeColor="text1" w:themeTint="A6"/>
        </w:rPr>
      </w:pPr>
      <w:r w:rsidRPr="00EF5AE0">
        <w:rPr>
          <w:color w:val="595959" w:themeColor="text1" w:themeTint="A6"/>
        </w:rPr>
        <w:t xml:space="preserve">One of the most crucial principles that guide my work is person-centred care. The foundation of person-centred care is ensuring that individuals actively participate in making decisions about their care while respecting their values, interests, beliefs, and autonomy. Instead of viewing service users as passive recipients, this approach allows them to become equal partners in the planning and delivery of their care (NICE, 2021). </w:t>
      </w:r>
    </w:p>
    <w:p w14:paraId="4C56C355" w14:textId="77777777" w:rsidR="00EF5AE0" w:rsidRPr="00EF5AE0" w:rsidRDefault="000F39E4" w:rsidP="000F39E4">
      <w:pPr>
        <w:rPr>
          <w:color w:val="595959" w:themeColor="text1" w:themeTint="A6"/>
        </w:rPr>
      </w:pPr>
      <w:r w:rsidRPr="00EF5AE0">
        <w:rPr>
          <w:color w:val="595959" w:themeColor="text1" w:themeTint="A6"/>
        </w:rPr>
        <w:t xml:space="preserve">In my daily work, I </w:t>
      </w:r>
      <w:proofErr w:type="gramStart"/>
      <w:r w:rsidRPr="00EF5AE0">
        <w:rPr>
          <w:color w:val="595959" w:themeColor="text1" w:themeTint="A6"/>
        </w:rPr>
        <w:t>make an effort</w:t>
      </w:r>
      <w:proofErr w:type="gramEnd"/>
      <w:r w:rsidRPr="00EF5AE0">
        <w:rPr>
          <w:color w:val="595959" w:themeColor="text1" w:themeTint="A6"/>
        </w:rPr>
        <w:t xml:space="preserve"> to listen intently to what service users have to say, involve them in decision-making, and recognize that every individual has unique physical, emotional, cultural, and social needs.</w:t>
      </w:r>
    </w:p>
    <w:p w14:paraId="7ADDE7A0" w14:textId="29841CEF" w:rsidR="000F39E4" w:rsidRPr="00EF5AE0" w:rsidRDefault="000F39E4" w:rsidP="000F39E4">
      <w:pPr>
        <w:rPr>
          <w:color w:val="595959" w:themeColor="text1" w:themeTint="A6"/>
        </w:rPr>
      </w:pPr>
      <w:r w:rsidRPr="00EF5AE0">
        <w:rPr>
          <w:color w:val="595959" w:themeColor="text1" w:themeTint="A6"/>
        </w:rPr>
        <w:t xml:space="preserve"> For example, instead of merely adhering to conventional professional protocols when developing a treatment plan for an elderly person with diabetes, I would consider their lifestyle, cultural dietary preferences, family situation, and personal preferences. This reflects the principles of the Care Act of 2014, which promote individualized care, freedom, and wellbeing.</w:t>
      </w:r>
    </w:p>
    <w:p w14:paraId="3A5DE28F" w14:textId="77777777" w:rsidR="00EF5AE0" w:rsidRPr="00EF5AE0" w:rsidRDefault="000F39E4" w:rsidP="000F39E4">
      <w:pPr>
        <w:rPr>
          <w:color w:val="595959" w:themeColor="text1" w:themeTint="A6"/>
        </w:rPr>
      </w:pPr>
      <w:r w:rsidRPr="00EF5AE0">
        <w:rPr>
          <w:color w:val="595959" w:themeColor="text1" w:themeTint="A6"/>
        </w:rPr>
        <w:t xml:space="preserve">Partnership working is another fundamental concept that greatly influences my professional approach. Effective health and social care require cooperation between multidisciplinary professionals, service users, families, carers, and outside organizations. </w:t>
      </w:r>
    </w:p>
    <w:p w14:paraId="1CDBFD63" w14:textId="37906ACC" w:rsidR="000F39E4" w:rsidRPr="00EF5AE0" w:rsidRDefault="000F39E4" w:rsidP="000F39E4">
      <w:pPr>
        <w:rPr>
          <w:color w:val="595959" w:themeColor="text1" w:themeTint="A6"/>
        </w:rPr>
      </w:pPr>
      <w:r w:rsidRPr="00EF5AE0">
        <w:rPr>
          <w:color w:val="595959" w:themeColor="text1" w:themeTint="A6"/>
        </w:rPr>
        <w:t>According to the Health and Care Act of 2022, integrated care systems aim to improve collaboration between health and social care providers to deliver coordinated and efficient services. I believe that good collaboration enhances continuity of care, reduces service duplication, and maximizes patient outcomes.</w:t>
      </w:r>
    </w:p>
    <w:p w14:paraId="4FBEE849" w14:textId="77777777" w:rsidR="00EF5AE0" w:rsidRPr="00EF5AE0" w:rsidRDefault="000F39E4" w:rsidP="000F39E4">
      <w:pPr>
        <w:rPr>
          <w:color w:val="595959" w:themeColor="text1" w:themeTint="A6"/>
        </w:rPr>
      </w:pPr>
      <w:r w:rsidRPr="00EF5AE0">
        <w:rPr>
          <w:color w:val="595959" w:themeColor="text1" w:themeTint="A6"/>
        </w:rPr>
        <w:t xml:space="preserve"> I understand how important it is to share relevant information with colleagues in my day-to-day work while maintaining confidentiality in accordance with the UK General Data Protection Regulation (UK GDPR) and the Data Protection Act of 2018.  If I were assisting a patient in recovering from a stroke, for example, effective care would involve collaboration between nurses, physiotherapists, occupational therapists, speech and language therapists, social workers, and family members. </w:t>
      </w:r>
    </w:p>
    <w:p w14:paraId="606FE54A" w14:textId="3EC9689B" w:rsidR="000F39E4" w:rsidRPr="00EF5AE0" w:rsidRDefault="000F39E4" w:rsidP="000F39E4">
      <w:pPr>
        <w:rPr>
          <w:color w:val="595959" w:themeColor="text1" w:themeTint="A6"/>
        </w:rPr>
      </w:pPr>
      <w:r w:rsidRPr="00EF5AE0">
        <w:rPr>
          <w:color w:val="595959" w:themeColor="text1" w:themeTint="A6"/>
        </w:rPr>
        <w:t>Each professional contributes specialized knowledge while working toward shared goals centred on the patient's recovery. If important information is missed because of a lack of mutual respect and effective communication, patient safety may be at risk.</w:t>
      </w:r>
    </w:p>
    <w:p w14:paraId="3223E853" w14:textId="77777777" w:rsidR="000F39E4" w:rsidRPr="00EF5AE0" w:rsidRDefault="000F39E4" w:rsidP="000F39E4">
      <w:pPr>
        <w:rPr>
          <w:color w:val="595959" w:themeColor="text1" w:themeTint="A6"/>
        </w:rPr>
      </w:pPr>
      <w:r w:rsidRPr="00EF5AE0">
        <w:rPr>
          <w:color w:val="595959" w:themeColor="text1" w:themeTint="A6"/>
        </w:rPr>
        <w:t xml:space="preserve"> After giving it some thought, I see the importance of teamwork and enjoy working with others. However, I sometimes hesitate to express my opinions in transdisciplinary debates due to my lack of confidence. I am aware that improving my communication assertiveness will enable me to contribute to group decision-making more effectively while still honouring my coworkers' expertise.</w:t>
      </w:r>
    </w:p>
    <w:p w14:paraId="26948974" w14:textId="77777777" w:rsidR="000F39E4" w:rsidRPr="00EF5AE0" w:rsidRDefault="000F39E4" w:rsidP="000F39E4">
      <w:pPr>
        <w:rPr>
          <w:color w:val="595959" w:themeColor="text1" w:themeTint="A6"/>
        </w:rPr>
      </w:pPr>
      <w:r w:rsidRPr="00EF5AE0">
        <w:rPr>
          <w:color w:val="595959" w:themeColor="text1" w:themeTint="A6"/>
        </w:rPr>
        <w:t xml:space="preserve"> Ethical practice is the foundation of all aspects of health and social care. The four ethical principles of autonomy, beneficence, non-maleficence, and justice provide an essential basis for making professional decisions (Beauchamp and Childress, 2019). These guidelines ensure that practitioners respect individual rights while delivering safe, fair, and compassionate care. </w:t>
      </w:r>
    </w:p>
    <w:p w14:paraId="2B69DDB1" w14:textId="77777777" w:rsidR="000F39E4" w:rsidRPr="00EF5AE0" w:rsidRDefault="000F39E4" w:rsidP="000F39E4">
      <w:pPr>
        <w:rPr>
          <w:color w:val="595959" w:themeColor="text1" w:themeTint="A6"/>
        </w:rPr>
      </w:pPr>
      <w:r w:rsidRPr="00EF5AE0">
        <w:rPr>
          <w:color w:val="595959" w:themeColor="text1" w:themeTint="A6"/>
        </w:rPr>
        <w:t xml:space="preserve">Making moral choices will have an impact on many daily tasks in my future profession. Maintaining professional boundaries, obtaining informed consent, protecting confidentiality, and treating everyone fairly are all fundamental duties. The Equality Act of 2010 mandates that professionals eradicate discrimination and promote equality regardless of age, handicap, ethnicity, religion, gender, or sexual orientation. </w:t>
      </w:r>
    </w:p>
    <w:p w14:paraId="6D80CE71" w14:textId="50CC4C85" w:rsidR="000F39E4" w:rsidRPr="00EF5AE0" w:rsidRDefault="000F39E4" w:rsidP="000F39E4">
      <w:pPr>
        <w:rPr>
          <w:color w:val="595959" w:themeColor="text1" w:themeTint="A6"/>
        </w:rPr>
      </w:pPr>
      <w:r w:rsidRPr="00EF5AE0">
        <w:rPr>
          <w:color w:val="595959" w:themeColor="text1" w:themeTint="A6"/>
        </w:rPr>
        <w:t xml:space="preserve">Ethical principles may also clash in some circumstances. For instance, a service user might decline medical care even though there are serious health risks. In these circumstances, I </w:t>
      </w:r>
      <w:r w:rsidR="00EF5AE0" w:rsidRPr="00EF5AE0">
        <w:rPr>
          <w:color w:val="595959" w:themeColor="text1" w:themeTint="A6"/>
        </w:rPr>
        <w:t>must</w:t>
      </w:r>
      <w:r w:rsidRPr="00EF5AE0">
        <w:rPr>
          <w:color w:val="595959" w:themeColor="text1" w:themeTint="A6"/>
        </w:rPr>
        <w:t xml:space="preserve"> follow professional guidelines, organizational policies, and pertinent laws like the Mental Capacity Act of 2005 while striking a balance between my duty of care and respect for autonomy. After giving this some thought, I realize that ethical behaviour frequently entails making difficult decisions rather than straightforward ones. To guarantee that the right choices are made, it is crucial to seek supervision and discuss difficult cases with knowledgeable colleagues.</w:t>
      </w:r>
    </w:p>
    <w:p w14:paraId="017CC901" w14:textId="77777777" w:rsidR="000F39E4" w:rsidRPr="00EF5AE0" w:rsidRDefault="000F39E4" w:rsidP="000F39E4">
      <w:pPr>
        <w:rPr>
          <w:color w:val="595959" w:themeColor="text1" w:themeTint="A6"/>
        </w:rPr>
      </w:pPr>
      <w:r w:rsidRPr="00EF5AE0">
        <w:rPr>
          <w:color w:val="595959" w:themeColor="text1" w:themeTint="A6"/>
        </w:rPr>
        <w:t xml:space="preserve"> My reflection heavily relies on my own abilities and professional traits. One of my best qualities is empathy. I naturally try to understand other people's experiences without judging or assuming anything. This encourages candid communication and helps build reliable relationships with service users. Numerous studies show that compassionate interactions improve patient satisfaction, engagement, and health outcomes (NHS England, 2023).</w:t>
      </w:r>
    </w:p>
    <w:p w14:paraId="2B37D9E5" w14:textId="77777777" w:rsidR="000F39E4" w:rsidRPr="00EF5AE0" w:rsidRDefault="000F39E4" w:rsidP="000F39E4">
      <w:pPr>
        <w:rPr>
          <w:color w:val="595959" w:themeColor="text1" w:themeTint="A6"/>
        </w:rPr>
      </w:pPr>
      <w:r w:rsidRPr="00EF5AE0">
        <w:rPr>
          <w:color w:val="595959" w:themeColor="text1" w:themeTint="A6"/>
        </w:rPr>
        <w:t>I also consider myself to be organized and responsible. I understand how important it is to be punctual, maintain accurate records, and uphold professional standards. These qualities promote patient safety and effective teamwork in health and social care settings.</w:t>
      </w:r>
    </w:p>
    <w:p w14:paraId="245A1D56" w14:textId="77777777" w:rsidR="00EF5AE0" w:rsidRPr="00EF5AE0" w:rsidRDefault="000F39E4" w:rsidP="000F39E4">
      <w:pPr>
        <w:rPr>
          <w:color w:val="595959" w:themeColor="text1" w:themeTint="A6"/>
        </w:rPr>
      </w:pPr>
      <w:r w:rsidRPr="00EF5AE0">
        <w:rPr>
          <w:color w:val="595959" w:themeColor="text1" w:themeTint="A6"/>
        </w:rPr>
        <w:t>I also want to improve my conflict-resolution skills. In partnership functioning, disagreements regarding care decisions may sometimes occur between family members or professionals. Learning how to resolve conflicts amicably while maintaining positive relationships will boost my effectiveness as a practitioner. To address these growth needs,</w:t>
      </w:r>
    </w:p>
    <w:p w14:paraId="7831A15D" w14:textId="77777777" w:rsidR="00EF5AE0" w:rsidRPr="00EF5AE0" w:rsidRDefault="000F39E4" w:rsidP="000F39E4">
      <w:pPr>
        <w:rPr>
          <w:color w:val="595959" w:themeColor="text1" w:themeTint="A6"/>
        </w:rPr>
      </w:pPr>
      <w:r w:rsidRPr="00EF5AE0">
        <w:rPr>
          <w:color w:val="595959" w:themeColor="text1" w:themeTint="A6"/>
        </w:rPr>
        <w:t xml:space="preserve"> I intend to create a structured Continuing Professional Development (CPD) plan. I'll enrols in professional development courses in safeguarding, person-centred care, leadership, and communication. I also plan to regularly engage in reflective practice using Gibbs' Reflective Cycle (1988) </w:t>
      </w:r>
      <w:r w:rsidR="00EF5AE0" w:rsidRPr="00EF5AE0">
        <w:rPr>
          <w:color w:val="595959" w:themeColor="text1" w:themeTint="A6"/>
        </w:rPr>
        <w:t>to</w:t>
      </w:r>
      <w:r w:rsidRPr="00EF5AE0">
        <w:rPr>
          <w:color w:val="595959" w:themeColor="text1" w:themeTint="A6"/>
        </w:rPr>
        <w:t xml:space="preserve"> closely examine events and identify areas for improvement. I'll also keep abreast of any modifications to the law, NICE guidelines, and professional standards published by institutions such as the Care Quality Commission (CQC), NHS England, and Skills for Care.</w:t>
      </w:r>
    </w:p>
    <w:p w14:paraId="0B78FD67" w14:textId="302435D3" w:rsidR="000F39E4" w:rsidRPr="00EF5AE0" w:rsidRDefault="000F39E4" w:rsidP="000F39E4">
      <w:pPr>
        <w:rPr>
          <w:color w:val="595959" w:themeColor="text1" w:themeTint="A6"/>
        </w:rPr>
      </w:pPr>
      <w:r w:rsidRPr="00EF5AE0">
        <w:rPr>
          <w:color w:val="595959" w:themeColor="text1" w:themeTint="A6"/>
        </w:rPr>
        <w:t xml:space="preserve"> By reading current research literature, I can ensure that my practice remains evidence-based and compliant with national standards. I also intend to seek constructive criticism from managers, colleagues, and service clients when it is appropriate. Aspects of professional performance that self-reflection alone would not immediately disclose are revealed by feedback. By accepting criticism and implementing recommendations, I can consistently improve the quality of care I provide. </w:t>
      </w:r>
    </w:p>
    <w:p w14:paraId="3B9E1C91" w14:textId="77777777" w:rsidR="000F39E4" w:rsidRPr="00EF5AE0" w:rsidRDefault="000F39E4" w:rsidP="00EF5AE0">
      <w:pPr>
        <w:pStyle w:val="Heading1"/>
      </w:pPr>
      <w:bookmarkStart w:id="4" w:name="_Toc236044477"/>
      <w:r w:rsidRPr="00EF5AE0">
        <w:t>Conclusion</w:t>
      </w:r>
      <w:bookmarkEnd w:id="4"/>
    </w:p>
    <w:p w14:paraId="11420603" w14:textId="77777777" w:rsidR="00EF5AE0" w:rsidRPr="00EF5AE0" w:rsidRDefault="000F39E4" w:rsidP="000F39E4">
      <w:pPr>
        <w:rPr>
          <w:color w:val="595959" w:themeColor="text1" w:themeTint="A6"/>
        </w:rPr>
      </w:pPr>
      <w:r w:rsidRPr="00EF5AE0">
        <w:rPr>
          <w:color w:val="595959" w:themeColor="text1" w:themeTint="A6"/>
        </w:rPr>
        <w:t>All things considered, this meditation has improved my understanding of the interconnected ideas of ethical practice, partnership functioning, and person-centred care that support high-quality health and social care. They have an impact on all interactions with families, coworkers, and service users, guaranteeing that care is law-abiding, safe, and compassionate.</w:t>
      </w:r>
    </w:p>
    <w:p w14:paraId="3BBAB517" w14:textId="23085217" w:rsidR="000F39E4" w:rsidRPr="00EF5AE0" w:rsidRDefault="000F39E4" w:rsidP="000F39E4">
      <w:pPr>
        <w:rPr>
          <w:color w:val="595959" w:themeColor="text1" w:themeTint="A6"/>
        </w:rPr>
      </w:pPr>
      <w:r w:rsidRPr="00EF5AE0">
        <w:rPr>
          <w:color w:val="595959" w:themeColor="text1" w:themeTint="A6"/>
        </w:rPr>
        <w:t xml:space="preserve"> Despite my aptitude for empathy, communication, and organization, I understand the importance of consistently improving my self-assurance, leadership skills, and professional knowledge. I want to become an informed, kind, and evidence-based health and social care professional who continuously provides outstanding person-centred care through professional development, reflective practice, and ongoing education.</w:t>
      </w:r>
    </w:p>
    <w:p w14:paraId="04C1FD63" w14:textId="77777777" w:rsidR="000F39E4" w:rsidRPr="00EF5AE0" w:rsidRDefault="000F39E4" w:rsidP="000F39E4">
      <w:pPr>
        <w:rPr>
          <w:color w:val="595959" w:themeColor="text1" w:themeTint="A6"/>
        </w:rPr>
      </w:pPr>
    </w:p>
    <w:p w14:paraId="21228420" w14:textId="77777777" w:rsidR="000F39E4" w:rsidRPr="00EF5AE0" w:rsidRDefault="000F39E4" w:rsidP="000F39E4">
      <w:pPr>
        <w:rPr>
          <w:color w:val="595959" w:themeColor="text1" w:themeTint="A6"/>
        </w:rPr>
      </w:pPr>
    </w:p>
    <w:p w14:paraId="44338C34" w14:textId="77777777" w:rsidR="000F39E4" w:rsidRPr="00EF5AE0" w:rsidRDefault="000F39E4" w:rsidP="000F39E4">
      <w:pPr>
        <w:rPr>
          <w:color w:val="595959" w:themeColor="text1" w:themeTint="A6"/>
        </w:rPr>
      </w:pPr>
    </w:p>
    <w:p w14:paraId="1C982930" w14:textId="6DD46AAC" w:rsidR="00EF5AE0" w:rsidRPr="00EF5AE0" w:rsidRDefault="00EF5AE0" w:rsidP="00EF5AE0">
      <w:pPr>
        <w:pStyle w:val="Heading1"/>
      </w:pPr>
      <w:bookmarkStart w:id="5" w:name="_Toc236044478"/>
      <w:r w:rsidRPr="00EF5AE0">
        <w:t>References</w:t>
      </w:r>
      <w:bookmarkEnd w:id="5"/>
    </w:p>
    <w:p w14:paraId="655885A7" w14:textId="77777777" w:rsidR="00EF5AE0" w:rsidRPr="00EF5AE0" w:rsidRDefault="00EF5AE0" w:rsidP="00EF5AE0">
      <w:pPr>
        <w:rPr>
          <w:color w:val="595959" w:themeColor="text1" w:themeTint="A6"/>
        </w:rPr>
      </w:pPr>
      <w:r w:rsidRPr="00EF5AE0">
        <w:rPr>
          <w:color w:val="595959" w:themeColor="text1" w:themeTint="A6"/>
        </w:rPr>
        <w:t xml:space="preserve">Beauchamp, T.L. and Childress, J.F. (2019) Principles of Biomedical Ethics. 8th </w:t>
      </w:r>
      <w:proofErr w:type="spellStart"/>
      <w:r w:rsidRPr="00EF5AE0">
        <w:rPr>
          <w:color w:val="595959" w:themeColor="text1" w:themeTint="A6"/>
        </w:rPr>
        <w:t>edn</w:t>
      </w:r>
      <w:proofErr w:type="spellEnd"/>
      <w:r w:rsidRPr="00EF5AE0">
        <w:rPr>
          <w:color w:val="595959" w:themeColor="text1" w:themeTint="A6"/>
        </w:rPr>
        <w:t>. New York: Oxford University Press.</w:t>
      </w:r>
    </w:p>
    <w:p w14:paraId="100C4404" w14:textId="77777777" w:rsidR="00EF5AE0" w:rsidRPr="00EF5AE0" w:rsidRDefault="00EF5AE0" w:rsidP="00EF5AE0">
      <w:pPr>
        <w:rPr>
          <w:color w:val="595959" w:themeColor="text1" w:themeTint="A6"/>
        </w:rPr>
      </w:pPr>
      <w:r w:rsidRPr="00EF5AE0">
        <w:rPr>
          <w:color w:val="595959" w:themeColor="text1" w:themeTint="A6"/>
        </w:rPr>
        <w:t>Care Act 2014. (2014) c.23. London: The Stationery Office. Available at: https://www.legislation.gov.uk/ukpga/2014/23 (Accessed: 26 July 2026).</w:t>
      </w:r>
    </w:p>
    <w:p w14:paraId="419A19F5" w14:textId="77777777" w:rsidR="00EF5AE0" w:rsidRPr="00EF5AE0" w:rsidRDefault="00EF5AE0" w:rsidP="00EF5AE0">
      <w:pPr>
        <w:rPr>
          <w:color w:val="595959" w:themeColor="text1" w:themeTint="A6"/>
        </w:rPr>
      </w:pPr>
      <w:r w:rsidRPr="00EF5AE0">
        <w:rPr>
          <w:color w:val="595959" w:themeColor="text1" w:themeTint="A6"/>
        </w:rPr>
        <w:t>Care Quality Commission (2024) How CQC regulates health and social care. Available at: https://www.cqc.org.uk (Accessed: 25 July 2026).</w:t>
      </w:r>
    </w:p>
    <w:p w14:paraId="4FE290F0" w14:textId="77777777" w:rsidR="00EF5AE0" w:rsidRPr="00EF5AE0" w:rsidRDefault="00EF5AE0" w:rsidP="00EF5AE0">
      <w:pPr>
        <w:rPr>
          <w:color w:val="595959" w:themeColor="text1" w:themeTint="A6"/>
        </w:rPr>
      </w:pPr>
      <w:r w:rsidRPr="00EF5AE0">
        <w:rPr>
          <w:color w:val="595959" w:themeColor="text1" w:themeTint="A6"/>
        </w:rPr>
        <w:t>Department of Health and Social Care (2022) Health and Care Act 2022. Available at: https://www.legislation.gov.uk/ukpga/2022/31/contents (Accessed: 25 July 2026).</w:t>
      </w:r>
    </w:p>
    <w:p w14:paraId="41DF2539" w14:textId="77777777" w:rsidR="00EF5AE0" w:rsidRPr="00EF5AE0" w:rsidRDefault="00EF5AE0" w:rsidP="00EF5AE0">
      <w:pPr>
        <w:rPr>
          <w:color w:val="595959" w:themeColor="text1" w:themeTint="A6"/>
        </w:rPr>
      </w:pPr>
      <w:r w:rsidRPr="00EF5AE0">
        <w:rPr>
          <w:color w:val="595959" w:themeColor="text1" w:themeTint="A6"/>
        </w:rPr>
        <w:t>Health Foundation (2016) Person-centred care made simple: What everyone should know about person-centred care. London: The Health Foundation. Available at: https://www.health.org.uk/publications/person-centred-care-made-simple (Accessed: 25 July 2026).</w:t>
      </w:r>
    </w:p>
    <w:p w14:paraId="28A3D3F9" w14:textId="77777777" w:rsidR="00EF5AE0" w:rsidRPr="00EF5AE0" w:rsidRDefault="00EF5AE0" w:rsidP="00EF5AE0">
      <w:pPr>
        <w:rPr>
          <w:color w:val="595959" w:themeColor="text1" w:themeTint="A6"/>
        </w:rPr>
      </w:pPr>
      <w:r w:rsidRPr="00EF5AE0">
        <w:rPr>
          <w:color w:val="595959" w:themeColor="text1" w:themeTint="A6"/>
        </w:rPr>
        <w:t>Health and Care Act 2022. (2022) c.31. London: The Stationery Office. Available at: https://www.legislation.gov.uk/ukpga/2022/31 (Accessed: 26 July 2026).</w:t>
      </w:r>
    </w:p>
    <w:p w14:paraId="3007D040" w14:textId="77777777" w:rsidR="00EF5AE0" w:rsidRPr="00EF5AE0" w:rsidRDefault="00EF5AE0" w:rsidP="00EF5AE0">
      <w:pPr>
        <w:rPr>
          <w:color w:val="595959" w:themeColor="text1" w:themeTint="A6"/>
        </w:rPr>
      </w:pPr>
      <w:r w:rsidRPr="00EF5AE0">
        <w:rPr>
          <w:color w:val="595959" w:themeColor="text1" w:themeTint="A6"/>
        </w:rPr>
        <w:t>Mental Capacity Act 2005. Available at: https://www.legislation.gov.uk/ukpga/2005/9/contents (Accessed: 25 July 2026).</w:t>
      </w:r>
    </w:p>
    <w:p w14:paraId="36CCE418" w14:textId="77777777" w:rsidR="00EF5AE0" w:rsidRPr="00EF5AE0" w:rsidRDefault="00EF5AE0" w:rsidP="00EF5AE0">
      <w:pPr>
        <w:rPr>
          <w:color w:val="595959" w:themeColor="text1" w:themeTint="A6"/>
        </w:rPr>
      </w:pPr>
      <w:r w:rsidRPr="00EF5AE0">
        <w:rPr>
          <w:color w:val="595959" w:themeColor="text1" w:themeTint="A6"/>
        </w:rPr>
        <w:t>National Institute for Health and Care Excellence (NICE) (2021) Shared Decision Making (NG197). Available at: https://www.nice.org.uk/guidance/ng197 (Accessed: 26 July 2026).</w:t>
      </w:r>
    </w:p>
    <w:p w14:paraId="6D573313" w14:textId="77777777" w:rsidR="00EF5AE0" w:rsidRPr="00EF5AE0" w:rsidRDefault="00EF5AE0" w:rsidP="00EF5AE0">
      <w:pPr>
        <w:rPr>
          <w:color w:val="595959" w:themeColor="text1" w:themeTint="A6"/>
        </w:rPr>
      </w:pPr>
      <w:r w:rsidRPr="00EF5AE0">
        <w:rPr>
          <w:color w:val="595959" w:themeColor="text1" w:themeTint="A6"/>
        </w:rPr>
        <w:t>NHS England (2021) The NHS Constitution for England. Available at: https://www.gov.uk/government/publications/the-nhs-constitution-for-england (Accessed: 25 July 2026).</w:t>
      </w:r>
    </w:p>
    <w:p w14:paraId="454F4F3F" w14:textId="77777777" w:rsidR="00EF5AE0" w:rsidRPr="00EF5AE0" w:rsidRDefault="00EF5AE0" w:rsidP="00EF5AE0">
      <w:pPr>
        <w:rPr>
          <w:color w:val="595959" w:themeColor="text1" w:themeTint="A6"/>
        </w:rPr>
      </w:pPr>
      <w:r w:rsidRPr="00EF5AE0">
        <w:rPr>
          <w:color w:val="595959" w:themeColor="text1" w:themeTint="A6"/>
        </w:rPr>
        <w:t>NHS England (2023) Integrated care systems: How will they work? London: NHS England. Available at: https://www.england.nhs.uk/integratedcare/ (Accessed: 25 July 2026).</w:t>
      </w:r>
    </w:p>
    <w:p w14:paraId="0E9FFABB" w14:textId="77777777" w:rsidR="00EF5AE0" w:rsidRPr="00EF5AE0" w:rsidRDefault="00EF5AE0" w:rsidP="00EF5AE0">
      <w:pPr>
        <w:rPr>
          <w:color w:val="595959" w:themeColor="text1" w:themeTint="A6"/>
        </w:rPr>
      </w:pPr>
      <w:r w:rsidRPr="00EF5AE0">
        <w:rPr>
          <w:color w:val="595959" w:themeColor="text1" w:themeTint="A6"/>
        </w:rPr>
        <w:t xml:space="preserve">Reeves, S., Palone, F., Harrison, R., Goldman, J. and </w:t>
      </w:r>
      <w:proofErr w:type="spellStart"/>
      <w:r w:rsidRPr="00EF5AE0">
        <w:rPr>
          <w:color w:val="595959" w:themeColor="text1" w:themeTint="A6"/>
        </w:rPr>
        <w:t>Zwarenstein</w:t>
      </w:r>
      <w:proofErr w:type="spellEnd"/>
      <w:r w:rsidRPr="00EF5AE0">
        <w:rPr>
          <w:color w:val="595959" w:themeColor="text1" w:themeTint="A6"/>
        </w:rPr>
        <w:t xml:space="preserve">, M. (2017) ‘Interprofessional collaboration to improve professional practice and healthcare outcomes’, Cochrane Database of Systematic Reviews, 6, pp. 1-44. </w:t>
      </w:r>
      <w:proofErr w:type="spellStart"/>
      <w:r w:rsidRPr="00EF5AE0">
        <w:rPr>
          <w:color w:val="595959" w:themeColor="text1" w:themeTint="A6"/>
        </w:rPr>
        <w:t>doi</w:t>
      </w:r>
      <w:proofErr w:type="spellEnd"/>
      <w:r w:rsidRPr="00EF5AE0">
        <w:rPr>
          <w:color w:val="595959" w:themeColor="text1" w:themeTint="A6"/>
        </w:rPr>
        <w:t>: 10.1002/14651858.CD000072.pub3.</w:t>
      </w:r>
    </w:p>
    <w:p w14:paraId="61C61DB2" w14:textId="2A629F6B" w:rsidR="000F39E4" w:rsidRPr="00EF5AE0" w:rsidRDefault="00EF5AE0" w:rsidP="00EF5AE0">
      <w:pPr>
        <w:rPr>
          <w:color w:val="595959" w:themeColor="text1" w:themeTint="A6"/>
        </w:rPr>
      </w:pPr>
      <w:r w:rsidRPr="00EF5AE0">
        <w:rPr>
          <w:color w:val="595959" w:themeColor="text1" w:themeTint="A6"/>
        </w:rPr>
        <w:t>Schön, D.A. (1983) The Reflective Practitioner: How Professionals Think in Action. New York: Basic Books.</w:t>
      </w:r>
    </w:p>
    <w:p w14:paraId="086E28E8" w14:textId="77777777" w:rsidR="000F39E4" w:rsidRPr="00EF5AE0" w:rsidRDefault="000F39E4" w:rsidP="000F39E4">
      <w:pPr>
        <w:rPr>
          <w:color w:val="595959" w:themeColor="text1" w:themeTint="A6"/>
        </w:rPr>
      </w:pPr>
    </w:p>
    <w:p w14:paraId="122E9DC6" w14:textId="77777777" w:rsidR="000F39E4" w:rsidRPr="00EF5AE0" w:rsidRDefault="000F39E4">
      <w:pPr>
        <w:rPr>
          <w:color w:val="595959" w:themeColor="text1" w:themeTint="A6"/>
        </w:rPr>
      </w:pPr>
    </w:p>
    <w:sectPr w:rsidR="000F39E4" w:rsidRPr="00EF5A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9E4"/>
    <w:rsid w:val="000F39E4"/>
    <w:rsid w:val="00115D02"/>
    <w:rsid w:val="00EF5A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46C95"/>
  <w15:chartTrackingRefBased/>
  <w15:docId w15:val="{FCF09A73-4D2F-4DCF-A619-1F44848B1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5AE0"/>
  </w:style>
  <w:style w:type="paragraph" w:styleId="Heading1">
    <w:name w:val="heading 1"/>
    <w:basedOn w:val="Normal"/>
    <w:next w:val="Normal"/>
    <w:link w:val="Heading1Char"/>
    <w:uiPriority w:val="9"/>
    <w:qFormat/>
    <w:rsid w:val="000F39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F39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39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39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39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39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39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39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39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39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F39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39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39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39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39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39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39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39E4"/>
    <w:rPr>
      <w:rFonts w:eastAsiaTheme="majorEastAsia" w:cstheme="majorBidi"/>
      <w:color w:val="272727" w:themeColor="text1" w:themeTint="D8"/>
    </w:rPr>
  </w:style>
  <w:style w:type="paragraph" w:styleId="Title">
    <w:name w:val="Title"/>
    <w:basedOn w:val="Normal"/>
    <w:next w:val="Normal"/>
    <w:link w:val="TitleChar"/>
    <w:uiPriority w:val="10"/>
    <w:qFormat/>
    <w:rsid w:val="000F39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39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39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39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39E4"/>
    <w:pPr>
      <w:spacing w:before="160"/>
      <w:jc w:val="center"/>
    </w:pPr>
    <w:rPr>
      <w:i/>
      <w:iCs/>
      <w:color w:val="404040" w:themeColor="text1" w:themeTint="BF"/>
    </w:rPr>
  </w:style>
  <w:style w:type="character" w:customStyle="1" w:styleId="QuoteChar">
    <w:name w:val="Quote Char"/>
    <w:basedOn w:val="DefaultParagraphFont"/>
    <w:link w:val="Quote"/>
    <w:uiPriority w:val="29"/>
    <w:rsid w:val="000F39E4"/>
    <w:rPr>
      <w:i/>
      <w:iCs/>
      <w:color w:val="404040" w:themeColor="text1" w:themeTint="BF"/>
    </w:rPr>
  </w:style>
  <w:style w:type="paragraph" w:styleId="ListParagraph">
    <w:name w:val="List Paragraph"/>
    <w:basedOn w:val="Normal"/>
    <w:uiPriority w:val="34"/>
    <w:qFormat/>
    <w:rsid w:val="000F39E4"/>
    <w:pPr>
      <w:ind w:left="720"/>
      <w:contextualSpacing/>
    </w:pPr>
  </w:style>
  <w:style w:type="character" w:styleId="IntenseEmphasis">
    <w:name w:val="Intense Emphasis"/>
    <w:basedOn w:val="DefaultParagraphFont"/>
    <w:uiPriority w:val="21"/>
    <w:qFormat/>
    <w:rsid w:val="000F39E4"/>
    <w:rPr>
      <w:i/>
      <w:iCs/>
      <w:color w:val="0F4761" w:themeColor="accent1" w:themeShade="BF"/>
    </w:rPr>
  </w:style>
  <w:style w:type="paragraph" w:styleId="IntenseQuote">
    <w:name w:val="Intense Quote"/>
    <w:basedOn w:val="Normal"/>
    <w:next w:val="Normal"/>
    <w:link w:val="IntenseQuoteChar"/>
    <w:uiPriority w:val="30"/>
    <w:qFormat/>
    <w:rsid w:val="000F39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39E4"/>
    <w:rPr>
      <w:i/>
      <w:iCs/>
      <w:color w:val="0F4761" w:themeColor="accent1" w:themeShade="BF"/>
    </w:rPr>
  </w:style>
  <w:style w:type="character" w:styleId="IntenseReference">
    <w:name w:val="Intense Reference"/>
    <w:basedOn w:val="DefaultParagraphFont"/>
    <w:uiPriority w:val="32"/>
    <w:qFormat/>
    <w:rsid w:val="000F39E4"/>
    <w:rPr>
      <w:b/>
      <w:bCs/>
      <w:smallCaps/>
      <w:color w:val="0F4761" w:themeColor="accent1" w:themeShade="BF"/>
      <w:spacing w:val="5"/>
    </w:rPr>
  </w:style>
  <w:style w:type="paragraph" w:styleId="TOCHeading">
    <w:name w:val="TOC Heading"/>
    <w:basedOn w:val="Heading1"/>
    <w:next w:val="Normal"/>
    <w:uiPriority w:val="39"/>
    <w:unhideWhenUsed/>
    <w:qFormat/>
    <w:rsid w:val="00EF5AE0"/>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EF5AE0"/>
    <w:pPr>
      <w:spacing w:after="100"/>
    </w:pPr>
  </w:style>
  <w:style w:type="paragraph" w:styleId="TOC2">
    <w:name w:val="toc 2"/>
    <w:basedOn w:val="Normal"/>
    <w:next w:val="Normal"/>
    <w:autoRedefine/>
    <w:uiPriority w:val="39"/>
    <w:unhideWhenUsed/>
    <w:rsid w:val="00EF5AE0"/>
    <w:pPr>
      <w:spacing w:after="100"/>
      <w:ind w:left="240"/>
    </w:pPr>
  </w:style>
  <w:style w:type="character" w:styleId="Hyperlink">
    <w:name w:val="Hyperlink"/>
    <w:basedOn w:val="DefaultParagraphFont"/>
    <w:uiPriority w:val="99"/>
    <w:unhideWhenUsed/>
    <w:rsid w:val="00EF5AE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1232</TotalTime>
  <Pages>1</Pages>
  <Words>2476</Words>
  <Characters>16022</Characters>
  <Application>Microsoft Office Word</Application>
  <DocSecurity>0</DocSecurity>
  <Lines>320</Lines>
  <Paragraphs>56</Paragraphs>
  <ScaleCrop>false</ScaleCrop>
  <Company/>
  <LinksUpToDate>false</LinksUpToDate>
  <CharactersWithSpaces>18442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Asare Adu (2427141)</dc:creator>
  <cp:keywords/>
  <dc:description/>
  <cp:lastModifiedBy>Diana Asare Adu (2427141)</cp:lastModifiedBy>
  <cp:revision>1</cp:revision>
  <dcterms:created xsi:type="dcterms:W3CDTF">2026-07-26T12:47:00Z</dcterms:created>
  <dcterms:modified xsi:type="dcterms:W3CDTF">2026-07-27T10:34:00Z</dcterms:modified>
</cp:coreProperties>
</file>